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214630</wp:posOffset>
            </wp:positionH>
            <wp:positionV relativeFrom="page">
              <wp:posOffset>355600</wp:posOffset>
            </wp:positionV>
            <wp:extent cx="71278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7875"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321945</wp:posOffset>
            </wp:positionV>
            <wp:extent cx="7127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7875"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126365</wp:posOffset>
            </wp:positionV>
            <wp:extent cx="1182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140335</wp:posOffset>
            </wp:positionV>
            <wp:extent cx="1182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9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54" w:lineRule="exact"/>
        <w:rPr>
          <w:sz w:val="24"/>
          <w:szCs w:val="24"/>
          <w:color w:val="auto"/>
        </w:rPr>
      </w:pPr>
    </w:p>
    <w:p>
      <w:pPr>
        <w:ind w:left="320" w:hanging="298"/>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3460" w:right="1920" w:hanging="3438"/>
        <w:spacing w:after="0" w:line="481" w:lineRule="auto"/>
        <w:tabs>
          <w:tab w:leader="none" w:pos="334"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 For the transition period from________ to_________</w:t>
      </w:r>
    </w:p>
    <w:p>
      <w:pPr>
        <w:ind w:left="4100"/>
        <w:spacing w:after="0"/>
        <w:rPr>
          <w:rFonts w:ascii="MS PGothic" w:cs="MS PGothic" w:eastAsia="MS PGothic" w:hAnsi="MS PGothic"/>
          <w:sz w:val="21"/>
          <w:szCs w:val="21"/>
          <w:color w:val="auto"/>
        </w:rPr>
      </w:pPr>
      <w:r>
        <w:rPr>
          <w:rFonts w:ascii="Arial" w:cs="Arial" w:eastAsia="Arial" w:hAnsi="Arial"/>
          <w:sz w:val="17"/>
          <w:szCs w:val="17"/>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204470</wp:posOffset>
            </wp:positionV>
            <wp:extent cx="1182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PRAXIS PRECISION MEDICINES,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189865</wp:posOffset>
            </wp:positionV>
            <wp:extent cx="1182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2520" w:type="dxa"/>
        <w:tblCellMar>
          <w:top w:w="0" w:type="dxa"/>
          <w:left w:w="0" w:type="dxa"/>
          <w:bottom w:w="0" w:type="dxa"/>
          <w:right w:w="0" w:type="dxa"/>
        </w:tblCellMar>
      </w:tblPr>
      <w:tr>
        <w:trPr>
          <w:trHeight w:val="223"/>
        </w:trPr>
        <w:tc>
          <w:tcPr>
            <w:tcW w:w="356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780" w:type="dxa"/>
            <w:vAlign w:val="bottom"/>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47-5195942</w:t>
            </w:r>
          </w:p>
        </w:tc>
        <w:tc>
          <w:tcPr>
            <w:tcW w:w="0" w:type="dxa"/>
            <w:vAlign w:val="bottom"/>
          </w:tcPr>
          <w:p>
            <w:pPr>
              <w:spacing w:after="0"/>
              <w:rPr>
                <w:sz w:val="1"/>
                <w:szCs w:val="1"/>
                <w:color w:val="auto"/>
              </w:rPr>
            </w:pPr>
          </w:p>
        </w:tc>
      </w:tr>
      <w:tr>
        <w:trPr>
          <w:trHeight w:val="184"/>
        </w:trPr>
        <w:tc>
          <w:tcPr>
            <w:tcW w:w="3560" w:type="dxa"/>
            <w:vAlign w:val="bottom"/>
          </w:tcPr>
          <w:p>
            <w:pPr>
              <w:jc w:val="center"/>
              <w:ind w:right="13"/>
              <w:spacing w:after="0" w:line="184" w:lineRule="exact"/>
              <w:rPr>
                <w:sz w:val="20"/>
                <w:szCs w:val="20"/>
                <w:color w:val="auto"/>
              </w:rPr>
            </w:pPr>
            <w:r>
              <w:rPr>
                <w:rFonts w:ascii="Times New Roman" w:cs="Times New Roman" w:eastAsia="Times New Roman" w:hAnsi="Times New Roman"/>
                <w:sz w:val="17"/>
                <w:szCs w:val="17"/>
                <w:b w:val="1"/>
                <w:bCs w:val="1"/>
                <w:color w:val="auto"/>
              </w:rPr>
              <w:t>(State or other jurisdiction of incorporation or</w:t>
            </w:r>
          </w:p>
        </w:tc>
        <w:tc>
          <w:tcPr>
            <w:tcW w:w="2780" w:type="dxa"/>
            <w:vAlign w:val="bottom"/>
            <w:vMerge w:val="restart"/>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tc>
        <w:tc>
          <w:tcPr>
            <w:tcW w:w="0" w:type="dxa"/>
            <w:vAlign w:val="bottom"/>
          </w:tcPr>
          <w:p>
            <w:pPr>
              <w:spacing w:after="0"/>
              <w:rPr>
                <w:sz w:val="1"/>
                <w:szCs w:val="1"/>
                <w:color w:val="auto"/>
              </w:rPr>
            </w:pPr>
          </w:p>
        </w:tc>
      </w:tr>
      <w:tr>
        <w:trPr>
          <w:trHeight w:val="230"/>
        </w:trPr>
        <w:tc>
          <w:tcPr>
            <w:tcW w:w="35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organization)</w:t>
            </w:r>
          </w:p>
        </w:tc>
        <w:tc>
          <w:tcPr>
            <w:tcW w:w="2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8"/>
        </w:trPr>
        <w:tc>
          <w:tcPr>
            <w:tcW w:w="356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99 High Street, 30th Floor</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6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Boston, MA</w:t>
            </w:r>
          </w:p>
        </w:tc>
        <w:tc>
          <w:tcPr>
            <w:tcW w:w="2780" w:type="dxa"/>
            <w:vAlign w:val="bottom"/>
          </w:tcPr>
          <w:p>
            <w:pPr>
              <w:jc w:val="right"/>
              <w:ind w:right="1033"/>
              <w:spacing w:after="0"/>
              <w:rPr>
                <w:sz w:val="20"/>
                <w:szCs w:val="20"/>
                <w:color w:val="auto"/>
              </w:rPr>
            </w:pPr>
            <w:r>
              <w:rPr>
                <w:rFonts w:ascii="Times New Roman" w:cs="Times New Roman" w:eastAsia="Times New Roman" w:hAnsi="Times New Roman"/>
                <w:sz w:val="17"/>
                <w:szCs w:val="17"/>
                <w:b w:val="1"/>
                <w:bCs w:val="1"/>
                <w:color w:val="auto"/>
              </w:rPr>
              <w:t>02110</w:t>
            </w:r>
          </w:p>
        </w:tc>
        <w:tc>
          <w:tcPr>
            <w:tcW w:w="0" w:type="dxa"/>
            <w:vAlign w:val="bottom"/>
          </w:tcPr>
          <w:p>
            <w:pPr>
              <w:spacing w:after="0"/>
              <w:rPr>
                <w:sz w:val="1"/>
                <w:szCs w:val="1"/>
                <w:color w:val="auto"/>
              </w:rPr>
            </w:pPr>
          </w:p>
        </w:tc>
      </w:tr>
      <w:tr>
        <w:trPr>
          <w:trHeight w:val="230"/>
        </w:trPr>
        <w:tc>
          <w:tcPr>
            <w:tcW w:w="356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2780" w:type="dxa"/>
            <w:vAlign w:val="bottom"/>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617-300-8460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125095</wp:posOffset>
            </wp:positionV>
            <wp:extent cx="1182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4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3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w:t>
            </w:r>
          </w:p>
        </w:tc>
        <w:tc>
          <w:tcPr>
            <w:tcW w:w="0" w:type="dxa"/>
            <w:vAlign w:val="bottom"/>
          </w:tcPr>
          <w:p>
            <w:pPr>
              <w:spacing w:after="0"/>
              <w:rPr>
                <w:sz w:val="1"/>
                <w:szCs w:val="1"/>
                <w:color w:val="auto"/>
              </w:rPr>
            </w:pPr>
          </w:p>
        </w:tc>
      </w:tr>
      <w:tr>
        <w:trPr>
          <w:trHeight w:val="230"/>
        </w:trPr>
        <w:tc>
          <w:tcPr>
            <w:tcW w:w="4000" w:type="dxa"/>
            <w:vAlign w:val="bottom"/>
            <w:gridSpan w:val="2"/>
            <w:vMerge w:val="continue"/>
          </w:tcPr>
          <w:p>
            <w:pPr>
              <w:spacing w:after="0"/>
              <w:rPr>
                <w:sz w:val="19"/>
                <w:szCs w:val="19"/>
                <w:color w:val="auto"/>
              </w:rPr>
            </w:pPr>
          </w:p>
        </w:tc>
        <w:tc>
          <w:tcPr>
            <w:tcW w:w="4100" w:type="dxa"/>
            <w:vAlign w:val="bottom"/>
            <w:gridSpan w:val="2"/>
            <w:vMerge w:val="continue"/>
          </w:tcPr>
          <w:p>
            <w:pPr>
              <w:spacing w:after="0"/>
              <w:rPr>
                <w:sz w:val="19"/>
                <w:szCs w:val="19"/>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registered</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tc>
        <w:tc>
          <w:tcPr>
            <w:tcW w:w="8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PRAX</w:t>
            </w:r>
          </w:p>
        </w:tc>
        <w:tc>
          <w:tcPr>
            <w:tcW w:w="60" w:type="dxa"/>
            <w:vAlign w:val="bottom"/>
          </w:tcPr>
          <w:p>
            <w:pPr>
              <w:spacing w:after="0"/>
              <w:rPr>
                <w:sz w:val="19"/>
                <w:szCs w:val="19"/>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7" w:lineRule="exact"/>
        <w:rPr>
          <w:sz w:val="24"/>
          <w:szCs w:val="24"/>
          <w:color w:val="auto"/>
        </w:rPr>
      </w:pPr>
    </w:p>
    <w:p>
      <w:pPr>
        <w:ind w:left="32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23"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6"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1" w:lineRule="exact"/>
        <w:rPr>
          <w:sz w:val="24"/>
          <w:szCs w:val="24"/>
          <w:color w:val="auto"/>
        </w:rPr>
      </w:pPr>
    </w:p>
    <w:p>
      <w:pPr>
        <w:ind w:right="440" w:firstLine="315"/>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3" w:lineRule="exact"/>
        <w:rPr>
          <w:sz w:val="24"/>
          <w:szCs w:val="24"/>
          <w:color w:val="auto"/>
        </w:rPr>
      </w:pPr>
    </w:p>
    <w:p>
      <w:pPr>
        <w:ind w:right="40" w:firstLine="315"/>
        <w:spacing w:after="0" w:line="19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3" w:lineRule="exact"/>
        <w:rPr>
          <w:sz w:val="24"/>
          <w:szCs w:val="24"/>
          <w:color w:val="auto"/>
        </w:rPr>
      </w:pPr>
    </w:p>
    <w:p>
      <w:pPr>
        <w:jc w:val="both"/>
        <w:ind w:right="320" w:firstLine="315"/>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186690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7" w:right="35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46"/>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8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2"/>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8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2"/>
        </w:trPr>
        <w:tc>
          <w:tcPr>
            <w:tcW w:w="186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5040" w:type="dxa"/>
            <w:vAlign w:val="bottom"/>
          </w:tcPr>
          <w:p>
            <w:pPr>
              <w:ind w:left="280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3" w:lineRule="exact"/>
        <w:rPr>
          <w:sz w:val="20"/>
          <w:szCs w:val="20"/>
          <w:color w:val="auto"/>
        </w:rPr>
      </w:pPr>
    </w:p>
    <w:p>
      <w:pPr>
        <w:ind w:right="100" w:firstLine="315"/>
        <w:spacing w:after="0" w:line="20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7" w:lineRule="exact"/>
        <w:rPr>
          <w:sz w:val="20"/>
          <w:szCs w:val="20"/>
          <w:color w:val="auto"/>
        </w:rPr>
      </w:pPr>
    </w:p>
    <w:p>
      <w:pPr>
        <w:ind w:right="20" w:firstLine="315"/>
        <w:spacing w:after="0" w:line="269"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w:t>
      </w:r>
    </w:p>
    <w:p>
      <w:pPr>
        <w:spacing w:after="0" w:line="1" w:lineRule="exact"/>
        <w:rPr>
          <w:sz w:val="20"/>
          <w:szCs w:val="20"/>
          <w:color w:val="auto"/>
        </w:rPr>
      </w:pPr>
    </w:p>
    <w:p>
      <w:pPr>
        <w:spacing w:after="0" w:line="196" w:lineRule="exact"/>
        <w:rPr>
          <w:sz w:val="20"/>
          <w:szCs w:val="20"/>
          <w:color w:val="auto"/>
        </w:rPr>
      </w:pPr>
      <w:r>
        <w:rPr>
          <w:rFonts w:ascii="Arial" w:cs="Arial" w:eastAsia="Arial" w:hAnsi="Arial"/>
          <w:sz w:val="16"/>
          <w:szCs w:val="16"/>
          <w:color w:val="auto"/>
        </w:rPr>
        <w:t xml:space="preserve">audit report. </w:t>
      </w:r>
      <w:r>
        <w:rPr>
          <w:rFonts w:ascii="MS PGothic" w:cs="MS PGothic" w:eastAsia="MS PGothic" w:hAnsi="MS PGothic"/>
          <w:sz w:val="17"/>
          <w:szCs w:val="17"/>
          <w:color w:val="auto"/>
        </w:rPr>
        <w:t>☐</w:t>
      </w:r>
    </w:p>
    <w:p>
      <w:pPr>
        <w:spacing w:after="0" w:line="230" w:lineRule="exact"/>
        <w:rPr>
          <w:sz w:val="20"/>
          <w:szCs w:val="20"/>
          <w:color w:val="auto"/>
        </w:rPr>
      </w:pPr>
    </w:p>
    <w:p>
      <w:pPr>
        <w:ind w:firstLine="315"/>
        <w:spacing w:after="0" w:line="219"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78" w:lineRule="exact"/>
        <w:rPr>
          <w:sz w:val="20"/>
          <w:szCs w:val="20"/>
          <w:color w:val="auto"/>
        </w:rPr>
      </w:pPr>
    </w:p>
    <w:p>
      <w:pPr>
        <w:ind w:right="60" w:firstLine="315"/>
        <w:spacing w:after="0" w:line="219"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79" w:lineRule="exact"/>
        <w:rPr>
          <w:sz w:val="20"/>
          <w:szCs w:val="20"/>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1" w:lineRule="exact"/>
        <w:rPr>
          <w:sz w:val="20"/>
          <w:szCs w:val="20"/>
          <w:color w:val="auto"/>
        </w:rPr>
      </w:pPr>
    </w:p>
    <w:p>
      <w:pPr>
        <w:ind w:right="300" w:firstLine="315"/>
        <w:spacing w:after="0" w:line="262" w:lineRule="auto"/>
        <w:rPr>
          <w:sz w:val="20"/>
          <w:szCs w:val="20"/>
          <w:color w:val="auto"/>
        </w:rPr>
      </w:pPr>
      <w:r>
        <w:rPr>
          <w:rFonts w:ascii="Arial" w:cs="Arial" w:eastAsia="Arial" w:hAnsi="Arial"/>
          <w:sz w:val="16"/>
          <w:szCs w:val="16"/>
          <w:color w:val="auto"/>
        </w:rPr>
        <w:t>The aggregate market value of common stock held by non-affiliates of the registrant, based on the closing price of a share of common stock on June 30, 2022 as reported by the Nasdaq Global Select Market on such date was approximately $103.8 million. This calculation does not reflect a determination that certain persons are affiliates of the registrant for any other purpose.</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February 3, 2023, the registrant had 52,393,118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402590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1278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173990</wp:posOffset>
            </wp:positionV>
            <wp:extent cx="71278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8255"/>
                    </a:xfrm>
                    <a:prstGeom prst="rect">
                      <a:avLst/>
                    </a:prstGeom>
                    <a:noFill/>
                  </pic:spPr>
                </pic:pic>
              </a:graphicData>
            </a:graphic>
          </wp:anchor>
        </w:drawing>
      </w:r>
    </w:p>
    <w:p>
      <w:pPr>
        <w:sectPr>
          <w:pgSz w:w="11900" w:h="16838" w:orient="portrait"/>
          <w:cols w:equalWidth="0" w:num="1">
            <w:col w:w="11200"/>
          </w:cols>
          <w:pgMar w:left="320" w:top="37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40" w:type="dxa"/>
            <w:vAlign w:val="bottom"/>
            <w:gridSpan w:val="9"/>
          </w:tcPr>
          <w:p>
            <w:pPr>
              <w:ind w:left="260"/>
              <w:spacing w:after="0"/>
              <w:rPr>
                <w:sz w:val="20"/>
                <w:szCs w:val="20"/>
                <w:color w:val="auto"/>
              </w:rPr>
            </w:pPr>
            <w:r>
              <w:rPr>
                <w:rFonts w:ascii="Arial" w:cs="Arial" w:eastAsia="Arial" w:hAnsi="Arial"/>
                <w:sz w:val="17"/>
                <w:szCs w:val="17"/>
                <w:b w:val="1"/>
                <w:bCs w:val="1"/>
                <w:color w:val="auto"/>
              </w:rPr>
              <w:t>TABLE OF CONTENTS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67"/>
        </w:trPr>
        <w:tc>
          <w:tcPr>
            <w:tcW w:w="560" w:type="dxa"/>
            <w:vAlign w:val="bottom"/>
            <w:tcBorders>
              <w:bottom w:val="single" w:sz="8" w:color="0000FF"/>
            </w:tcBorders>
            <w:gridSpan w:val="2"/>
          </w:tcPr>
          <w:p>
            <w:pPr>
              <w:ind w:left="20"/>
              <w:spacing w:after="0"/>
              <w:rPr>
                <w:sz w:val="20"/>
                <w:szCs w:val="20"/>
                <w:color w:val="auto"/>
              </w:rPr>
            </w:pPr>
            <w:r>
              <w:rPr>
                <w:rFonts w:ascii="Arial" w:cs="Arial" w:eastAsia="Arial" w:hAnsi="Arial"/>
                <w:sz w:val="17"/>
                <w:szCs w:val="17"/>
                <w:color w:val="0000FF"/>
              </w:rPr>
              <w:t>Part I</w:t>
            </w:r>
          </w:p>
        </w:tc>
        <w:tc>
          <w:tcPr>
            <w:tcW w:w="9600" w:type="dxa"/>
            <w:vAlign w:val="bottom"/>
            <w:gridSpan w:val="20"/>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1. Business</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7</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1A. Risk Factors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28</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1B. Unresolved Staff Comments</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82</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2. Properties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82</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3. Legal Proceedings</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82</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4. Mine Safety Disclosures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82</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0"/>
              <w:spacing w:after="0" w:line="194" w:lineRule="exact"/>
              <w:rPr>
                <w:sz w:val="20"/>
                <w:szCs w:val="20"/>
                <w:color w:val="auto"/>
              </w:rPr>
            </w:pPr>
            <w:r>
              <w:rPr>
                <w:rFonts w:ascii="Arial" w:cs="Arial" w:eastAsia="Arial" w:hAnsi="Arial"/>
                <w:sz w:val="17"/>
                <w:szCs w:val="17"/>
                <w:color w:val="0000FF"/>
              </w:rPr>
              <w:t>Part II</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5. Market for Registrant's Common Equity, Related Stockholder Matters and Issuer Purchases of Equity Securities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83</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6. Selected Financial Data</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83</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7. Management's Discussion and Analysis of Financial Condition and results of Operations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84</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7A. Quantitative and Qualitative Disclosures About Market Risk</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95</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440" w:type="dxa"/>
            <w:vAlign w:val="bottom"/>
            <w:tcBorders>
              <w:left w:val="single" w:sz="8" w:color="0000FF"/>
            </w:tcBorders>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8. Financial Statements and Supplementary Data</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96</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9. Changes in and Disagreements with Accountants on Accounting and Financial Disclosure</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126</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440" w:type="dxa"/>
            <w:vAlign w:val="bottom"/>
            <w:tcBorders>
              <w:left w:val="single" w:sz="8" w:color="0000FF"/>
            </w:tcBorders>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9A. Controls and Procedures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126</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9B. Other Information</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126</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9C. Disclosure Regarding Foreign Jurisdictions that Prevent Inspections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126</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213"/>
        </w:trPr>
        <w:tc>
          <w:tcPr>
            <w:tcW w:w="560" w:type="dxa"/>
            <w:vAlign w:val="bottom"/>
            <w:tcBorders>
              <w:left w:val="single" w:sz="8" w:color="CCEEFF"/>
              <w:bottom w:val="single" w:sz="8" w:color="0000FF"/>
              <w:right w:val="single" w:sz="8" w:color="CCEEFF"/>
            </w:tcBorders>
            <w:gridSpan w:val="2"/>
            <w:shd w:val="clear" w:color="auto" w:fill="CCEEFF"/>
          </w:tcPr>
          <w:p>
            <w:pPr>
              <w:ind w:left="20"/>
              <w:spacing w:after="0" w:line="194" w:lineRule="exact"/>
              <w:rPr>
                <w:sz w:val="20"/>
                <w:szCs w:val="20"/>
                <w:color w:val="auto"/>
              </w:rPr>
            </w:pPr>
            <w:r>
              <w:rPr>
                <w:rFonts w:ascii="Arial" w:cs="Arial" w:eastAsia="Arial" w:hAnsi="Arial"/>
                <w:sz w:val="17"/>
                <w:szCs w:val="17"/>
                <w:color w:val="0000FF"/>
                <w:w w:val="99"/>
              </w:rPr>
              <w:t>Part III</w:t>
            </w:r>
          </w:p>
        </w:tc>
        <w:tc>
          <w:tcPr>
            <w:tcW w:w="9600" w:type="dxa"/>
            <w:vAlign w:val="bottom"/>
            <w:tcBorders>
              <w:bottom w:val="single" w:sz="8" w:color="CCEEFF"/>
            </w:tcBorders>
            <w:gridSpan w:val="20"/>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10. Directors, Executive Officers and Corporate Governance</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127</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11. Executive Compensation</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131</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12. Security Ownership of Certain Beneficial Owners and Management and Related Stockholder Matters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141</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13. Certain Relationships and Related Transactions, and Director Independence</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145</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440" w:type="dxa"/>
            <w:vAlign w:val="bottom"/>
            <w:tcBorders>
              <w:left w:val="single" w:sz="8" w:color="0000FF"/>
            </w:tcBorders>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14. Principal Accounting Fees and Services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148</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213"/>
        </w:trPr>
        <w:tc>
          <w:tcPr>
            <w:tcW w:w="560" w:type="dxa"/>
            <w:vAlign w:val="bottom"/>
            <w:tcBorders>
              <w:left w:val="single" w:sz="8" w:color="CCEEFF"/>
              <w:bottom w:val="single" w:sz="8" w:color="0000FF"/>
              <w:right w:val="single" w:sz="8" w:color="CCEEFF"/>
            </w:tcBorders>
            <w:gridSpan w:val="2"/>
            <w:shd w:val="clear" w:color="auto" w:fill="CCEEFF"/>
          </w:tcPr>
          <w:p>
            <w:pPr>
              <w:ind w:left="20"/>
              <w:spacing w:after="0" w:line="194" w:lineRule="exact"/>
              <w:rPr>
                <w:sz w:val="20"/>
                <w:szCs w:val="20"/>
                <w:color w:val="auto"/>
              </w:rPr>
            </w:pPr>
            <w:r>
              <w:rPr>
                <w:rFonts w:ascii="Arial" w:cs="Arial" w:eastAsia="Arial" w:hAnsi="Arial"/>
                <w:sz w:val="17"/>
                <w:szCs w:val="17"/>
                <w:color w:val="0000FF"/>
                <w:w w:val="96"/>
              </w:rPr>
              <w:t>Part IV</w:t>
            </w:r>
          </w:p>
        </w:tc>
        <w:tc>
          <w:tcPr>
            <w:tcW w:w="9600" w:type="dxa"/>
            <w:vAlign w:val="bottom"/>
            <w:tcBorders>
              <w:bottom w:val="single" w:sz="8" w:color="CCEEFF"/>
            </w:tcBorders>
            <w:gridSpan w:val="20"/>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15. Exhibits, Financial Statement Schedules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149</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16. Form 10-K Summary</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152</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0"/>
              <w:spacing w:after="0" w:line="184" w:lineRule="exact"/>
              <w:rPr>
                <w:sz w:val="20"/>
                <w:szCs w:val="20"/>
                <w:color w:val="auto"/>
              </w:rPr>
            </w:pPr>
            <w:r>
              <w:rPr>
                <w:rFonts w:ascii="Arial" w:cs="Arial" w:eastAsia="Arial" w:hAnsi="Arial"/>
                <w:sz w:val="17"/>
                <w:szCs w:val="17"/>
                <w:color w:val="0000FF"/>
              </w:rPr>
              <w:t>Signatures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42"/>
        </w:trPr>
        <w:tc>
          <w:tcPr>
            <w:tcW w:w="2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SUMMARY OF THE MATERIAL RISKS ASSOCIATED WITH OUR BUSINESS</w:t>
      </w:r>
    </w:p>
    <w:p>
      <w:pPr>
        <w:spacing w:after="0" w:line="252" w:lineRule="exact"/>
        <w:rPr>
          <w:sz w:val="20"/>
          <w:szCs w:val="20"/>
          <w:color w:val="auto"/>
        </w:rPr>
      </w:pPr>
    </w:p>
    <w:p>
      <w:pPr>
        <w:ind w:left="640" w:right="24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a clinical-stage biopharmaceutical company and we have incurred significant losses since our inception. We anticipate that we will continue to incur significant losses for the foreseeable future.</w:t>
      </w:r>
    </w:p>
    <w:p>
      <w:pPr>
        <w:spacing w:after="0" w:line="140" w:lineRule="exact"/>
        <w:rPr>
          <w:rFonts w:ascii="Arial" w:cs="Arial" w:eastAsia="Arial" w:hAnsi="Arial"/>
          <w:sz w:val="17"/>
          <w:szCs w:val="17"/>
          <w:color w:val="auto"/>
        </w:rPr>
      </w:pPr>
    </w:p>
    <w:p>
      <w:pPr>
        <w:ind w:left="640" w:right="30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need substantial additional funding, and if we are unable to raise capital when needed, we could be forced to delay, reduce or eliminate our product discovery and development programs or commercialization efforts.</w:t>
      </w:r>
    </w:p>
    <w:p>
      <w:pPr>
        <w:spacing w:after="0" w:line="166" w:lineRule="exact"/>
        <w:rPr>
          <w:rFonts w:ascii="Arial" w:cs="Arial" w:eastAsia="Arial" w:hAnsi="Arial"/>
          <w:sz w:val="17"/>
          <w:szCs w:val="17"/>
          <w:color w:val="auto"/>
        </w:rPr>
      </w:pPr>
    </w:p>
    <w:p>
      <w:pPr>
        <w:ind w:left="640" w:right="20" w:hanging="320"/>
        <w:spacing w:after="0" w:line="271"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development and commercialization of drug products is subject to extensive regulation, and the regulatory approval processes of the U.S. Food and Drug Administration, or the FDA, and comparable foreign authorities are lengthy, time-consuming, and inherently unpredictable. If we are ultimately unable to obtain regulatory approval for our product candidates on a timely basis if at all, our business will be substantially harmed.</w:t>
      </w:r>
    </w:p>
    <w:p>
      <w:pPr>
        <w:spacing w:after="0" w:line="192" w:lineRule="exact"/>
        <w:rPr>
          <w:rFonts w:ascii="Arial" w:cs="Arial" w:eastAsia="Arial" w:hAnsi="Arial"/>
          <w:sz w:val="17"/>
          <w:szCs w:val="17"/>
          <w:color w:val="auto"/>
        </w:rPr>
      </w:pPr>
    </w:p>
    <w:p>
      <w:pPr>
        <w:jc w:val="both"/>
        <w:ind w:left="640" w:right="120" w:hanging="320"/>
        <w:spacing w:after="0" w:line="278"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Preclinical and clinical drug development involves a lengthy, complex and expensive process, with an uncertain outcome. The outcome of preclinical testing and early clinical trials may not be predictive of the success of later clinical trials, and the results of our clinical trials may not satisfy the requirements of the FDA or comparable foreign regulatory authorities.</w:t>
      </w:r>
    </w:p>
    <w:p>
      <w:pPr>
        <w:spacing w:after="0" w:line="186"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166" w:lineRule="exact"/>
        <w:rPr>
          <w:rFonts w:ascii="Arial" w:cs="Arial" w:eastAsia="Arial" w:hAnsi="Arial"/>
          <w:sz w:val="17"/>
          <w:szCs w:val="17"/>
          <w:color w:val="auto"/>
        </w:rPr>
      </w:pPr>
    </w:p>
    <w:p>
      <w:pPr>
        <w:ind w:left="640" w:right="18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encounter difficulties enrolling patients in our future clinical trials, our clinical development activities could be delayed or otherwise adversely affected.</w:t>
      </w:r>
    </w:p>
    <w:p>
      <w:pPr>
        <w:spacing w:after="0" w:line="166" w:lineRule="exact"/>
        <w:rPr>
          <w:rFonts w:ascii="Arial" w:cs="Arial" w:eastAsia="Arial" w:hAnsi="Arial"/>
          <w:sz w:val="17"/>
          <w:szCs w:val="17"/>
          <w:color w:val="auto"/>
        </w:rPr>
      </w:pPr>
    </w:p>
    <w:p>
      <w:pPr>
        <w:ind w:left="640" w:right="140" w:hanging="320"/>
        <w:spacing w:after="0" w:line="271"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192"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depends in part on our ability to protect our intellectual property. It is difficult and costly to protect our proprietary rights and technology, and we may not be able to ensure their protection.</w:t>
      </w:r>
    </w:p>
    <w:p>
      <w:pPr>
        <w:spacing w:after="0" w:line="166" w:lineRule="exact"/>
        <w:rPr>
          <w:rFonts w:ascii="Arial" w:cs="Arial" w:eastAsia="Arial" w:hAnsi="Arial"/>
          <w:sz w:val="17"/>
          <w:szCs w:val="17"/>
          <w:color w:val="auto"/>
        </w:rPr>
      </w:pPr>
    </w:p>
    <w:p>
      <w:pPr>
        <w:jc w:val="both"/>
        <w:ind w:left="640" w:right="220" w:hanging="320"/>
        <w:spacing w:after="0" w:line="278"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entered into, and may enter into, license or other collaboration agreements that impose certain obligations on us. If we fail to comply with our obligations under such agreements with third parties or otherwise experience disruptions to our business relationships with our current or future licensors, we could lose rights that may be important to our business.</w:t>
      </w:r>
    </w:p>
    <w:p>
      <w:pPr>
        <w:spacing w:after="0" w:line="18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Third-party claims of intellectual property infringement may prevent or delay our product discovery and development efforts.</w:t>
      </w:r>
    </w:p>
    <w:p>
      <w:pPr>
        <w:spacing w:after="0" w:line="250" w:lineRule="exact"/>
        <w:rPr>
          <w:rFonts w:ascii="Arial" w:cs="Arial" w:eastAsia="Arial" w:hAnsi="Arial"/>
          <w:sz w:val="17"/>
          <w:szCs w:val="17"/>
          <w:color w:val="auto"/>
        </w:rPr>
      </w:pPr>
    </w:p>
    <w:p>
      <w:pPr>
        <w:ind w:left="640" w:right="80" w:hanging="320"/>
        <w:spacing w:after="0" w:line="291"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391" w:lineRule="exact"/>
        <w:rPr>
          <w:rFonts w:ascii="Arial" w:cs="Arial" w:eastAsia="Arial" w:hAnsi="Arial"/>
          <w:sz w:val="17"/>
          <w:szCs w:val="17"/>
          <w:color w:val="auto"/>
        </w:rPr>
      </w:pPr>
    </w:p>
    <w:p>
      <w:pPr>
        <w:ind w:left="640" w:right="26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depend heavily on our executive officers, principal consultants and others, and the loss of their services would materially harm our business.</w:t>
      </w:r>
    </w:p>
    <w:p>
      <w:pPr>
        <w:spacing w:after="0" w:line="16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price of our stock has been and may in the future be volatile, and you could lose all or part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52" w:lineRule="exact"/>
        <w:rPr>
          <w:sz w:val="20"/>
          <w:szCs w:val="20"/>
          <w:color w:val="auto"/>
        </w:rPr>
      </w:pPr>
    </w:p>
    <w:p>
      <w:pPr>
        <w:ind w:firstLine="472"/>
        <w:spacing w:after="0" w:line="266" w:lineRule="auto"/>
        <w:rPr>
          <w:sz w:val="20"/>
          <w:szCs w:val="20"/>
          <w:color w:val="auto"/>
        </w:rPr>
      </w:pPr>
      <w:r>
        <w:rPr>
          <w:rFonts w:ascii="Arial" w:cs="Arial" w:eastAsia="Arial" w:hAnsi="Arial"/>
          <w:sz w:val="17"/>
          <w:szCs w:val="17"/>
          <w:color w:val="auto"/>
        </w:rPr>
        <w:t>This Annual Report on Form 10-K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Annual Report on Form 10-K include, but are not limited to, statements about:</w:t>
      </w:r>
    </w:p>
    <w:p>
      <w:pPr>
        <w:spacing w:after="0" w:line="116" w:lineRule="exact"/>
        <w:rPr>
          <w:sz w:val="20"/>
          <w:szCs w:val="20"/>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cost and timing of our product candidate development activities and clinical trials;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our ability to obtain and maintain intellectual property protection for our product candidates;</w:t>
      </w:r>
    </w:p>
    <w:p>
      <w:pPr>
        <w:spacing w:after="0" w:line="171" w:lineRule="exact"/>
        <w:rPr>
          <w:rFonts w:ascii="Arial" w:cs="Arial" w:eastAsia="Arial" w:hAnsi="Arial"/>
          <w:sz w:val="17"/>
          <w:szCs w:val="17"/>
          <w:color w:val="auto"/>
        </w:rPr>
      </w:pPr>
    </w:p>
    <w:p>
      <w:pPr>
        <w:ind w:left="640" w:right="28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to license additional intellectual property relating to our product candidates from third parties and to comply with our existing license agreements and collaboration agreements;</w:t>
      </w:r>
    </w:p>
    <w:p>
      <w:pPr>
        <w:spacing w:after="0" w:line="88" w:lineRule="exact"/>
        <w:rPr>
          <w:rFonts w:ascii="Arial" w:cs="Arial" w:eastAsia="Arial" w:hAnsi="Arial"/>
          <w:sz w:val="17"/>
          <w:szCs w:val="17"/>
          <w:color w:val="auto"/>
        </w:rPr>
      </w:pPr>
    </w:p>
    <w:p>
      <w:pPr>
        <w:ind w:left="640" w:right="18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and willingness of our third-party research institution collaborators to continue research and development activities relating to our product candidates;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commercialize our product candidates, if approved, in light of the intellectual property rights of others;</w:t>
      </w:r>
    </w:p>
    <w:p>
      <w:pPr>
        <w:spacing w:after="0" w:line="171" w:lineRule="exact"/>
        <w:rPr>
          <w:rFonts w:ascii="Arial" w:cs="Arial" w:eastAsia="Arial" w:hAnsi="Arial"/>
          <w:sz w:val="17"/>
          <w:szCs w:val="17"/>
          <w:color w:val="auto"/>
        </w:rPr>
      </w:pPr>
    </w:p>
    <w:p>
      <w:pPr>
        <w:ind w:left="640" w:right="94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funding for our operations, including funding necessary to complete further development and, if approved, commercialization of our product candidates;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commercialization of our product candidates, if approved;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to research, develop and, if approved, commercialize our product candidates;</w:t>
      </w:r>
    </w:p>
    <w:p>
      <w:pPr>
        <w:spacing w:after="0" w:line="171" w:lineRule="exact"/>
        <w:rPr>
          <w:rFonts w:ascii="Arial" w:cs="Arial" w:eastAsia="Arial" w:hAnsi="Arial"/>
          <w:sz w:val="17"/>
          <w:szCs w:val="17"/>
          <w:color w:val="auto"/>
        </w:rPr>
      </w:pPr>
    </w:p>
    <w:p>
      <w:pPr>
        <w:ind w:left="640" w:right="54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our product candidates, if approved, and any other approved product;</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rate and degree of market acceptance of our product candidates, if approved;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pricing and reimbursement of our product candidates, if approved;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contract with third-party suppliers and manufacturers and their ability to perform adequately;</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of competing therapies that are or may become available;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attract and retain key scientific or management personnel;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24" w:lineRule="exact"/>
        <w:rPr>
          <w:sz w:val="20"/>
          <w:szCs w:val="20"/>
          <w:color w:val="auto"/>
        </w:rPr>
      </w:pPr>
    </w:p>
    <w:p>
      <w:pPr>
        <w:ind w:right="40" w:firstLine="551"/>
        <w:spacing w:after="0" w:line="263" w:lineRule="auto"/>
        <w:rPr>
          <w:sz w:val="20"/>
          <w:szCs w:val="20"/>
          <w:color w:val="auto"/>
        </w:rPr>
      </w:pPr>
      <w:r>
        <w:rPr>
          <w:rFonts w:ascii="Arial" w:cs="Arial" w:eastAsia="Arial" w:hAnsi="Arial"/>
          <w:sz w:val="17"/>
          <w:szCs w:val="17"/>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Annual Report on Form 10-K.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on Form 10-K and the documents that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516890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80"/>
        <w:spacing w:after="0" w:line="278" w:lineRule="auto"/>
        <w:rPr>
          <w:sz w:val="20"/>
          <w:szCs w:val="20"/>
          <w:color w:val="auto"/>
        </w:rPr>
      </w:pPr>
      <w:r>
        <w:rPr>
          <w:rFonts w:ascii="Arial" w:cs="Arial" w:eastAsia="Arial" w:hAnsi="Arial"/>
          <w:sz w:val="17"/>
          <w:szCs w:val="17"/>
          <w:color w:val="auto"/>
        </w:rPr>
        <w:t>reference in this Annual Report on Form 10-K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60" w:lineRule="exact"/>
        <w:rPr>
          <w:sz w:val="20"/>
          <w:szCs w:val="20"/>
          <w:color w:val="auto"/>
        </w:rPr>
      </w:pPr>
    </w:p>
    <w:p>
      <w:pPr>
        <w:ind w:firstLine="472"/>
        <w:spacing w:after="0" w:line="268" w:lineRule="auto"/>
        <w:rPr>
          <w:sz w:val="20"/>
          <w:szCs w:val="20"/>
          <w:color w:val="auto"/>
        </w:rPr>
      </w:pPr>
      <w:r>
        <w:rPr>
          <w:rFonts w:ascii="Arial" w:cs="Arial" w:eastAsia="Arial" w:hAnsi="Arial"/>
          <w:sz w:val="17"/>
          <w:szCs w:val="17"/>
          <w:color w:val="auto"/>
        </w:rPr>
        <w:t>The forward -looking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167" w:lineRule="exact"/>
        <w:rPr>
          <w:sz w:val="20"/>
          <w:szCs w:val="20"/>
          <w:color w:val="auto"/>
        </w:rPr>
      </w:pPr>
    </w:p>
    <w:p>
      <w:pPr>
        <w:ind w:right="60" w:firstLine="472"/>
        <w:spacing w:after="0" w:line="262" w:lineRule="auto"/>
        <w:rPr>
          <w:sz w:val="20"/>
          <w:szCs w:val="20"/>
          <w:color w:val="auto"/>
        </w:rPr>
      </w:pPr>
      <w:r>
        <w:rPr>
          <w:rFonts w:ascii="Arial" w:cs="Arial" w:eastAsia="Arial" w:hAnsi="Arial"/>
          <w:sz w:val="17"/>
          <w:szCs w:val="17"/>
          <w:color w:val="auto"/>
        </w:rPr>
        <w:t>This Annual Report on Form 10-K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Annual Report on Form 10-K, their estimates, in particular, as they relate to projections, involve numerous assumptions, are subject to risks and uncertainties and are subject to change based on various factors, including those discussed under the section titled “Risk Factors” and elsewhere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518795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BUSINESS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121"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We are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56" w:lineRule="exact"/>
        <w:rPr>
          <w:sz w:val="20"/>
          <w:szCs w:val="20"/>
          <w:color w:val="auto"/>
        </w:rPr>
      </w:pPr>
    </w:p>
    <w:p>
      <w:pPr>
        <w:ind w:left="640" w:right="460" w:hanging="320"/>
        <w:spacing w:after="0" w:line="243"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7"/>
          <w:szCs w:val="17"/>
          <w:b w:val="1"/>
          <w:bCs w:val="1"/>
          <w:i w:val="1"/>
          <w:iCs w:val="1"/>
          <w:color w:val="auto"/>
        </w:rPr>
        <w:t>Cerebrum</w:t>
      </w:r>
      <w:r>
        <w:rPr>
          <w:rFonts w:ascii="Arial" w:cs="Arial" w:eastAsia="Arial" w:hAnsi="Arial"/>
          <w:sz w:val="17"/>
          <w:szCs w:val="17"/>
          <w:color w:val="auto"/>
        </w:rPr>
        <w:t>™, our small molecule platform, utilizes deep understanding of neuronal excitability and neuronal networks and applies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of computational and experimental tools to develop orally available precision therapies</w:t>
      </w:r>
    </w:p>
    <w:p>
      <w:pPr>
        <w:spacing w:after="0" w:line="134" w:lineRule="exact"/>
        <w:rPr>
          <w:rFonts w:ascii="Arial" w:cs="Arial" w:eastAsia="Arial" w:hAnsi="Arial"/>
          <w:sz w:val="21"/>
          <w:szCs w:val="21"/>
          <w:color w:val="auto"/>
        </w:rPr>
      </w:pPr>
    </w:p>
    <w:p>
      <w:pPr>
        <w:ind w:left="640" w:right="520" w:hanging="320"/>
        <w:spacing w:after="0" w:line="300"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Solidus</w:t>
      </w:r>
      <w:r>
        <w:rPr>
          <w:rFonts w:ascii="Arial" w:cs="Arial" w:eastAsia="Arial" w:hAnsi="Arial"/>
          <w:sz w:val="17"/>
          <w:szCs w:val="17"/>
          <w:color w:val="auto"/>
        </w:rPr>
        <w:t>™, our antisense oligonucleotide, or ASO, platform, is an efficient, targeted precision medicine discovery and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 anchored on a proprietary, computational methodology</w:t>
      </w:r>
    </w:p>
    <w:p>
      <w:pPr>
        <w:spacing w:after="0" w:line="141"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Cerebrum</w:t>
      </w:r>
      <w:r>
        <w:rPr>
          <w:rFonts w:ascii="Arial" w:cs="Arial" w:eastAsia="Arial" w:hAnsi="Arial"/>
          <w:sz w:val="17"/>
          <w:szCs w:val="17"/>
          <w:color w:val="auto"/>
        </w:rPr>
        <w:t>™</w:t>
      </w:r>
      <w:r>
        <w:rPr>
          <w:rFonts w:ascii="Arial" w:cs="Arial" w:eastAsia="Arial" w:hAnsi="Arial"/>
          <w:sz w:val="17"/>
          <w:szCs w:val="17"/>
          <w:b w:val="1"/>
          <w:bCs w:val="1"/>
          <w:color w:val="auto"/>
        </w:rPr>
        <w:t xml:space="preserve"> (small molecule platform)</w:t>
      </w:r>
    </w:p>
    <w:p>
      <w:pPr>
        <w:spacing w:after="0" w:line="121" w:lineRule="exact"/>
        <w:rPr>
          <w:sz w:val="20"/>
          <w:szCs w:val="20"/>
          <w:color w:val="auto"/>
        </w:rPr>
      </w:pPr>
    </w:p>
    <w:p>
      <w:pPr>
        <w:ind w:right="120" w:firstLine="433"/>
        <w:spacing w:after="0" w:line="263" w:lineRule="auto"/>
        <w:rPr>
          <w:sz w:val="20"/>
          <w:szCs w:val="20"/>
          <w:color w:val="auto"/>
        </w:rPr>
      </w:pPr>
      <w:r>
        <w:rPr>
          <w:rFonts w:ascii="Arial" w:cs="Arial" w:eastAsia="Arial" w:hAnsi="Arial"/>
          <w:sz w:val="17"/>
          <w:szCs w:val="17"/>
          <w:color w:val="auto"/>
        </w:rPr>
        <w:t xml:space="preserve">We have built a platform, Cerebrum™, which is enabled by innovative computational and experimental tools, to discover and develop first-and best-in-class CNS small molecule therapies. Our world-class ion channel discovery science team, along with external collaborators, accelerate our ability to create and execute novel screening cascades for our selected genetic targets. Fundamental to advancement of candidates are our multiscale disease models that link genetic cause to network function to elucidate novel drivers of disease phenotype. We employ translational biomarkers such as </w:t>
      </w:r>
      <w:r>
        <w:rPr>
          <w:rFonts w:ascii="Arial" w:cs="Arial" w:eastAsia="Arial" w:hAnsi="Arial"/>
          <w:sz w:val="17"/>
          <w:szCs w:val="17"/>
          <w:color w:val="202124"/>
        </w:rPr>
        <w:t>quantitative electroencephalography</w:t>
      </w:r>
      <w:r>
        <w:rPr>
          <w:rFonts w:ascii="Arial" w:cs="Arial" w:eastAsia="Arial" w:hAnsi="Arial"/>
          <w:sz w:val="17"/>
          <w:szCs w:val="17"/>
          <w:color w:val="auto"/>
        </w:rPr>
        <w:t>, or qEEG, to guide dose selection, with the goal of improving probability of success in the clinic. The precision application of our candidates is guided by genomics and informatics to identify, stratify and activate patients for trial recruitment and execution. To date, Cerebrum™ has generated three clinical stage product candidates – ulixacaltamide (formerly known as PRAX-944), PRAX-562 and PRAX-628, and has the potential to continue delivering first- and best-in-class orally available therapies for genetic CNS targets.</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Solidus</w:t>
      </w:r>
      <w:r>
        <w:rPr>
          <w:rFonts w:ascii="Arial" w:cs="Arial" w:eastAsia="Arial" w:hAnsi="Arial"/>
          <w:sz w:val="17"/>
          <w:szCs w:val="17"/>
          <w:color w:val="auto"/>
        </w:rPr>
        <w:t>™</w:t>
      </w:r>
      <w:r>
        <w:rPr>
          <w:rFonts w:ascii="Arial" w:cs="Arial" w:eastAsia="Arial" w:hAnsi="Arial"/>
          <w:sz w:val="17"/>
          <w:szCs w:val="17"/>
          <w:b w:val="1"/>
          <w:bCs w:val="1"/>
          <w:color w:val="auto"/>
        </w:rPr>
        <w:t xml:space="preserve"> (ASO platform)</w:t>
      </w:r>
    </w:p>
    <w:p>
      <w:pPr>
        <w:spacing w:after="0" w:line="121"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We have built a platform, Solidus™, to discover and develop first- and best-in-class ASOs with high probability of advancement into the clinic. Solidus™ is enabled by our proprietary, computational workflow to discover ASOs with desired drug-like properties to optimize for up/down-regulation, avoidance of toxic motifs and optimization of binding affinity and specificity. Furthermore, we are collaborating with Cerebral Therapeutics on next-generation, intracerebroventricular, or ICV, CNS delivery technology for select disease targets that necessitate biodistribution to deeper brain areas such as the caudate, striatum and thalamic and subthalamic nucleii. We believe this will provide a gateway for the advancement of ASOs against targets where others have previously failed or not endeavored to advance. Led by our clinical-stage product candidate, PRAX-222, Solidus™ has also generated novel ASOs with preclinical proof of mechanism, including PRAX-080, for which we expect to nominate a development candidate for the treatment of PCDH19 in the second half of 2023, PRAX-090 and PRAX-100, and the platform is uniquely positioned to continue discovering and advancing new ASOs for novel genetic CNS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Below is a summary of 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169545</wp:posOffset>
            </wp:positionV>
            <wp:extent cx="5695950" cy="2431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5950" cy="243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*PRAX-020 (KCNT1) is a research collaboration with UCB Biopharma SRL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+PRAX-080 (PCDH19), PRAX-090 (SYNGAP1) &amp; PRAX-100 (SCN2A-LoF) ASOs are a collaboration with The Florey Institute of Neuroscience and Mental Health</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 &amp; Approach to Drug Development</w:t>
      </w:r>
    </w:p>
    <w:p>
      <w:pPr>
        <w:spacing w:after="0" w:line="121"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 xml:space="preserve">We leverage the genetics of epilepsy as a gateway for CNS drug discovery and development. Recent investigations have led to the identification of over 500 genes that are causal or risk factors for different forms of epilepsy, providing the field with an outsized understanding of epilepsy genetics relative to other diseases such as Alzheimer’s disease, </w:t>
      </w:r>
      <w:r>
        <w:rPr>
          <w:rFonts w:ascii="Arial" w:cs="Arial" w:eastAsia="Arial" w:hAnsi="Arial"/>
          <w:sz w:val="17"/>
          <w:szCs w:val="17"/>
          <w:color w:val="202124"/>
        </w:rPr>
        <w:t>amyotrophic lateral sclerosis, or</w:t>
      </w:r>
      <w:r>
        <w:rPr>
          <w:rFonts w:ascii="Arial" w:cs="Arial" w:eastAsia="Arial" w:hAnsi="Arial"/>
          <w:sz w:val="17"/>
          <w:szCs w:val="17"/>
          <w:color w:val="auto"/>
        </w:rPr>
        <w:t xml:space="preserve"> ALS, and many others. The genetic origin provides clarity around how to address the underlying disease biology and precisely meet the needs of patients not only suffering from epilepsy, but also other neurological disorders of neuronal imbalance with shared pathophysiological mechanisms informed by the same genetics, including movement disorders. It is through our two platforms, Cerebrum™ and Solidus™, that we aim to translate these insights into the discovery, development and potential commercialization of clinically meaningful medicines for patients.</w:t>
      </w:r>
    </w:p>
    <w:p>
      <w:pPr>
        <w:spacing w:after="0" w:line="173"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We believe that fostering an ecosystem of collaborators to support our internal research, clinical and commercial efforts is critical to our strategy. Our collaborators include world-renowned research groups and drug developers, clinical research organizations, or CROs, innovative patient mapping database companies, experts in translational tools, next-generation drug delivery technology companies and others. In addition, we are deeply embedded within the communities that we serve and believe that the more we know about the impact on patients, caregivers and communities at large, the better positioned we will be to deliver on what patients actually need.</w:t>
      </w:r>
    </w:p>
    <w:p>
      <w:pPr>
        <w:spacing w:after="0" w:line="167" w:lineRule="exact"/>
        <w:rPr>
          <w:sz w:val="20"/>
          <w:szCs w:val="20"/>
          <w:color w:val="auto"/>
        </w:rPr>
      </w:pPr>
    </w:p>
    <w:p>
      <w:pPr>
        <w:ind w:right="20" w:firstLine="393"/>
        <w:spacing w:after="0" w:line="300" w:lineRule="auto"/>
        <w:rPr>
          <w:sz w:val="20"/>
          <w:szCs w:val="20"/>
          <w:color w:val="auto"/>
        </w:rPr>
      </w:pPr>
      <w:r>
        <w:rPr>
          <w:rFonts w:ascii="Arial" w:cs="Arial" w:eastAsia="Arial" w:hAnsi="Arial"/>
          <w:sz w:val="17"/>
          <w:szCs w:val="17"/>
          <w:color w:val="auto"/>
        </w:rPr>
        <w:t>Underlying each of our programs are four key principles that we believe will increase probability of success and allow us to sustainably and efficiently translate insights into high-impact therapies for patients and society:</w:t>
      </w:r>
    </w:p>
    <w:p>
      <w:pPr>
        <w:spacing w:after="0" w:line="88" w:lineRule="exact"/>
        <w:rPr>
          <w:sz w:val="20"/>
          <w:szCs w:val="20"/>
          <w:color w:val="auto"/>
        </w:rPr>
      </w:pPr>
    </w:p>
    <w:p>
      <w:pPr>
        <w:jc w:val="both"/>
        <w:ind w:left="640" w:right="220" w:hanging="320"/>
        <w:spacing w:after="0" w:line="300" w:lineRule="auto"/>
        <w:tabs>
          <w:tab w:leader="none" w:pos="628"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Focus on therapeutic targets identified through human genetics. </w:t>
      </w:r>
      <w:r>
        <w:rPr>
          <w:rFonts w:ascii="Arial" w:cs="Arial" w:eastAsia="Arial" w:hAnsi="Arial"/>
          <w:sz w:val="17"/>
          <w:szCs w:val="17"/>
          <w:color w:val="auto"/>
        </w:rPr>
        <w:t>By applying insights derived from the genetics of epilepsies,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identified biological targets that are implicated in determining neuronal excitability in epilepsies and also in other CNS disorders.</w:t>
      </w:r>
    </w:p>
    <w:p>
      <w:pPr>
        <w:spacing w:after="0" w:line="88" w:lineRule="exact"/>
        <w:rPr>
          <w:rFonts w:ascii="Arial" w:cs="Arial" w:eastAsia="Arial" w:hAnsi="Arial"/>
          <w:sz w:val="17"/>
          <w:szCs w:val="17"/>
          <w:color w:val="auto"/>
        </w:rPr>
      </w:pPr>
    </w:p>
    <w:p>
      <w:pPr>
        <w:ind w:left="640" w:hanging="320"/>
        <w:spacing w:after="0" w:line="266" w:lineRule="auto"/>
        <w:tabs>
          <w:tab w:leader="none" w:pos="628"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Utilize translational tools to validate the potential of our targets and product candidates. </w:t>
      </w:r>
      <w:r>
        <w:rPr>
          <w:rFonts w:ascii="Arial" w:cs="Arial" w:eastAsia="Arial" w:hAnsi="Arial"/>
          <w:sz w:val="17"/>
          <w:szCs w:val="17"/>
          <w:color w:val="auto"/>
        </w:rPr>
        <w:t>We leverage translational tools to both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confirm pharmacodynamic effects of our drug product candidates in the brain and establish on-mechanism effects. Our programs utilize target-specific electroencephalogram, or EEG, endpoints to serve as robust markers of pharmacological engagement of the drug target and novel transgenic animal models to assess the therapeutic activity of our molecules. We expect these tools, along with rigorous preclinical pharmacokinetics, or PK, and pharmacodynamic characterization of our molecules will position us to more efficiently translate preclinical findings into clinical utility.</w:t>
      </w:r>
    </w:p>
    <w:p>
      <w:pPr>
        <w:spacing w:after="0" w:line="200" w:lineRule="exact"/>
        <w:rPr>
          <w:sz w:val="20"/>
          <w:szCs w:val="20"/>
          <w:color w:val="auto"/>
        </w:rPr>
      </w:pP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40" w:hanging="320"/>
        <w:spacing w:after="0" w:line="268" w:lineRule="auto"/>
        <w:tabs>
          <w:tab w:leader="none" w:pos="628"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Pursue efficient, rigorous clinical development paths to proof-of-concept in humans</w:t>
      </w:r>
      <w:r>
        <w:rPr>
          <w:rFonts w:ascii="Arial" w:cs="Arial" w:eastAsia="Arial" w:hAnsi="Arial"/>
          <w:sz w:val="17"/>
          <w:szCs w:val="17"/>
          <w:color w:val="auto"/>
        </w:rPr>
        <w:t>. Our development strategies are focused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defining efficient paths to demonstrate the safety and therapeutic activity of our programs in humans. We select indications that we believe will enable early and robust demonstration of desired effect in a relatively small patient sample and we focus on clinical endpoints that minimize inter-patient variability. Our global network of CROs and scientists affords us the flexibility to conduct research and development activities in diverse geographic locations to help accelerate development timelines and limit geographic risks.</w:t>
      </w:r>
    </w:p>
    <w:p>
      <w:pPr>
        <w:spacing w:after="0" w:line="115" w:lineRule="exact"/>
        <w:rPr>
          <w:rFonts w:ascii="Arial" w:cs="Arial" w:eastAsia="Arial" w:hAnsi="Arial"/>
          <w:sz w:val="17"/>
          <w:szCs w:val="17"/>
          <w:color w:val="auto"/>
        </w:rPr>
      </w:pPr>
    </w:p>
    <w:p>
      <w:pPr>
        <w:ind w:left="640" w:right="20" w:hanging="320"/>
        <w:spacing w:after="0" w:line="267" w:lineRule="auto"/>
        <w:tabs>
          <w:tab w:leader="none" w:pos="628"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Apply patient-guided development strategies. </w:t>
      </w:r>
      <w:r>
        <w:rPr>
          <w:rFonts w:ascii="Arial" w:cs="Arial" w:eastAsia="Arial" w:hAnsi="Arial"/>
          <w:sz w:val="17"/>
          <w:szCs w:val="17"/>
          <w:color w:val="auto"/>
        </w:rPr>
        <w:t>We pursue the development of candidates that address the treatment needs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patients, caregivers and the treating community, including targeting the underlying disease pathology versus just symptom management. We focus on clinical endpoints that offer a clear connection between pharmacodynamic effects and clinical measures that are meaningful to patients, physicians and regulatory agencies. We intend to develop therapies that provide patients long-term relief from their disorders and significantly reduce the overall burden to patients and caregivers. Our development strategies are tailored to demonstrate these benefits.</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CLINICAL STAGE PROGRAMS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advanced four product candidates to clinical stage, including three small molecules through the Cerebrum™ platform and one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ASO through the Solidus™ platform:</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Ulixacaltamide for Essential Tremor and Parkinson’s disease</w:t>
      </w:r>
    </w:p>
    <w:p>
      <w:pPr>
        <w:spacing w:after="0" w:line="121"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Our most advanced program, ulixacaltamide, is a differentiated and highly selective small molecule inhibitor of T-type calcium channels currently being studied for the treatment of Essential Tremor, or ET, in a Phase 2b study, and for the treatment of Parkinson’s disease, or PD, in a proof of concept, Phase 2 study. In ET, ulixacaltamide demonstrated positive results in a Phase 2a study (NCT05021978) in 2022 and the Phase 2b Essential1 study (NCT05021991) is ongoing, with topline results expected in the first quarter of 2023.</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Ulixacaltamide Phase 2b Essential1 study</w:t>
      </w:r>
    </w:p>
    <w:p>
      <w:pPr>
        <w:spacing w:after="0" w:line="119"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The Essential1 study is a multi-center, randomized, double-blind, placebo-controlled, dose-range finding Phase 2b clinical trial evaluating the efficacy, safety and tolerability of once-daily treatment of ulixacaltamide compared to placebo after 56 days in participants with moderate-to-severe ET. Approximately 130 participants have been randomized to receive one of two titrated, fixed-dose regimens for 56 days (60 or 100 mg) or placebo, administered orally every morning. The primary endpoint for Essential1 is change from baseline to Day 56 in the modified Activities of Daily Living, or mADL, score, the suggested efficacy endpoint for ET by the U.S. Food and Drug Administration, or the FDA. The mADL endpoint is a composite measure of tremor-related activities over the previous week that assesses the direct impact of ET on the lives of patients. The mADL endpoint is functionally relevant for people living with ET, representing a modified measure of the Essential Tremor Rating Assessment Scale, or TETRAS, ADL subscale with the addition of two items from the TETRAS performance section, or PS .</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Ulixacaltamide Phase 2 study for PD</w:t>
      </w:r>
    </w:p>
    <w:p>
      <w:pPr>
        <w:spacing w:after="0" w:line="11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plan to initiate a randomized, double-blind, placebo-controlled Phase 2 trial to evaluate the efficacy, safety and tolerability of once-daily treatment of up to 100 mg of ulixacaltamide as a non-dopaminergic treatment for the motor symptoms of PD in the first quarter of 2023. The primary endpoint will be change from baseline in the International Parkinson and Movement Disorder Society Unified Parkinson’s Disease Rating Scale, or UPDRS, Part III (motor examination) score in the OFF state. Topline results are expected in the fourth quarter of 2023.</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Essential Tremor</w:t>
      </w:r>
    </w:p>
    <w:p>
      <w:pPr>
        <w:spacing w:after="0" w:line="119"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ET is the most common movement disorder with a prevalence of approximately 7 million patients in the United States alone, including more than two million diagnosed patients, one million of whom are actively treated for their ET. ET is characterized by involuntary rhythmic movements in the upper limbs that significantly disrupt ability to function and are progressive in nature. There is only one approved pharmacotherapy for ET, a beta blocker (propranolol), approved by the FDA in 1967, that offers limited efficacy and poor tolerability and is contraindicated for comorbidities that affect a significant share of the ET population. Other CNS drugs are used off-label, though similarly are characterized by limited efficacy and poor tolerability. For these reasons, approximately 40% of patients who seek pharmacotherapy treatment discontinue within two years. As a last line therapy, a small subset of patients will opt for invasive procedures such as gamma knife and MRI guided focused ultrasound thalamotomy, where part</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 the thalamus involved in the cerebello-thalamo-cortical, or CTC, circuit is ablated, or deep brain stimulation, or DBS, where an electrode is implanted to deliver therapeutic electrical stimulation to the thalamus. While these procedures are generally effective, they are associated with significant side effects and risk. Therefore, many patients who are eligible elect not to have these procedures. In totality, there is significant unmet need for an effective and tolerable pharmacotherapy targeted for ET.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Parkinson’s Disease</w:t>
      </w:r>
    </w:p>
    <w:p>
      <w:pPr>
        <w:spacing w:after="0" w:line="119"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PD is the second most common movement disorder behind ET, with approximately one million diagnosed patients in the United States and 10 million patients worldwide. Roughly 60,000 patients are diagnosed with PD each year in the United States alone. PD is characterized by slow movement (bradykinesia), in combination with either rest tremor and/or rigidity. Symptoms progress over time in severity and eventually affect both sides of the body, often impairing ADLs such as dressing and eating. Non-motor symptoms, such as impaired smell, sleep disorders, gastrointestinal symptoms and psychiatric disorders like depression also play a pivotal role in the daily life of PD patients.</w:t>
      </w:r>
    </w:p>
    <w:p>
      <w:pPr>
        <w:spacing w:after="0" w:line="167" w:lineRule="exact"/>
        <w:rPr>
          <w:sz w:val="20"/>
          <w:szCs w:val="20"/>
          <w:color w:val="auto"/>
        </w:rPr>
      </w:pPr>
    </w:p>
    <w:p>
      <w:pPr>
        <w:ind w:right="40" w:firstLine="393"/>
        <w:spacing w:after="0" w:line="264" w:lineRule="auto"/>
        <w:rPr>
          <w:sz w:val="20"/>
          <w:szCs w:val="20"/>
          <w:color w:val="auto"/>
        </w:rPr>
      </w:pPr>
      <w:r>
        <w:rPr>
          <w:rFonts w:ascii="Arial" w:cs="Arial" w:eastAsia="Arial" w:hAnsi="Arial"/>
          <w:sz w:val="17"/>
          <w:szCs w:val="17"/>
          <w:color w:val="auto"/>
        </w:rPr>
        <w:t>The cornerstone of treatment for PD has been dopaminergic replacement therapy. L-dopa, or levodopa, a formulation of replacement dopamine, is considered the standard treatment of PD. Levodopa has been shown to be highly effective in improving symptoms of bradykinesia and rigidity, but has a variable impact on tremor. Other common PD medications mainly reduce dopamine metabolism or are dopamine receptor agonists. While chronic dopaminergic therapy is effective, it can result in distressing side effects of motor fluctuations (wearing off) and levodopa-induced dyskinesias, impulse control disorders and psychosis. These side effects are disabling and, at times, more severe and distressing than the PD symptoms themselves. Patients may also opt for a more invasive procedure to deliver continuous dopamine stimulation with levodopa-carbidopa enteral suspension to continuously control motor fluctuations and dyskinesias.</w:t>
      </w:r>
    </w:p>
    <w:p>
      <w:pPr>
        <w:spacing w:after="0" w:line="173"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DBS is typically reserved for those patients who respond to dopaminergic therapy, like levodopa, but have residual symptoms. Further, DBS carries significant risks associated with brain surgery, including intracerebral hemorrhage, infection, hemiparesis and cognitive decline. The prospect of neurosurgery in later years is often overwhelming or contraindicated (</w:t>
      </w:r>
      <w:r>
        <w:rPr>
          <w:rFonts w:ascii="Arial" w:cs="Arial" w:eastAsia="Arial" w:hAnsi="Arial"/>
          <w:sz w:val="17"/>
          <w:szCs w:val="17"/>
          <w:i w:val="1"/>
          <w:iCs w:val="1"/>
          <w:color w:val="auto"/>
        </w:rPr>
        <w:t>e.g.</w:t>
      </w:r>
      <w:r>
        <w:rPr>
          <w:rFonts w:ascii="Arial" w:cs="Arial" w:eastAsia="Arial" w:hAnsi="Arial"/>
          <w:sz w:val="17"/>
          <w:szCs w:val="17"/>
          <w:color w:val="auto"/>
        </w:rPr>
        <w:t>, due to presence of cognitive impairment), and many patients are not treated with DBS. Therefore, we believe there is significant unmet need for an effective and tolerable treatment for motor symptoms associated with PD.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PRAX-562 for rare, monogenic DEEs</w:t>
      </w:r>
    </w:p>
    <w:p>
      <w:pPr>
        <w:spacing w:after="0" w:line="121" w:lineRule="exact"/>
        <w:rPr>
          <w:sz w:val="20"/>
          <w:szCs w:val="20"/>
          <w:color w:val="auto"/>
        </w:rPr>
      </w:pPr>
    </w:p>
    <w:p>
      <w:pPr>
        <w:ind w:right="60" w:firstLine="393"/>
        <w:spacing w:after="0" w:line="266" w:lineRule="auto"/>
        <w:rPr>
          <w:sz w:val="20"/>
          <w:szCs w:val="20"/>
          <w:color w:val="auto"/>
        </w:rPr>
      </w:pPr>
      <w:r>
        <w:rPr>
          <w:rFonts w:ascii="Arial" w:cs="Arial" w:eastAsia="Arial" w:hAnsi="Arial"/>
          <w:sz w:val="17"/>
          <w:szCs w:val="17"/>
          <w:color w:val="auto"/>
        </w:rPr>
        <w:t>PRAX-562 is a first-in-class preferential inhibitor of persistent sodium current, presently in development for the treatment of rare developmental and epileptic encephalopathies, or DEEs. In-vivo studies of PRAX-562 have demonstrated dose-dependent block of seizures up to complete inhibition of seizure activity in SCN2A, SCN8A and other DEE mouse models. PRAX-562 has been generally well-tolerated in three Phase 1 studies and has demonstrated biomarker changes indicative of voltage-gated sodium channel, or NaV channel, blocking effects. PRAX-562 has received Orphan Drug Designation, or ODD, and Rare Pediatric Disease Designation, or RPD, from the FDA, and ODD from the European Medicines Agency, or EMA, for the treatment of SCN2A-DEE and SCN8A-DEE,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PRAX-562 Phase 2 EMBOLD study</w:t>
      </w:r>
    </w:p>
    <w:p>
      <w:pPr>
        <w:spacing w:after="0" w:line="119"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In November 2022, we announced plans to initiate the PRAX-562 Phase 2 EMBOLD study for the treatment of pediatric patients with DEEs, following FDA authorization to proceed with the study as we proposed, up to the planned maximum dose of 1.0 mg/kg/day. The study is expected to initiate in the first quarter of 2023, with two cohorts in early-onset SCN2A-DEE and SCN8A-DEE patients. The EMBOLD study is a randomized, double-blind, placebo-controlled Phase 2 clinical trial to evaluate the safety, tolerability, efficacy (motor seizure frequency) and PK of PRAX-562 in pediatric participants aged 2 to 18 years with DEEs, followed by an open-label extension. Approximately 20 participants will be enrolled initially in two distinct cohorts (n≈10 for SCN2A-DEE and n≈10 for SCN8A-DEE). Topline results for both cohorts are expected in the second half of 2023.</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Rare, monogenic DEEs</w:t>
      </w:r>
    </w:p>
    <w:p>
      <w:pPr>
        <w:spacing w:after="0" w:line="119" w:lineRule="exact"/>
        <w:rPr>
          <w:sz w:val="20"/>
          <w:szCs w:val="20"/>
          <w:color w:val="auto"/>
        </w:rPr>
      </w:pPr>
    </w:p>
    <w:p>
      <w:pPr>
        <w:jc w:val="both"/>
        <w:ind w:right="240" w:firstLine="393"/>
        <w:spacing w:after="0" w:line="271" w:lineRule="auto"/>
        <w:rPr>
          <w:sz w:val="20"/>
          <w:szCs w:val="20"/>
          <w:color w:val="auto"/>
        </w:rPr>
      </w:pPr>
      <w:r>
        <w:rPr>
          <w:rFonts w:ascii="Arial" w:cs="Arial" w:eastAsia="Arial" w:hAnsi="Arial"/>
          <w:sz w:val="17"/>
          <w:szCs w:val="17"/>
          <w:color w:val="auto"/>
        </w:rPr>
        <w:t>Epilepsies are common neurological disorders characterized by brain excitation-inhibition, or E/I, imbalance. Hyperexcitability can lead to abnormal synchronization of neurons and neuronal circuits, which is the electrical basis of a seizure. Fundamentals of brain electrophysiology and mechanisms dictating seizure genesis are conserved across species and, consequently, animal models of seizures and epilepsy enable a clinically predictive and</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therefore efficient drug development path. A subset of epilepsies are rare, monogenic DEEs characterized by early onset (less than 2 years of age), frequent seizures, abnormal epileptiform EEG activity, developmental impairment and resistance to available antiepileptic drugs, or AEDs. Furthermore, these DEEs are associated with a high mortality rate and comorbidities such as developmental delay in addition to behavioral disorders, movement disorders, pain and sensory dysfunction and sleep disruptions. The understanding of the etiology of DEEs has been revolutionized by recent whole-exome sequencing initiatives that revealed over 60 genetic causes of epilepsy.</w:t>
      </w:r>
    </w:p>
    <w:p>
      <w:pPr>
        <w:spacing w:after="0" w:line="167" w:lineRule="exact"/>
        <w:rPr>
          <w:sz w:val="20"/>
          <w:szCs w:val="20"/>
          <w:color w:val="auto"/>
        </w:rPr>
      </w:pPr>
    </w:p>
    <w:p>
      <w:pPr>
        <w:ind w:right="160" w:firstLine="393"/>
        <w:spacing w:after="0" w:line="264" w:lineRule="auto"/>
        <w:rPr>
          <w:sz w:val="20"/>
          <w:szCs w:val="20"/>
          <w:color w:val="auto"/>
        </w:rPr>
      </w:pPr>
      <w:r>
        <w:rPr>
          <w:rFonts w:ascii="Arial" w:cs="Arial" w:eastAsia="Arial" w:hAnsi="Arial"/>
          <w:sz w:val="17"/>
          <w:szCs w:val="17"/>
          <w:color w:val="auto"/>
        </w:rPr>
        <w:t>An underlying pathologic feature of many DEEs is dysregulated neuronal activity leading to hyperexcitability, seizures and associated comorbidities. This phenomenon is observed in many pediatric DEEs with an identified genetic cause, such as PCDH19, SCN8A, SCN2A, KCNT1, KCNQ2, KCNQ1, STXBP1 and SYNGAP1, as well as epilepsies in which a genetic cause remains unclear, such as Lennox Gastaut Syndrome, or Doose Syndrome. Up to 40% of DEEs are caused by single gene mutations, enabling precision medicine approaches. Given the overlapping biology, phenotypic presentation and clinical execution considerations, we believe that developing a portfolio of drugs to treat DEEs will create a distinct body of knowledge that can be leveraged within our operating ecosystem to develop meaningful therapies for this group of patients with devastating unmet clinical needs.</w:t>
      </w:r>
    </w:p>
    <w:p>
      <w:pPr>
        <w:spacing w:after="0" w:line="173" w:lineRule="exact"/>
        <w:rPr>
          <w:sz w:val="20"/>
          <w:szCs w:val="20"/>
          <w:color w:val="auto"/>
        </w:rPr>
      </w:pPr>
    </w:p>
    <w:p>
      <w:pPr>
        <w:ind w:right="40" w:firstLine="393"/>
        <w:spacing w:after="0" w:line="266" w:lineRule="auto"/>
        <w:rPr>
          <w:sz w:val="20"/>
          <w:szCs w:val="20"/>
          <w:color w:val="auto"/>
        </w:rPr>
      </w:pPr>
      <w:r>
        <w:rPr>
          <w:rFonts w:ascii="Arial" w:cs="Arial" w:eastAsia="Arial" w:hAnsi="Arial"/>
          <w:sz w:val="17"/>
          <w:szCs w:val="17"/>
          <w:color w:val="auto"/>
        </w:rPr>
        <w:t>Standard-of-care sodium channel blockers modulate neuronal activity by targeting peak sodium current, which can reverse the pathological neuronal hyperexcitability that underlies many CNS conditions, but simultaneously affects the physiological cellular action potential firing required for a functioning nervous and cardiovascular system. While standard-of-care sodium channel blockers inhibit persistent sodium current, they also block peak sodium current at therapeutic concentrations, which can cause significant adverse events, or AEs, such as ataxia, drowsiness and dizziness, and therefore have a very narrow Therapeutic Index, or TI, resulting in subpar outcomes for patients and significant need for better therapeutic options.</w:t>
      </w:r>
    </w:p>
    <w:p>
      <w:pPr>
        <w:spacing w:after="0" w:line="169" w:lineRule="exact"/>
        <w:rPr>
          <w:sz w:val="20"/>
          <w:szCs w:val="20"/>
          <w:color w:val="auto"/>
        </w:rPr>
      </w:pPr>
    </w:p>
    <w:p>
      <w:pPr>
        <w:ind w:right="60" w:firstLine="393"/>
        <w:spacing w:after="0" w:line="300" w:lineRule="auto"/>
        <w:rPr>
          <w:sz w:val="20"/>
          <w:szCs w:val="20"/>
          <w:color w:val="auto"/>
        </w:rPr>
      </w:pPr>
      <w:r>
        <w:rPr>
          <w:rFonts w:ascii="Arial" w:cs="Arial" w:eastAsia="Arial" w:hAnsi="Arial"/>
          <w:sz w:val="17"/>
          <w:szCs w:val="17"/>
          <w:color w:val="auto"/>
        </w:rPr>
        <w:t>We believe that there is a significant medical unmet need in DEEs, coupled with an untapped and significant market opportunity for targeted drugs.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SCN2A-DEE</w:t>
      </w:r>
    </w:p>
    <w:p>
      <w:pPr>
        <w:spacing w:after="0" w:line="119"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Early onset SCN2A-DEE is a rare condition caused by a gain-of-function, or GoF, variant in the SCN2A gene. The SCN2A gene encodes the NaV1.2 subunit of brain sodium channels, which control neuronal excitability by regulating the flow of sodium ions into neurons. This movement of sodium ions is a major component of generating electrical signals called action potentials, the way in which the cells communicate. Early-onset SCN2A-DEE presents before three months of life and can lead to profound impact on patients, including drug-resistant seizures, significant cognitive impairment, movement disorders such as dystonia or ataxia, and problems in other body systems such as the gastrointestinal or ocular systems. Currently, there are no approved treatments for SCN2A-DEE, and the standard-of-care typically involves a regimen of many concurrent anti-seizure medications as well as medications for comorbidities. Despite these interventions, it is estimated that more than 80% of early-onset SCN2A-DEE patients live with uncontrolled seizures, and approximately 75% live with severe intellectual disability. It is estimated that there are at least 1,500 patients in the United States with GoF changes in SCN2A leading to epileptic encephalopathy.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SCN8A-DEE</w:t>
      </w:r>
    </w:p>
    <w:p>
      <w:pPr>
        <w:spacing w:after="0" w:line="119" w:lineRule="exact"/>
        <w:rPr>
          <w:sz w:val="20"/>
          <w:szCs w:val="20"/>
          <w:color w:val="auto"/>
        </w:rPr>
      </w:pPr>
    </w:p>
    <w:p>
      <w:pPr>
        <w:ind w:right="160" w:firstLine="393"/>
        <w:spacing w:after="0" w:line="266" w:lineRule="auto"/>
        <w:rPr>
          <w:sz w:val="20"/>
          <w:szCs w:val="20"/>
          <w:color w:val="auto"/>
        </w:rPr>
      </w:pPr>
      <w:r>
        <w:rPr>
          <w:rFonts w:ascii="Arial" w:cs="Arial" w:eastAsia="Arial" w:hAnsi="Arial"/>
          <w:sz w:val="17"/>
          <w:szCs w:val="17"/>
          <w:color w:val="auto"/>
        </w:rPr>
        <w:t>SCN8A-DEE is a rare DEE caused by a gain-of-function variant in the SCN8A gene. Similar to SCN2A-DEE, patients with SCN8A-DEE suffer from recurrent, typically drug-resistant seizures, which start as early as the first day of life. The seizures can be of multiple different types, up to dozens per day, with poor response to current treatment options. Patients with SCN8A-DEE have significant cognitive disabilities, ranging from moderate to severe, often have movement disorders, such as dystonia or ataxia, and have problems in other body systems such as the gastrointestinal or ocular systems. SCN8A-DEE patients also may experience autonomic features such as increases or decreases in heart rate, abnormal breathing and cyanosis. It is estimated that there are at least 1,000 patients in the United States with SCN8A-DEE.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PRAX-222 for SCN2A-DEE</w:t>
      </w:r>
    </w:p>
    <w:p>
      <w:pPr>
        <w:spacing w:after="0" w:line="121" w:lineRule="exact"/>
        <w:rPr>
          <w:sz w:val="20"/>
          <w:szCs w:val="20"/>
          <w:color w:val="auto"/>
        </w:rPr>
      </w:pPr>
    </w:p>
    <w:p>
      <w:pPr>
        <w:ind w:firstLine="393"/>
        <w:spacing w:after="0" w:line="271" w:lineRule="auto"/>
        <w:rPr>
          <w:sz w:val="20"/>
          <w:szCs w:val="20"/>
          <w:color w:val="auto"/>
        </w:rPr>
      </w:pPr>
      <w:r>
        <w:rPr>
          <w:rFonts w:ascii="Arial" w:cs="Arial" w:eastAsia="Arial" w:hAnsi="Arial"/>
          <w:sz w:val="17"/>
          <w:szCs w:val="17"/>
          <w:color w:val="auto"/>
        </w:rPr>
        <w:t>PRAX-222 is a clinical-stage ASO designed to down-regulate Na</w:t>
      </w:r>
      <w:r>
        <w:rPr>
          <w:rFonts w:ascii="Arial" w:cs="Arial" w:eastAsia="Arial" w:hAnsi="Arial"/>
          <w:sz w:val="15"/>
          <w:szCs w:val="15"/>
          <w:color w:val="auto"/>
        </w:rPr>
        <w:t>V</w:t>
      </w:r>
      <w:r>
        <w:rPr>
          <w:rFonts w:ascii="Arial" w:cs="Arial" w:eastAsia="Arial" w:hAnsi="Arial"/>
          <w:sz w:val="17"/>
          <w:szCs w:val="17"/>
          <w:color w:val="auto"/>
        </w:rPr>
        <w:t>1.2 expression, an effect that has demonstrated disease-modifying activity in animal models of SCN2A epileptic encephalopathy. In transgenic mice carrying a human SCN2A GoF mutation, we observed a significant, dose-dependent reduction in seizures and increased survival of mice treated with a mouse ASO that is designed to down-regulate SCN2A. The survival benefit from the ASO was maintained with repeat dosing. We also observed survival benefits following administration of a</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mouse ASO to a group of mice after onset of disease and around the time of onset of mortality. PRAX-222 has received ODD and RPD from the FDA, and ODD from the EMA for the treatment of SCN2A-DEE.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PRAX-222 EMBRAVE study</w:t>
      </w:r>
    </w:p>
    <w:p>
      <w:pPr>
        <w:spacing w:after="0" w:line="119" w:lineRule="exact"/>
        <w:rPr>
          <w:sz w:val="20"/>
          <w:szCs w:val="20"/>
          <w:color w:val="auto"/>
        </w:rPr>
      </w:pPr>
    </w:p>
    <w:p>
      <w:pPr>
        <w:jc w:val="both"/>
        <w:ind w:right="140" w:firstLine="393"/>
        <w:spacing w:after="0" w:line="266" w:lineRule="auto"/>
        <w:rPr>
          <w:sz w:val="20"/>
          <w:szCs w:val="20"/>
          <w:color w:val="auto"/>
        </w:rPr>
      </w:pPr>
      <w:r>
        <w:rPr>
          <w:rFonts w:ascii="Arial" w:cs="Arial" w:eastAsia="Arial" w:hAnsi="Arial"/>
          <w:sz w:val="17"/>
          <w:szCs w:val="17"/>
          <w:color w:val="auto"/>
        </w:rPr>
        <w:t>In September 2022, we announced plans to initiate the PRAX-222 EMBRAVE study for the treatment of pediatric patients with early-onset SCN2A-DEE, after the FDA allowed us to proceed under an Investigational New Drug, or IND, application for the initial dose cohort, or Part 1 of the study. Following collection of the safety and efficacy data from Part 1, the data will be evaluated and submitted to the FDA to support further dose escalation. Part 1 of the EMBRAVE study is a 21-week open label cohort, in which participants will receive PRAX-222 for up to 13 weeks, designed to determine the safety and tolerability of intrathecal delivery of PRAX-222. We expect topline results from the first dose cohort of the PRAX-222 EMBRAVE study in mid-2023.</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PRAX-628 for Focal Epilepsy</w:t>
      </w:r>
    </w:p>
    <w:p>
      <w:pPr>
        <w:spacing w:after="0" w:line="121" w:lineRule="exact"/>
        <w:rPr>
          <w:sz w:val="20"/>
          <w:szCs w:val="20"/>
          <w:color w:val="auto"/>
        </w:rPr>
      </w:pPr>
    </w:p>
    <w:p>
      <w:pPr>
        <w:ind w:right="160" w:firstLine="393"/>
        <w:spacing w:after="0" w:line="278" w:lineRule="auto"/>
        <w:rPr>
          <w:sz w:val="20"/>
          <w:szCs w:val="20"/>
          <w:color w:val="auto"/>
        </w:rPr>
      </w:pPr>
      <w:r>
        <w:rPr>
          <w:rFonts w:ascii="Arial" w:cs="Arial" w:eastAsia="Arial" w:hAnsi="Arial"/>
          <w:sz w:val="17"/>
          <w:szCs w:val="17"/>
          <w:color w:val="auto"/>
        </w:rPr>
        <w:t>PRAX-628 is a potential best-in-class sodium channel blocker designed with enhanced targeting of both the persistent sodium current and disease-state dependent peak sodium current hyperexcitability, being developed for the treatment of focal epilepsy. In vivo studies have demonstrated best-in-class potency across preclinical disease models that have shown strong historical translation to the clinic.</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PRAX-628 Phase 1 first-in-human study</w:t>
      </w:r>
    </w:p>
    <w:p>
      <w:pPr>
        <w:spacing w:after="0" w:line="119" w:lineRule="exact"/>
        <w:rPr>
          <w:sz w:val="20"/>
          <w:szCs w:val="20"/>
          <w:color w:val="auto"/>
        </w:rPr>
      </w:pPr>
    </w:p>
    <w:p>
      <w:pPr>
        <w:ind w:firstLine="393"/>
        <w:spacing w:after="0" w:line="278" w:lineRule="auto"/>
        <w:rPr>
          <w:sz w:val="20"/>
          <w:szCs w:val="20"/>
          <w:color w:val="auto"/>
        </w:rPr>
      </w:pPr>
      <w:r>
        <w:rPr>
          <w:rFonts w:ascii="Arial" w:cs="Arial" w:eastAsia="Arial" w:hAnsi="Arial"/>
          <w:sz w:val="17"/>
          <w:szCs w:val="17"/>
          <w:color w:val="auto"/>
        </w:rPr>
        <w:t>We initiated a Phase 1 healthy volunteer study of PRAX-628 in the fourth quarter of 2022 to evaluate the tolerability, PK, pharmacodynamics and food effect of PRAX-628 across single and multiple ascending dose cohorts. We expect to report topline results from the Phase 1 study in mid-2023 and subsequently initiate a Phase 2 study in focal epilepsy in the fourth quarter of 2023.</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Focal Epilepsy</w:t>
      </w:r>
    </w:p>
    <w:p>
      <w:pPr>
        <w:spacing w:after="0" w:line="119" w:lineRule="exact"/>
        <w:rPr>
          <w:sz w:val="20"/>
          <w:szCs w:val="20"/>
          <w:color w:val="auto"/>
        </w:rPr>
      </w:pPr>
    </w:p>
    <w:p>
      <w:pPr>
        <w:ind w:right="300" w:firstLine="393"/>
        <w:spacing w:after="0" w:line="268" w:lineRule="auto"/>
        <w:rPr>
          <w:sz w:val="20"/>
          <w:szCs w:val="20"/>
          <w:color w:val="auto"/>
        </w:rPr>
      </w:pPr>
      <w:r>
        <w:rPr>
          <w:rFonts w:ascii="Arial" w:cs="Arial" w:eastAsia="Arial" w:hAnsi="Arial"/>
          <w:sz w:val="17"/>
          <w:szCs w:val="17"/>
          <w:color w:val="auto"/>
        </w:rPr>
        <w:t>Focal epilepsy is the most common type of epilepsy, accounting for approximately 60% of all cases. In the United States alone, it is estimated that focal epilepsy affects approximately two million people. Focal epilepsy is characterized by seizures that originate in one side or area of the brain and affects one side of the body. Focal epilepsy patients are treated with sodium channel targeting AEDs, such as Tegretol (carbamazepine), Lamictal (lamotrigine), Xcopri (cenobamate) and many others. However, despite the plethora of marketed treatments, up to 30% of patients remain refractory to treatment.</w:t>
      </w:r>
    </w:p>
    <w:p>
      <w:pPr>
        <w:spacing w:after="0" w:line="167" w:lineRule="exact"/>
        <w:rPr>
          <w:sz w:val="20"/>
          <w:szCs w:val="20"/>
          <w:color w:val="auto"/>
        </w:rPr>
      </w:pPr>
    </w:p>
    <w:p>
      <w:pPr>
        <w:ind w:right="60" w:firstLine="393"/>
        <w:spacing w:after="0" w:line="271" w:lineRule="auto"/>
        <w:rPr>
          <w:sz w:val="20"/>
          <w:szCs w:val="20"/>
          <w:color w:val="auto"/>
        </w:rPr>
      </w:pPr>
      <w:r>
        <w:rPr>
          <w:rFonts w:ascii="Arial" w:cs="Arial" w:eastAsia="Arial" w:hAnsi="Arial"/>
          <w:sz w:val="17"/>
          <w:szCs w:val="17"/>
          <w:color w:val="auto"/>
        </w:rPr>
        <w:t>There are two forms of therapeutically relevant sodium current: (1) persistent sodium current and (2) peak sodium current. Standard of care sodium channel targeting AEDs can produce severe toxicity at therapeutic doses from excessive inhibition of peak sodium current, as physiological levels of peak sodium current are required for normal neuronal function. Therefore, novel compounds that inhibit persistent and peak sodium channel hyperexcitability while sparing physiological levels of peak sodium current may improve clinical efficacy and tolerability.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1"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The biopharmaceutical industry is characterized by rapidly advancing technologies, strong competition and an emphasis on proprietary products. While we believe that our technology, knowledge, experience and scientific personnel provide us with competitive advantages, we face substantial competition from many different sources, including large and small pharmaceutical and biotechnology companies, academic research institutions, governmental agencies and public and private institutions.</w:t>
      </w:r>
    </w:p>
    <w:p>
      <w:pPr>
        <w:spacing w:after="0" w:line="166"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Any product candidates that we successfully develop and commercialize will compete with currently approved therapies and new therapies that may become available in the future. Key product features that would affect our ability to effectively compete with other therapeutics include the efficacy, safety, convenience, cost, effectiveness of promotional support and intellectual property protection of our products. Our competitors fall primarily into the following groups of treatment:</w:t>
      </w:r>
    </w:p>
    <w:p>
      <w:pPr>
        <w:spacing w:after="0" w:line="114" w:lineRule="exact"/>
        <w:rPr>
          <w:sz w:val="20"/>
          <w:szCs w:val="20"/>
          <w:color w:val="auto"/>
        </w:rPr>
      </w:pPr>
    </w:p>
    <w:p>
      <w:pPr>
        <w:ind w:left="800" w:right="400" w:hanging="323"/>
        <w:spacing w:after="0" w:line="278" w:lineRule="auto"/>
        <w:tabs>
          <w:tab w:leader="none" w:pos="795" w:val="left"/>
        </w:tabs>
        <w:numPr>
          <w:ilvl w:val="0"/>
          <w:numId w:val="8"/>
        </w:numPr>
        <w:rPr>
          <w:rFonts w:ascii="Arial" w:cs="Arial" w:eastAsia="Arial" w:hAnsi="Arial"/>
          <w:sz w:val="17"/>
          <w:szCs w:val="17"/>
          <w:color w:val="auto"/>
        </w:rPr>
      </w:pPr>
      <w:r>
        <w:rPr>
          <w:rFonts w:ascii="Arial" w:cs="Arial" w:eastAsia="Arial" w:hAnsi="Arial"/>
          <w:sz w:val="17"/>
          <w:szCs w:val="17"/>
          <w:color w:val="auto"/>
        </w:rPr>
        <w:t>T-type calcium channel inhibitor programs in development targeting ET, including that of Jazz Pharmaceuticals, as well as other programs in clinical development targeting other mechanisms of action and approved therapies, such as propranolol, and off-label therapies, such as primidone.</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00" w:right="420" w:hanging="323"/>
        <w:spacing w:after="0" w:line="278" w:lineRule="auto"/>
        <w:tabs>
          <w:tab w:leader="none" w:pos="795" w:val="left"/>
        </w:tabs>
        <w:numPr>
          <w:ilvl w:val="0"/>
          <w:numId w:val="9"/>
        </w:numPr>
        <w:rPr>
          <w:rFonts w:ascii="Arial" w:cs="Arial" w:eastAsia="Arial" w:hAnsi="Arial"/>
          <w:sz w:val="17"/>
          <w:szCs w:val="17"/>
          <w:color w:val="auto"/>
        </w:rPr>
      </w:pPr>
      <w:r>
        <w:rPr>
          <w:rFonts w:ascii="Arial" w:cs="Arial" w:eastAsia="Arial" w:hAnsi="Arial"/>
          <w:sz w:val="17"/>
          <w:szCs w:val="17"/>
          <w:color w:val="auto"/>
        </w:rPr>
        <w:t>Sodium channel blocker or similar programs in development for DEEs, including those of SK-Pharma, Xenon Pharmaceuticals, Neurocrine Biosciences and Stoke Therapeutics, as well as other programs in clinical development targeting other mechanisms of action and approved therapies including other existing ion channel blockers.</w:t>
      </w:r>
    </w:p>
    <w:p>
      <w:pPr>
        <w:spacing w:after="0" w:line="160" w:lineRule="exact"/>
        <w:rPr>
          <w:sz w:val="20"/>
          <w:szCs w:val="20"/>
          <w:color w:val="auto"/>
        </w:rPr>
      </w:pPr>
    </w:p>
    <w:p>
      <w:pPr>
        <w:jc w:val="both"/>
        <w:ind w:right="620" w:firstLine="433"/>
        <w:spacing w:after="0" w:line="278" w:lineRule="auto"/>
        <w:rPr>
          <w:sz w:val="20"/>
          <w:szCs w:val="20"/>
          <w:color w:val="auto"/>
        </w:rPr>
      </w:pPr>
      <w:r>
        <w:rPr>
          <w:rFonts w:ascii="Arial" w:cs="Arial" w:eastAsia="Arial" w:hAnsi="Arial"/>
          <w:sz w:val="17"/>
          <w:szCs w:val="17"/>
          <w:color w:val="auto"/>
        </w:rPr>
        <w:t>Many of our competitors have substantially greater financial resources, expertise and capabilities in research and development, the regulatory approval process, manufacturing and marketing than we do. Smaller or early-stage companies may also prove to be significant competitors, particularly through merger and acquisition activity and sizeable collaborative arrangements with established companies.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1" w:lineRule="exact"/>
        <w:rPr>
          <w:sz w:val="20"/>
          <w:szCs w:val="20"/>
          <w:color w:val="auto"/>
        </w:rPr>
      </w:pPr>
    </w:p>
    <w:p>
      <w:pPr>
        <w:ind w:right="200" w:firstLine="433"/>
        <w:spacing w:after="0" w:line="266"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may also rely on trademarks, copyrights and trade secrets relating to our proprietary technology platform and on know-how, continuing technological innovation and in-licensing opportunities to develop, strengthen and maintain our proprietary position in the field of neuroscience that may be important for the development of our business. We additionally may rely on regulatory and other protections afforded through data exclusivity, market exclusivity and patent term extensions, where available.</w:t>
      </w:r>
    </w:p>
    <w:p>
      <w:pPr>
        <w:spacing w:after="0" w:line="16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Patent expiration dates noted in the following paragraphs refer to statutory expiration dates and do not take into account any potential patent term adjustment or extension that may be available. Depending upon the timing, duration and specifics of FDA approval of our drug product candidates, some of our United States, or U.S., patents may be eligible for limited patent term extension. These patent term extensions permit a patent restoration term of up to five years as compensation for any patent term lost during product development and the FDA regulatory review process. However, patent term restoration cannot extend the remaining term of a patent beyond a total of 14 years from the drug product’s approval date. The patent term restoration period is generally one-half the time between the effective date of an IND and the submission date of a New Drug Application, or NDA, plus the time between the submission date of an NDA and the approval of that application. Only one patent applicable to an approved drug is eligible for the extension and the extension must be applied for prior to expiration of the patent. The United States Patent and Trademark Office, or the USPTO, in consultation with the FDA, reviews and approves the application for any patent term extension or restoration.</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T-type Calcium channel blockers</w:t>
      </w:r>
    </w:p>
    <w:p>
      <w:pPr>
        <w:spacing w:after="0" w:line="121"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We own six patent families directed to T-type Calcium channel blockers. One patent family discloses and claims compositions of matter of certain T-type calcium channel modulators, including ulixacaltamide. This patent family has issued in many major pharmaceutical markets and is pending in others and expires in 2029. A second family is directed to methods of use of certain T-type calcium channel modulators, including ulixacaltamide, in treating disease such as epilepsy. This patent family is pending in the United States and expires in 2037. A third patent family is directed to certain pharmaceutical formulations of ulixacaltamide and methods of use in treating disorders such as essential tremor. This patent family is pending in multiple jurisdictions of potential commercial interest and expires in 2040. A fourth family is directed to titration methods of using ulixacaltamide and expires in 2041. A fifth patent family is directed to certain analog compounds of ulixacaltamide and expires in 2040. The sixth patent family is directed to the adjunctive use of a beta blocker and/or certain anticonvulsants with ulixacaltamide and expires in 2043.</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Persistent sodium current blockers</w:t>
      </w:r>
    </w:p>
    <w:p>
      <w:pPr>
        <w:spacing w:after="0" w:line="121"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We own fifteen patent families directed to persistent sodium current blockers, including a patent family that relates to PRAX-562 and PRAX-628, two additional patent families that relate to PRAX-562 program, and the remaining patent families related to other persistent sodium current blockers. One patent family discloses and claims certain persistent sodium current blockers, including PRAX-562 and PRAX-628, and methods of use in treating diseases such as epilepsy (including pediatric epilepsy), as well as migraine and pain. In this patent family, PRAX-562 is covered by a patent that has granted in the United States (U.S. 11,014,931), and patent applications pending in other potentially commercially relevant jurisdictions, which expire in 2039. A second family discloses other persistent sodium current blockers and generically claims PRAX-562, as well as methods of treating diseases such as pediatric epilepsy. This patent family is pending in multiple jurisdictions and expires in 2037. A third family is directed to pharmaceutical formulations of PRAX-562, methods of use in treating diseases such as pediatric</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200"/>
        <w:spacing w:after="0" w:line="271" w:lineRule="auto"/>
        <w:rPr>
          <w:sz w:val="20"/>
          <w:szCs w:val="20"/>
          <w:color w:val="auto"/>
        </w:rPr>
      </w:pPr>
      <w:r>
        <w:rPr>
          <w:rFonts w:ascii="Arial" w:cs="Arial" w:eastAsia="Arial" w:hAnsi="Arial"/>
          <w:sz w:val="17"/>
          <w:szCs w:val="17"/>
          <w:color w:val="auto"/>
        </w:rPr>
        <w:t>epilepsy, cephalgia, short-lasting unilateral neuralgiform headache attacks with conjunctival injection, or SUNCT, and tearing and short-lasting unilateral neuralgiform headache attacks with cranial autonomic symptoms, or SUNA, and methods of making PRAX-562, and expires in 2040. The remaining patent families are directed to other persistent sodium current blockers of various core structures and methods of use in treating diseases such as pediatric epilepsy, expiring between 2037 and 2043.</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SCN2A downregulation</w:t>
      </w:r>
    </w:p>
    <w:p>
      <w:pPr>
        <w:spacing w:after="0" w:line="121" w:lineRule="exact"/>
        <w:rPr>
          <w:sz w:val="20"/>
          <w:szCs w:val="20"/>
          <w:color w:val="auto"/>
        </w:rPr>
      </w:pPr>
    </w:p>
    <w:p>
      <w:pPr>
        <w:jc w:val="both"/>
        <w:ind w:right="120" w:firstLine="433"/>
        <w:spacing w:after="0" w:line="271" w:lineRule="auto"/>
        <w:rPr>
          <w:sz w:val="20"/>
          <w:szCs w:val="20"/>
          <w:color w:val="auto"/>
        </w:rPr>
      </w:pPr>
      <w:r>
        <w:rPr>
          <w:rFonts w:ascii="Arial" w:cs="Arial" w:eastAsia="Arial" w:hAnsi="Arial"/>
          <w:sz w:val="17"/>
          <w:szCs w:val="17"/>
          <w:color w:val="auto"/>
        </w:rPr>
        <w:t>We have exclusively in-licensed three patent families directed to our SCN2A program. Two of these patent families are owned by RogCon, Inc., and disclose and claim certain ASOs targeting SCN2A and methods of use in treating diseases such as epilepsy, including epilepsy having certain SCN2A mutations. One patent family is pending in the United States and expires in 2038. A second patent family is directed to methods of treating SCN1A encephalopathy using ASOs targeting SCN2A and expires in 2039.</w:t>
      </w:r>
    </w:p>
    <w:p>
      <w:pPr>
        <w:spacing w:after="0" w:line="166" w:lineRule="exact"/>
        <w:rPr>
          <w:sz w:val="20"/>
          <w:szCs w:val="20"/>
          <w:color w:val="auto"/>
        </w:rPr>
      </w:pPr>
    </w:p>
    <w:p>
      <w:pPr>
        <w:ind w:right="300" w:firstLine="433"/>
        <w:spacing w:after="0" w:line="300" w:lineRule="auto"/>
        <w:rPr>
          <w:sz w:val="20"/>
          <w:szCs w:val="20"/>
          <w:color w:val="auto"/>
        </w:rPr>
      </w:pPr>
      <w:r>
        <w:rPr>
          <w:rFonts w:ascii="Arial" w:cs="Arial" w:eastAsia="Arial" w:hAnsi="Arial"/>
          <w:sz w:val="17"/>
          <w:szCs w:val="17"/>
          <w:color w:val="auto"/>
        </w:rPr>
        <w:t>The other in-licensed patent family is owned by Ionis Pharmaceuticals, Inc., and is directed to compositions of matter of PRAX-222. This family expires in 2041.</w:t>
      </w:r>
    </w:p>
    <w:p>
      <w:pPr>
        <w:spacing w:after="0" w:line="141"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We own two patent families directed to our PRAX-222 program. The first has claims directed to a method of treating SCN2A gain of function neurological diseases using certain ASOs. This patent family is pending in the United States and expires in 2041. The second is directed to methods of treating SCN2A-related disorders using SCN2A inhibitors and expires in 2043.</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KCNT1 blockers</w:t>
      </w:r>
    </w:p>
    <w:p>
      <w:pPr>
        <w:spacing w:after="0" w:line="121" w:lineRule="exact"/>
        <w:rPr>
          <w:sz w:val="20"/>
          <w:szCs w:val="20"/>
          <w:color w:val="auto"/>
        </w:rPr>
      </w:pPr>
    </w:p>
    <w:p>
      <w:pPr>
        <w:ind w:right="220" w:firstLine="433"/>
        <w:spacing w:after="0" w:line="271" w:lineRule="auto"/>
        <w:rPr>
          <w:sz w:val="20"/>
          <w:szCs w:val="20"/>
          <w:color w:val="auto"/>
        </w:rPr>
      </w:pPr>
      <w:r>
        <w:rPr>
          <w:rFonts w:ascii="Arial" w:cs="Arial" w:eastAsia="Arial" w:hAnsi="Arial"/>
          <w:sz w:val="17"/>
          <w:szCs w:val="17"/>
          <w:color w:val="auto"/>
        </w:rPr>
        <w:t>We own eleven patent families directed to KCNT1 blockers including ten families related to our KCNT1 program and one family related to ASOs. Ten patent families disclose and claim small molecule KCNT1 blockers and methods of use in treating diseases such as epilepsy, including epilepsy having certain KCNT1 mutations, and expire between 2040 and 2043. One patent family is directed to certain ASOs and methods of use in treating diseases such as epilepsy, including epilepsy having certain KCNT1 mutations, and expires in 2039.</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GABA</w:t>
      </w:r>
      <w:r>
        <w:rPr>
          <w:rFonts w:ascii="Arial" w:cs="Arial" w:eastAsia="Arial" w:hAnsi="Arial"/>
          <w:sz w:val="15"/>
          <w:szCs w:val="15"/>
          <w:b w:val="1"/>
          <w:bCs w:val="1"/>
          <w:color w:val="auto"/>
        </w:rPr>
        <w:t>A</w:t>
      </w:r>
      <w:r>
        <w:rPr>
          <w:rFonts w:ascii="Arial" w:cs="Arial" w:eastAsia="Arial" w:hAnsi="Arial"/>
          <w:sz w:val="17"/>
          <w:szCs w:val="17"/>
          <w:b w:val="1"/>
          <w:bCs w:val="1"/>
          <w:color w:val="auto"/>
        </w:rPr>
        <w:t xml:space="preserve"> receptor positive allosteric modulators</w:t>
      </w:r>
    </w:p>
    <w:p>
      <w:pPr>
        <w:spacing w:after="0" w:line="121" w:lineRule="exact"/>
        <w:rPr>
          <w:sz w:val="20"/>
          <w:szCs w:val="20"/>
          <w:color w:val="auto"/>
        </w:rPr>
      </w:pPr>
    </w:p>
    <w:p>
      <w:pPr>
        <w:ind w:right="120" w:firstLine="433"/>
        <w:spacing w:after="0" w:line="271" w:lineRule="auto"/>
        <w:rPr>
          <w:sz w:val="20"/>
          <w:szCs w:val="20"/>
          <w:color w:val="auto"/>
        </w:rPr>
      </w:pPr>
      <w:r>
        <w:rPr>
          <w:rFonts w:ascii="Arial" w:cs="Arial" w:eastAsia="Arial" w:hAnsi="Arial"/>
          <w:sz w:val="17"/>
          <w:szCs w:val="17"/>
          <w:color w:val="auto"/>
        </w:rPr>
        <w:t>We own five patent families directed to GABA</w:t>
      </w:r>
      <w:r>
        <w:rPr>
          <w:rFonts w:ascii="Arial" w:cs="Arial" w:eastAsia="Arial" w:hAnsi="Arial"/>
          <w:sz w:val="15"/>
          <w:szCs w:val="15"/>
          <w:color w:val="auto"/>
        </w:rPr>
        <w:t>A</w:t>
      </w:r>
      <w:r>
        <w:rPr>
          <w:rFonts w:ascii="Arial" w:cs="Arial" w:eastAsia="Arial" w:hAnsi="Arial"/>
          <w:sz w:val="17"/>
          <w:szCs w:val="17"/>
          <w:color w:val="auto"/>
        </w:rPr>
        <w:t xml:space="preserve"> receptor positive allosteric modulators. One patent family discloses and claims salts and polymorphs of PRAX-114. Two patents are granted in the United States (U.S. 10,562,930 and U.S. 10,927,141), which expire in 2039. A second patent family is directed to alternative salt forms of PRAX-114, which expires in 2042. Other patent applications cover methods of use and processes for making related to PRAX-114, which expire from 2041 to 2043.</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 with RogCon</w:t>
      </w:r>
    </w:p>
    <w:p>
      <w:pPr>
        <w:spacing w:after="0" w:line="121" w:lineRule="exact"/>
        <w:rPr>
          <w:sz w:val="20"/>
          <w:szCs w:val="20"/>
          <w:color w:val="auto"/>
        </w:rPr>
      </w:pPr>
    </w:p>
    <w:p>
      <w:pPr>
        <w:ind w:firstLine="629"/>
        <w:spacing w:after="0" w:line="260" w:lineRule="auto"/>
        <w:rPr>
          <w:sz w:val="20"/>
          <w:szCs w:val="20"/>
          <w:color w:val="auto"/>
        </w:rPr>
      </w:pPr>
      <w:r>
        <w:rPr>
          <w:rFonts w:ascii="Arial" w:cs="Arial" w:eastAsia="Arial" w:hAnsi="Arial"/>
          <w:sz w:val="17"/>
          <w:szCs w:val="17"/>
          <w:color w:val="auto"/>
        </w:rPr>
        <w:t>In September 2019, we and RogCon, Inc., or RogCon, entered into a Cooperation and License Agreement, or the RogCon Agreement, to collaborate to develop ASOs for the treatment of epilepsy caused by mutations of the SCN2A gene. RogCon had an existing collaboration arrangement with Ionis Pharmaceuticals, Inc., or Ionis, and as a result, we and Ionis negotiated a Research Collaboration, Option and License Agreement, or the Ionis Agreement, (described below) in order to complete the license agreement with RogCon. Under the RogCon Agreement, RogCon granted us, subject to a concurrent license grant of certain rights to Ionis, an exclusive, worldwide license under RogCon’s intellectual property to research, develop and commercialize products for the treatment of all forms of epilepsy and/or neurodevelopmental disorders in each case caused by any mutation of the SCN2A gene. Under the RogCon Agreement, we will conduct, at our own cost and expense, the research and development activities assigned to us under the research plan set out in the Research Collaboration, Option and License Agreement with Ionis. Under the terms of the RogCon Agreement, RogCon is eligible to receive a one-time milestone payment of $3.0 million as well as profit share payments as a percentage of net profits in the mid-teens. Profit share payments will be calculated and due quarterly on any net profits generated from a product commercialized under the RogCon Agreement. The $3.0 million milestone payment will become due when (i) the first profit share payment has become due and payable and (ii) the Additional Milestone, the Initial Interest Amount and the Second Interest Amount (each as defined within the Ionis Agreement as described below) have all become due and payable to Ionis under our collaboration agreement with Ionis. As part of the RogCon Agreement, we agreed to provide up-front consideration of $2.1 million, consisting of a $1.0 million deposit, $0.7 million in cash reimbursements for certain historical costs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previously incurred by RogCon and $0.4 million for the retirement of existing loan balances as of September 11, 2019.</w:t>
      </w:r>
    </w:p>
    <w:p>
      <w:pPr>
        <w:spacing w:after="0" w:line="224" w:lineRule="exact"/>
        <w:rPr>
          <w:sz w:val="20"/>
          <w:szCs w:val="20"/>
          <w:color w:val="auto"/>
        </w:rPr>
      </w:pPr>
    </w:p>
    <w:p>
      <w:pPr>
        <w:ind w:right="220" w:firstLine="433"/>
        <w:spacing w:after="0" w:line="291" w:lineRule="auto"/>
        <w:rPr>
          <w:sz w:val="20"/>
          <w:szCs w:val="20"/>
          <w:color w:val="auto"/>
        </w:rPr>
      </w:pPr>
      <w:r>
        <w:rPr>
          <w:rFonts w:ascii="Arial" w:cs="Arial" w:eastAsia="Arial" w:hAnsi="Arial"/>
          <w:sz w:val="17"/>
          <w:szCs w:val="17"/>
          <w:color w:val="auto"/>
        </w:rPr>
        <w:t>Subsequent to September 11, 2019, we will reimburse RogCon for its out-of-pocket costs incurred for activities performed under the RogCon Agreement. We expense these costs as incurred as research and development. Expenses incurred for all periods presented were not material.</w:t>
      </w:r>
    </w:p>
    <w:p>
      <w:pPr>
        <w:spacing w:after="0" w:line="365"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Additionally, RogCon has agreed to certain defined exclusivity obligations. The RogCon Agreement, unless earlier terminated, will continue until the latest of: (i) the expiration of all patent rights within RogCon patents, (ii) we certify we have abandoned the research, development and commercialization of product with no intention to re-establish such activities and (iii) no third party is obligated to pay any amounts that comprise net sublicense revenue. Either party may terminate the RogCon Agreement for material breach or insolvency of the other party. Additionally, we may terminate for convenience with prior written notice to RogCon. Upon termination by either party, all rights and licenses granted by RogCon to us will revert back to RogCon.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Ionis Collaboration Agreement</w:t>
      </w:r>
    </w:p>
    <w:p>
      <w:pPr>
        <w:spacing w:after="0" w:line="121"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In September 2019, we and Ionis entered into the Ionis Agreement to discover and develop ASOs to treat forms of epilepsy caused by mutations of the SCN2A gene. Pursuant to the Ionis Agreement, we and Ionis each conducted certain research activities and Ionis was responsible for identifying a development candidate and conducting an IND-enabling toxicology study. The design of the IND-enabling toxicology study was prepared and mutually agreed to by us and Ionis. We are obligated to reimburse any out-of-pocket costs incurred by Ionis related to research activities, identification of a development candidate and conducting IND-enabling studies. Ionis granted us an exclusive option to obtain the rights and license to further develop and commercialize a development candidate in the field of epilepsy and neurodevelopmental disorders, other than Dravet Syndrome, following the results of the IND-enabling toxicology study. We exercised this exclusive option in January 2022 and paid a $2.0 million license fee. Ionis is eligible to receive certain contingent payments from us relating to development and other milestones, interest payments, royalties as a percentage of net product sales worldwide in the low-20s and any potential sublicense fees calculated as a percentage of sublicense revenue using a rate in the low-to-mid double digits.</w:t>
      </w:r>
    </w:p>
    <w:p>
      <w:pPr>
        <w:spacing w:after="0" w:line="174"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Development milestones of $5.0 million for each product developed under the agreement are due upon the completion of the first clinical trial for each product, or the Development Milestone. Ionis will be entitled to receive an additional one-time milestone payment of $5.0 million, or the Additional Milestone, upon the earliest to occur of the following (each, a Payment Trigger): (i) the first acceptance of an NDA filing for a product by the regulatory authority in a major market, (ii) we have both (a) received, in the aggregate, $300.0 million in cash since September 11, 2019 and (b) initiated the first clinical study with respect to a product or (iii) the closing of a change of control event affecting Praxis. In addition, upon the occurrence of a Payment Trigger, Ionis is also entitled to certain interest payments equal to (i) 10% simple interest per annum calculated from the effective date of the agreement on the Additional Milestone, or the Initial Interest Amount, plus (ii) 10% simple interest per annum calculated from the date the Additional Milestone is paid on the initial Interest Amount, or the Second Interest Amount, until the earliest to occur of the following: (i) aggregate net sales of $100.0 million has been received, (ii) a change in control event affecting Praxis occurs or (iii) the Ionis Agreement has been terminated. Upon the occurrence of one of these three payment triggers, both the Initial Interest Amount and Second Interest Amount are due and payable to Ionis.</w:t>
      </w:r>
    </w:p>
    <w:p>
      <w:pPr>
        <w:spacing w:after="0" w:line="179" w:lineRule="exact"/>
        <w:rPr>
          <w:sz w:val="20"/>
          <w:szCs w:val="20"/>
          <w:color w:val="auto"/>
        </w:rPr>
      </w:pPr>
    </w:p>
    <w:p>
      <w:pPr>
        <w:jc w:val="both"/>
        <w:ind w:right="100" w:firstLine="433"/>
        <w:spacing w:after="0" w:line="271" w:lineRule="auto"/>
        <w:rPr>
          <w:sz w:val="20"/>
          <w:szCs w:val="20"/>
          <w:color w:val="auto"/>
        </w:rPr>
      </w:pPr>
      <w:r>
        <w:rPr>
          <w:rFonts w:ascii="Arial" w:cs="Arial" w:eastAsia="Arial" w:hAnsi="Arial"/>
          <w:sz w:val="17"/>
          <w:szCs w:val="17"/>
          <w:color w:val="auto"/>
        </w:rPr>
        <w:t>The Ionis Agreement will continue in full force and effect until the expiration of all payment obligations to Ionis, unless terminated earlier by either party. Either party may terminate the agreement upon material breach or insolvency of the other party. Praxis is able to terminate the Ionis Agreement for convenience with prior written notice. Ionis may terminate if we fail to achieve certain performance milestones. Upon termination by us for convenience, we will stop selling all products, subject to certain wind-down provisions and all products will revert back to Ionis.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21" w:lineRule="exact"/>
        <w:rPr>
          <w:sz w:val="20"/>
          <w:szCs w:val="20"/>
          <w:color w:val="auto"/>
        </w:rPr>
      </w:pPr>
    </w:p>
    <w:p>
      <w:pPr>
        <w:jc w:val="both"/>
        <w:ind w:right="100" w:firstLine="433"/>
        <w:spacing w:after="0" w:line="300" w:lineRule="auto"/>
        <w:rPr>
          <w:sz w:val="20"/>
          <w:szCs w:val="20"/>
          <w:color w:val="auto"/>
        </w:rPr>
      </w:pPr>
      <w:r>
        <w:rPr>
          <w:rFonts w:ascii="Arial" w:cs="Arial" w:eastAsia="Arial" w:hAnsi="Arial"/>
          <w:sz w:val="17"/>
          <w:szCs w:val="17"/>
          <w:color w:val="auto"/>
        </w:rPr>
        <w:t>We do not own or operate, and currently have no plans to establish, any manufacturing facilities. We currently source all of our non-clinical and clinical compound supply through third-party contract development and manufacturing organizations, or CDMOs.</w:t>
      </w:r>
    </w:p>
    <w:p>
      <w:pPr>
        <w:spacing w:after="0" w:line="141" w:lineRule="exact"/>
        <w:rPr>
          <w:sz w:val="20"/>
          <w:szCs w:val="20"/>
          <w:color w:val="auto"/>
        </w:rPr>
      </w:pPr>
    </w:p>
    <w:p>
      <w:pPr>
        <w:ind w:right="660" w:firstLine="433"/>
        <w:spacing w:after="0" w:line="300" w:lineRule="auto"/>
        <w:rPr>
          <w:sz w:val="20"/>
          <w:szCs w:val="20"/>
          <w:color w:val="auto"/>
        </w:rPr>
      </w:pPr>
      <w:r>
        <w:rPr>
          <w:rFonts w:ascii="Arial" w:cs="Arial" w:eastAsia="Arial" w:hAnsi="Arial"/>
          <w:sz w:val="17"/>
          <w:szCs w:val="17"/>
          <w:color w:val="auto"/>
        </w:rPr>
        <w:t>For clinical supply, we rely on CDMOs to manufacture drug substance and drug product in accordance with the FDA’s current Good Manufacturing Practices, or cGMP. We expect to rely on third parties for our manufacturing</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processes and the production of all clinical supply drug substance and drug product and currently expect to continue to do so for commercial supplies of our product candidates, if approved. We use additional contract manufacturers to fill, label, package, store and distribute our investigational drug products and currently expect to continue to do so for commercial supplies of our product candidates, if approved. It is our intent to identify and qualify additional manufacturers to provide active pharmaceutical ingredient and fill-and-finish services prior to submission of a new drug application, or NDA, to the FDA for any product candidates that complete clinical development.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21" w:lineRule="exact"/>
        <w:rPr>
          <w:sz w:val="20"/>
          <w:szCs w:val="20"/>
          <w:color w:val="auto"/>
        </w:rPr>
      </w:pPr>
    </w:p>
    <w:p>
      <w:pPr>
        <w:ind w:right="120" w:firstLine="393"/>
        <w:spacing w:after="0" w:line="266" w:lineRule="auto"/>
        <w:rPr>
          <w:sz w:val="20"/>
          <w:szCs w:val="20"/>
          <w:color w:val="auto"/>
        </w:rPr>
      </w:pPr>
      <w:r>
        <w:rPr>
          <w:rFonts w:ascii="Arial" w:cs="Arial" w:eastAsia="Arial" w:hAnsi="Arial"/>
          <w:sz w:val="17"/>
          <w:szCs w:val="17"/>
          <w:color w:val="auto"/>
        </w:rPr>
        <w:t>The FDA and comparable regulatory authorities in state and local jurisdictions and in other countries impose substantial and burdensome requirements upon companies involved in the clinical development, manufacture, marketing and distribution of prescription drugs, such as those we are developing. These agencies regulate, among other things, the research and development, testing, manufacture, quality control, safety, effectiveness, labeling, storage, record keeping, approval, advertising and promotion, distribution, post-approval monitoring and reporting, sampling and export and import of drug products. The process of obtaining regulatory approvals and the subsequent compliance with applicable federal, state, local and foreign statutes and regulations requires the expenditure of substantial time and financial resources.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regulation of drug products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process required by the FDA before a drug may be marketed in the United States generally involves the following:</w:t>
      </w:r>
    </w:p>
    <w:p>
      <w:pPr>
        <w:spacing w:after="0" w:line="156" w:lineRule="exact"/>
        <w:rPr>
          <w:sz w:val="20"/>
          <w:szCs w:val="20"/>
          <w:color w:val="auto"/>
        </w:rPr>
      </w:pPr>
    </w:p>
    <w:p>
      <w:pPr>
        <w:ind w:left="640" w:right="240" w:hanging="320"/>
        <w:spacing w:after="0" w:line="300"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in compliance with the FDA’s good laboratory practice regulations;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or ethics committee at each clinical site before each trial may be initiated;</w:t>
      </w:r>
    </w:p>
    <w:p>
      <w:pPr>
        <w:spacing w:after="0" w:line="171" w:lineRule="exact"/>
        <w:rPr>
          <w:rFonts w:ascii="Arial" w:cs="Arial" w:eastAsia="Arial" w:hAnsi="Arial"/>
          <w:sz w:val="17"/>
          <w:szCs w:val="17"/>
          <w:color w:val="auto"/>
        </w:rPr>
      </w:pPr>
    </w:p>
    <w:p>
      <w:pPr>
        <w:ind w:left="640" w:right="440" w:hanging="320"/>
        <w:spacing w:after="0" w:line="300"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good clinical practice, or GCP, requirements to establish the safety and efficacy of the proposed drug product for each intended use;</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preparation and submission to the FDA of an NDA;</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determination by the FDA within 60 days of its receipt of an NDA to file the application for review;</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171" w:lineRule="exact"/>
        <w:rPr>
          <w:rFonts w:ascii="Arial" w:cs="Arial" w:eastAsia="Arial" w:hAnsi="Arial"/>
          <w:sz w:val="17"/>
          <w:szCs w:val="17"/>
          <w:color w:val="auto"/>
        </w:rPr>
      </w:pPr>
    </w:p>
    <w:p>
      <w:pPr>
        <w:ind w:left="640" w:right="120" w:hanging="320"/>
        <w:spacing w:after="0" w:line="278"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w:t>
      </w:r>
    </w:p>
    <w:p>
      <w:pPr>
        <w:spacing w:after="0" w:line="107"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satisfactory completion of potential FDA audits of clinical trial sites to assess compliance with GCPs and the integrity of the clinical data; and</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FDA review and approval of the NDA to permit commercial marketing of the product for particular indications for use in the United States.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studies</w:t>
      </w:r>
    </w:p>
    <w:p>
      <w:pPr>
        <w:spacing w:after="0" w:line="119"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Before testing any product candidate in humans, the product candidate must undergo preclinical testing. Preclinical studies generally include laboratory evaluation of product chemistry, formulation and stability, as well as animal studies to assess potential toxicity, which support subsequent clinical testing. An IND sponsor must submit the results of the preclinical tests, together with manufacturing information, analytical data and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The IND automatically becomes effective 30 days after receipt by the FDA, unless the FDA, within the 30-day time period, raises safety concerns or questions about the proposed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Additionally, the FDA will review any data from clinical trials conducted outside the United States when determining whether to allow an IND to proceed in the United States. Specifically, the FDA’s acceptance of data from trials conducted outside of the United States and not under an IND is subject to certain conditions, including that the clinical trial must be well designed and conducted in accordance with GCPs, and the FDA must be able to validate the data from the study through an on-site inspection, if necessary. Clinical holds also may be imposed by the FDA at any time before or during studies due to safety concerns or non-compliance.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trials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Clinical trials involve the administration of the product candidate to human subjects under the supervision of qualified investigators, generally</w:t>
      </w:r>
    </w:p>
    <w:p>
      <w:pPr>
        <w:spacing w:after="0" w:line="5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trial, the parameters to be used in monitoring safety and the effectiveness criteria to be evaluated. A</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protocol for each clinical trial and any subsequent protocol amendments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 Specifically, information about certain clinical trials must be submitted within specific timeframes to the National Institutes of Health, or NIH, for public dissemination on their www.clinicaltrials.gov website. Information related to the product candidate,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w:t>
      </w:r>
    </w:p>
    <w:p>
      <w:pPr>
        <w:spacing w:after="0" w:line="177" w:lineRule="exact"/>
        <w:rPr>
          <w:sz w:val="20"/>
          <w:szCs w:val="20"/>
          <w:color w:val="auto"/>
        </w:rPr>
      </w:pPr>
    </w:p>
    <w:p>
      <w:pPr>
        <w:ind w:right="40" w:firstLine="393"/>
        <w:spacing w:after="0" w:line="263" w:lineRule="auto"/>
        <w:rPr>
          <w:sz w:val="20"/>
          <w:szCs w:val="20"/>
          <w:color w:val="auto"/>
        </w:rPr>
      </w:pPr>
      <w:r>
        <w:rPr>
          <w:rFonts w:ascii="Arial" w:cs="Arial" w:eastAsia="Arial" w:hAnsi="Arial"/>
          <w:sz w:val="17"/>
          <w:szCs w:val="17"/>
          <w:color w:val="auto"/>
        </w:rPr>
        <w:t>Human clinical trials are typically conducted in three phases, which may overlap or be combined. In Phase 1, the product candidate is introduced into healthy human subjects or patients with the target disease or condition to test for safety, dosage tolerance, absorption, metabolism, distribution, excretion and, if possible, to gain an early evaluation of effectiveness. In Phase 2, the product candidate is administered to a limited patient population with a specified disease or condition to evaluate possible adverse effects and safety risks, to preliminarily evaluate the efficacy of the product for the specified disease or condition, and to determine dosage tolerance and optimal dosage. In Phase 3, the product candidate is administered to an expanded patient population, generally at geographically dispersed clinical trial sites, in well-controlled clinical trials to generate enough data to statistically evaluate the efficacy and safety of the product candidate for approval, to establish the overall risk-benefit profile of the product candidate, and to provide adequate information for the labeling of the product candidate.</w:t>
      </w:r>
    </w:p>
    <w:p>
      <w:pPr>
        <w:spacing w:after="0" w:line="175" w:lineRule="exact"/>
        <w:rPr>
          <w:sz w:val="20"/>
          <w:szCs w:val="20"/>
          <w:color w:val="auto"/>
        </w:rPr>
      </w:pPr>
    </w:p>
    <w:p>
      <w:pPr>
        <w:ind w:right="220" w:firstLine="393"/>
        <w:spacing w:after="0" w:line="271" w:lineRule="auto"/>
        <w:rPr>
          <w:sz w:val="20"/>
          <w:szCs w:val="20"/>
          <w:color w:val="auto"/>
        </w:rPr>
      </w:pPr>
      <w:r>
        <w:rPr>
          <w:rFonts w:ascii="Arial" w:cs="Arial" w:eastAsia="Arial" w:hAnsi="Arial"/>
          <w:sz w:val="17"/>
          <w:szCs w:val="17"/>
          <w:color w:val="auto"/>
        </w:rPr>
        <w:t>In some cases, the FDA may require, or sponsors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or requirement of approval of an NDA.</w:t>
      </w:r>
    </w:p>
    <w:p>
      <w:pPr>
        <w:spacing w:after="0" w:line="166" w:lineRule="exact"/>
        <w:rPr>
          <w:sz w:val="20"/>
          <w:szCs w:val="20"/>
          <w:color w:val="auto"/>
        </w:rPr>
      </w:pPr>
    </w:p>
    <w:p>
      <w:pPr>
        <w:ind w:right="60" w:firstLine="433"/>
        <w:spacing w:after="0" w:line="273" w:lineRule="auto"/>
        <w:rPr>
          <w:sz w:val="20"/>
          <w:szCs w:val="20"/>
          <w:color w:val="auto"/>
        </w:rPr>
      </w:pPr>
      <w:r>
        <w:rPr>
          <w:rFonts w:ascii="Arial" w:cs="Arial" w:eastAsia="Arial" w:hAnsi="Arial"/>
          <w:sz w:val="17"/>
          <w:szCs w:val="17"/>
          <w:color w:val="auto"/>
        </w:rPr>
        <w:t xml:space="preserve">Progress reports summarizing the results of clinical trials and nonclinical studies, among other information, must be submitted at least annually to the FDA and written IND safety reports must be submitted to the FDA and investigators if serious and unexpected suspected adverse events occur, findings from other studies of the same or similar drug or from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suggest a significant risk, or there is an</w:t>
      </w: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increased incidence of a serious suspected adverse reaction compared to that in the protocol or investigator brochure.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for a variety of reasons, including if the clinical trial is not being conducted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the IRB’s requirements or if the drug has been associated with unexpected serious harm to patients.</w:t>
      </w:r>
    </w:p>
    <w:p>
      <w:pPr>
        <w:spacing w:after="0" w:line="224" w:lineRule="exact"/>
        <w:rPr>
          <w:sz w:val="20"/>
          <w:szCs w:val="20"/>
          <w:color w:val="auto"/>
        </w:rPr>
      </w:pPr>
    </w:p>
    <w:p>
      <w:pPr>
        <w:ind w:right="80" w:firstLine="393"/>
        <w:spacing w:after="0" w:line="266" w:lineRule="auto"/>
        <w:rPr>
          <w:sz w:val="20"/>
          <w:szCs w:val="20"/>
          <w:color w:val="auto"/>
        </w:rPr>
      </w:pPr>
      <w:r>
        <w:rPr>
          <w:rFonts w:ascii="Arial" w:cs="Arial" w:eastAsia="Arial" w:hAnsi="Arial"/>
          <w:sz w:val="17"/>
          <w:szCs w:val="17"/>
          <w:color w:val="auto"/>
        </w:rPr>
        <w:t>Concurrent with clinical trials, companies usually complete additional animal studies and also must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 application submission and FDA review and approval</w:t>
      </w:r>
    </w:p>
    <w:p>
      <w:pPr>
        <w:spacing w:after="0" w:line="119" w:lineRule="exact"/>
        <w:rPr>
          <w:sz w:val="20"/>
          <w:szCs w:val="20"/>
          <w:color w:val="auto"/>
        </w:rPr>
      </w:pPr>
    </w:p>
    <w:p>
      <w:pPr>
        <w:ind w:right="320" w:firstLine="393"/>
        <w:spacing w:after="0" w:line="271" w:lineRule="auto"/>
        <w:rPr>
          <w:sz w:val="20"/>
          <w:szCs w:val="20"/>
          <w:color w:val="auto"/>
        </w:rPr>
      </w:pPr>
      <w:r>
        <w:rPr>
          <w:rFonts w:ascii="Arial" w:cs="Arial" w:eastAsia="Arial" w:hAnsi="Arial"/>
          <w:sz w:val="17"/>
          <w:szCs w:val="17"/>
          <w:color w:val="auto"/>
        </w:rPr>
        <w:t>Assuming successful completion of the required clinical testing, the results of preclinical and clinical studies, together with detailed information relating to the product’s chemistry, manufacture, controls and proposed labeling, among other things, are submitted to the FDA as part of an NDA requesting approval to market the product for one or more indications. The submission of an NDA is subject to a substantial application user fee, unless a waiver or exemption applies.</w:t>
      </w:r>
    </w:p>
    <w:p>
      <w:pPr>
        <w:spacing w:after="0" w:line="166"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withdrawn and resubmitted with the additional information. The resubmitted application is also subject to review before the FDA accepts it for filing. Once an application is accepted for filing, the FDA has a goal of ten months from the date of “filing” to complete a standard review of an NDA for a drug that is a new molecular entity, and six months from the filing date to complete a priority review. The FDA does not always meet its goal dates, and the review process can be extended by FDA requests for additional information or clarification and a sponsor’s process to respond to such inquiries. This FDA review process typically takes 10 months from the date the NDA is accepted for filing by the FDA (for a standard review) or six months from the filing date (for a priority review). Once the submission is accepted for filing, the FDA begins an in-depth substantive review.</w:t>
      </w:r>
    </w:p>
    <w:p>
      <w:pPr>
        <w:spacing w:after="0" w:line="178"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The FDA reviews an NDA to determine, among other things, whether the drug is safe and effective and whether the facilities in which it is manufactured, processed, packaged or held meets standards designed to assure the product’s continued safety, quality and purity. Before approving an NDA, the FDA typically will inspect the facilities where the product is manufactured. Additionally, before approving an NDA, the FDA may inspect one or more clinical trial sites and/or the study sponsor to assure compliance with GCP requirements.</w:t>
      </w:r>
    </w:p>
    <w:p>
      <w:pPr>
        <w:spacing w:after="0" w:line="166"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Additionally, the FDA may refer any application to an advisory committee, including applications for novel drug candidates that present difficult questions of safety or efficacy.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66"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The FDA also may require submission of a risk evaluation and mitigation strategy, or REMS, plan, if it determines that a REMS is necessary to ensure that the benefits of the drug outweigh its risks and to assure the safe use of the drug product. A REMS is a safety strategy to manage a known or potential serious risk associated with a medicine and to enable patients to have continued access to such medicines by managing their safe use, and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plan is needed, the sponsor of the NDA must submit a proposed REMS. The FDA will not approve the NDA without a REMS, if required.</w:t>
      </w:r>
    </w:p>
    <w:p>
      <w:pPr>
        <w:spacing w:after="0" w:line="173" w:lineRule="exact"/>
        <w:rPr>
          <w:sz w:val="20"/>
          <w:szCs w:val="20"/>
          <w:color w:val="auto"/>
        </w:rPr>
      </w:pPr>
    </w:p>
    <w:p>
      <w:pPr>
        <w:ind w:firstLine="393"/>
        <w:spacing w:after="0" w:line="270" w:lineRule="auto"/>
        <w:rPr>
          <w:sz w:val="20"/>
          <w:szCs w:val="20"/>
          <w:color w:val="auto"/>
        </w:rPr>
      </w:pPr>
      <w:r>
        <w:rPr>
          <w:rFonts w:ascii="Arial" w:cs="Arial" w:eastAsia="Arial" w:hAnsi="Arial"/>
          <w:sz w:val="17"/>
          <w:szCs w:val="17"/>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sponsor or FDA may request a deferral of pediatric clinical trials for some or all of the pediatric subpopulations. The FDA must send a non-compliance letter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700"/>
        <w:spacing w:after="0" w:line="300" w:lineRule="auto"/>
        <w:rPr>
          <w:sz w:val="20"/>
          <w:szCs w:val="20"/>
          <w:color w:val="auto"/>
        </w:rPr>
      </w:pPr>
      <w:r>
        <w:rPr>
          <w:rFonts w:ascii="Arial" w:cs="Arial" w:eastAsia="Arial" w:hAnsi="Arial"/>
          <w:sz w:val="17"/>
          <w:szCs w:val="17"/>
          <w:color w:val="auto"/>
        </w:rPr>
        <w:t>to any sponsor that fails to submit the required assessment, keep a deferral current or fails to submit a request for approval of a pediatric formulation.</w:t>
      </w:r>
    </w:p>
    <w:p>
      <w:pPr>
        <w:spacing w:after="0" w:line="141"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After evaluating the NDA and all related information, including the advisory committee recommendation, if any, and inspection reports regarding the manufacturing facilities, sponsor, and clinical trial sites, the FDA may issue either an approval letter or a complete response letter, or CRL. An approval letter authorizes commercial marketing of the drug with specific prescribing information and for specific indications. A CRL will describe all of the deficiencies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If a CRL is issued, the applicant may choose to either resubmit the NDA, addressing all of the deficiencies identified in the letter, or withdraw the application. If those deficiencies have been addressed to the FDA’s satisfaction, the FDA will issue an approval letter. Even with submission of this additional information, the FDA ultimately may decide that the application does not satisfy the regulatory criteria for approval.</w:t>
      </w:r>
    </w:p>
    <w:p>
      <w:pPr>
        <w:spacing w:after="0" w:line="387"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safety, require testing and surveillance programs to monitor the product,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Orphan drug designation and exclusivity</w:t>
      </w:r>
    </w:p>
    <w:p>
      <w:pPr>
        <w:spacing w:after="0" w:line="119" w:lineRule="exact"/>
        <w:rPr>
          <w:sz w:val="20"/>
          <w:szCs w:val="20"/>
          <w:color w:val="auto"/>
        </w:rPr>
      </w:pPr>
    </w:p>
    <w:p>
      <w:pPr>
        <w:ind w:firstLine="393"/>
        <w:spacing w:after="0" w:line="260" w:lineRule="auto"/>
        <w:rPr>
          <w:sz w:val="20"/>
          <w:szCs w:val="20"/>
          <w:color w:val="auto"/>
        </w:rPr>
      </w:pPr>
      <w:r>
        <w:rPr>
          <w:rFonts w:ascii="Arial" w:cs="Arial" w:eastAsia="Arial" w:hAnsi="Arial"/>
          <w:sz w:val="17"/>
          <w:szCs w:val="17"/>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drug designation before submitting an NDA. If the request is granted, the FDA will disclose the identity of the therapeutic agent and its potential use. If a product with orphan status receives the first FDA approval for the disease or condition for which it has such designation or for a select indication or use within the rare disease or condition for which it was designated, the product generally will receive orphan product exclusivity. Orphan product exclusivity means that the FDA may not approve any other applications for the same product for the same disease or condition for seven years. If a drug or drug product designated as an orphan product ultimately receives marketing approval for an indication broader than what was designated in its orphan product application, it may not be entitled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to provide a major contribution to patient care, or if the company with orphan drug exclusivity is not able to meet market demand. Among the other benefits of orphan drug designation are tax credits for certain research and a waiver of the NDA application user fee. Orphan product designation, however, does not convey any advantage in or shorten the duration of the regulatory review and approval process.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Rare pediatric disease designation and priority review vouchers</w:t>
      </w:r>
    </w:p>
    <w:p>
      <w:pPr>
        <w:spacing w:after="0" w:line="119" w:lineRule="exact"/>
        <w:rPr>
          <w:sz w:val="20"/>
          <w:szCs w:val="20"/>
          <w:color w:val="auto"/>
        </w:rPr>
      </w:pPr>
    </w:p>
    <w:p>
      <w:pPr>
        <w:ind w:right="60" w:firstLine="393"/>
        <w:spacing w:after="0" w:line="263" w:lineRule="auto"/>
        <w:rPr>
          <w:sz w:val="20"/>
          <w:szCs w:val="20"/>
          <w:color w:val="auto"/>
        </w:rPr>
      </w:pPr>
      <w:r>
        <w:rPr>
          <w:rFonts w:ascii="Arial" w:cs="Arial" w:eastAsia="Arial" w:hAnsi="Arial"/>
          <w:sz w:val="17"/>
          <w:szCs w:val="17"/>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United States within one year following the date of approval.</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393"/>
        <w:spacing w:after="0" w:line="281" w:lineRule="auto"/>
        <w:rPr>
          <w:sz w:val="20"/>
          <w:szCs w:val="20"/>
          <w:color w:val="auto"/>
        </w:rPr>
      </w:pPr>
      <w:r>
        <w:rPr>
          <w:rFonts w:ascii="Arial" w:cs="Arial" w:eastAsia="Arial" w:hAnsi="Arial"/>
          <w:sz w:val="17"/>
          <w:szCs w:val="17"/>
          <w:color w:val="auto"/>
        </w:rPr>
        <w:t>For purposes of this program, a “rare pediatric disease” is a (a) serious or life-threatening disease in which the serious or life-threatening manifestations primarily affect individuals aged from birth to 18 years; and (b) rare diseases or conditions within the meaning of the Orphan Drug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Act. Congress has only authorized the Rare Pediatric Disease Priority Review Voucher program until September 30, 2024. Consequently,</w:t>
      </w:r>
    </w:p>
    <w:p>
      <w:pPr>
        <w:spacing w:after="0" w:line="54" w:lineRule="exact"/>
        <w:rPr>
          <w:sz w:val="20"/>
          <w:szCs w:val="20"/>
          <w:color w:val="auto"/>
        </w:rPr>
      </w:pPr>
    </w:p>
    <w:p>
      <w:pPr>
        <w:ind w:right="360"/>
        <w:spacing w:after="0" w:line="271" w:lineRule="auto"/>
        <w:rPr>
          <w:sz w:val="20"/>
          <w:szCs w:val="20"/>
          <w:color w:val="auto"/>
        </w:rPr>
      </w:pPr>
      <w:r>
        <w:rPr>
          <w:rFonts w:ascii="Arial" w:cs="Arial" w:eastAsia="Arial" w:hAnsi="Arial"/>
          <w:sz w:val="17"/>
          <w:szCs w:val="17"/>
          <w:color w:val="auto"/>
        </w:rPr>
        <w:t>sponsors of marketing applications approved after that date will not receive the voucher unless Congress reauthorizes the program. If the program is not reauthorized, if a drug candidate receives Rare Pediatric Disease Designation before October 1, 2024, the sponsor of the marketing application for such drug will only be eligible to receive a voucher if the application for the designated drug is approved by the FDA before October 1, 2026.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Fast track, breakthrough therapy and priority review designations</w:t>
      </w:r>
    </w:p>
    <w:p>
      <w:pPr>
        <w:spacing w:after="0" w:line="119" w:lineRule="exact"/>
        <w:rPr>
          <w:sz w:val="20"/>
          <w:szCs w:val="20"/>
          <w:color w:val="auto"/>
        </w:rPr>
      </w:pPr>
    </w:p>
    <w:p>
      <w:pPr>
        <w:jc w:val="both"/>
        <w:ind w:right="120" w:firstLine="393"/>
        <w:spacing w:after="0" w:line="278" w:lineRule="auto"/>
        <w:rPr>
          <w:sz w:val="20"/>
          <w:szCs w:val="20"/>
          <w:color w:val="auto"/>
        </w:rPr>
      </w:pPr>
      <w:r>
        <w:rPr>
          <w:rFonts w:ascii="Arial" w:cs="Arial" w:eastAsia="Arial" w:hAnsi="Arial"/>
          <w:sz w:val="17"/>
          <w:szCs w:val="17"/>
          <w:color w:val="auto"/>
        </w:rPr>
        <w:t>The FDA is authorized to designate certain products for expedited development or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160" w:lineRule="exact"/>
        <w:rPr>
          <w:sz w:val="20"/>
          <w:szCs w:val="20"/>
          <w:color w:val="auto"/>
        </w:rPr>
      </w:pPr>
    </w:p>
    <w:p>
      <w:pPr>
        <w:ind w:right="120" w:firstLine="433"/>
        <w:spacing w:after="0" w:line="271" w:lineRule="auto"/>
        <w:rPr>
          <w:sz w:val="20"/>
          <w:szCs w:val="20"/>
          <w:color w:val="auto"/>
        </w:rPr>
      </w:pPr>
      <w:r>
        <w:rPr>
          <w:rFonts w:ascii="Arial" w:cs="Arial" w:eastAsia="Arial" w:hAnsi="Arial"/>
          <w:sz w:val="17"/>
          <w:szCs w:val="17"/>
          <w:color w:val="auto"/>
        </w:rPr>
        <w:t>To be eligible for a fast track designation, the FDA must determine that a product candidate is intended to treat a serious or life threatening disease or condition and demonstrates the potential to address unmet medical needs for the condition. Fast track designation provides opportunities for more frequent interactions with the FDA review team to expedite development and review of the product candidate. The FDA may also agree to review sections of the NDA for a fast track product candidate on a rolling basis before the complete application is submitted.</w:t>
      </w:r>
    </w:p>
    <w:p>
      <w:pPr>
        <w:spacing w:after="0" w:line="166" w:lineRule="exact"/>
        <w:rPr>
          <w:sz w:val="20"/>
          <w:szCs w:val="20"/>
          <w:color w:val="auto"/>
        </w:rPr>
      </w:pPr>
    </w:p>
    <w:p>
      <w:pPr>
        <w:ind w:right="160" w:firstLine="433"/>
        <w:spacing w:after="0" w:line="266" w:lineRule="auto"/>
        <w:rPr>
          <w:sz w:val="20"/>
          <w:szCs w:val="20"/>
          <w:color w:val="auto"/>
        </w:rPr>
      </w:pPr>
      <w:r>
        <w:rPr>
          <w:rFonts w:ascii="Arial" w:cs="Arial" w:eastAsia="Arial" w:hAnsi="Arial"/>
          <w:sz w:val="17"/>
          <w:szCs w:val="17"/>
          <w:color w:val="auto"/>
        </w:rPr>
        <w:t>A product candidate intended to treat a serious or life-threatening disease or condition may also be eligible for breakthrough therapy designation.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69"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Finally, the FDA may designate an NDA for priority review if the product candidate treats a serious condition and, if approved, would provide a significant improvement in safety or effectiveness. The FDA determines at the time that the marketing application is submitted, on a case-by-case basis, whether the product candidate represents a significant improvement when compared with other available therapies. Significant improvement may be illustrated by, among other things, evidence of increased effectiveness,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from the filing date for an NDA for a new molecular entity.</w:t>
      </w:r>
    </w:p>
    <w:p>
      <w:pPr>
        <w:spacing w:after="0" w:line="175" w:lineRule="exact"/>
        <w:rPr>
          <w:sz w:val="20"/>
          <w:szCs w:val="20"/>
          <w:color w:val="auto"/>
        </w:rPr>
      </w:pPr>
    </w:p>
    <w:p>
      <w:pPr>
        <w:ind w:right="80" w:firstLine="433"/>
        <w:spacing w:after="0" w:line="275"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the time period for FDA review or approval may not be shortened. Furthermore, fast track designation, priority review and breakthrough therapy designation do not change the standards for approval and may not ultimately expedite the development or approval process.</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Accelerated approval pathway</w:t>
      </w:r>
    </w:p>
    <w:p>
      <w:pPr>
        <w:spacing w:after="0" w:line="119"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A drug product may also be eligible for accelerated approval if it is designed to treat a serious or life-threatening disease or condition and provides a meaningful therapeutic benefit over existing treatments. Such product candidates can be approved upon a determination that the product candidate has an effect on either a surrogate endpoint that is reasonably likely to predict clinical benefit or on an intermediate clinical endpoint that can be measured earlier than irreversible morbidity or mortality, or IMM, that is reasonably likely to predict an effect on IMM or other clinical benefit, taking into account the severity, rarity, or prevalence of the disease or condition and the availability or lack of alternative treatments. As a condition of approval, the FDA generally requires that a sponsor of a drug receiving accelerated approval perform adequate and well-controlled confirmatory clinical trials to verify and describe the predicted effect on IMM or other clinical endpoint. The FDA may withdraw approval of a drug or indication approved under accelerated approval on an expedited basis if, for example, the confirmatory trial fails to verify the predicted clinical benefit of the product or the sponsor fails to conduct such confirmatory trials in a timely manner or in accordance with applicable regulations. Drugs granted accelerated approval must meet the same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color w:val="auto"/>
        </w:rPr>
        <w:t>statutory standards for safety and effectiveness as those granted traditional approval. In addition, all promotional materials for products approved under the accelerated approval program are subject to prior review by the FDA.</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drug product marketing exclusivity</w:t>
      </w:r>
    </w:p>
    <w:p>
      <w:pPr>
        <w:spacing w:after="0" w:line="119" w:lineRule="exact"/>
        <w:rPr>
          <w:sz w:val="20"/>
          <w:szCs w:val="20"/>
          <w:color w:val="auto"/>
        </w:rPr>
      </w:pPr>
    </w:p>
    <w:p>
      <w:pPr>
        <w:ind w:right="80" w:firstLine="393"/>
        <w:spacing w:after="0" w:line="264" w:lineRule="auto"/>
        <w:rPr>
          <w:sz w:val="20"/>
          <w:szCs w:val="20"/>
          <w:color w:val="auto"/>
        </w:rPr>
      </w:pPr>
      <w:r>
        <w:rPr>
          <w:rFonts w:ascii="Arial" w:cs="Arial" w:eastAsia="Arial" w:hAnsi="Arial"/>
          <w:sz w:val="17"/>
          <w:szCs w:val="17"/>
          <w:color w:val="auto"/>
        </w:rPr>
        <w:t>Market exclusivity provisions under the FDCA can delay the submission or the approval of certain marketing applications. For example, the FDCA provides a five-year period of non-patent data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 generic or follow-on version of the protected drug product, respectively, where the applicant does not own or have a legal right of reference to all the data required for approval. However, an application may be submitted after four years if it contains a certification of patent invalidity or non-infringement.</w:t>
      </w:r>
    </w:p>
    <w:p>
      <w:pPr>
        <w:spacing w:after="0" w:line="173"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The FDCA also provides three years of marketing exclusivity when an NDA, or a supplement to an existing NDA, includes new clinical investigations, other than bioavailability studies, conducted or sponsored by the applicant that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or follow-on 505(b)(2) NDAs if the protected clinical data are not referenced. Five-year and three-year exclusivity will not delay the submission or approval of a stand-alone NDA submitted under section 505(b)(1) of the FDCA. However, an applicant submitting a stand-alone NDA would be required to conduct or obtain a right of reference to all of the preclinical studies and adequate and well-controlled clinical trials necessary to demonstrate safety and effectiveness, if applicable.</w:t>
      </w:r>
    </w:p>
    <w:p>
      <w:pPr>
        <w:spacing w:after="0" w:line="383" w:lineRule="exact"/>
        <w:rPr>
          <w:sz w:val="20"/>
          <w:szCs w:val="20"/>
          <w:color w:val="auto"/>
        </w:rPr>
      </w:pPr>
    </w:p>
    <w:p>
      <w:pPr>
        <w:ind w:right="100" w:firstLine="393"/>
        <w:spacing w:after="0" w:line="278" w:lineRule="auto"/>
        <w:rPr>
          <w:sz w:val="20"/>
          <w:szCs w:val="20"/>
          <w:color w:val="auto"/>
        </w:rPr>
      </w:pPr>
      <w:r>
        <w:rPr>
          <w:rFonts w:ascii="Arial" w:cs="Arial" w:eastAsia="Arial" w:hAnsi="Arial"/>
          <w:sz w:val="17"/>
          <w:szCs w:val="17"/>
          <w:color w:val="auto"/>
        </w:rPr>
        <w:t>Pediatric exclusivity is another type of regulatory market exclusivity in the United States. Pediatric exclusivity, if granted, adds six months to existing regulatory exclusivity periods. This six-month exclusivity may be granted based on the voluntary completion of a pediatric trial in accordance with an FDA-issued “Written Request” for such a trial.</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119" w:lineRule="exact"/>
        <w:rPr>
          <w:sz w:val="20"/>
          <w:szCs w:val="20"/>
          <w:color w:val="auto"/>
        </w:rPr>
      </w:pPr>
    </w:p>
    <w:p>
      <w:pPr>
        <w:ind w:right="40" w:firstLine="393"/>
        <w:spacing w:after="0" w:line="262" w:lineRule="auto"/>
        <w:rPr>
          <w:sz w:val="20"/>
          <w:szCs w:val="20"/>
          <w:color w:val="auto"/>
        </w:rPr>
      </w:pPr>
      <w:r>
        <w:rPr>
          <w:rFonts w:ascii="Arial" w:cs="Arial" w:eastAsia="Arial" w:hAnsi="Arial"/>
          <w:sz w:val="17"/>
          <w:szCs w:val="17"/>
          <w:color w:val="auto"/>
        </w:rPr>
        <w:t>Following approval of a new prescription drug product, the manufacturer and the approved drug are subject to pervasive and continuing regulation by the FDA, including, among other things, requirements relating to monitoring and recordkeeping, periodic reporting, product sampling and distribution, advertising and promotion and reporting of adverse experiences with the product. 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After approval, most changes to the approved product, such as adding new indications or other labeling claims or changes to the manufacturing processes or facilities, are subject to prior FDA review and approval. There are continuing, annual program fee requirements for any marketed products.</w:t>
      </w:r>
    </w:p>
    <w:p>
      <w:pPr>
        <w:spacing w:after="0" w:line="174" w:lineRule="exact"/>
        <w:rPr>
          <w:sz w:val="20"/>
          <w:szCs w:val="20"/>
          <w:color w:val="auto"/>
        </w:rPr>
      </w:pPr>
    </w:p>
    <w:p>
      <w:pPr>
        <w:ind w:right="80" w:firstLine="393"/>
        <w:spacing w:after="0" w:line="271" w:lineRule="auto"/>
        <w:rPr>
          <w:sz w:val="20"/>
          <w:szCs w:val="20"/>
          <w:color w:val="auto"/>
        </w:rPr>
      </w:pPr>
      <w:r>
        <w:rPr>
          <w:rFonts w:ascii="Arial" w:cs="Arial" w:eastAsia="Arial" w:hAnsi="Arial"/>
          <w:sz w:val="17"/>
          <w:szCs w:val="17"/>
          <w:color w:val="auto"/>
        </w:rPr>
        <w:t>Once an approval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114" w:lineRule="exact"/>
        <w:rPr>
          <w:sz w:val="20"/>
          <w:szCs w:val="20"/>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Imposition of post-marketing studies or clinical trials to assess new safety risks, or restrictions under a REMS program;</w:t>
      </w:r>
    </w:p>
    <w:p>
      <w:pPr>
        <w:spacing w:after="0" w:line="171"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Restrictions on the marketing, manufacturing or distribution of the product, complete withdrawal of the product from the market or product recalls;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Fines, warning letters, untitled letters or other enforcement-related letters or clinical holds on post-approval clinical trials;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approvals;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Consent decrees, corporate integrity agreements, debarment or exclusion from federal healthcare programs;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Mandated modification of promotional materials and labeling and the issuance of corrective information;</w:t>
      </w:r>
    </w:p>
    <w:p>
      <w:pPr>
        <w:spacing w:after="0" w:line="171" w:lineRule="exact"/>
        <w:rPr>
          <w:rFonts w:ascii="Arial" w:cs="Arial" w:eastAsia="Arial" w:hAnsi="Arial"/>
          <w:sz w:val="17"/>
          <w:szCs w:val="17"/>
          <w:color w:val="auto"/>
        </w:rPr>
      </w:pPr>
    </w:p>
    <w:p>
      <w:pPr>
        <w:ind w:left="640" w:right="20" w:hanging="320"/>
        <w:spacing w:after="0" w:line="300"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Issuance of safety alerts, Dear Healthcare Provider letters, press releases and other communications containing warnings or other safety information about the product;</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or</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24" w:lineRule="exact"/>
        <w:rPr>
          <w:sz w:val="20"/>
          <w:szCs w:val="20"/>
          <w:color w:val="auto"/>
        </w:rPr>
      </w:pPr>
    </w:p>
    <w:p>
      <w:pPr>
        <w:jc w:val="both"/>
        <w:ind w:right="700" w:firstLine="393"/>
        <w:spacing w:after="0" w:line="262"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Drugs must be promoted by a manufacturer and any third parties acting on behalf of a manufacturer only for the approved indications and in a manner consistent with the approved label for the product. The FDA and other agencies actively enforce the laws and regulations prohibiting the promotion of off-label uses and a company that is found to have improperly promoted off-label uses may be subject to significant liability.</w:t>
      </w:r>
    </w:p>
    <w:p>
      <w:pPr>
        <w:spacing w:after="0" w:line="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Physicians may prescribe, in their independent professional medical judgment, legally available products for uses that are not described in the product’s labeling and that differ from those tested and approved by the FDA. The FDA does not regulate the behavior of physicians in their choice of treatments, but it does restrict the manufacturer’s communications on the subject of off-label use of their products. However, companies may share truthful and not misleading information that is otherwise consistent with a product’s FDA-approved labeling.</w:t>
      </w:r>
    </w:p>
    <w:p>
      <w:pPr>
        <w:spacing w:after="0" w:line="170" w:lineRule="exact"/>
        <w:rPr>
          <w:sz w:val="20"/>
          <w:szCs w:val="20"/>
          <w:color w:val="auto"/>
        </w:rPr>
      </w:pPr>
    </w:p>
    <w:p>
      <w:pPr>
        <w:ind w:right="180" w:firstLine="393"/>
        <w:spacing w:after="0" w:line="271" w:lineRule="auto"/>
        <w:rPr>
          <w:sz w:val="20"/>
          <w:szCs w:val="20"/>
          <w:color w:val="auto"/>
        </w:rPr>
      </w:pPr>
      <w:r>
        <w:rPr>
          <w:rFonts w:ascii="Arial" w:cs="Arial" w:eastAsia="Arial" w:hAnsi="Arial"/>
          <w:sz w:val="17"/>
          <w:szCs w:val="17"/>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Healthcare laws and regulations</w:t>
      </w:r>
    </w:p>
    <w:p>
      <w:pPr>
        <w:spacing w:after="0" w:line="121"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Pharmaceutical companies are subject to additional healthcare regulation and enforcement by the federal government and by authorities in the states in which they conduct their business, which may constrain the financial arrangements and relationships through which these companies and their partners research, sell, market and distribute any products for which marketing approval is obtained. Such laws include, without limitation, state and federal anti-kickback, fraud and abuse, false claims and transparency laws regarding drug pricing and payments and other transfer of value to physicians and other healthcare providers. If their operations are found to be in violation of any of such laws or any other governmental regulations that apply, they may be subject to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and future healthcare reform legislation</w:t>
      </w:r>
    </w:p>
    <w:p>
      <w:pPr>
        <w:spacing w:after="0" w:line="119"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In the United States, there have been, and likely will continue to be, a number of legislative and regulatory changes regarding the healthcare system directed at broadening the availability of health care, improving the quality of health care and containing or lowering the cost of health care. For example, in March 2010 the Affordable Care Act, or ACA, was enacted, which substantially changed the way health care is financed by both governmental and private insurers, and significantly impacted the U.S. pharmaceutical industry. The ACA, among other things, subjected biological products to potential competition by lower-cost biosimilars; expanded the types of entities eligible for the 340B drug discount program; introduced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or BBA, effective as of January 2019) point-of-sale discounts off</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560"/>
        <w:spacing w:after="0" w:line="300" w:lineRule="auto"/>
        <w:rPr>
          <w:sz w:val="20"/>
          <w:szCs w:val="20"/>
          <w:color w:val="auto"/>
        </w:rPr>
      </w:pPr>
      <w:r>
        <w:rPr>
          <w:rFonts w:ascii="Arial" w:cs="Arial" w:eastAsia="Arial" w:hAnsi="Arial"/>
          <w:sz w:val="17"/>
          <w:szCs w:val="17"/>
          <w:color w:val="auto"/>
        </w:rPr>
        <w:t>negotiated prices of applicable brand drugs to eligible beneficiaries during their coverage gap period, as a condition for the manufacturer’s outpatient drugs to be covered under Medicare Part D.</w:t>
      </w:r>
    </w:p>
    <w:p>
      <w:pPr>
        <w:spacing w:after="0" w:line="141" w:lineRule="exact"/>
        <w:rPr>
          <w:sz w:val="20"/>
          <w:szCs w:val="20"/>
          <w:color w:val="auto"/>
        </w:rPr>
      </w:pPr>
    </w:p>
    <w:p>
      <w:pPr>
        <w:ind w:right="60" w:firstLine="433"/>
        <w:spacing w:after="0" w:line="265" w:lineRule="auto"/>
        <w:rPr>
          <w:sz w:val="20"/>
          <w:szCs w:val="20"/>
          <w:color w:val="auto"/>
        </w:rPr>
      </w:pPr>
      <w:r>
        <w:rPr>
          <w:rFonts w:ascii="Arial" w:cs="Arial" w:eastAsia="Arial" w:hAnsi="Arial"/>
          <w:sz w:val="17"/>
          <w:szCs w:val="17"/>
          <w:color w:val="auto"/>
        </w:rPr>
        <w:t>Since its enactment, there have been judicial, administrative, executive and legislative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to, among other things, instruct certain governmental agencies to review and reconsider their existing policies and rules that limit access to health 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384"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in August 2011, the Budget Control Act of 2011, among other things, included aggregate reductions of Medicare payments to providers. These reductions went into effect on April 1, 2013, and, due to subsequent legislative amendments, will remain in effect through 2032, with the exception of a temporary suspension from May 1, 2020 through March 31, 2022, unless additional Congressional action is taken. On January 2, 2013, the American Taxpayer Relief Act of 2012 was signed into law, which, among other things, further reduced Medicare payments to several types of providers, including hospitals and cancer treatment centers, and increased the statute of limitations period for the government to recover overpayments to providers from three to five years.</w:t>
      </w:r>
    </w:p>
    <w:p>
      <w:pPr>
        <w:spacing w:after="0" w:line="160" w:lineRule="exact"/>
        <w:rPr>
          <w:sz w:val="20"/>
          <w:szCs w:val="20"/>
          <w:color w:val="auto"/>
        </w:rPr>
      </w:pPr>
    </w:p>
    <w:p>
      <w:pPr>
        <w:ind w:right="40" w:firstLine="433"/>
        <w:spacing w:after="0" w:line="244" w:lineRule="auto"/>
        <w:rPr>
          <w:sz w:val="20"/>
          <w:szCs w:val="20"/>
          <w:color w:val="auto"/>
        </w:rPr>
      </w:pPr>
      <w:r>
        <w:rPr>
          <w:rFonts w:ascii="Arial" w:cs="Arial" w:eastAsia="Arial" w:hAnsi="Arial"/>
          <w:sz w:val="17"/>
          <w:szCs w:val="17"/>
          <w:color w:val="auto"/>
        </w:rPr>
        <w:t>Moreover,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Payment methodologies may also be subject to changes in healthcare legislation and regulatory initiatives. For example, Centers for Medicare and Medicaid Services may develop new payment and delivery models, such as bundled payment models. There also has been heightened governmental scrutiny in the United States of pharmaceutical pricing practices in light of the rising cost of prescription drugs and biologics. Such scrutiny has resulted in several recent U.S. Congressional inquiries and proposed and enacted federal and state</w:t>
      </w:r>
    </w:p>
    <w:p>
      <w:pPr>
        <w:spacing w:after="0" w:line="4"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legislation designed to, among other things, bring more transparency to drug pricing, reduce the cost of prescription drugs under Medicare, review the relationship between pricing and manufacturer patient programs and reform government program reimbursement methodologies for</w:t>
      </w:r>
    </w:p>
    <w:p>
      <w:pPr>
        <w:spacing w:after="0" w:line="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drugs. By way of example, in August 2022, the Inflation Reduction Act of 2022, or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or the impact of the IRA on our business.</w:t>
      </w:r>
    </w:p>
    <w:p>
      <w:pPr>
        <w:spacing w:after="0" w:line="185"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At the state level, legislatures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67" w:lineRule="exact"/>
        <w:rPr>
          <w:sz w:val="20"/>
          <w:szCs w:val="20"/>
          <w:color w:val="auto"/>
        </w:rPr>
      </w:pPr>
    </w:p>
    <w:p>
      <w:pPr>
        <w:jc w:val="both"/>
        <w:ind w:right="140" w:firstLine="393"/>
        <w:spacing w:after="0" w:line="278" w:lineRule="auto"/>
        <w:rPr>
          <w:sz w:val="20"/>
          <w:szCs w:val="20"/>
          <w:color w:val="auto"/>
        </w:rPr>
      </w:pPr>
      <w:r>
        <w:rPr>
          <w:rFonts w:ascii="Arial" w:cs="Arial" w:eastAsia="Arial" w:hAnsi="Arial"/>
          <w:sz w:val="17"/>
          <w:szCs w:val="17"/>
          <w:color w:val="auto"/>
        </w:rPr>
        <w:t>We expect that additional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pricing and reimbursement</w:t>
      </w:r>
    </w:p>
    <w:p>
      <w:pPr>
        <w:spacing w:after="0" w:line="119" w:lineRule="exact"/>
        <w:rPr>
          <w:sz w:val="20"/>
          <w:szCs w:val="20"/>
          <w:color w:val="auto"/>
        </w:rPr>
      </w:pPr>
    </w:p>
    <w:p>
      <w:pPr>
        <w:ind w:right="280" w:firstLine="393"/>
        <w:spacing w:after="0" w:line="271"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obtain regulatory approval. Sales of any products for which we receive regulatory approval for commercial sale will depend, in part, on the extent to which third-party payors provide coverage and establish adequate reimbursement levels for such drug products. In the United States, third-party payors include federal and state healthcare programs, government authorities, private manage care providers, private health insurers and other</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80"/>
        <w:spacing w:after="0" w:line="300" w:lineRule="auto"/>
        <w:rPr>
          <w:sz w:val="20"/>
          <w:szCs w:val="20"/>
          <w:color w:val="auto"/>
        </w:rPr>
      </w:pPr>
      <w:r>
        <w:rPr>
          <w:rFonts w:ascii="Arial" w:cs="Arial" w:eastAsia="Arial" w:hAnsi="Arial"/>
          <w:sz w:val="17"/>
          <w:szCs w:val="17"/>
          <w:color w:val="auto"/>
        </w:rPr>
        <w:t>organizations. For products administered under the supervision of a physician, obtaining coverage and adequate reimbursement may be particularly difficult because of the higher prices often associated with such drugs.</w:t>
      </w:r>
    </w:p>
    <w:p>
      <w:pPr>
        <w:spacing w:after="0" w:line="141"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may need to conduct expensive pharmaco-economic studies in order to demonstrate the medical necessity and cost-effectiveness of our product candidates, if approved, in addition to the costs required to obtain the FDA approvals. Nonetheless, our product candidates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179"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could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outside of the United States</w:t>
      </w:r>
    </w:p>
    <w:p>
      <w:pPr>
        <w:spacing w:after="0" w:line="119" w:lineRule="exact"/>
        <w:rPr>
          <w:sz w:val="20"/>
          <w:szCs w:val="20"/>
          <w:color w:val="auto"/>
        </w:rPr>
      </w:pPr>
    </w:p>
    <w:p>
      <w:pPr>
        <w:ind w:right="60" w:firstLine="393"/>
        <w:spacing w:after="0" w:line="263" w:lineRule="auto"/>
        <w:rPr>
          <w:sz w:val="20"/>
          <w:szCs w:val="20"/>
          <w:color w:val="auto"/>
        </w:rPr>
      </w:pPr>
      <w:r>
        <w:rPr>
          <w:rFonts w:ascii="Arial" w:cs="Arial" w:eastAsia="Arial" w:hAnsi="Arial"/>
          <w:sz w:val="17"/>
          <w:szCs w:val="17"/>
          <w:color w:val="auto"/>
        </w:rPr>
        <w:t>In addition to regulations in the United States, we may be subject to a variety of regulations in foreign jurisdictions that govern, among other things, preclinical and clinical studies, commercial sales and distribution of our future products. Most countries outside of the United States, including the European Union, or the EU, require that clinical trial applications be submitted to and approved by the local regulatory authority for each clinical study. In addition, whether or not we obtain FDA approval for a product candidate, we must obtain the requisite approval from comparable regulatory authorities outside the United States before we can commence clinical studies or marketing of the product candidate in those countries. The requirements and process governing the conduct of clinical trials, approval,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Non-clinical studies and clinical trials in the European Union</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Similar to the United States, the various phases of non-clinical and clinical research in the EU are subject to significant regulatory controls.</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Non-clinical studies are performed to demonstrate the health or environmental safety of new biological substances. Non-clinical studies must be conducted in compliance with the principles of good laboratory practice, or GLP, as set forth in EU Directive 2004/10/EC.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Clinical trials of medicinal products in the EU must be conducted in accordance with EU and national regulations and the International Conference on Harmonization, or ICH, guidelines on good clinical practices, or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regulatory landscape related to clinical trials in the EU has been subject to recent changes. The EU Clinical Trials Regulation, or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While the Clinical Trials Directive required a separate clinical trial application, or CTA, to be submitted in each member state, to both the competent national health authority and an independent ethics committee, much like the FDA and IRB respectively,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Clinical Trials Directive remain governed by said Directive until January 31, 2025. After this date, all clinical trials (including those which are ongoing) will become subject to the provisions of the CTR.</w:t>
      </w:r>
    </w:p>
    <w:p>
      <w:pPr>
        <w:spacing w:after="0" w:line="166"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Medicines used in clinical trials must be manufactured in accordance with good manufacturing practice. Other national and EU-wide regulatory requirements may also apply.</w:t>
      </w:r>
    </w:p>
    <w:p>
      <w:pPr>
        <w:spacing w:after="0" w:line="141"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color w:val="auto"/>
        </w:rPr>
        <w:t>The aforementioned EU rules are generally applicable in the European Economic Area, which consists of the 27 EU member states plus Norway, Liechtenstein and Iceland.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Regulation of drug products and healthcare laws and regulations outside of the United States</w:t>
      </w:r>
    </w:p>
    <w:p>
      <w:pPr>
        <w:spacing w:after="0" w:line="119" w:lineRule="exact"/>
        <w:rPr>
          <w:sz w:val="20"/>
          <w:szCs w:val="20"/>
          <w:color w:val="auto"/>
        </w:rPr>
      </w:pPr>
    </w:p>
    <w:p>
      <w:pPr>
        <w:ind w:right="180" w:firstLine="393"/>
        <w:spacing w:after="0" w:line="266" w:lineRule="auto"/>
        <w:rPr>
          <w:sz w:val="20"/>
          <w:szCs w:val="20"/>
          <w:color w:val="auto"/>
        </w:rPr>
      </w:pPr>
      <w:r>
        <w:rPr>
          <w:rFonts w:ascii="Arial" w:cs="Arial" w:eastAsia="Arial" w:hAnsi="Arial"/>
          <w:sz w:val="17"/>
          <w:szCs w:val="17"/>
          <w:color w:val="auto"/>
        </w:rPr>
        <w:t>Our product candidates may be subject in the future to laws and regulations related to drug products and health care imposed by jurisdictions outside of the United States, including the European Union, or EU, which may include, for instance, applicable post-marketing requirements, including safety surveillance, anti-fraud and abuse laws and implementation of corporate compliance programs and reporting of payments or other transfers of value to healthcare professionals. Outside of the United States, the provision of health care, including the pricing of pharmaceutical products, is subject to governmental control in many countries, and efforts to control prices and costs, including legislative action, will likely continue as countries attempt to manage healthcare expenditures.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privacy and security laws</w:t>
      </w:r>
    </w:p>
    <w:p>
      <w:pPr>
        <w:spacing w:after="0" w:line="119" w:lineRule="exact"/>
        <w:rPr>
          <w:sz w:val="20"/>
          <w:szCs w:val="20"/>
          <w:color w:val="auto"/>
        </w:rPr>
      </w:pPr>
    </w:p>
    <w:p>
      <w:pPr>
        <w:ind w:right="60" w:firstLine="393"/>
        <w:spacing w:after="0" w:line="261" w:lineRule="auto"/>
        <w:rPr>
          <w:sz w:val="20"/>
          <w:szCs w:val="20"/>
          <w:color w:val="auto"/>
        </w:rPr>
      </w:pPr>
      <w:r>
        <w:rPr>
          <w:rFonts w:ascii="Arial" w:cs="Arial" w:eastAsia="Arial" w:hAnsi="Arial"/>
          <w:sz w:val="17"/>
          <w:szCs w:val="17"/>
          <w:color w:val="auto"/>
        </w:rPr>
        <w:t>Numerous state, federal and foreign laws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the Health Insurance Portability and Accountability Act, or HIPAA, and federal and state consumer protection laws and regulations that govern the collection, use, disclosure, and protection of health-related and other personal information could apply now or in the future to our operations or the operations of our partners. In addition, certain state and non-U.S. laws, such as the California Consumer Privacy Act of 2018, the California Privacy Rights Act of 2020, and the General Data Protection Regulation, or GDPR, and the U.K.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Laws and regulations governing international operations</w:t>
      </w:r>
    </w:p>
    <w:p>
      <w:pPr>
        <w:spacing w:after="0" w:line="119"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If we further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3"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by U.S. authorities that enforce the FCPA, including the Department of Justice, to be foreign officials. Certain payments to hospitals in connection with clinical trials and other work have been deemed to be improper payments to government officials and have led to FCPA enforcement actions.</w:t>
      </w:r>
    </w:p>
    <w:p>
      <w:pPr>
        <w:spacing w:after="0" w:line="167"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67" w:lineRule="exact"/>
        <w:rPr>
          <w:sz w:val="20"/>
          <w:szCs w:val="20"/>
          <w:color w:val="auto"/>
        </w:rPr>
      </w:pPr>
    </w:p>
    <w:p>
      <w:pPr>
        <w:ind w:right="40" w:firstLine="393"/>
        <w:spacing w:after="0" w:line="278" w:lineRule="auto"/>
        <w:rPr>
          <w:sz w:val="20"/>
          <w:szCs w:val="20"/>
          <w:color w:val="auto"/>
        </w:rPr>
      </w:pPr>
      <w:r>
        <w:rPr>
          <w:rFonts w:ascii="Arial" w:cs="Arial" w:eastAsia="Arial" w:hAnsi="Arial"/>
          <w:sz w:val="17"/>
          <w:szCs w:val="17"/>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21" w:lineRule="exact"/>
        <w:rPr>
          <w:sz w:val="20"/>
          <w:szCs w:val="20"/>
          <w:color w:val="auto"/>
        </w:rPr>
      </w:pPr>
    </w:p>
    <w:p>
      <w:pPr>
        <w:ind w:right="60" w:firstLine="433"/>
        <w:spacing w:after="0" w:line="275" w:lineRule="auto"/>
        <w:rPr>
          <w:sz w:val="20"/>
          <w:szCs w:val="20"/>
          <w:color w:val="auto"/>
        </w:rPr>
      </w:pPr>
      <w:r>
        <w:rPr>
          <w:rFonts w:ascii="Arial" w:cs="Arial" w:eastAsia="Arial" w:hAnsi="Arial"/>
          <w:sz w:val="17"/>
          <w:szCs w:val="17"/>
          <w:color w:val="auto"/>
        </w:rPr>
        <w:t xml:space="preserve">At Praxis, we are fiercely dedicated to our mission to translate genetic insights into the development of therapies for CNS disorders characterized by neuronal imbalance. We strive each day to innovate and adapt to deliver treatments that could potentially change the course of CNS disorders and to do so based on a culture built to attract, develop and retain a talent-dense workforce. We are committed to developing our culture and our employees through our company core values – </w:t>
      </w:r>
      <w:r>
        <w:rPr>
          <w:rFonts w:ascii="Arial" w:cs="Arial" w:eastAsia="Arial" w:hAnsi="Arial"/>
          <w:sz w:val="17"/>
          <w:szCs w:val="17"/>
          <w:b w:val="1"/>
          <w:bCs w:val="1"/>
          <w:i w:val="1"/>
          <w:iCs w:val="1"/>
          <w:color w:val="auto"/>
        </w:rPr>
        <w:t>Trust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Curiosity</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Results</w:t>
      </w:r>
      <w:r>
        <w:rPr>
          <w:rFonts w:ascii="Arial" w:cs="Arial" w:eastAsia="Arial" w:hAnsi="Arial"/>
          <w:sz w:val="17"/>
          <w:szCs w:val="17"/>
          <w:color w:val="auto"/>
        </w:rPr>
        <w:t>.</w:t>
      </w:r>
    </w:p>
    <w:p>
      <w:pPr>
        <w:spacing w:after="0" w:line="153" w:lineRule="exact"/>
        <w:rPr>
          <w:sz w:val="20"/>
          <w:szCs w:val="20"/>
          <w:color w:val="auto"/>
        </w:rPr>
      </w:pPr>
    </w:p>
    <w:p>
      <w:pPr>
        <w:ind w:right="180" w:firstLine="433"/>
        <w:spacing w:after="0" w:line="300" w:lineRule="auto"/>
        <w:rPr>
          <w:sz w:val="20"/>
          <w:szCs w:val="20"/>
          <w:color w:val="auto"/>
        </w:rPr>
      </w:pPr>
      <w:r>
        <w:rPr>
          <w:rFonts w:ascii="Arial" w:cs="Arial" w:eastAsia="Arial" w:hAnsi="Arial"/>
          <w:sz w:val="17"/>
          <w:szCs w:val="17"/>
          <w:color w:val="auto"/>
        </w:rPr>
        <w:t>It is the strength of our culture and our work environment that allow us to attract top talent to Praxis. As of February 3, 2023, we have 109 employees and plan to grow as we continue to realize the potential of our pipeline.</w:t>
      </w:r>
    </w:p>
    <w:p>
      <w:pPr>
        <w:spacing w:after="0" w:line="141"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b w:val="1"/>
          <w:bCs w:val="1"/>
          <w:i w:val="1"/>
          <w:iCs w:val="1"/>
          <w:color w:val="auto"/>
        </w:rPr>
        <w:t>Trust</w:t>
      </w:r>
      <w:r>
        <w:rPr>
          <w:rFonts w:ascii="Arial" w:cs="Arial" w:eastAsia="Arial" w:hAnsi="Arial"/>
          <w:sz w:val="17"/>
          <w:szCs w:val="17"/>
          <w:color w:val="auto"/>
        </w:rPr>
        <w:t xml:space="preserve"> each other’s judgement, which is why we do not implement excessive policies. We value transparency among team members that leads to direct, clear, and timely feedback so we can all improve together. We commit to be one another’s checks and balances. We respect all opinions and encourage diversity. Discrimination is never tolerated. Because we trust employees to have good judgment, there is a lot of freedom built into the way we operate. As an example, we do not have prescriptive policies on vacation, sick or personal time – we encourage employees to take that time as they need it and align with their manager about their plans.</w:t>
      </w:r>
    </w:p>
    <w:p>
      <w:pPr>
        <w:spacing w:after="0" w:line="167"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 xml:space="preserve">We have adapted to new working methodologies that embrace a virtual and cooperative work environment while emphasizing personal </w:t>
      </w:r>
      <w:r>
        <w:rPr>
          <w:rFonts w:ascii="Arial" w:cs="Arial" w:eastAsia="Arial" w:hAnsi="Arial"/>
          <w:sz w:val="17"/>
          <w:szCs w:val="17"/>
          <w:b w:val="1"/>
          <w:bCs w:val="1"/>
          <w:i w:val="1"/>
          <w:iCs w:val="1"/>
          <w:color w:val="auto"/>
        </w:rPr>
        <w:t xml:space="preserve">Ownership </w:t>
      </w:r>
      <w:r>
        <w:rPr>
          <w:rFonts w:ascii="Arial" w:cs="Arial" w:eastAsia="Arial" w:hAnsi="Arial"/>
          <w:sz w:val="17"/>
          <w:szCs w:val="17"/>
          <w:color w:val="auto"/>
        </w:rPr>
        <w:t>for actions and outcomes. We want employees to own projects and stay engaged through communication, but we also make sure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know that Praxis is not a nine-to-five culture. We are a culture where employees have real accountability as we all work towards a greater goal. Our headquarters is designated as a collaborative workspace where we gather in teams or as a company when practical and safe. Being able to own projects, while expressing when you need a break, is something we value. Allowing employees to best structure their days to their needs is one of the most important foundations we believe is necessary for having a sturdy organization.</w:t>
      </w:r>
    </w:p>
    <w:p>
      <w:pPr>
        <w:spacing w:after="0" w:line="169" w:lineRule="exact"/>
        <w:rPr>
          <w:sz w:val="20"/>
          <w:szCs w:val="20"/>
          <w:color w:val="auto"/>
        </w:rPr>
      </w:pPr>
    </w:p>
    <w:p>
      <w:pPr>
        <w:ind w:right="20" w:firstLine="433"/>
        <w:spacing w:after="0" w:line="278" w:lineRule="auto"/>
        <w:rPr>
          <w:sz w:val="20"/>
          <w:szCs w:val="20"/>
          <w:color w:val="auto"/>
        </w:rPr>
      </w:pPr>
      <w:r>
        <w:rPr>
          <w:rFonts w:ascii="Arial" w:cs="Arial" w:eastAsia="Arial" w:hAnsi="Arial"/>
          <w:sz w:val="17"/>
          <w:szCs w:val="17"/>
          <w:b w:val="1"/>
          <w:bCs w:val="1"/>
          <w:i w:val="1"/>
          <w:iCs w:val="1"/>
          <w:color w:val="auto"/>
        </w:rPr>
        <w:t xml:space="preserve">Curiosity </w:t>
      </w:r>
      <w:r>
        <w:rPr>
          <w:rFonts w:ascii="Arial" w:cs="Arial" w:eastAsia="Arial" w:hAnsi="Arial"/>
          <w:sz w:val="17"/>
          <w:szCs w:val="17"/>
          <w:color w:val="auto"/>
        </w:rPr>
        <w:t>is at the center of innovation, and we are always asking how we can better help our patients. We love to learn. One day a month,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commit to what we call “Curiosity Day.” We ask our employees to step away from the computer, meetings and calls for a single day to focus solely on being curious – whether that means</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catching up on professional articles or journals, diving deeper into a rare disease we do not currently support, challenging ourselves by exploring an area outside our comfort zone, perfecting a new skill, or even taking some time to safely enjoy the outdoors. These opportunities have a positive impact on our employees, and enable them to bring the new knowledge and learnings to the work they do and increase the ability to deliver on our mission.</w:t>
      </w:r>
    </w:p>
    <w:p>
      <w:pPr>
        <w:spacing w:after="0" w:line="166" w:lineRule="exact"/>
        <w:rPr>
          <w:sz w:val="20"/>
          <w:szCs w:val="20"/>
          <w:color w:val="auto"/>
        </w:rPr>
      </w:pPr>
    </w:p>
    <w:p>
      <w:pPr>
        <w:jc w:val="both"/>
        <w:ind w:right="580" w:firstLine="433"/>
        <w:spacing w:after="0" w:line="278" w:lineRule="auto"/>
        <w:rPr>
          <w:sz w:val="20"/>
          <w:szCs w:val="20"/>
          <w:color w:val="auto"/>
        </w:rPr>
      </w:pPr>
      <w:r>
        <w:rPr>
          <w:rFonts w:ascii="Arial" w:cs="Arial" w:eastAsia="Arial" w:hAnsi="Arial"/>
          <w:sz w:val="17"/>
          <w:szCs w:val="17"/>
          <w:color w:val="auto"/>
        </w:rPr>
        <w:t xml:space="preserve">As we pursue objectives to achieve the ultimate </w:t>
      </w:r>
      <w:r>
        <w:rPr>
          <w:rFonts w:ascii="Arial" w:cs="Arial" w:eastAsia="Arial" w:hAnsi="Arial"/>
          <w:sz w:val="17"/>
          <w:szCs w:val="17"/>
          <w:b w:val="1"/>
          <w:bCs w:val="1"/>
          <w:i w:val="1"/>
          <w:iCs w:val="1"/>
          <w:color w:val="auto"/>
        </w:rPr>
        <w:t>Results</w:t>
      </w:r>
      <w:r>
        <w:rPr>
          <w:rFonts w:ascii="Arial" w:cs="Arial" w:eastAsia="Arial" w:hAnsi="Arial"/>
          <w:sz w:val="17"/>
          <w:szCs w:val="17"/>
          <w:color w:val="auto"/>
        </w:rPr>
        <w:t>, we challenge ourselves daily. Through trust, ownership and curiosity, our employees are positioned to leave lasting results that reach the communities we serve. At the end of the day, the magic we witness when employees put their minds together is what we are most proud of as a company.</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identifying our employer value proposition, we have highlighted the following aspects of working at Praxis:</w:t>
      </w:r>
    </w:p>
    <w:p>
      <w:pPr>
        <w:spacing w:after="0" w:line="170" w:lineRule="exact"/>
        <w:rPr>
          <w:sz w:val="20"/>
          <w:szCs w:val="20"/>
          <w:color w:val="auto"/>
        </w:rPr>
      </w:pPr>
    </w:p>
    <w:p>
      <w:pPr>
        <w:ind w:left="640" w:hanging="320"/>
        <w:spacing w:after="0" w:line="272"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Building. </w:t>
      </w:r>
      <w:r>
        <w:rPr>
          <w:rFonts w:ascii="Arial" w:cs="Arial" w:eastAsia="Arial" w:hAnsi="Arial"/>
          <w:sz w:val="17"/>
          <w:szCs w:val="17"/>
          <w:color w:val="auto"/>
        </w:rPr>
        <w:t>Our approach to building a robust clinical pipeline provides a platform and forum for exploration and innovation. At Praxis, we</w:t>
      </w:r>
      <w:r>
        <w:rPr>
          <w:rFonts w:ascii="Arial" w:cs="Arial" w:eastAsia="Arial" w:hAnsi="Arial"/>
          <w:sz w:val="17"/>
          <w:szCs w:val="17"/>
          <w:b w:val="1"/>
          <w:bCs w:val="1"/>
          <w:color w:val="auto"/>
        </w:rPr>
        <w:t xml:space="preserve"> </w:t>
      </w:r>
      <w:r>
        <w:rPr>
          <w:rFonts w:ascii="Arial" w:cs="Arial" w:eastAsia="Arial" w:hAnsi="Arial"/>
          <w:sz w:val="17"/>
          <w:szCs w:val="17"/>
          <w:color w:val="auto"/>
        </w:rPr>
        <w:t>are all involved in building the company together, and as a flat and agile organization, each employee has an impact. With our company values of Trust, Ownership, Curiosity and Results as the foundation of our efforts, we are challenged to question each other and our own assumptions to deliver treatments for patients and caregivers.</w:t>
      </w:r>
    </w:p>
    <w:p>
      <w:pPr>
        <w:spacing w:after="0" w:line="110" w:lineRule="exact"/>
        <w:rPr>
          <w:rFonts w:ascii="Arial" w:cs="Arial" w:eastAsia="Arial" w:hAnsi="Arial"/>
          <w:sz w:val="17"/>
          <w:szCs w:val="17"/>
          <w:color w:val="auto"/>
        </w:rPr>
      </w:pPr>
    </w:p>
    <w:p>
      <w:pPr>
        <w:ind w:left="640" w:right="240" w:hanging="320"/>
        <w:spacing w:after="0" w:line="272"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Caring. </w:t>
      </w:r>
      <w:r>
        <w:rPr>
          <w:rFonts w:ascii="Arial" w:cs="Arial" w:eastAsia="Arial" w:hAnsi="Arial"/>
          <w:sz w:val="17"/>
          <w:szCs w:val="17"/>
          <w:color w:val="auto"/>
        </w:rPr>
        <w:t>Our people, the patient communities we serve and their caregivers and families are at the forefront of our efforts. Our ways of</w:t>
      </w:r>
      <w:r>
        <w:rPr>
          <w:rFonts w:ascii="Arial" w:cs="Arial" w:eastAsia="Arial" w:hAnsi="Arial"/>
          <w:sz w:val="17"/>
          <w:szCs w:val="17"/>
          <w:b w:val="1"/>
          <w:bCs w:val="1"/>
          <w:color w:val="auto"/>
        </w:rPr>
        <w:t xml:space="preserve"> </w:t>
      </w:r>
      <w:r>
        <w:rPr>
          <w:rFonts w:ascii="Arial" w:cs="Arial" w:eastAsia="Arial" w:hAnsi="Arial"/>
          <w:sz w:val="17"/>
          <w:szCs w:val="17"/>
          <w:color w:val="auto"/>
        </w:rPr>
        <w:t>working are team-based and focused on co-creation, with respect for all opinions and points of view. We show we care by giving and receiving candid feedback, and we support curiosity and ownership for all aspects of our business. This environment fuels our growth and propels us forward.</w:t>
      </w:r>
    </w:p>
    <w:p>
      <w:pPr>
        <w:spacing w:after="0" w:line="110" w:lineRule="exact"/>
        <w:rPr>
          <w:rFonts w:ascii="Arial" w:cs="Arial" w:eastAsia="Arial" w:hAnsi="Arial"/>
          <w:sz w:val="17"/>
          <w:szCs w:val="17"/>
          <w:color w:val="auto"/>
        </w:rPr>
      </w:pPr>
    </w:p>
    <w:p>
      <w:pPr>
        <w:ind w:left="640" w:right="60" w:hanging="320"/>
        <w:spacing w:after="0" w:line="280"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Grit. </w:t>
      </w:r>
      <w:r>
        <w:rPr>
          <w:rFonts w:ascii="Arial" w:cs="Arial" w:eastAsia="Arial" w:hAnsi="Arial"/>
          <w:sz w:val="17"/>
          <w:szCs w:val="17"/>
          <w:color w:val="auto"/>
        </w:rPr>
        <w:t>Delivering life-altering treatments for CNS disorders is incredibly demanding, but our focus on patients with unmet needs highlights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urgency to deliver effective treatments faster and more effectively than ever before. Our employees are passionate and persistent about transforming neuroscience because of the incredible need to positively change the lives of patients with CNS disorders.</w:t>
      </w:r>
    </w:p>
    <w:p>
      <w:pPr>
        <w:spacing w:after="0" w:line="100" w:lineRule="exact"/>
        <w:rPr>
          <w:rFonts w:ascii="Arial" w:cs="Arial" w:eastAsia="Arial" w:hAnsi="Arial"/>
          <w:sz w:val="17"/>
          <w:szCs w:val="17"/>
          <w:color w:val="auto"/>
        </w:rPr>
      </w:pPr>
    </w:p>
    <w:p>
      <w:pPr>
        <w:ind w:left="640" w:right="80" w:hanging="320"/>
        <w:spacing w:after="0" w:line="245"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Dare For More</w:t>
      </w:r>
      <w:r>
        <w:rPr>
          <w:rFonts w:ascii="Arial" w:cs="Arial" w:eastAsia="Arial" w:hAnsi="Arial"/>
          <w:sz w:val="22"/>
          <w:szCs w:val="22"/>
          <w:b w:val="1"/>
          <w:bCs w:val="1"/>
          <w:color w:val="auto"/>
          <w:vertAlign w:val="superscript"/>
        </w:rPr>
        <w:t>TM</w:t>
      </w:r>
      <w:r>
        <w:rPr>
          <w:rFonts w:ascii="Arial" w:cs="Arial" w:eastAsia="Arial" w:hAnsi="Arial"/>
          <w:sz w:val="17"/>
          <w:szCs w:val="17"/>
          <w:b w:val="1"/>
          <w:bCs w:val="1"/>
          <w:color w:val="auto"/>
        </w:rPr>
        <w:t xml:space="preserve">. </w:t>
      </w:r>
      <w:r>
        <w:rPr>
          <w:rFonts w:ascii="Arial" w:cs="Arial" w:eastAsia="Arial" w:hAnsi="Arial"/>
          <w:sz w:val="17"/>
          <w:szCs w:val="17"/>
          <w:color w:val="auto"/>
        </w:rPr>
        <w:t>We Dare For More</w:t>
      </w:r>
      <w:r>
        <w:rPr>
          <w:rFonts w:ascii="Arial" w:cs="Arial" w:eastAsia="Arial" w:hAnsi="Arial"/>
          <w:sz w:val="22"/>
          <w:szCs w:val="22"/>
          <w:color w:val="auto"/>
          <w:vertAlign w:val="superscript"/>
        </w:rPr>
        <w:t>TM</w:t>
      </w:r>
      <w:r>
        <w:rPr>
          <w:rFonts w:ascii="Arial" w:cs="Arial" w:eastAsia="Arial" w:hAnsi="Arial"/>
          <w:sz w:val="17"/>
          <w:szCs w:val="17"/>
          <w:b w:val="1"/>
          <w:bCs w:val="1"/>
          <w:color w:val="auto"/>
        </w:rPr>
        <w:t xml:space="preserve"> </w:t>
      </w:r>
      <w:r>
        <w:rPr>
          <w:rFonts w:ascii="Arial" w:cs="Arial" w:eastAsia="Arial" w:hAnsi="Arial"/>
          <w:sz w:val="17"/>
          <w:szCs w:val="17"/>
          <w:color w:val="auto"/>
        </w:rPr>
        <w:t>in every aspect of our journey, from the patients we are working for, to the portfolio we build and</w:t>
      </w:r>
      <w:r>
        <w:rPr>
          <w:rFonts w:ascii="Arial" w:cs="Arial" w:eastAsia="Arial" w:hAnsi="Arial"/>
          <w:sz w:val="17"/>
          <w:szCs w:val="17"/>
          <w:b w:val="1"/>
          <w:bCs w:val="1"/>
          <w:color w:val="auto"/>
        </w:rPr>
        <w:t xml:space="preserve"> </w:t>
      </w:r>
      <w:r>
        <w:rPr>
          <w:rFonts w:ascii="Arial" w:cs="Arial" w:eastAsia="Arial" w:hAnsi="Arial"/>
          <w:sz w:val="17"/>
          <w:szCs w:val="17"/>
          <w:color w:val="auto"/>
        </w:rPr>
        <w:t>advance every day, and quite importantly ourselves and our fellow team members. People stay at Praxis to surround themselves with exceedingly motivated and passionate peers who highly value consistent excellence in their colleagues.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1"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Our Internet address is http://praxismedicines.com. Our Annual Reports on Form 10-K, Quarterly Reports on Form 10-Q, Current Reports on Form 8-K, including exhibits, proxy and information statements and amendments to those reports filed or furnished pursuant to Sections 13(a) and 15(d) of the Exchange Act are available through the “Investors + Media” portion of our website free of charge as soon as reasonably practicable after we electronically file such material with, or furnish it to, the SEC. Information on our website is not part of this Annual Report on Form 10-K or any of our other securities filings unless specifically incorporated herein by reference. In addition,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1"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contained in this Annual Report on Form 10-K, including our consolidated financial statements and the related notes appearing elsewhere in this Annual Report on Form 10-K and in our other filings with the Securities and Exchange Commission, or SEC, before deciding to invest in our common stock. The risks described below are not the only risks facing our company. The occurrence of any of the following risks, or of additional risks and uncertainties not presently known to us or that we currently believe to be immaterial, could cause our business, prospects, operating results and financial condition to suffer materially. In such event, the trading price of our common stock could decline, and you might lose all or part of your investment.</w:t>
      </w:r>
    </w:p>
    <w:p>
      <w:pPr>
        <w:spacing w:after="0" w:line="66" w:lineRule="exact"/>
        <w:rPr>
          <w:sz w:val="20"/>
          <w:szCs w:val="20"/>
          <w:color w:val="auto"/>
        </w:rPr>
      </w:pPr>
    </w:p>
    <w:p>
      <w:pPr>
        <w:ind w:right="5300"/>
        <w:spacing w:after="0" w:line="387" w:lineRule="auto"/>
        <w:rPr>
          <w:sz w:val="20"/>
          <w:szCs w:val="20"/>
          <w:color w:val="auto"/>
        </w:rPr>
      </w:pPr>
      <w:r>
        <w:rPr>
          <w:rFonts w:ascii="Arial" w:cs="Arial" w:eastAsia="Arial" w:hAnsi="Arial"/>
          <w:sz w:val="17"/>
          <w:szCs w:val="17"/>
          <w:b w:val="1"/>
          <w:bCs w:val="1"/>
          <w:color w:val="auto"/>
        </w:rPr>
        <w:t xml:space="preserve">Risks Related to Our Financial Position and Need for Additional Capital </w:t>
      </w:r>
      <w:r>
        <w:rPr>
          <w:rFonts w:ascii="Arial" w:cs="Arial" w:eastAsia="Arial" w:hAnsi="Arial"/>
          <w:sz w:val="17"/>
          <w:szCs w:val="17"/>
          <w:u w:val="single" w:color="auto"/>
          <w:color w:val="auto"/>
        </w:rPr>
        <w:t>Risks Related to Past Financial Condition</w:t>
      </w:r>
    </w:p>
    <w:p>
      <w:pPr>
        <w:spacing w:after="0" w:line="1" w:lineRule="exact"/>
        <w:rPr>
          <w:sz w:val="20"/>
          <w:szCs w:val="20"/>
          <w:color w:val="auto"/>
        </w:rPr>
      </w:pPr>
    </w:p>
    <w:p>
      <w:pPr>
        <w:ind w:right="60"/>
        <w:spacing w:after="0" w:line="310" w:lineRule="auto"/>
        <w:rPr>
          <w:sz w:val="20"/>
          <w:szCs w:val="20"/>
          <w:color w:val="auto"/>
        </w:rPr>
      </w:pPr>
      <w:r>
        <w:rPr>
          <w:rFonts w:ascii="Arial" w:cs="Arial" w:eastAsia="Arial" w:hAnsi="Arial"/>
          <w:sz w:val="17"/>
          <w:szCs w:val="17"/>
          <w:b w:val="1"/>
          <w:bCs w:val="1"/>
          <w:i w:val="1"/>
          <w:iCs w:val="1"/>
          <w:color w:val="auto"/>
        </w:rPr>
        <w:t>We are a clinical-stage biopharmaceutical company and we have incurred significant losses since our inception. We anticipate that we will continue to incur significant losses for the foreseeable future.</w:t>
      </w:r>
    </w:p>
    <w:p>
      <w:pPr>
        <w:spacing w:after="0" w:line="20"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 products approved for commercial sale and have not generated any revenue to date, and we will continue to incur significant research and development and other expenses related to our clinical development and ongoing operations. As a result, we are not profitable and have incurred losses in each period since our inception. Since our inception, we have devoted substantially all of our financial resources and efforts to research and development, including preclinical studies and our clinical trials. Our financial condition and operating results, including net losses, may fluctuate significantly from quarter to quarter and year to year. Accordingly, you should not rely upon the results of any quarterly or annual periods as indications of future operating performance. Additionally, net losses and negative cash flows have had, and will continue to have, an adverse effect on our stockholders’ equity and working capital. Our net losses were $214.0 million and $167.1 million for the years ended December 31, 2022 and 2021, respectively. As of December 31, 2022, we had an accumulated deficit of $530.6 million. We expect to continue to incur significant losses for the foreseeable future, and we expect these losses to increase as we continue our research and development of and seek regulatory approvals for our product candidates in our initial and potential additional indications as well as for other product candidates.</w:t>
      </w:r>
    </w:p>
    <w:p>
      <w:pPr>
        <w:spacing w:after="0" w:line="2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anticipate that our expenses will increase substantially if and as we:</w:t>
      </w:r>
    </w:p>
    <w:p>
      <w:pPr>
        <w:spacing w:after="0" w:line="119" w:lineRule="exact"/>
        <w:rPr>
          <w:sz w:val="20"/>
          <w:szCs w:val="20"/>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continue to develop and conduct clinical trials, including in expanded geographies such as Europe, for our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initiate and continue research and development, including preclinical, clinical and discovery efforts for any future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seek to identify additional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seek regulatory approvals for our product candidates that may successfully complete clinical development;</w:t>
      </w:r>
    </w:p>
    <w:p>
      <w:pPr>
        <w:spacing w:after="0" w:line="119" w:lineRule="exact"/>
        <w:rPr>
          <w:rFonts w:ascii="Arial" w:cs="Arial" w:eastAsia="Arial" w:hAnsi="Arial"/>
          <w:sz w:val="17"/>
          <w:szCs w:val="17"/>
          <w:color w:val="auto"/>
        </w:rPr>
      </w:pPr>
    </w:p>
    <w:p>
      <w:pPr>
        <w:ind w:left="640" w:right="320" w:hanging="320"/>
        <w:spacing w:after="0" w:line="300"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candidate development and help us comply with our obligations as a public company;</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hire and retain additional personnel, such as clinical, quality control, scientific, commercial and administrative personnel;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119" w:lineRule="exact"/>
        <w:rPr>
          <w:rFonts w:ascii="Arial" w:cs="Arial" w:eastAsia="Arial" w:hAnsi="Arial"/>
          <w:sz w:val="17"/>
          <w:szCs w:val="17"/>
          <w:color w:val="auto"/>
        </w:rPr>
      </w:pPr>
    </w:p>
    <w:p>
      <w:pPr>
        <w:ind w:left="640" w:right="240" w:hanging="320"/>
        <w:spacing w:after="0" w:line="300"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sales, marketing, distribution, manufacturing, supply chain and other commercial infrastructure in the future to commercialize various products for which we may obtain regulatory approval;</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add equipment and physical infrastructure to support our research and development;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acquire or in-license other product candidates and technologies.</w:t>
      </w:r>
    </w:p>
    <w:p>
      <w:pPr>
        <w:spacing w:after="0" w:line="119" w:lineRule="exact"/>
        <w:rPr>
          <w:sz w:val="20"/>
          <w:szCs w:val="20"/>
          <w:color w:val="auto"/>
        </w:rPr>
      </w:pPr>
    </w:p>
    <w:p>
      <w:pPr>
        <w:ind w:right="240" w:firstLine="433"/>
        <w:spacing w:after="0" w:line="300" w:lineRule="auto"/>
        <w:rPr>
          <w:sz w:val="20"/>
          <w:szCs w:val="20"/>
          <w:color w:val="auto"/>
        </w:rPr>
      </w:pPr>
      <w:r>
        <w:rPr>
          <w:rFonts w:ascii="Arial" w:cs="Arial" w:eastAsia="Arial" w:hAnsi="Arial"/>
          <w:sz w:val="17"/>
          <w:szCs w:val="17"/>
          <w:color w:val="auto"/>
        </w:rPr>
        <w:t>Our expenses could increase beyond our expectations if we are required by the U.S. Food and Drug Administration, or the FDA, or other regulatory authorities to perform clinical trials in addition to those that we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60"/>
        <w:spacing w:after="0" w:line="300" w:lineRule="auto"/>
        <w:rPr>
          <w:sz w:val="20"/>
          <w:szCs w:val="20"/>
          <w:color w:val="auto"/>
        </w:rPr>
      </w:pPr>
      <w:r>
        <w:rPr>
          <w:rFonts w:ascii="Arial" w:cs="Arial" w:eastAsia="Arial" w:hAnsi="Arial"/>
          <w:sz w:val="17"/>
          <w:szCs w:val="17"/>
          <w:color w:val="auto"/>
        </w:rPr>
        <w:t>currently expect, or if there are any delays in establishing appropriate manufacturing arrangements for or in completing our clinical trials or the development of any of our product candidates.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Future Financial Condition</w:t>
      </w:r>
    </w:p>
    <w:p>
      <w:pPr>
        <w:spacing w:after="0" w:line="119" w:lineRule="exact"/>
        <w:rPr>
          <w:sz w:val="20"/>
          <w:szCs w:val="20"/>
          <w:color w:val="auto"/>
        </w:rPr>
      </w:pPr>
    </w:p>
    <w:p>
      <w:pPr>
        <w:ind w:right="160"/>
        <w:spacing w:after="0" w:line="310"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discovery and development programs or commercialization efforts.</w:t>
      </w:r>
    </w:p>
    <w:p>
      <w:pPr>
        <w:spacing w:after="0" w:line="20"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Our operations have consumed substantial amounts of cash since inception. We expect to continue to spend substantial amounts to continue the preclinical and clinical development of our current and future programs. If we are able to gain marketing approval for our product candidates, we will require significant additional amounts of cash in order to launch and commercialize such product candidates to the extent that such launch and commercialization are not the responsibility of a future collaborator that we may contract with in the future.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commercialization of any product candidates we develop.</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future capital requirements depend on many factors, including:</w:t>
      </w:r>
    </w:p>
    <w:p>
      <w:pPr>
        <w:spacing w:after="0" w:line="119" w:lineRule="exact"/>
        <w:rPr>
          <w:sz w:val="20"/>
          <w:szCs w:val="20"/>
          <w:color w:val="auto"/>
        </w:rPr>
      </w:pPr>
    </w:p>
    <w:p>
      <w:pPr>
        <w:ind w:left="640" w:right="260" w:hanging="320"/>
        <w:spacing w:after="0" w:line="300"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current product candidates and other product candidates we may develop and pursue, including drug product manufacturing;</w:t>
      </w:r>
    </w:p>
    <w:p>
      <w:pPr>
        <w:spacing w:after="0" w:line="35" w:lineRule="exact"/>
        <w:rPr>
          <w:rFonts w:ascii="Arial" w:cs="Arial" w:eastAsia="Arial" w:hAnsi="Arial"/>
          <w:sz w:val="17"/>
          <w:szCs w:val="17"/>
          <w:color w:val="auto"/>
        </w:rPr>
      </w:pPr>
    </w:p>
    <w:p>
      <w:pPr>
        <w:ind w:left="640" w:right="440" w:hanging="320"/>
        <w:spacing w:after="0" w:line="300"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timing and uncertainty of, and the costs involved in, obtaining marketing approvals for our current product candidates, and other product candidates we may develop and pursue;</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of future product candidates that we may pursue and their development requirements;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of jurisdictions in which we plan to seek regulatory approvals;</w:t>
      </w:r>
    </w:p>
    <w:p>
      <w:pPr>
        <w:spacing w:after="0" w:line="119" w:lineRule="exact"/>
        <w:rPr>
          <w:rFonts w:ascii="Arial" w:cs="Arial" w:eastAsia="Arial" w:hAnsi="Arial"/>
          <w:sz w:val="17"/>
          <w:szCs w:val="17"/>
          <w:color w:val="auto"/>
        </w:rPr>
      </w:pPr>
    </w:p>
    <w:p>
      <w:pPr>
        <w:ind w:left="640" w:right="260" w:hanging="320"/>
        <w:spacing w:after="0" w:line="278"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approved, the costs of commercialization activities for our product candidates for any approved indications, or any other product candidate that receives regulatory approval to the extent such costs are not the responsibility of any future collaborators, including the costs and timing of establishing product sales, marketing, distribution and manufacturing capabilities;</w:t>
      </w:r>
    </w:p>
    <w:p>
      <w:pPr>
        <w:spacing w:after="0" w:line="55" w:lineRule="exact"/>
        <w:rPr>
          <w:rFonts w:ascii="Arial" w:cs="Arial" w:eastAsia="Arial" w:hAnsi="Arial"/>
          <w:sz w:val="17"/>
          <w:szCs w:val="17"/>
          <w:color w:val="auto"/>
        </w:rPr>
      </w:pPr>
    </w:p>
    <w:p>
      <w:pPr>
        <w:ind w:left="640" w:right="360" w:hanging="320"/>
        <w:spacing w:after="0" w:line="300"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subject to receipt of regulatory approval, revenue, if any, received from commercial sales of our product candidates for any approved indications or any other product candidates;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extent to which we in-license or acquire rights to other products, product candidates or technologies;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19" w:lineRule="exact"/>
        <w:rPr>
          <w:rFonts w:ascii="Arial" w:cs="Arial" w:eastAsia="Arial" w:hAnsi="Arial"/>
          <w:sz w:val="17"/>
          <w:szCs w:val="17"/>
          <w:color w:val="auto"/>
        </w:rPr>
      </w:pPr>
    </w:p>
    <w:p>
      <w:pPr>
        <w:ind w:left="640" w:right="80" w:hanging="320"/>
        <w:spacing w:after="0" w:line="300"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and maintaining and protecting our intellectual property rights, including enforcing and defending intellectual property related claims; and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ongoing costs of operating as a public company.</w:t>
      </w:r>
    </w:p>
    <w:p>
      <w:pPr>
        <w:spacing w:after="0" w:line="119"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Any of our current or future license agreements may also be terminated if we are unable to meet the payment or other obligations under the agreements.</w:t>
      </w:r>
    </w:p>
    <w:p>
      <w:pPr>
        <w:spacing w:after="0" w:line="61"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Based on our current operating plan, we believe that our cash, cash equivalents and marketable securities as of December 31, 2022 may not be sufficient to fund operations for at least the next twelve months from the date of issuance of our consolidated financial statements which raises substantial doubt about the our ability to continue as a going concern, and we will need to obtain additional funding.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In the event that we are unable to obtain sufficient additional funding, there can be no assurance that we will be able to continue as a going concern, and we will be forced to delay, reduce or discontinue our product candidate programs. If potential investors decline to participate in any future financings or potential collaborators decline to do business with us, our ability to increase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820"/>
        <w:spacing w:after="0" w:line="300" w:lineRule="auto"/>
        <w:rPr>
          <w:sz w:val="20"/>
          <w:szCs w:val="20"/>
          <w:color w:val="auto"/>
        </w:rPr>
      </w:pPr>
      <w:r>
        <w:rPr>
          <w:rFonts w:ascii="Arial" w:cs="Arial" w:eastAsia="Arial" w:hAnsi="Arial"/>
          <w:sz w:val="17"/>
          <w:szCs w:val="17"/>
          <w:color w:val="auto"/>
        </w:rPr>
        <w:t>our cash position may be limited. Furthermore, the price per share of our common stock could be materially adversely affected and our stockholders could lose part or all of their investment.</w:t>
      </w:r>
    </w:p>
    <w:p>
      <w:pPr>
        <w:spacing w:after="0" w:line="36" w:lineRule="exact"/>
        <w:rPr>
          <w:sz w:val="20"/>
          <w:szCs w:val="20"/>
          <w:color w:val="auto"/>
        </w:rPr>
      </w:pPr>
    </w:p>
    <w:p>
      <w:pPr>
        <w:ind w:right="560"/>
        <w:spacing w:after="0" w:line="310"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rights to our technologies or product candidates.</w:t>
      </w:r>
    </w:p>
    <w:p>
      <w:pPr>
        <w:spacing w:after="0" w:line="20" w:lineRule="exact"/>
        <w:rPr>
          <w:sz w:val="20"/>
          <w:szCs w:val="20"/>
          <w:color w:val="auto"/>
        </w:rPr>
      </w:pPr>
    </w:p>
    <w:p>
      <w:pPr>
        <w:ind w:right="120" w:firstLine="433"/>
        <w:spacing w:after="0" w:line="271" w:lineRule="auto"/>
        <w:rPr>
          <w:sz w:val="20"/>
          <w:szCs w:val="20"/>
          <w:color w:val="auto"/>
        </w:rPr>
      </w:pPr>
      <w:r>
        <w:rPr>
          <w:rFonts w:ascii="Arial" w:cs="Arial" w:eastAsia="Arial" w:hAnsi="Arial"/>
          <w:sz w:val="17"/>
          <w:szCs w:val="17"/>
          <w:color w:val="auto"/>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spacing w:after="0" w:line="61"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To the extent that we raise additional capital through the sale of common stock, convertible securities or other equity securities, our existing stockholders' ownership interests may be diluted, and the terms of these securities could include liquidation or other preferences and anti-dilution protections that could adversely affect the rights of our stockholders. In addition, debt financing, if available, may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70" w:lineRule="exact"/>
        <w:rPr>
          <w:sz w:val="20"/>
          <w:szCs w:val="20"/>
          <w:color w:val="auto"/>
        </w:rPr>
      </w:pPr>
    </w:p>
    <w:p>
      <w:pPr>
        <w:ind w:right="160" w:firstLine="433"/>
        <w:spacing w:after="0" w:line="268" w:lineRule="auto"/>
        <w:rPr>
          <w:sz w:val="20"/>
          <w:szCs w:val="20"/>
          <w:color w:val="auto"/>
        </w:rPr>
      </w:pPr>
      <w:r>
        <w:rPr>
          <w:rFonts w:ascii="Arial" w:cs="Arial" w:eastAsia="Arial" w:hAnsi="Arial"/>
          <w:sz w:val="17"/>
          <w:szCs w:val="17"/>
          <w:color w:val="auto"/>
        </w:rPr>
        <w:t>If we raise additional funds through collaborations or marketing, distribution, licensing and royalty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63" w:lineRule="exact"/>
        <w:rPr>
          <w:sz w:val="20"/>
          <w:szCs w:val="20"/>
          <w:color w:val="auto"/>
        </w:rPr>
      </w:pPr>
    </w:p>
    <w:p>
      <w:pPr>
        <w:ind w:right="340"/>
        <w:spacing w:after="0" w:line="310" w:lineRule="auto"/>
        <w:rPr>
          <w:sz w:val="20"/>
          <w:szCs w:val="20"/>
          <w:color w:val="auto"/>
        </w:rPr>
      </w:pPr>
      <w:r>
        <w:rPr>
          <w:rFonts w:ascii="Arial" w:cs="Arial" w:eastAsia="Arial" w:hAnsi="Arial"/>
          <w:sz w:val="17"/>
          <w:szCs w:val="17"/>
          <w:b w:val="1"/>
          <w:bCs w:val="1"/>
          <w:i w:val="1"/>
          <w:iCs w:val="1"/>
          <w:color w:val="auto"/>
        </w:rPr>
        <w:t>We are a clinical-stage biopharmaceutical company with a very limited operating history and no products approved for commercial sale, which may make it difficult to evaluate our current business and predict our future success and viability.</w:t>
      </w:r>
    </w:p>
    <w:p>
      <w:pPr>
        <w:spacing w:after="0" w:line="20" w:lineRule="exact"/>
        <w:rPr>
          <w:sz w:val="20"/>
          <w:szCs w:val="20"/>
          <w:color w:val="auto"/>
        </w:rPr>
      </w:pPr>
    </w:p>
    <w:p>
      <w:pPr>
        <w:ind w:right="140" w:firstLine="433"/>
        <w:spacing w:after="0" w:line="262" w:lineRule="auto"/>
        <w:rPr>
          <w:sz w:val="20"/>
          <w:szCs w:val="20"/>
          <w:color w:val="auto"/>
        </w:rPr>
      </w:pPr>
      <w:r>
        <w:rPr>
          <w:rFonts w:ascii="Arial" w:cs="Arial" w:eastAsia="Arial" w:hAnsi="Arial"/>
          <w:sz w:val="17"/>
          <w:szCs w:val="17"/>
          <w:color w:val="auto"/>
        </w:rPr>
        <w:t>We are a clinical-stage biopharmaceutical company, focused on translating genetic insights into the development of therapies for CNS disorders characterized by neuronal imbalance. We commenced operations in 2016, have no products approved for commercial sale and have not generated any revenue from product sales. Our operations have been focused on developing and conducting preclinical and clinical studies of our product candidates. To date, we have not initiated or completed a pivotal clinical trial, obtained marketing approval for any product candidates, manufactured a commercial scale product or arranged for a third party to do so on our behalf, or conducted sales and marketing activities necessary for successful product commercialization. Our limited operating history as a company makes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Drug development is a highly uncertain undertaking and involves a substantial degree of risk.</w:t>
      </w:r>
    </w:p>
    <w:p>
      <w:pPr>
        <w:spacing w:after="0" w:line="119" w:lineRule="exact"/>
        <w:rPr>
          <w:sz w:val="20"/>
          <w:szCs w:val="20"/>
          <w:color w:val="auto"/>
        </w:rPr>
      </w:pPr>
    </w:p>
    <w:p>
      <w:pPr>
        <w:ind w:right="380" w:firstLine="433"/>
        <w:spacing w:after="0" w:line="271" w:lineRule="auto"/>
        <w:rPr>
          <w:sz w:val="20"/>
          <w:szCs w:val="20"/>
          <w:color w:val="auto"/>
        </w:rPr>
      </w:pPr>
      <w:r>
        <w:rPr>
          <w:rFonts w:ascii="Arial" w:cs="Arial" w:eastAsia="Arial" w:hAnsi="Arial"/>
          <w:sz w:val="17"/>
          <w:szCs w:val="17"/>
          <w:color w:val="auto"/>
        </w:rPr>
        <w:t>We have no products approved for commercial sale. To obtain revenues from the sales of our product candidates that are significant or large enough to achieve profitability, we must succeed, either alone or with third parties, in developing, obtaining regulatory approval for, manufacturing, and marketing our product candidates. Our ability to generate revenue and achieve profitability depends on many factors, including:</w:t>
      </w:r>
    </w:p>
    <w:p>
      <w:pPr>
        <w:spacing w:after="0" w:line="61" w:lineRule="exact"/>
        <w:rPr>
          <w:sz w:val="20"/>
          <w:szCs w:val="20"/>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initiating and successfully completing research and preclinical and clinical development of our product candidates;</w:t>
      </w:r>
    </w:p>
    <w:p>
      <w:pPr>
        <w:spacing w:after="0" w:line="119" w:lineRule="exact"/>
        <w:rPr>
          <w:rFonts w:ascii="Arial" w:cs="Arial" w:eastAsia="Arial" w:hAnsi="Arial"/>
          <w:sz w:val="17"/>
          <w:szCs w:val="17"/>
          <w:color w:val="auto"/>
        </w:rPr>
      </w:pPr>
    </w:p>
    <w:p>
      <w:pPr>
        <w:ind w:left="640" w:right="840" w:hanging="320"/>
        <w:spacing w:after="0" w:line="300"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regulatory approvals and marketing authorizations for product candidates for which we successfully complete clinical development and clinical trials, if any;</w:t>
      </w:r>
    </w:p>
    <w:p>
      <w:pPr>
        <w:spacing w:after="0" w:line="35" w:lineRule="exact"/>
        <w:rPr>
          <w:rFonts w:ascii="Arial" w:cs="Arial" w:eastAsia="Arial" w:hAnsi="Arial"/>
          <w:sz w:val="17"/>
          <w:szCs w:val="17"/>
          <w:color w:val="auto"/>
        </w:rPr>
      </w:pPr>
    </w:p>
    <w:p>
      <w:pPr>
        <w:ind w:left="640" w:right="220" w:hanging="320"/>
        <w:spacing w:after="0" w:line="278"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commercial demand of our product candidates;</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identifying, assessing, acquiring and/or developing new product candidates;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arrangements into which we may enter;</w:t>
      </w:r>
    </w:p>
    <w:p>
      <w:pPr>
        <w:spacing w:after="0" w:line="119" w:lineRule="exact"/>
        <w:rPr>
          <w:rFonts w:ascii="Arial" w:cs="Arial" w:eastAsia="Arial" w:hAnsi="Arial"/>
          <w:sz w:val="17"/>
          <w:szCs w:val="17"/>
          <w:color w:val="auto"/>
        </w:rPr>
      </w:pPr>
    </w:p>
    <w:p>
      <w:pPr>
        <w:ind w:left="640" w:right="180" w:hanging="320"/>
        <w:spacing w:after="0" w:line="300"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launching and successfully commercializing product candidates for which we obtain regulatory and marketing approval, if any, either by collaborating with a partner or, if launched independently, by establishing a sales, marketing and distribution infrastructure;</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obtaining and maintaining an adequate price for our product candidates in the countries where our products are commercialized, if any;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obtaining adequate reimbursement for our product candidates from payors;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obtaining market acceptance of our product candidates as viable treatment options;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addressing any competing technological and market developments;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receiving milestone and other payments under any future collaboration arrangements;</w:t>
      </w:r>
    </w:p>
    <w:p>
      <w:pPr>
        <w:spacing w:after="0" w:line="119" w:lineRule="exact"/>
        <w:rPr>
          <w:rFonts w:ascii="Arial" w:cs="Arial" w:eastAsia="Arial" w:hAnsi="Arial"/>
          <w:sz w:val="17"/>
          <w:szCs w:val="17"/>
          <w:color w:val="auto"/>
        </w:rPr>
      </w:pPr>
    </w:p>
    <w:p>
      <w:pPr>
        <w:ind w:left="640" w:right="260" w:hanging="320"/>
        <w:spacing w:after="0" w:line="300"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maintaining, protecting, expanding and enforcing our portfolio of intellectual property rights, including patents, trade secrets and know-how; and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attracting, hiring and retaining qualified personnel.</w:t>
      </w:r>
    </w:p>
    <w:p>
      <w:pPr>
        <w:spacing w:after="0" w:line="119"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launching and commercializing any approved product candidate and ongoing compliance efforts.</w:t>
      </w:r>
    </w:p>
    <w:p>
      <w:pPr>
        <w:spacing w:after="0" w:line="64" w:lineRule="exact"/>
        <w:rPr>
          <w:sz w:val="20"/>
          <w:szCs w:val="20"/>
          <w:color w:val="auto"/>
        </w:rPr>
      </w:pPr>
    </w:p>
    <w:p>
      <w:pPr>
        <w:ind w:right="380"/>
        <w:spacing w:after="0" w:line="310" w:lineRule="auto"/>
        <w:rPr>
          <w:sz w:val="20"/>
          <w:szCs w:val="20"/>
          <w:color w:val="auto"/>
        </w:rPr>
      </w:pPr>
      <w:r>
        <w:rPr>
          <w:rFonts w:ascii="Arial" w:cs="Arial" w:eastAsia="Arial" w:hAnsi="Arial"/>
          <w:sz w:val="17"/>
          <w:szCs w:val="17"/>
          <w:b w:val="1"/>
          <w:bCs w:val="1"/>
          <w:i w:val="1"/>
          <w:iCs w:val="1"/>
          <w:color w:val="auto"/>
        </w:rPr>
        <w:t>We may expend our limited resources on programs that do not yield a successful product candidate or fail to capitalize on product candidates or indications that may be more profitable or for which there is a greater likelihood of success.</w:t>
      </w:r>
    </w:p>
    <w:p>
      <w:pPr>
        <w:spacing w:after="0" w:line="20" w:lineRule="exact"/>
        <w:rPr>
          <w:sz w:val="20"/>
          <w:szCs w:val="20"/>
          <w:color w:val="auto"/>
        </w:rPr>
      </w:pPr>
    </w:p>
    <w:p>
      <w:pPr>
        <w:ind w:right="80" w:firstLine="433"/>
        <w:spacing w:after="0" w:line="264" w:lineRule="auto"/>
        <w:rPr>
          <w:sz w:val="20"/>
          <w:szCs w:val="20"/>
          <w:color w:val="auto"/>
        </w:rPr>
      </w:pPr>
      <w:r>
        <w:rPr>
          <w:rFonts w:ascii="Arial" w:cs="Arial" w:eastAsia="Arial" w:hAnsi="Arial"/>
          <w:sz w:val="17"/>
          <w:szCs w:val="17"/>
          <w:color w:val="auto"/>
        </w:rPr>
        <w:t>Due to the significant resources required for the development of our programs and product candidates, we must focus our programs and product candidates on specific diseases and disease pathways and decide which product candidates to pursue and advance and the amount of resources to allocate to each. We are currently evaluating (i) ulixacaltamide for the treatment of essential tremor, or ET, and Parkinson's disease,</w:t>
      </w:r>
    </w:p>
    <w:p>
      <w:pPr>
        <w:ind w:right="20" w:firstLine="5"/>
        <w:spacing w:after="0" w:line="261" w:lineRule="auto"/>
        <w:tabs>
          <w:tab w:leader="none" w:pos="243"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PRAX-562 for the treatment of SCN2A development and epileptic encephalopathy, or SCN2A-DEE, and SCN8A development and epileptic encephalopathy, or SCN8A-DEE; (iii) PRAX-222 for the treatment of SCN2A-DEE; and (iv) PRAX-628 for the treatment of focal epilepsy. Our drug development strategy is to clinically test and seek regulatory approval for our product candidates in indications in which we believe we will be able to efficiently generate proof-of-concept data. If any of our product candidates is approved, we then intend to expand to clinical testing and potentially seek regulatory approvals in other neurological disease indications based on genetic and mechanistic overlap with the primary indication. However, even if our product candidates are able to gain regulatory approval in one indication, there is no guarantee that we will be able to gain regulatory approval in another indication or expand to other indications.</w:t>
      </w:r>
    </w:p>
    <w:p>
      <w:pPr>
        <w:spacing w:after="0" w:line="70"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 addition, we may focus resources on pursuing indications outside of neurology based on the same strategic approach (</w:t>
      </w:r>
      <w:r>
        <w:rPr>
          <w:rFonts w:ascii="Arial" w:cs="Arial" w:eastAsia="Arial" w:hAnsi="Arial"/>
          <w:sz w:val="17"/>
          <w:szCs w:val="17"/>
          <w:i w:val="1"/>
          <w:iCs w:val="1"/>
          <w:color w:val="auto"/>
        </w:rPr>
        <w:t>e.g.</w:t>
      </w:r>
      <w:r>
        <w:rPr>
          <w:rFonts w:ascii="Arial" w:cs="Arial" w:eastAsia="Arial" w:hAnsi="Arial"/>
          <w:sz w:val="17"/>
          <w:szCs w:val="17"/>
          <w:color w:val="auto"/>
        </w:rPr>
        <w:t>, human genetics, mechanistic rationale, the availability of translational tools, clinical development path, commercial opportunity) we utilize in determining on which of our discovery programs to focus.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For example, in June 2022, we announced that we are undergoing a strategic realignment to focus resources on our ulixacaltamide, PRAX-562, PRAX-222 and PRAX-628 programs, as well as our preclinical programs across our Cerebrum™ and Solidus™ platforms. Additionally, we may reprioritize product candidate development plans and activities at any time and delay or terminate development of any product candidates we identify. Similarly, our potential decisions to delay, terminate or collaborate with third parties in respect of certain programs may subsequently also prove to be suboptimal and could cause us to miss valuable opportunities. If we make incorrect determinations regarding the viability or market potential of any of our programs or product candidates or misread trends in the biopharmaceutical industry, in particular for neurological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53" w:lineRule="exact"/>
        <w:rPr>
          <w:sz w:val="20"/>
          <w:szCs w:val="20"/>
          <w:color w:val="auto"/>
        </w:rPr>
      </w:pPr>
    </w:p>
    <w:p>
      <w:pPr>
        <w:ind w:right="4480"/>
        <w:spacing w:after="0" w:line="387" w:lineRule="auto"/>
        <w:rPr>
          <w:sz w:val="20"/>
          <w:szCs w:val="20"/>
          <w:color w:val="auto"/>
        </w:rPr>
      </w:pPr>
      <w:r>
        <w:rPr>
          <w:rFonts w:ascii="Arial" w:cs="Arial" w:eastAsia="Arial" w:hAnsi="Arial"/>
          <w:sz w:val="17"/>
          <w:szCs w:val="17"/>
          <w:b w:val="1"/>
          <w:bCs w:val="1"/>
          <w:color w:val="auto"/>
        </w:rPr>
        <w:t xml:space="preserve">Risks Related to Research and Development and the Biopharmaceutical Industry </w:t>
      </w:r>
      <w:r>
        <w:rPr>
          <w:rFonts w:ascii="Arial" w:cs="Arial" w:eastAsia="Arial" w:hAnsi="Arial"/>
          <w:sz w:val="17"/>
          <w:szCs w:val="17"/>
          <w:u w:val="single" w:color="auto"/>
          <w:color w:val="auto"/>
        </w:rPr>
        <w:t>Risks Related to Preclinical and Clinical Development</w:t>
      </w:r>
    </w:p>
    <w:p>
      <w:pPr>
        <w:spacing w:after="0" w:line="1"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b w:val="1"/>
          <w:bCs w:val="1"/>
          <w:i w:val="1"/>
          <w:iCs w:val="1"/>
          <w:color w:val="auto"/>
        </w:rPr>
        <w:t>The development and commercialization of drug products is subject to extensive regulation, and the regulatory approval processes of the FDA and comparable foreign authorities are lengthy, time-consuming, and inherently unpredictable. If we are ultimately unable to obtain regulatory approval for our product candidates on a timely basis if at all, our business will be substantially harmed.</w:t>
      </w:r>
    </w:p>
    <w:p>
      <w:pPr>
        <w:spacing w:after="0" w:line="43"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our product candidates are subject to extensive regulation. In the United States, obtaining marketing approval for a new drug requires the submission of a New Drug Application, or NDA, to the FDA, and we are not permitted to market any product candidate in the United States until we obtain approval from the FDA of the NDA for that product candidate. An NDA must be supported by extensive clinical and preclinical data, as well as extensive information regarding pharmacology, chemistry, manufacturing, and controls. Outside the United States, many comparable foreign regulatory authorities employ similar approval processes.</w:t>
      </w:r>
    </w:p>
    <w:p>
      <w:pPr>
        <w:spacing w:after="0" w:line="68"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We have not previously submitted an NDA to the FDA or similar marketing authorization application to comparable foreign authorities, for any product candidate, and we cannot be certain that any of our product candidates will receive regulatory approval. Obtaining approval of an NDA can be a lengthy, expensive, and uncertain process, and as a company we have no experience with the preparation of an NDA submission or any other marketing authorization application.</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product candidates could fail to receive regulatory approval for many reasons, including the following:</w:t>
      </w:r>
    </w:p>
    <w:p>
      <w:pPr>
        <w:spacing w:after="0" w:line="119" w:lineRule="exact"/>
        <w:rPr>
          <w:sz w:val="20"/>
          <w:szCs w:val="20"/>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design or implementation of our clinical trials;</w:t>
      </w:r>
    </w:p>
    <w:p>
      <w:pPr>
        <w:spacing w:after="0" w:line="119"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or comparable foreign regulatory authorities that a product candidate is safe and effective for its proposed indication;</w:t>
      </w:r>
    </w:p>
    <w:p>
      <w:pPr>
        <w:spacing w:after="0" w:line="35" w:lineRule="exact"/>
        <w:rPr>
          <w:rFonts w:ascii="Arial" w:cs="Arial" w:eastAsia="Arial" w:hAnsi="Arial"/>
          <w:sz w:val="17"/>
          <w:szCs w:val="17"/>
          <w:color w:val="auto"/>
        </w:rPr>
      </w:pPr>
    </w:p>
    <w:p>
      <w:pPr>
        <w:ind w:left="640" w:right="660" w:hanging="320"/>
        <w:spacing w:after="0" w:line="300"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results of clinical trials may not meet the level of statistical significance required by the FDA or comparable foreign regulatory authorities for approval;</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unable to demonstrate that a product candidate’s clinical and other benefits outweigh its safety risks;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119" w:lineRule="exact"/>
        <w:rPr>
          <w:rFonts w:ascii="Arial" w:cs="Arial" w:eastAsia="Arial" w:hAnsi="Arial"/>
          <w:sz w:val="17"/>
          <w:szCs w:val="17"/>
          <w:color w:val="auto"/>
        </w:rPr>
      </w:pPr>
    </w:p>
    <w:p>
      <w:pPr>
        <w:ind w:left="640" w:right="20" w:hanging="320"/>
        <w:spacing w:after="0" w:line="278"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an NDA or other submission or to obtain regulatory approval in the United States or elsewhere, or regulatory authorities may not accept a submission due to, among other reasons, the content or formatting of the submission;</w:t>
      </w:r>
    </w:p>
    <w:p>
      <w:pPr>
        <w:spacing w:after="0" w:line="55" w:lineRule="exact"/>
        <w:rPr>
          <w:rFonts w:ascii="Arial" w:cs="Arial" w:eastAsia="Arial" w:hAnsi="Arial"/>
          <w:sz w:val="17"/>
          <w:szCs w:val="17"/>
          <w:color w:val="auto"/>
        </w:rPr>
      </w:pPr>
    </w:p>
    <w:p>
      <w:pPr>
        <w:ind w:left="640" w:right="80" w:hanging="320"/>
        <w:spacing w:after="0" w:line="300"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our manufacturing processes or facilities or those of third-party manufacturers with which we contract for clinical and commercial supplies; and</w:t>
      </w:r>
    </w:p>
    <w:p>
      <w:pPr>
        <w:spacing w:after="0" w:line="35" w:lineRule="exact"/>
        <w:rPr>
          <w:rFonts w:ascii="Arial" w:cs="Arial" w:eastAsia="Arial" w:hAnsi="Arial"/>
          <w:sz w:val="17"/>
          <w:szCs w:val="17"/>
          <w:color w:val="auto"/>
        </w:rPr>
      </w:pPr>
    </w:p>
    <w:p>
      <w:pPr>
        <w:ind w:left="640" w:right="640" w:hanging="320"/>
        <w:spacing w:after="0" w:line="300"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36"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and comparable foreign regulatory authorities have substantial discretion in the approval process, and determining when or whether regulatory approval will be obtained for any of our product candidates. For example, regulatory authorities in various jurisdictions have in the past had, and may in the future have, differing requirements for, interpretations of and opinions on our preclinical and clinical data. As a result, we may be required to conduct additional preclinical studies, alter our proposed clinical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trial designs, or conduct additional clinical trials to satisfy the regulatory authorities in each of the jurisdictions in which we hope to conduct clinical trials and develop and market our products, if approved. Further, even if we believe the data collected from clinical trials of our product candidates are promising, such data may not be sufficient to support approval by the FDA or any comparable foreign regulatory authority.</w:t>
      </w:r>
    </w:p>
    <w:p>
      <w:pPr>
        <w:spacing w:after="0" w:line="55"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63"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b w:val="1"/>
          <w:bCs w:val="1"/>
          <w:i w:val="1"/>
          <w:iCs w:val="1"/>
          <w:color w:val="auto"/>
        </w:rPr>
        <w:t>Preclinical and clinical drug development involves a lengthy, complex and expensive process, with an uncertain outcome. The outcome of preclinical testing and early clinical trials may not be predictive of the success of later clinical trials, and the results of our clinical trials may not satisfy the requirements of the FDA or comparable foreign regulatory authorities.</w:t>
      </w:r>
    </w:p>
    <w:p>
      <w:pPr>
        <w:spacing w:after="0" w:line="43" w:lineRule="exact"/>
        <w:rPr>
          <w:sz w:val="20"/>
          <w:szCs w:val="20"/>
          <w:color w:val="auto"/>
        </w:rPr>
      </w:pPr>
    </w:p>
    <w:p>
      <w:pPr>
        <w:ind w:right="100" w:firstLine="433"/>
        <w:spacing w:after="0" w:line="265" w:lineRule="auto"/>
        <w:rPr>
          <w:sz w:val="20"/>
          <w:szCs w:val="20"/>
          <w:color w:val="auto"/>
        </w:rPr>
      </w:pPr>
      <w:r>
        <w:rPr>
          <w:rFonts w:ascii="Arial" w:cs="Arial" w:eastAsia="Arial" w:hAnsi="Arial"/>
          <w:sz w:val="17"/>
          <w:szCs w:val="17"/>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pivotal clinical trials typically involve hundreds of patients, have significant costs and take years to complete. A product candidate can fail at any stage of testing, even after observing promising signs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w:t>
      </w:r>
    </w:p>
    <w:p>
      <w:pPr>
        <w:spacing w:after="0" w:line="279"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For example, in June 2022, we announced that the Phase 2/3 Aria Study evaluating the efficacy and safety of PRAX-114 for monotherapy treatment of major depressive disorder did not achieve statistical significance on the primary endpoint of change from baseline in the 17-item Hamilton Depression Rating Scale total score at Day 15, or on any secondary endpoints. There can be no assurance that any of our future clinical trials will ultimately be successful or support further clinical development of our product candidates. The commencement and rate of completion of preclinical studies and clinical trials for a product candidate may be delayed by many factors, including, for example:</w:t>
      </w:r>
    </w:p>
    <w:p>
      <w:pPr>
        <w:spacing w:after="0" w:line="68" w:lineRule="exact"/>
        <w:rPr>
          <w:sz w:val="20"/>
          <w:szCs w:val="20"/>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inability to generate sufficient preclinical or other in vivo or in vitro data to support the initiation of clinical studies;</w:t>
      </w:r>
    </w:p>
    <w:p>
      <w:pPr>
        <w:spacing w:after="0" w:line="119" w:lineRule="exact"/>
        <w:rPr>
          <w:rFonts w:ascii="Arial" w:cs="Arial" w:eastAsia="Arial" w:hAnsi="Arial"/>
          <w:sz w:val="17"/>
          <w:szCs w:val="17"/>
          <w:color w:val="auto"/>
        </w:rPr>
      </w:pPr>
    </w:p>
    <w:p>
      <w:pPr>
        <w:ind w:left="640" w:right="100" w:hanging="320"/>
        <w:spacing w:after="0" w:line="30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timely completion of preclinical laboratory tests, animal studies and formulation studies in accordance with the Good Laboratory Practice requirements and other applicable regulations of the U.S. Food and Drug Administration, or the FDA;</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or ethics committee at each clinical site before each trial may be initiated;</w:t>
      </w:r>
    </w:p>
    <w:p>
      <w:pPr>
        <w:spacing w:after="0" w:line="119" w:lineRule="exact"/>
        <w:rPr>
          <w:rFonts w:ascii="Arial" w:cs="Arial" w:eastAsia="Arial" w:hAnsi="Arial"/>
          <w:sz w:val="17"/>
          <w:szCs w:val="17"/>
          <w:color w:val="auto"/>
        </w:rPr>
      </w:pPr>
    </w:p>
    <w:p>
      <w:pPr>
        <w:ind w:left="640" w:right="140" w:hanging="320"/>
        <w:spacing w:after="0" w:line="278"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in reaching a consensus with regulatory agencies on study design and obtaining regulatory authorization to commence clinical trials; delays in reaching agreement on acceptable terms with prospective contract research organizations, or CROs, and clinical trial sites, the terms of which can be subject to extensive negotiation and may vary significantly among different CROs and clinical trial sites;</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in identifying, recruiting and training suitable clinical investigators;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in recruiting suitable patients to participate in our clinical trials;</w:t>
      </w:r>
    </w:p>
    <w:p>
      <w:pPr>
        <w:spacing w:after="0" w:line="119"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in manufacturing, testing, releasing, validating or importing/exporting sufficient stable quantities of our product candidates for use in clinical trials or the inability to do any of the foregoing;</w:t>
      </w:r>
    </w:p>
    <w:p>
      <w:pPr>
        <w:spacing w:after="0" w:line="35" w:lineRule="exact"/>
        <w:rPr>
          <w:rFonts w:ascii="Arial" w:cs="Arial" w:eastAsia="Arial" w:hAnsi="Arial"/>
          <w:sz w:val="17"/>
          <w:szCs w:val="17"/>
          <w:color w:val="auto"/>
        </w:rPr>
      </w:pPr>
    </w:p>
    <w:p>
      <w:pPr>
        <w:ind w:left="640" w:right="640" w:hanging="320"/>
        <w:spacing w:after="0" w:line="30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imposition of a temporary or permanent clinical hold by regulatory authorities;</w:t>
      </w:r>
    </w:p>
    <w:p>
      <w:pPr>
        <w:spacing w:after="0" w:line="119" w:lineRule="exact"/>
        <w:rPr>
          <w:rFonts w:ascii="Arial" w:cs="Arial" w:eastAsia="Arial" w:hAnsi="Arial"/>
          <w:sz w:val="17"/>
          <w:szCs w:val="17"/>
          <w:color w:val="auto"/>
        </w:rPr>
      </w:pPr>
    </w:p>
    <w:p>
      <w:pPr>
        <w:ind w:left="640" w:right="260" w:hanging="320"/>
        <w:spacing w:after="0" w:line="30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developments on trials conducted by competitors for related technology that raises FDA or foreign regulatory authority concerns about risk to patients of the technology broadly, or if the FDA or a foreign</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regulatory authority finds that the investigational protocol or plan is clearly deficient to meet its stated objectives;</w:t>
      </w:r>
    </w:p>
    <w:p>
      <w:pPr>
        <w:spacing w:after="0" w:line="119" w:lineRule="exact"/>
        <w:rPr>
          <w:sz w:val="20"/>
          <w:szCs w:val="20"/>
          <w:color w:val="auto"/>
        </w:rPr>
      </w:pPr>
    </w:p>
    <w:p>
      <w:pPr>
        <w:ind w:left="640" w:right="120" w:hanging="320"/>
        <w:spacing w:after="0" w:line="300"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delays in recruiting, screening and enrolling patients and delays caused by patients withdrawing from clinical trials or failing to return for post-treatment follow-up;</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delays caused by operational issues at clinical sites;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difficulty collaborating with patient groups and investigators;</w:t>
      </w:r>
    </w:p>
    <w:p>
      <w:pPr>
        <w:spacing w:after="0" w:line="119" w:lineRule="exact"/>
        <w:rPr>
          <w:rFonts w:ascii="Arial" w:cs="Arial" w:eastAsia="Arial" w:hAnsi="Arial"/>
          <w:sz w:val="17"/>
          <w:szCs w:val="17"/>
          <w:color w:val="auto"/>
        </w:rPr>
      </w:pPr>
    </w:p>
    <w:p>
      <w:pPr>
        <w:ind w:left="640" w:right="260" w:hanging="320"/>
        <w:spacing w:after="0" w:line="300"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by our CROs, other third parties or us to adhere to clinical trial protocols; failure to perform in accordance with the FDA’s or any other regulatory authority’s Good Clinical Practice requirements, or applicable regulatory guidelines in other countries;</w:t>
      </w:r>
    </w:p>
    <w:p>
      <w:pPr>
        <w:spacing w:after="0" w:line="35" w:lineRule="exact"/>
        <w:rPr>
          <w:rFonts w:ascii="Arial" w:cs="Arial" w:eastAsia="Arial" w:hAnsi="Arial"/>
          <w:sz w:val="17"/>
          <w:szCs w:val="17"/>
          <w:color w:val="auto"/>
        </w:rPr>
      </w:pPr>
    </w:p>
    <w:p>
      <w:pPr>
        <w:ind w:left="640" w:right="180" w:hanging="320"/>
        <w:spacing w:after="0" w:line="300"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 or occurrence of adverse events in trials of the same class of agents conducted by other companies;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to the clinical trial protocols;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clinical sites deviating from trial protocol or dropping out of a trial;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regulatory requirements and guidance that require amending or submitting new clinical protocols;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the standard of care on which a clinical development plan was based, which may require new or additional trials;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selection of clinical endpoints that require prolonged periods of observation or analyses of resulting data;</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being greater than we anticipated;</w:t>
      </w:r>
    </w:p>
    <w:p>
      <w:pPr>
        <w:spacing w:after="0" w:line="119" w:lineRule="exact"/>
        <w:rPr>
          <w:rFonts w:ascii="Arial" w:cs="Arial" w:eastAsia="Arial" w:hAnsi="Arial"/>
          <w:sz w:val="17"/>
          <w:szCs w:val="17"/>
          <w:color w:val="auto"/>
        </w:rPr>
      </w:pPr>
    </w:p>
    <w:p>
      <w:pPr>
        <w:ind w:left="640" w:right="660" w:hanging="320"/>
        <w:spacing w:after="0" w:line="300"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35" w:lineRule="exact"/>
        <w:rPr>
          <w:rFonts w:ascii="Arial" w:cs="Arial" w:eastAsia="Arial" w:hAnsi="Arial"/>
          <w:sz w:val="17"/>
          <w:szCs w:val="17"/>
          <w:color w:val="auto"/>
        </w:rPr>
      </w:pPr>
    </w:p>
    <w:p>
      <w:pPr>
        <w:ind w:left="640" w:right="360" w:hanging="320"/>
        <w:spacing w:after="0" w:line="300"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transfer of manufacturing processes to larger-scale facilities operated by a contract development and manufacturing organization, or CDMO, and delays or failure by our CDMOs or us to make any necessary changes to such manufacturing process; and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third parties being unwilling or unable to satisfy their contractual obligations to us.</w:t>
      </w:r>
    </w:p>
    <w:p>
      <w:pPr>
        <w:spacing w:after="0" w:line="119"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Before commencing a clinical trial, the FDA or comparable foreign regulatory authorities could raise questions about or concerns with our proposed clinical protocol. For example, the FDA has previously issued clinical holds on certain of our product candidates, and we could not commence the respective clinical trial until such questions or concerns were resolved.</w:t>
      </w:r>
    </w:p>
    <w:p>
      <w:pPr>
        <w:spacing w:after="0" w:line="63"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we may need to amend clinical trial protocols that could require us to resubmit our clinical trial protocols to IRBs or ethics committees for reexamination, which may impact the costs, timing or successful completion of a clinical trial.</w:t>
      </w:r>
    </w:p>
    <w:p>
      <w:pPr>
        <w:spacing w:after="0" w:line="70"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Some of our trials are, have been, and may in the future be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may interpret the information of the treated group more favorably given this knowledge. Therefore, it is possible that positive results observed in open-label trials will not be replicated in later placebo-controlled trials. Additionally, the trial design differences and placebo effects that may be possible in clinical research for the indications we are studying may make it difficult to extrapolate the results of earlier clinical trials to later clinical trials or to interpret the clinical data in any of our trials. In addition, we plan to conduct clinical trials of certain of our product candidates, including ulixacaltamide, utilizing novel primary endpoints for which the FDA and other regulatory authorities may have limited experience in interpreting and reviewing. Although we plan to seek consensus with FDA and other regulatory authorities in connection with the design and implementation of our clinical studies, utilizing novel trial endpoints may increase the risk that the FDA and other regulatory authorities will consider the results from such trials, even if successful, insufficient to establish the safety or efficacy of our product candidates, which could require us to conduct additional studies beyond those we currently contemplate for our product candidates.</w:t>
      </w:r>
    </w:p>
    <w:p>
      <w:pPr>
        <w:spacing w:after="0" w:line="73" w:lineRule="exact"/>
        <w:rPr>
          <w:sz w:val="20"/>
          <w:szCs w:val="20"/>
          <w:color w:val="auto"/>
        </w:rPr>
      </w:pPr>
    </w:p>
    <w:p>
      <w:pPr>
        <w:ind w:right="100" w:firstLine="433"/>
        <w:spacing w:after="0" w:line="271" w:lineRule="auto"/>
        <w:rPr>
          <w:sz w:val="20"/>
          <w:szCs w:val="20"/>
          <w:color w:val="auto"/>
        </w:rPr>
      </w:pPr>
      <w:r>
        <w:rPr>
          <w:rFonts w:ascii="Arial" w:cs="Arial" w:eastAsia="Arial" w:hAnsi="Arial"/>
          <w:sz w:val="17"/>
          <w:szCs w:val="17"/>
          <w:color w:val="auto"/>
        </w:rPr>
        <w:t>Further, conducting clinical trials in foreign countries, such as the European Union,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61"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278"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68" w:lineRule="exact"/>
        <w:rPr>
          <w:sz w:val="20"/>
          <w:szCs w:val="20"/>
          <w:color w:val="auto"/>
        </w:rPr>
      </w:pPr>
    </w:p>
    <w:p>
      <w:pPr>
        <w:ind w:right="620" w:firstLine="433"/>
        <w:spacing w:after="0" w:line="278" w:lineRule="auto"/>
        <w:rPr>
          <w:sz w:val="20"/>
          <w:szCs w:val="20"/>
          <w:color w:val="auto"/>
        </w:rPr>
      </w:pPr>
      <w:r>
        <w:rPr>
          <w:rFonts w:ascii="Arial" w:cs="Arial" w:eastAsia="Arial" w:hAnsi="Arial"/>
          <w:sz w:val="17"/>
          <w:szCs w:val="17"/>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w:t>
      </w:r>
    </w:p>
    <w:p>
      <w:pPr>
        <w:spacing w:after="0" w:line="55" w:lineRule="exact"/>
        <w:rPr>
          <w:sz w:val="20"/>
          <w:szCs w:val="20"/>
          <w:color w:val="auto"/>
        </w:rPr>
      </w:pPr>
    </w:p>
    <w:p>
      <w:pPr>
        <w:ind w:right="400"/>
        <w:spacing w:after="0" w:line="310"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20" w:lineRule="exact"/>
        <w:rPr>
          <w:sz w:val="20"/>
          <w:szCs w:val="20"/>
          <w:color w:val="auto"/>
        </w:rPr>
      </w:pPr>
    </w:p>
    <w:p>
      <w:pPr>
        <w:jc w:val="both"/>
        <w:ind w:right="340" w:firstLine="433"/>
        <w:spacing w:after="0" w:line="264" w:lineRule="auto"/>
        <w:rPr>
          <w:sz w:val="20"/>
          <w:szCs w:val="20"/>
          <w:color w:val="auto"/>
        </w:rPr>
      </w:pPr>
      <w:r>
        <w:rPr>
          <w:rFonts w:ascii="Arial" w:cs="Arial" w:eastAsia="Arial" w:hAnsi="Arial"/>
          <w:sz w:val="17"/>
          <w:szCs w:val="17"/>
          <w:color w:val="auto"/>
        </w:rPr>
        <w:t>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w:t>
      </w:r>
    </w:p>
    <w:p>
      <w:pPr>
        <w:spacing w:after="0" w:line="265" w:lineRule="auto"/>
        <w:rPr>
          <w:sz w:val="20"/>
          <w:szCs w:val="20"/>
          <w:color w:val="auto"/>
        </w:rPr>
      </w:pPr>
      <w:r>
        <w:rPr>
          <w:rFonts w:ascii="Arial" w:cs="Arial" w:eastAsia="Arial" w:hAnsi="Arial"/>
          <w:sz w:val="17"/>
          <w:szCs w:val="17"/>
          <w:color w:val="auto"/>
        </w:rPr>
        <w:t>Results of our clinical trials could reveal a high and unacceptable severity and prevalence of side effects or unexpected characteristics. In addition, many compounds that have initially showed promise in clinical or earlier stage testing are later found to cause undesirable or unexpected side effects that prevented further development of the compound. Additionally, the composition of our product candidates or learnings in preclinical studies or clinical trials may result in contraindications for any product candidates for which we may obtain regulatory approval.</w:t>
      </w:r>
    </w:p>
    <w:p>
      <w:pPr>
        <w:spacing w:after="0" w:line="65"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If unacceptable side effects arise in the development of our product candidates, we, foreign regulatory authorities, or the FDA, the IRBs or DSMBs at the institutions in which our trials are conducted could suspend or terminate our preclinical studies or clinical trials or foreign regulatory authorities or the FDA could order us to cease preclinical studies or clinical trials or deny approval of our product candidates for any or all targeted indications.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 w:firstLine="433"/>
        <w:spacing w:after="0" w:line="268" w:lineRule="auto"/>
        <w:rPr>
          <w:sz w:val="20"/>
          <w:szCs w:val="20"/>
          <w:color w:val="auto"/>
        </w:rPr>
      </w:pPr>
      <w:r>
        <w:rPr>
          <w:rFonts w:ascii="Arial" w:cs="Arial" w:eastAsia="Arial" w:hAnsi="Arial"/>
          <w:sz w:val="17"/>
          <w:szCs w:val="17"/>
          <w:color w:val="auto"/>
        </w:rPr>
        <w:t>Treatment-emergent side effects that are deemed to be drug-related could also affect patient recruitment or the ability of enrolled subjects to complete the trial or result in potential product liability claims. Undesirable side effects in one of our clinical trials for our product candidates in one indication could adversely affect enrollment in clinical trials, regulatory approval and commercialization of our product candidates in other indications. In addition, these side effects may not be appropriately recognized or managed by the treating medical staff. Any of these occurrences may harm our business, financial condition and prospects significantly.</w:t>
      </w:r>
    </w:p>
    <w:p>
      <w:pPr>
        <w:spacing w:after="0" w:line="63" w:lineRule="exact"/>
        <w:rPr>
          <w:sz w:val="20"/>
          <w:szCs w:val="20"/>
          <w:color w:val="auto"/>
        </w:rPr>
      </w:pPr>
    </w:p>
    <w:p>
      <w:pPr>
        <w:ind w:right="160" w:firstLine="433"/>
        <w:spacing w:after="0" w:line="266" w:lineRule="auto"/>
        <w:rPr>
          <w:sz w:val="20"/>
          <w:szCs w:val="20"/>
          <w:color w:val="auto"/>
        </w:rPr>
      </w:pPr>
      <w:r>
        <w:rPr>
          <w:rFonts w:ascii="Arial" w:cs="Arial" w:eastAsia="Arial" w:hAnsi="Arial"/>
          <w:sz w:val="17"/>
          <w:szCs w:val="17"/>
          <w:color w:val="auto"/>
        </w:rPr>
        <w:t>In addition to side effects caused by our product candidates, the administration process or related procedures of our product candidates could cause adverse side effects, such as the intrathecal or intravitreal administration process or related procedures for ASOs. If any such adverse events occur, our clinical trials could be suspended or terminated. Even if we can demonstrate that adverse events are not product-related, such occurrences could affect patient recruitment or the ability of enrolled patients to complete the clinical trial. Additionally, other ASOs in clinical development utilizing intrathecal delivery could also generate data that could adversely affect the clinical, regulatory or commercial perception of our product candidates.</w:t>
      </w:r>
    </w:p>
    <w:p>
      <w:pPr>
        <w:spacing w:after="0" w:line="64" w:lineRule="exact"/>
        <w:rPr>
          <w:sz w:val="20"/>
          <w:szCs w:val="20"/>
          <w:color w:val="auto"/>
        </w:rPr>
      </w:pPr>
    </w:p>
    <w:p>
      <w:pPr>
        <w:ind w:right="120" w:firstLine="433"/>
        <w:spacing w:after="0" w:line="264" w:lineRule="auto"/>
        <w:rPr>
          <w:sz w:val="20"/>
          <w:szCs w:val="20"/>
          <w:color w:val="auto"/>
        </w:rPr>
      </w:pPr>
      <w:r>
        <w:rPr>
          <w:rFonts w:ascii="Arial" w:cs="Arial" w:eastAsia="Arial" w:hAnsi="Arial"/>
          <w:sz w:val="17"/>
          <w:szCs w:val="17"/>
          <w:color w:val="auto"/>
        </w:rPr>
        <w:t>Moreover, clinical trials of our product candidates are conducted in carefully defined sets of patients who have agreed to enter into clinical trials. Consequently, it is possible that our clinical trials, or those of any future collaborator, may indicate an apparent positive effect of a product candidate that is greater than the actual positive effect, if any, or alternatively fail to identify undesirable side effects. Clinical trials by their nature utilize a sample of the potential patient population. With a limited number of patients,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68" w:lineRule="exact"/>
        <w:rPr>
          <w:sz w:val="20"/>
          <w:szCs w:val="20"/>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regulatory authorities may withdraw or limit their approval of such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Boxed Warning or contraindications;</w:t>
      </w:r>
    </w:p>
    <w:p>
      <w:pPr>
        <w:spacing w:after="0" w:line="119" w:lineRule="exact"/>
        <w:rPr>
          <w:rFonts w:ascii="Arial" w:cs="Arial" w:eastAsia="Arial" w:hAnsi="Arial"/>
          <w:sz w:val="17"/>
          <w:szCs w:val="17"/>
          <w:color w:val="auto"/>
        </w:rPr>
      </w:pPr>
    </w:p>
    <w:p>
      <w:pPr>
        <w:ind w:left="640" w:right="320" w:hanging="320"/>
        <w:spacing w:after="0" w:line="300"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be required to change the way such product candidates are distributed or administered, or change the labeling of the product candidates;</w:t>
      </w:r>
    </w:p>
    <w:p>
      <w:pPr>
        <w:spacing w:after="0" w:line="35" w:lineRule="exact"/>
        <w:rPr>
          <w:rFonts w:ascii="Arial" w:cs="Arial" w:eastAsia="Arial" w:hAnsi="Arial"/>
          <w:sz w:val="17"/>
          <w:szCs w:val="17"/>
          <w:color w:val="auto"/>
        </w:rPr>
      </w:pPr>
    </w:p>
    <w:p>
      <w:pPr>
        <w:jc w:val="both"/>
        <w:ind w:left="640" w:right="160" w:hanging="320"/>
        <w:spacing w:after="0" w:line="278"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FDA may require a Risk Evaluation and Mitigation Strategy, or REMS, plan to mitigate risks, which could include medication guides, physician communication plans or elements to assure safe use, such as restricted distribution methods, patient registries and other risk minimization tools, and regulatory authorities in other jurisdictions may require comparable risk mitigation plans;</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be subject to regulatory investigations and government enforcement actions;</w:t>
      </w:r>
    </w:p>
    <w:p>
      <w:pPr>
        <w:spacing w:after="0" w:line="119" w:lineRule="exact"/>
        <w:rPr>
          <w:rFonts w:ascii="Arial" w:cs="Arial" w:eastAsia="Arial" w:hAnsi="Arial"/>
          <w:sz w:val="17"/>
          <w:szCs w:val="17"/>
          <w:color w:val="auto"/>
        </w:rPr>
      </w:pPr>
    </w:p>
    <w:p>
      <w:pPr>
        <w:ind w:left="640" w:right="220" w:hanging="320"/>
        <w:spacing w:after="0" w:line="300"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FDA or a comparable foreign regulatory authority may require us to conduct additional clinical trials or costly post-marketing testing and surveillance to monitor the safety and efficacy of the product;</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product candidates;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119" w:lineRule="exact"/>
        <w:rPr>
          <w:sz w:val="20"/>
          <w:szCs w:val="20"/>
          <w:color w:val="auto"/>
        </w:rPr>
      </w:pPr>
    </w:p>
    <w:p>
      <w:pPr>
        <w:jc w:val="both"/>
        <w:ind w:right="600" w:firstLine="433"/>
        <w:spacing w:after="0" w:line="278"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candidates and could substantially increase the costs of commercializing our product candidates, if approved, and significantly impact our ability to successfully commercialize our product candidates and generate revenues.</w:t>
      </w:r>
    </w:p>
    <w:p>
      <w:pPr>
        <w:spacing w:after="0" w:line="55" w:lineRule="exact"/>
        <w:rPr>
          <w:sz w:val="20"/>
          <w:szCs w:val="20"/>
          <w:color w:val="auto"/>
        </w:rPr>
      </w:pPr>
    </w:p>
    <w:p>
      <w:pPr>
        <w:ind w:right="720"/>
        <w:spacing w:after="0" w:line="310" w:lineRule="auto"/>
        <w:rPr>
          <w:sz w:val="20"/>
          <w:szCs w:val="20"/>
          <w:color w:val="auto"/>
        </w:rPr>
      </w:pPr>
      <w:r>
        <w:rPr>
          <w:rFonts w:ascii="Arial" w:cs="Arial" w:eastAsia="Arial" w:hAnsi="Arial"/>
          <w:sz w:val="17"/>
          <w:szCs w:val="17"/>
          <w:b w:val="1"/>
          <w:bCs w:val="1"/>
          <w:i w:val="1"/>
          <w:iCs w:val="1"/>
          <w:color w:val="auto"/>
        </w:rPr>
        <w:t>If we encounter difficulties enrolling patients in our future clinical trials, our clinical development activities could be delayed or otherwise adversely affected.</w:t>
      </w:r>
    </w:p>
    <w:p>
      <w:pPr>
        <w:spacing w:after="0" w:line="20"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We have, and may in the future,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Patient enrollment is affected by many factors, including:</w:t>
      </w:r>
    </w:p>
    <w:p>
      <w:pPr>
        <w:spacing w:after="0" w:line="119" w:lineRule="exact"/>
        <w:rPr>
          <w:sz w:val="20"/>
          <w:szCs w:val="20"/>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patient eligibility criteria defined in the protocol;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size and nature of the patient population required for analysis of the trial’s primary endpoints;</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the case clinical trials focused on rare disease, the small size of the patient population and the potential of a patient being undiagnosed or misdiagnosed;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proximity of patients to trial sites;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design of the trial;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9" w:lineRule="exact"/>
        <w:rPr>
          <w:rFonts w:ascii="Arial" w:cs="Arial" w:eastAsia="Arial" w:hAnsi="Arial"/>
          <w:sz w:val="17"/>
          <w:szCs w:val="17"/>
          <w:color w:val="auto"/>
        </w:rPr>
      </w:pPr>
    </w:p>
    <w:p>
      <w:pPr>
        <w:ind w:left="640" w:right="120" w:hanging="320"/>
        <w:spacing w:after="0" w:line="291"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260"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obtain and maintain patient consents;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drop out of the trials before completion.</w:t>
      </w:r>
    </w:p>
    <w:p>
      <w:pPr>
        <w:spacing w:after="0" w:line="119"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63"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Our inability to enroll a sufficient number of patients for our clinical trials would result in significant delays or might require us to abandon one or more clinical trials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the value of our company to decline and limit our ability to obtain additional financing if needed.</w:t>
      </w:r>
    </w:p>
    <w:p>
      <w:pPr>
        <w:spacing w:after="0" w:line="63" w:lineRule="exact"/>
        <w:rPr>
          <w:sz w:val="20"/>
          <w:szCs w:val="20"/>
          <w:color w:val="auto"/>
        </w:rPr>
      </w:pPr>
    </w:p>
    <w:p>
      <w:pPr>
        <w:ind w:right="80" w:firstLine="433"/>
        <w:spacing w:after="0" w:line="278" w:lineRule="auto"/>
        <w:rPr>
          <w:sz w:val="20"/>
          <w:szCs w:val="20"/>
          <w:color w:val="auto"/>
        </w:rPr>
      </w:pPr>
      <w:r>
        <w:rPr>
          <w:rFonts w:ascii="Arial" w:cs="Arial" w:eastAsia="Arial" w:hAnsi="Arial"/>
          <w:sz w:val="17"/>
          <w:szCs w:val="17"/>
          <w:color w:val="auto"/>
        </w:rPr>
        <w:t>We are also required to register certain clinical trials and post the results of completed clinical trials on a government-sponsored database, such as ClinicalTrials.gov in the United States, within certain timeframes. Failure to do so can result in fines, adverse publicity and civil and criminal sanctions.</w:t>
      </w:r>
    </w:p>
    <w:p>
      <w:pPr>
        <w:spacing w:after="0" w:line="55" w:lineRule="exact"/>
        <w:rPr>
          <w:sz w:val="20"/>
          <w:szCs w:val="20"/>
          <w:color w:val="auto"/>
        </w:rPr>
      </w:pPr>
    </w:p>
    <w:p>
      <w:pPr>
        <w:ind w:right="20"/>
        <w:spacing w:after="0" w:line="310"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0"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From time to time, we may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reported. As a result, topline and preliminary data should be viewed with caution until the final data are available.</w:t>
      </w:r>
    </w:p>
    <w:p>
      <w:pPr>
        <w:spacing w:after="0" w:line="70" w:lineRule="exact"/>
        <w:rPr>
          <w:sz w:val="20"/>
          <w:szCs w:val="20"/>
          <w:color w:val="auto"/>
        </w:rPr>
      </w:pPr>
    </w:p>
    <w:p>
      <w:pPr>
        <w:ind w:right="140" w:firstLine="433"/>
        <w:spacing w:after="0" w:line="271" w:lineRule="auto"/>
        <w:rPr>
          <w:sz w:val="20"/>
          <w:szCs w:val="20"/>
          <w:color w:val="auto"/>
        </w:rPr>
      </w:pPr>
      <w:r>
        <w:rPr>
          <w:rFonts w:ascii="Arial" w:cs="Arial" w:eastAsia="Arial" w:hAnsi="Arial"/>
          <w:sz w:val="17"/>
          <w:szCs w:val="17"/>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61"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In addition, the information we choose to publicly disclose regarding a particular study or clinical trial is typically selected from a more extensive amount of available information.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preliminary or topline data that we report differ from later, final or actual results, or if others, including the FDA and comparable foreign regulatory authorities, disagree with the conclusions reached, our ability to obtain approval for,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700"/>
        <w:spacing w:after="0" w:line="300" w:lineRule="auto"/>
        <w:rPr>
          <w:sz w:val="20"/>
          <w:szCs w:val="20"/>
          <w:color w:val="auto"/>
        </w:rPr>
      </w:pPr>
      <w:r>
        <w:rPr>
          <w:rFonts w:ascii="Arial" w:cs="Arial" w:eastAsia="Arial" w:hAnsi="Arial"/>
          <w:sz w:val="17"/>
          <w:szCs w:val="17"/>
          <w:color w:val="auto"/>
        </w:rPr>
        <w:t>and commercialize our product candidates may be harmed, which could harm our business, financial condition, results of operations and prospects.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markets for our product candidates may be smaller than we expect.</w:t>
      </w:r>
    </w:p>
    <w:p>
      <w:pPr>
        <w:spacing w:after="0" w:line="119"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Our estimates of the potential market opportunities in each of our platforms include several key assumptions based on our industry knowledge, industry publications and third-party research reports and other data sources and estimates. There can be no assurance that any of these assumptions are, or will remain, accurate. If the actual markets identified for our product candidates, or for any other product candidate we may develop in the future, is smaller than we expect, our revenues, if any, may be limited and it may be more difficult for us to achieve or maintain profitability.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product candidates in the future.</w:t>
      </w:r>
    </w:p>
    <w:p>
      <w:pPr>
        <w:spacing w:after="0" w:line="119" w:lineRule="exact"/>
        <w:rPr>
          <w:sz w:val="20"/>
          <w:szCs w:val="20"/>
          <w:color w:val="auto"/>
        </w:rPr>
      </w:pPr>
    </w:p>
    <w:p>
      <w:pPr>
        <w:ind w:right="100" w:firstLine="433"/>
        <w:spacing w:after="0" w:line="300" w:lineRule="auto"/>
        <w:rPr>
          <w:sz w:val="20"/>
          <w:szCs w:val="20"/>
          <w:color w:val="auto"/>
        </w:rPr>
      </w:pPr>
      <w:r>
        <w:rPr>
          <w:rFonts w:ascii="Arial" w:cs="Arial" w:eastAsia="Arial" w:hAnsi="Arial"/>
          <w:sz w:val="17"/>
          <w:szCs w:val="17"/>
          <w:color w:val="auto"/>
        </w:rPr>
        <w:t>Our research programs may initially show promise in identifying potential product candidates, yet fail to yield product candidates for clinical development or commercialization for a number of reasons, including:</w:t>
      </w:r>
    </w:p>
    <w:p>
      <w:pPr>
        <w:spacing w:after="0" w:line="36" w:lineRule="exact"/>
        <w:rPr>
          <w:sz w:val="20"/>
          <w:szCs w:val="20"/>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design such product candidates with the pharmacological or pharmacokinetic properties that we desire; or</w:t>
      </w:r>
    </w:p>
    <w:p>
      <w:pPr>
        <w:spacing w:after="0" w:line="119" w:lineRule="exact"/>
        <w:rPr>
          <w:rFonts w:ascii="Arial" w:cs="Arial" w:eastAsia="Arial" w:hAnsi="Arial"/>
          <w:sz w:val="17"/>
          <w:szCs w:val="17"/>
          <w:color w:val="auto"/>
        </w:rPr>
      </w:pPr>
    </w:p>
    <w:p>
      <w:pPr>
        <w:ind w:left="640" w:right="200" w:hanging="320"/>
        <w:spacing w:after="0" w:line="300"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36" w:lineRule="exact"/>
        <w:rPr>
          <w:sz w:val="20"/>
          <w:szCs w:val="20"/>
          <w:color w:val="auto"/>
        </w:rPr>
      </w:pPr>
    </w:p>
    <w:p>
      <w:pPr>
        <w:ind w:right="200" w:firstLine="433"/>
        <w:spacing w:after="0" w:line="278" w:lineRule="auto"/>
        <w:rPr>
          <w:sz w:val="20"/>
          <w:szCs w:val="20"/>
          <w:color w:val="auto"/>
        </w:rPr>
      </w:pPr>
      <w:r>
        <w:rPr>
          <w:rFonts w:ascii="Arial" w:cs="Arial" w:eastAsia="Arial" w:hAnsi="Arial"/>
          <w:sz w:val="17"/>
          <w:szCs w:val="17"/>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55"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b w:val="1"/>
          <w:bCs w:val="1"/>
          <w:i w:val="1"/>
          <w:iCs w:val="1"/>
          <w:color w:val="auto"/>
        </w:rPr>
        <w:t>We conduct clinical trials for our product candidates in the United States, Europe and other jurisdictions, and the FDA, the European Medicines Agency, or EMA, and applicable foreign regulatory authorities may not accept data from trials conducted outside those respective jurisdictions.</w:t>
      </w:r>
    </w:p>
    <w:p>
      <w:pPr>
        <w:spacing w:after="0" w:line="43"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The acceptance of study data from preclinical studies and clinical trials conducted outside the United States may be subject to certain conditions for acceptance. For example,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the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trials that are conducted only at sites outside of the United States and not subject to an IND, the FDA requires the clinical trial to have been conducted in accordance with GCP and the FDA must be able to validate the data from the clinical trial through an on-site inspection if it deems such inspection necessary. For such trials not subject to an IND, the FDA generally does not review the clinical protocols for the trials, and therefore there is an additional potential risk that the FDA could determine that the trial design or protocol for a non-United States clinical trial was inadequate, which could require us to conduct additional clinical trials. Many foreign regulatory bodies, such as the EMA,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84"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i w:val="1"/>
          <w:iCs w:val="1"/>
          <w:color w:val="auto"/>
        </w:rPr>
        <w:t>We obtained orphan drug designation for PRAX-562 and PRAX-222 and may plan to seek orphan drug designation for additional product candidates, but we may be unable to obtain or maintain such a designation or the benefits associated with orphan drug status, including marketing exclusivity, which may cause our revenue, if any, to be reduced.</w:t>
      </w:r>
    </w:p>
    <w:p>
      <w:pPr>
        <w:spacing w:after="0" w:line="43" w:lineRule="exact"/>
        <w:rPr>
          <w:sz w:val="20"/>
          <w:szCs w:val="20"/>
          <w:color w:val="auto"/>
        </w:rPr>
      </w:pPr>
    </w:p>
    <w:p>
      <w:pPr>
        <w:ind w:right="140" w:firstLine="433"/>
        <w:spacing w:after="0" w:line="271" w:lineRule="auto"/>
        <w:rPr>
          <w:sz w:val="20"/>
          <w:szCs w:val="20"/>
          <w:color w:val="auto"/>
        </w:rPr>
      </w:pPr>
      <w:r>
        <w:rPr>
          <w:rFonts w:ascii="Arial" w:cs="Arial" w:eastAsia="Arial" w:hAnsi="Arial"/>
          <w:sz w:val="17"/>
          <w:szCs w:val="17"/>
          <w:color w:val="auto"/>
        </w:rPr>
        <w:t>In the United States, under the Orphan Drug Act, the FDA may grant orphan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recovered from sales in the United States for that drug. Orphan drug designation must be requested and granted by the FDA before a new NDA is submitted. After the FDA grants orphan drug designation, it will disclose publicly the generic identity of the drug and its potential orphan use. Orphan drug designation does not convey any advantage in, or shorten the duration of, the regulatory review and approval process. The FDA granted orphan drug designation to PRAX-562 for the treatment of SCN2A-DEE and SCN8A-DEE, respectively, and to PRAX-222 for the treatment of SCN2A-DEE.</w:t>
      </w:r>
    </w:p>
    <w:p>
      <w:pPr>
        <w:spacing w:after="0" w:line="63"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or condition for which it has such designation, the product is entitled to orphan drug exclusivity, which means that the FDA may not approve any other applications to market the same product for the same disease or condition for seven years, except in limited circumstances, such as a showing of clinical superiority to the product with orphan drug exclusivity or where the manufacturer is unable to assure sufficient product quantity. The applicable exclusivity period is ten years in Europe, but such exclusivity period can be reduced to six years if a product no longer meets the criteria for orphan designation or if the product is sufficiently profitable that market exclusivity is no longer justified.</w:t>
      </w:r>
    </w:p>
    <w:p>
      <w:pPr>
        <w:spacing w:after="0" w:line="68"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Even if we obtain orphan drug exclusivity for a product, that exclusivity may not effectively protect the product from competition because different drugs can be approved for the same condition. Even after an orphan drug is approved, the FDA or comparable foreign regulatory authority can subsequently approve the same drug for the same condition if such regulatory authority concludes that the later drug is clinically superior because it is shown to be safer, more effective or makes a major contribution to patient care. Orphan drug exclusivity may also be lost if the FDA or comparable foreign regulatory authority later determines that the initial request for designation was materially defective. In addition, orphan drug exclusivity does not prevent the FDA from approving competing drugs for the same or similar disease or condition containing a different active ingredient. In addition, if a subsequent drug is approved for marketing for the same or a similar disease or condition as any of our product candidates that receive marketing approval, we may face increased competition and lose market share regardless of orphan drug exclusivity. Orphan drug designation neither shortens the development time or regulatory review time of a drug nor gives the drug any advantage in the regulatory review or approval process.</w:t>
      </w:r>
    </w:p>
    <w:p>
      <w:pPr>
        <w:spacing w:after="0" w:line="69" w:lineRule="exact"/>
        <w:rPr>
          <w:sz w:val="20"/>
          <w:szCs w:val="20"/>
          <w:color w:val="auto"/>
        </w:rPr>
      </w:pPr>
    </w:p>
    <w:p>
      <w:pPr>
        <w:ind w:right="560"/>
        <w:spacing w:after="0" w:line="310" w:lineRule="auto"/>
        <w:rPr>
          <w:sz w:val="20"/>
          <w:szCs w:val="20"/>
          <w:color w:val="auto"/>
        </w:rPr>
      </w:pPr>
      <w:r>
        <w:rPr>
          <w:rFonts w:ascii="Arial" w:cs="Arial" w:eastAsia="Arial" w:hAnsi="Arial"/>
          <w:sz w:val="17"/>
          <w:szCs w:val="17"/>
          <w:b w:val="1"/>
          <w:bCs w:val="1"/>
          <w:i w:val="1"/>
          <w:iCs w:val="1"/>
          <w:color w:val="auto"/>
        </w:rPr>
        <w:t>We received rare pediatric disease designation for PRAX-562 and PRAX-222. However, a marketing application for these product candidates, if approved, may not meet the eligibility criteria for a rare pediatric disease priority review voucher.</w:t>
      </w:r>
    </w:p>
    <w:p>
      <w:pPr>
        <w:spacing w:after="0" w:line="20"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In 2012, U.S.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United States within one year following the date of approval.</w:t>
      </w:r>
    </w:p>
    <w:p>
      <w:pPr>
        <w:spacing w:after="0" w:line="70"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We received rare pediatric disease designation for PRAX-562 for the treatment of SCN2A-DEE and SCN8A-DEE, and for PRAX-222 for the treatment of SCN2A-DEE. Designation of a drug product as a product for a rare pediatric disease does not guarantee that a NDA for such drug product will meet the eligibility criteria for a rare pediatric disease priority review voucher at the time the application is approved. Under the Federal Food, Drug, and Cosmetic Act, or FDCA, we will need to request a rare pediatric disease priority review voucher in our original NDA for our product candidates for which we have received rare pediatric disease designation. The FDA may determine that a NDA for any such product candidates, if approved, do not meet the eligibility criteria for a priority review voucher.</w:t>
      </w:r>
    </w:p>
    <w:p>
      <w:pPr>
        <w:spacing w:after="0" w:line="64"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The authority for the FDA to award rare pediatric disease priority review vouchers for drug products after September 30, 2024 is currently limited to product candidates that receive rare pediatric disease designation on or prior to September 30, 2024, and the FDA may only award rare pediatric disease priority review vouchers through September 30, 2026. However, it is possible the authority for the FDA to award rare pediatric disease priority review vouchers will be further extended by Congress.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Re</w:t>
      </w:r>
      <w:r>
        <w:rPr>
          <w:rFonts w:ascii="Arial" w:cs="Arial" w:eastAsia="Arial" w:hAnsi="Arial"/>
          <w:sz w:val="17"/>
          <w:szCs w:val="17"/>
          <w:color w:val="auto"/>
        </w:rPr>
        <w:t>g</w:t>
      </w:r>
      <w:r>
        <w:rPr>
          <w:rFonts w:ascii="Arial" w:cs="Arial" w:eastAsia="Arial" w:hAnsi="Arial"/>
          <w:sz w:val="17"/>
          <w:szCs w:val="17"/>
          <w:u w:val="single" w:color="auto"/>
          <w:color w:val="auto"/>
        </w:rPr>
        <w:t>ulatory Approval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20"/>
        <w:spacing w:after="0" w:line="310"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0"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approval of a product candidate, comparable regulatory authorities in other jurisdictions, including Australia and Europe, must also approve the manufacturing, marketing and sale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also be approved for reimbursement before it can be approved for sale in that jurisdiction. In some cases, the price that we intend to charge for our products is also subject to governmental approval.</w:t>
      </w:r>
    </w:p>
    <w:p>
      <w:pPr>
        <w:spacing w:after="0" w:line="73"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61" w:lineRule="exact"/>
        <w:rPr>
          <w:sz w:val="20"/>
          <w:szCs w:val="20"/>
          <w:color w:val="auto"/>
        </w:rPr>
      </w:pPr>
    </w:p>
    <w:p>
      <w:pPr>
        <w:ind w:right="40"/>
        <w:spacing w:after="0" w:line="310" w:lineRule="auto"/>
        <w:rPr>
          <w:sz w:val="20"/>
          <w:szCs w:val="20"/>
          <w:color w:val="auto"/>
        </w:rPr>
      </w:pPr>
      <w:r>
        <w:rPr>
          <w:rFonts w:ascii="Arial" w:cs="Arial" w:eastAsia="Arial" w:hAnsi="Arial"/>
          <w:sz w:val="17"/>
          <w:szCs w:val="17"/>
          <w:b w:val="1"/>
          <w:bCs w:val="1"/>
          <w:i w:val="1"/>
          <w:iCs w:val="1"/>
          <w:color w:val="auto"/>
        </w:rPr>
        <w:t>Our product candidates may be regulated as controlled substances, the making, use, sale, importation, exportation, and distribution of which are subject to significant regulation by the U.S. Drug Enforcement Administration, or DEA, and other regulatory agencies.</w:t>
      </w:r>
    </w:p>
    <w:p>
      <w:pPr>
        <w:spacing w:after="0" w:line="20"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Our product candidates may be classified as controlled substances, which are subject to state, federal, and foreign laws and regulations regarding their manufacture, use, sale, importation, exportation, and distribution. Among other things, controlled substances are regulated under the federal Controlled Substances Act of 1970, and regulations of the DEA.</w:t>
      </w:r>
    </w:p>
    <w:p>
      <w:pPr>
        <w:spacing w:after="0" w:line="55"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Prior to commercialization, centrally acting drugs, such as those we are developing, are generally subject to review and potential scheduling by the DEA. It is possible that our product candidates may be regulated by the DEA as controlled substances, which would subject such product candidates to additional restrictions regarding their manufacture, shipment, storage, sale and use, depending on the scheduling of the active ingredients, and may limit the commercial potential of any of our product candidates, if approved.</w:t>
      </w:r>
    </w:p>
    <w:p>
      <w:pPr>
        <w:spacing w:after="0" w:line="68" w:lineRule="exact"/>
        <w:rPr>
          <w:sz w:val="20"/>
          <w:szCs w:val="20"/>
          <w:color w:val="auto"/>
        </w:rPr>
      </w:pPr>
    </w:p>
    <w:p>
      <w:pPr>
        <w:ind w:right="380" w:firstLine="433"/>
        <w:spacing w:after="0" w:line="264" w:lineRule="auto"/>
        <w:rPr>
          <w:sz w:val="20"/>
          <w:szCs w:val="20"/>
          <w:color w:val="auto"/>
        </w:rPr>
      </w:pPr>
      <w:r>
        <w:rPr>
          <w:rFonts w:ascii="Arial" w:cs="Arial" w:eastAsia="Arial" w:hAnsi="Arial"/>
          <w:sz w:val="17"/>
          <w:szCs w:val="17"/>
          <w:color w:val="auto"/>
        </w:rPr>
        <w:t>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 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68"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For any of our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future, the ability to produce and distribute our products in the volume needed to meet commercial demand. 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 candidates that are classified as controlled substances.</w:t>
      </w:r>
    </w:p>
    <w:p>
      <w:pPr>
        <w:spacing w:after="0" w:line="6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We could be subject to product liability lawsuits based on the use of our product candidates in clinical testing or, if obtained, following our products’ marketing approval and commercialization. Product liability lawsuits brought against us or any of our future collaborators could divert our resources and attention, require us to cease clinical testing, cause us to incur substantial liabilities or limit commercialization of our product candidates.</w:t>
      </w:r>
    </w:p>
    <w:p>
      <w:pPr>
        <w:spacing w:after="0" w:line="48"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use of our product candidates by us and any collaborators in clinical trials may expose us to liability claims. We will face an even greater risk if product candidates are approved by regulatory authorities and introduced commercially. Product liability claims may be brought against us or our partners if any product candidate we develop allegedly causes injury or is found to be otherwise unsuitable for human use during product testing, manufacturing, marketing or sale. Any such product liability claim may include allegations of defects in manufacturing, defects in design, a failure to warn of dangers inherent in the product, negligence, strict liability and a breach of warranties. Claims could also be asserted under state consumer protection acts. Such claims could be made by participants enrolled in our clinical trials, patients, health care providers, biopharmaceutical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Even successful defense would require significant financial and management resources.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Regardless of the merits or eventual outcome, product liability claims may result in:</w:t>
      </w:r>
    </w:p>
    <w:p>
      <w:pPr>
        <w:spacing w:after="0" w:line="119" w:lineRule="exact"/>
        <w:rPr>
          <w:sz w:val="20"/>
          <w:szCs w:val="20"/>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decreased demand for any of our future approved products;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termination of clinical trial sites or entire trial programs;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significant litigation costs;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substantial monetary awards to, or costly settlements with, patients or other claimants;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product recalls or a change in the indications for which any approved drug products may be used;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diversion of management and scientific resources from our business operations;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inability to commercialize our product candidates.</w:t>
      </w:r>
    </w:p>
    <w:p>
      <w:pPr>
        <w:spacing w:after="0" w:line="119"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physicians’ or patients’ use or misuse of our products or any similar products distributed by other companies.</w:t>
      </w:r>
    </w:p>
    <w:p>
      <w:pPr>
        <w:spacing w:after="0" w:line="70"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Although we maintain product liability insurance coverage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48" w:lineRule="exact"/>
        <w:rPr>
          <w:sz w:val="20"/>
          <w:szCs w:val="20"/>
          <w:color w:val="auto"/>
        </w:rPr>
      </w:pPr>
    </w:p>
    <w:p>
      <w:pPr>
        <w:ind w:right="180" w:firstLine="433"/>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may face competition with respect to any product candidates that we seek to develop or commercialize in the future from biopharmaceutical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61" w:lineRule="exact"/>
        <w:rPr>
          <w:sz w:val="20"/>
          <w:szCs w:val="20"/>
          <w:color w:val="auto"/>
        </w:rPr>
      </w:pPr>
    </w:p>
    <w:p>
      <w:pPr>
        <w:ind w:right="440" w:firstLine="433"/>
        <w:spacing w:after="0" w:line="268" w:lineRule="auto"/>
        <w:rPr>
          <w:sz w:val="20"/>
          <w:szCs w:val="20"/>
          <w:color w:val="auto"/>
        </w:rPr>
      </w:pPr>
      <w:r>
        <w:rPr>
          <w:rFonts w:ascii="Arial" w:cs="Arial" w:eastAsia="Arial" w:hAnsi="Arial"/>
          <w:sz w:val="17"/>
          <w:szCs w:val="17"/>
          <w:color w:val="auto"/>
        </w:rPr>
        <w:t>Specifically, we face competition with T-type calcium channel inhibitor programs in development targeting ET, including that of Jazz Pharmaceuticals, as well as other programs in clinical development targeting other mechanisms of action, and approved therapies, such as propranolol, and off-label therapies, such as primidone; and sodium channel blocker or similar programs in development for DEEs, including those of SK-Pharma, Xenon Pharmaceuticals, Neurocrine Biosciences and Stoke Therapeutics, as well as other programs in clinical development targeting other mechanisms of action, and approved therapies including other existing ion channel blockers.</w:t>
      </w:r>
    </w:p>
    <w:p>
      <w:pPr>
        <w:spacing w:after="0" w:line="63" w:lineRule="exact"/>
        <w:rPr>
          <w:sz w:val="20"/>
          <w:szCs w:val="20"/>
          <w:color w:val="auto"/>
        </w:rPr>
      </w:pPr>
    </w:p>
    <w:p>
      <w:pPr>
        <w:ind w:right="280" w:firstLine="433"/>
        <w:spacing w:after="0" w:line="278" w:lineRule="auto"/>
        <w:rPr>
          <w:sz w:val="20"/>
          <w:szCs w:val="20"/>
          <w:color w:val="auto"/>
        </w:rPr>
      </w:pPr>
      <w:r>
        <w:rPr>
          <w:rFonts w:ascii="Arial" w:cs="Arial" w:eastAsia="Arial" w:hAnsi="Arial"/>
          <w:sz w:val="17"/>
          <w:szCs w:val="17"/>
          <w:color w:val="auto"/>
        </w:rPr>
        <w:t>If any of these competitors or competitors for our other product candidates receive FDA approval before we do, our product candidates would not be the first treatment on the market, and our market share may be limited. In addition to competition from other companies targeting our target indications, any products we may develop may also face competition from other types of therapies.</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Many of our current or potential competitors, either alone or with their strategic partners, have:</w:t>
      </w:r>
    </w:p>
    <w:p>
      <w:pPr>
        <w:spacing w:after="0" w:line="119" w:lineRule="exact"/>
        <w:rPr>
          <w:sz w:val="20"/>
          <w:szCs w:val="20"/>
          <w:color w:val="auto"/>
        </w:rPr>
      </w:pPr>
    </w:p>
    <w:p>
      <w:pPr>
        <w:ind w:left="640" w:right="840" w:hanging="320"/>
        <w:spacing w:after="0" w:line="300"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greater financial, technical and human resources than we have at every stage of the discovery, development, manufacture and commercialization of products;</w:t>
      </w:r>
    </w:p>
    <w:p>
      <w:pPr>
        <w:spacing w:after="0" w:line="35" w:lineRule="exact"/>
        <w:rPr>
          <w:rFonts w:ascii="Arial" w:cs="Arial" w:eastAsia="Arial" w:hAnsi="Arial"/>
          <w:sz w:val="17"/>
          <w:szCs w:val="17"/>
          <w:color w:val="auto"/>
        </w:rPr>
      </w:pPr>
    </w:p>
    <w:p>
      <w:pPr>
        <w:ind w:left="640" w:right="800" w:hanging="320"/>
        <w:spacing w:after="0" w:line="300"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more extensive experience in preclinical testing, conducting clinical trials, obtaining regulatory approvals, and in manufacturing, marketing and selling drug products;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products that have been approved or are in late stages of development;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collaborative arrangements in our target markets with leading companies and research institutions.</w:t>
      </w:r>
    </w:p>
    <w:p>
      <w:pPr>
        <w:spacing w:after="0" w:line="11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Mergers and acquisitions in the biopharmaceutical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or other comparable foreign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282" w:lineRule="exact"/>
        <w:rPr>
          <w:sz w:val="20"/>
          <w:szCs w:val="20"/>
          <w:color w:val="auto"/>
        </w:rPr>
      </w:pPr>
    </w:p>
    <w:p>
      <w:pPr>
        <w:ind w:right="240" w:firstLine="433"/>
        <w:spacing w:after="0" w:line="271" w:lineRule="auto"/>
        <w:rPr>
          <w:sz w:val="20"/>
          <w:szCs w:val="20"/>
          <w:color w:val="auto"/>
        </w:rPr>
      </w:pPr>
      <w:r>
        <w:rPr>
          <w:rFonts w:ascii="Arial" w:cs="Arial" w:eastAsia="Arial" w:hAnsi="Arial"/>
          <w:sz w:val="17"/>
          <w:szCs w:val="17"/>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Post-Marketin</w:t>
      </w:r>
      <w:r>
        <w:rPr>
          <w:rFonts w:ascii="Arial" w:cs="Arial" w:eastAsia="Arial" w:hAnsi="Arial"/>
          <w:sz w:val="17"/>
          <w:szCs w:val="17"/>
          <w:color w:val="auto"/>
        </w:rPr>
        <w:t xml:space="preserve">g </w:t>
      </w:r>
      <w:r>
        <w:rPr>
          <w:rFonts w:ascii="Arial" w:cs="Arial" w:eastAsia="Arial" w:hAnsi="Arial"/>
          <w:sz w:val="17"/>
          <w:szCs w:val="17"/>
          <w:u w:val="single" w:color="auto"/>
          <w:color w:val="auto"/>
        </w:rPr>
        <w:t>Regulatory Requirements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48"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Even if the FDA or a comparable foreign regulatory authority approves any of our product candidates, we will be subject to ongoing regulatory requirements in the applicable jurisdictions for manufacturing, labeling, packaging, storage, advertising, promotion, sampling, record-keeping, conduct of post-marketing studies and submission of safety, efficacy and other post-market information. In addition, we will be subject to continued compliance with cGMP or similar regulatory requirements outside the United States and GCP requirements for any clinical trials that we conduct post-approval.</w:t>
      </w:r>
    </w:p>
    <w:p>
      <w:pPr>
        <w:spacing w:after="0" w:line="63"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Manufacturers and their facilities are required to comply with extensive regulatory authority requirements, including ensuring that quality control and manufacturing procedures conform to cGMP or other similar regulations. As such, we and our contract manufacturers will be subject to continual review and inspections to assess compliance with cGMP or similar regulatory requirements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63"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In the United States,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Similar requirements may apply in foreign jurisdictions. In addition, if the FDA or a comparable foreign regulatory authority approves our product candidates, we will have to comply with requirements including submissions of safety and other post-marketing information and reports and registration.</w:t>
      </w:r>
    </w:p>
    <w:p>
      <w:pPr>
        <w:spacing w:after="0" w:line="70"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In the United States and elsewhere, the FDA and foreign regulatory authorities may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or other restrictions; imposition of post-market studies or clinical trials to assess new safety risks; or imposition of distribution restrictions or other restrictions under a REMS or similar program. Other potential consequences include, among other things:</w:t>
      </w:r>
    </w:p>
    <w:p>
      <w:pPr>
        <w:spacing w:after="0" w:line="64" w:lineRule="exact"/>
        <w:rPr>
          <w:sz w:val="20"/>
          <w:szCs w:val="20"/>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restrictions on the manufacturing of our products, the approved manufacturers or the manufacturing process;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withdrawal of the product from the market or voluntary product recalls;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warning or untitled letters from the FDA or comparable notice of violations from foreign regulatory authorities;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suspensions of any of our ongoing clinical trials;</w:t>
      </w:r>
    </w:p>
    <w:p>
      <w:pPr>
        <w:spacing w:after="0" w:line="119"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refusal by the FDA or foreign regulatory authorities to approve pending applications or supplements to approved applications filed by us or suspension or withdrawal of marketing approvals;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consent decrees, injunctions or the imposition of civil or criminal penalties.</w:t>
      </w:r>
    </w:p>
    <w:p>
      <w:pPr>
        <w:spacing w:after="0" w:line="119"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Violations of the FDCA relating to the promotion of prescription drugs may also lead to investigations alleging violations of federal and state health care fraud and abuse laws, as well as state consumer protection laws. Accordingly, to the extent we receive marketing approval for one or more of our product candidates, we and our third-party partners will continue to expend time, money and effort in all areas of regulatory compliance, including promotional and labeling compliance, manufacturing, production, product surveillance and quality control. Any</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160"/>
        <w:spacing w:after="0" w:line="271" w:lineRule="auto"/>
        <w:rPr>
          <w:sz w:val="20"/>
          <w:szCs w:val="20"/>
          <w:color w:val="auto"/>
        </w:rPr>
      </w:pPr>
      <w:r>
        <w:rPr>
          <w:rFonts w:ascii="Arial" w:cs="Arial" w:eastAsia="Arial" w:hAnsi="Arial"/>
          <w:sz w:val="17"/>
          <w:szCs w:val="17"/>
          <w:color w:val="auto"/>
        </w:rPr>
        <w:t>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w:t>
      </w:r>
    </w:p>
    <w:p>
      <w:pPr>
        <w:spacing w:after="0" w:line="61"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to,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63" w:lineRule="exact"/>
        <w:rPr>
          <w:sz w:val="20"/>
          <w:szCs w:val="20"/>
          <w:color w:val="auto"/>
        </w:rPr>
      </w:pPr>
    </w:p>
    <w:p>
      <w:pPr>
        <w:ind w:right="140"/>
        <w:spacing w:after="0" w:line="310" w:lineRule="auto"/>
        <w:rPr>
          <w:sz w:val="20"/>
          <w:szCs w:val="20"/>
          <w:color w:val="auto"/>
        </w:rPr>
      </w:pPr>
      <w:r>
        <w:rPr>
          <w:rFonts w:ascii="Arial" w:cs="Arial" w:eastAsia="Arial" w:hAnsi="Arial"/>
          <w:sz w:val="17"/>
          <w:szCs w:val="17"/>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20" w:lineRule="exact"/>
        <w:rPr>
          <w:sz w:val="20"/>
          <w:szCs w:val="20"/>
          <w:color w:val="auto"/>
        </w:rPr>
      </w:pPr>
    </w:p>
    <w:p>
      <w:pPr>
        <w:ind w:right="180" w:firstLine="433"/>
        <w:spacing w:after="0" w:line="271"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drug products. These regulations include standards and restrictions for direct-to-consumer advertising, industry-sponsored scientific and educational activities, promotional activities involving the internet and off-label promotion. For example, any regulatory approval that the FDA grants is limited to those indications and patient populations for which a drug is deemed to be safe and effective by the FDA.</w:t>
      </w:r>
    </w:p>
    <w:p>
      <w:pPr>
        <w:spacing w:after="0" w:line="61"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While physicians in the United States may choose, and are generally permitted, to prescribe products for uses that are not described in the product’s labeling and for uses that differ from those tested in clinical trials and approved by the regulatory authorities, our ability to promote any of our products candidates, if approved, will be narrowly limited to those indications and populations that are specifically approved by the FDA or such other regulatory agencies, and if we are found to have promoted such off-label uses, we may become subject to significant liability. For example, the federal government has levied large civil and criminal fines against companies for alleged improper promotion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Sales, Marketing and Competition</w:t>
      </w:r>
    </w:p>
    <w:p>
      <w:pPr>
        <w:spacing w:after="0" w:line="119" w:lineRule="exact"/>
        <w:rPr>
          <w:sz w:val="20"/>
          <w:szCs w:val="20"/>
          <w:color w:val="auto"/>
        </w:rPr>
      </w:pPr>
    </w:p>
    <w:p>
      <w:pPr>
        <w:ind w:right="260"/>
        <w:spacing w:after="0" w:line="310" w:lineRule="auto"/>
        <w:rPr>
          <w:sz w:val="20"/>
          <w:szCs w:val="20"/>
          <w:color w:val="auto"/>
        </w:rPr>
      </w:pPr>
      <w:r>
        <w:rPr>
          <w:rFonts w:ascii="Arial" w:cs="Arial" w:eastAsia="Arial" w:hAnsi="Arial"/>
          <w:sz w:val="17"/>
          <w:szCs w:val="17"/>
          <w:b w:val="1"/>
          <w:bCs w:val="1"/>
          <w:i w:val="1"/>
          <w:iCs w:val="1"/>
          <w:color w:val="auto"/>
        </w:rPr>
        <w:t>Our commercial success depends upon attaining significant market acceptance of our drug product candidates, if approved, among physicians, patients, third-party payors and other members of the medical community.</w:t>
      </w:r>
    </w:p>
    <w:p>
      <w:pPr>
        <w:spacing w:after="0" w:line="20"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Even if any of the product candidates we develop receives marketing approval, they may nonetheless fail to gain sufficient market acceptance by physicians, patients, third-party payors, such as Medicare and Medicaid programs and managed care organizations in the United States,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degree of market acceptance of any product candidate, if approved for commercial sale, will depend on a number of factors, including:</w:t>
      </w:r>
    </w:p>
    <w:p>
      <w:pPr>
        <w:spacing w:after="0" w:line="119" w:lineRule="exact"/>
        <w:rPr>
          <w:sz w:val="20"/>
          <w:szCs w:val="20"/>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efficacy and potential advantages compared to alternative treatments;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ability to offer our products, if approved, for sale at competitive prices;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relative convenience and ease of administration compared to alternative treatments;</w:t>
      </w:r>
    </w:p>
    <w:p>
      <w:pPr>
        <w:spacing w:after="0" w:line="119" w:lineRule="exact"/>
        <w:rPr>
          <w:rFonts w:ascii="Arial" w:cs="Arial" w:eastAsia="Arial" w:hAnsi="Arial"/>
          <w:sz w:val="17"/>
          <w:szCs w:val="17"/>
          <w:color w:val="auto"/>
        </w:rPr>
      </w:pPr>
    </w:p>
    <w:p>
      <w:pPr>
        <w:ind w:left="640" w:right="800" w:hanging="320"/>
        <w:spacing w:after="0" w:line="300"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perceptions by the medical community, physicians, and patients, regarding the safety and effectiveness of our products and the willingness of the target patient population to try new therapies and of physicians to prescribe these therapies;</w:t>
      </w:r>
    </w:p>
    <w:p>
      <w:pPr>
        <w:spacing w:after="0" w:line="35" w:lineRule="exact"/>
        <w:rPr>
          <w:rFonts w:ascii="Arial" w:cs="Arial" w:eastAsia="Arial" w:hAnsi="Arial"/>
          <w:sz w:val="17"/>
          <w:szCs w:val="17"/>
          <w:color w:val="auto"/>
        </w:rPr>
      </w:pPr>
    </w:p>
    <w:p>
      <w:pPr>
        <w:ind w:left="640" w:right="460" w:hanging="320"/>
        <w:spacing w:after="0" w:line="300"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size of the market for such product candidate, based on the size of the patient subsets that we are targeting, in the territories for which we gain regulatory approval;</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right="200" w:hanging="320"/>
        <w:spacing w:after="0" w:line="300"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recommendations with respect to our product candidates in guidelines published by various scientific organizations applicable to us and our product candidates;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strength of sales, marketing and distribution support;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timing of any such marketing approval in relation to other product approvals;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restrictions on concomitant use of other medications;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support from patient advocacy groups;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ability to obtain sufficient third-party coverage and adequate reimbursement;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119" w:lineRule="exact"/>
        <w:rPr>
          <w:sz w:val="20"/>
          <w:szCs w:val="20"/>
          <w:color w:val="auto"/>
        </w:rPr>
      </w:pPr>
    </w:p>
    <w:p>
      <w:pPr>
        <w:ind w:firstLine="433"/>
        <w:spacing w:after="0" w:line="300" w:lineRule="auto"/>
        <w:rPr>
          <w:sz w:val="20"/>
          <w:szCs w:val="20"/>
          <w:color w:val="auto"/>
        </w:rPr>
      </w:pPr>
      <w:r>
        <w:rPr>
          <w:rFonts w:ascii="Arial" w:cs="Arial" w:eastAsia="Arial" w:hAnsi="Arial"/>
          <w:sz w:val="17"/>
          <w:szCs w:val="17"/>
          <w:color w:val="auto"/>
        </w:rPr>
        <w:t>If government and other third-party payors do not provide coverage and adequate reimbursement levels for any products we commercialize, market acceptance and commercial success would be reduced.</w:t>
      </w:r>
    </w:p>
    <w:p>
      <w:pPr>
        <w:spacing w:after="0" w:line="3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i w:val="1"/>
          <w:iCs w:val="1"/>
          <w:color w:val="auto"/>
        </w:rPr>
        <w:t>The successful commercialization of our product candidates in the United States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268"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w:t>
      </w:r>
      <w:r>
        <w:rPr>
          <w:rFonts w:ascii="Arial" w:cs="Arial" w:eastAsia="Arial" w:hAnsi="Arial"/>
          <w:sz w:val="17"/>
          <w:szCs w:val="17"/>
          <w:i w:val="1"/>
          <w:iCs w:val="1"/>
          <w:color w:val="auto"/>
        </w:rPr>
        <w:t>e.g.</w:t>
      </w:r>
      <w:r>
        <w:rPr>
          <w:rFonts w:ascii="Arial" w:cs="Arial" w:eastAsia="Arial" w:hAnsi="Arial"/>
          <w:sz w:val="17"/>
          <w:szCs w:val="17"/>
          <w:color w:val="auto"/>
        </w:rPr>
        <w:t>, Medicare, Medicaid, TRICARE), managed care providers, private health insurers, health maintenance organizations and other organizations is essential for most patients to be able to afford medical services and biopharmaceutical products such as our product candidates. Third-party payors decide which medications they will pay for and establish reimbursement levels.</w:t>
      </w:r>
    </w:p>
    <w:p>
      <w:pPr>
        <w:spacing w:after="0" w:line="68" w:lineRule="exact"/>
        <w:rPr>
          <w:sz w:val="20"/>
          <w:szCs w:val="20"/>
          <w:color w:val="auto"/>
        </w:rPr>
      </w:pPr>
    </w:p>
    <w:p>
      <w:pPr>
        <w:jc w:val="both"/>
        <w:ind w:right="100" w:firstLine="433"/>
        <w:spacing w:after="0" w:line="278" w:lineRule="auto"/>
        <w:rPr>
          <w:sz w:val="20"/>
          <w:szCs w:val="20"/>
          <w:color w:val="auto"/>
        </w:rPr>
      </w:pPr>
      <w:r>
        <w:rPr>
          <w:rFonts w:ascii="Arial" w:cs="Arial" w:eastAsia="Arial" w:hAnsi="Arial"/>
          <w:sz w:val="17"/>
          <w:szCs w:val="17"/>
          <w:color w:val="auto"/>
        </w:rPr>
        <w:t>In the United States, the Centers for Medicare &amp; Medicaid Services, or CMS, an agency within the U.S. Department of Health and Human Services, or HHS, determines whether and to what extent new products will be covered and reimbursed under Medicare and private payors tend to follow CMS to a substantial degree. Factors payors consider in determining reimbursement are based on whether the product is:</w:t>
      </w:r>
    </w:p>
    <w:p>
      <w:pPr>
        <w:spacing w:after="0" w:line="55" w:lineRule="exact"/>
        <w:rPr>
          <w:sz w:val="20"/>
          <w:szCs w:val="20"/>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119" w:lineRule="exact"/>
        <w:rPr>
          <w:sz w:val="20"/>
          <w:szCs w:val="20"/>
          <w:color w:val="auto"/>
        </w:rPr>
      </w:pPr>
    </w:p>
    <w:p>
      <w:pPr>
        <w:ind w:right="20" w:firstLine="433"/>
        <w:spacing w:after="0" w:line="267" w:lineRule="auto"/>
        <w:rPr>
          <w:sz w:val="20"/>
          <w:szCs w:val="20"/>
          <w:color w:val="auto"/>
        </w:rPr>
      </w:pPr>
      <w:r>
        <w:rPr>
          <w:rFonts w:ascii="Arial" w:cs="Arial" w:eastAsia="Arial" w:hAnsi="Arial"/>
          <w:sz w:val="17"/>
          <w:szCs w:val="17"/>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276"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We cannot be sure that coverage and reimbursement will be available for, or accurately estimate the potential revenue from, our product candidates.</w:t>
      </w:r>
    </w:p>
    <w:p>
      <w:pPr>
        <w:spacing w:after="0" w:line="68" w:lineRule="exact"/>
        <w:rPr>
          <w:sz w:val="20"/>
          <w:szCs w:val="20"/>
          <w:color w:val="auto"/>
        </w:rPr>
      </w:pPr>
    </w:p>
    <w:p>
      <w:pPr>
        <w:ind w:right="120" w:firstLine="433"/>
        <w:spacing w:after="0" w:line="300" w:lineRule="auto"/>
        <w:rPr>
          <w:sz w:val="20"/>
          <w:szCs w:val="20"/>
          <w:color w:val="auto"/>
        </w:rPr>
      </w:pPr>
      <w:r>
        <w:rPr>
          <w:rFonts w:ascii="Arial" w:cs="Arial" w:eastAsia="Arial" w:hAnsi="Arial"/>
          <w:sz w:val="17"/>
          <w:szCs w:val="17"/>
          <w:color w:val="auto"/>
        </w:rPr>
        <w:t>A decision by a third-party payor not to cover or not to separately reimburse for our medical products or therapies using our products could reduce physician utilization of our products once approved. Assuming there is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our current or future product candidates, or for any procedures using such product candidates, and any reimbursement that may become available may not be adequate or may be decreased or eliminated in the future.</w:t>
      </w:r>
    </w:p>
    <w:p>
      <w:pPr>
        <w:spacing w:after="0" w:line="61"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Governments outside the United States tend to impose strict price controls, which may adversely affect our revenues, if any.</w:t>
      </w:r>
    </w:p>
    <w:p>
      <w:pPr>
        <w:spacing w:after="0" w:line="119"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In some foreign countries, the proposed pricing for a drug must be approved before it may be lawfully marketed. The requirements governing drug pricing vary widely from country to country. For example, in the European Union,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Approaches between member states are diverging. For example, in France, effective market access will be supported by agreements with hospitals and products may be reimbursed by the Social Security Fund. The price of reimbursed medicines is negotiated with the Economic Committee for Health Products, or CEPS. There can be no assurance that any country that has price controls or reimbursement limitations for biopharmaceutical products will allow favorable reimbursement and pricing arrangements for any of our product candidates. Historically, products launched in the European Union do not follow price structures of the United States and generally prices tend to be significantly lower.</w:t>
      </w:r>
    </w:p>
    <w:p>
      <w:pPr>
        <w:spacing w:after="0" w:line="284" w:lineRule="exact"/>
        <w:rPr>
          <w:sz w:val="20"/>
          <w:szCs w:val="20"/>
          <w:color w:val="auto"/>
        </w:rPr>
      </w:pPr>
    </w:p>
    <w:p>
      <w:pPr>
        <w:ind w:right="900"/>
        <w:spacing w:after="0" w:line="310" w:lineRule="auto"/>
        <w:rPr>
          <w:sz w:val="20"/>
          <w:szCs w:val="20"/>
          <w:color w:val="auto"/>
        </w:rPr>
      </w:pPr>
      <w:r>
        <w:rPr>
          <w:rFonts w:ascii="Arial" w:cs="Arial" w:eastAsia="Arial" w:hAnsi="Arial"/>
          <w:sz w:val="17"/>
          <w:szCs w:val="17"/>
          <w:b w:val="1"/>
          <w:bCs w:val="1"/>
          <w:i w:val="1"/>
          <w:iCs w:val="1"/>
          <w:color w:val="auto"/>
        </w:rPr>
        <w:t>Even if we obtain approval of any of our product candidates in the United States or Europe, we may never obtain approval or commercialize such products in other countries, which would limit our ability to realize their full market potential.</w:t>
      </w:r>
    </w:p>
    <w:p>
      <w:pPr>
        <w:spacing w:after="0" w:line="20"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In order to market any products in the United States or Europe, we must establish and comply with numerous and varying regulatory requirements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outside of where our clinical trials currently have been conducted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72"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 candidates, if approved, we may not be able to generate product revenue.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Ongoing Regulatory and Legal Compliance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Healthcare and Related Laws</w:t>
      </w:r>
    </w:p>
    <w:p>
      <w:pPr>
        <w:spacing w:after="0" w:line="119"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43"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Although we do not currently have any products on the market, upon commercialization of our product candidates, if approved, we will be subject to additional healthcare statutory and regulatory requirements and oversight by federal and state governments in the United States as well as foreign governments in the jurisdictions in which we conduct our business. 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69" w:lineRule="exact"/>
        <w:rPr>
          <w:sz w:val="20"/>
          <w:szCs w:val="20"/>
          <w:color w:val="auto"/>
        </w:rPr>
      </w:pPr>
    </w:p>
    <w:p>
      <w:pPr>
        <w:ind w:right="420" w:firstLine="433"/>
        <w:spacing w:after="0" w:line="300" w:lineRule="auto"/>
        <w:rPr>
          <w:sz w:val="20"/>
          <w:szCs w:val="20"/>
          <w:color w:val="auto"/>
        </w:rPr>
      </w:pPr>
      <w:r>
        <w:rPr>
          <w:rFonts w:ascii="Arial" w:cs="Arial" w:eastAsia="Arial" w:hAnsi="Arial"/>
          <w:sz w:val="17"/>
          <w:szCs w:val="17"/>
          <w:color w:val="auto"/>
        </w:rPr>
        <w:t>The applicable federal, state and foreign healthcare laws and regulations laws that may affect our ability to operate include, but are not limited to:</w:t>
      </w:r>
    </w:p>
    <w:p>
      <w:pPr>
        <w:spacing w:after="0" w:line="36" w:lineRule="exact"/>
        <w:rPr>
          <w:sz w:val="20"/>
          <w:szCs w:val="20"/>
          <w:color w:val="auto"/>
        </w:rPr>
      </w:pPr>
    </w:p>
    <w:p>
      <w:pPr>
        <w:ind w:left="640" w:right="40" w:hanging="320"/>
        <w:spacing w:after="0" w:line="262"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arrangement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term remuneration has been interpreted broadly to include anything of value. Further, courts have found that if “one purpose” of remuneration is to induce referrals, the federal Anti-Kickback statute is violated.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w:t>
      </w:r>
    </w:p>
    <w:p>
      <w:pPr>
        <w:spacing w:after="0" w:line="69" w:lineRule="exact"/>
        <w:rPr>
          <w:rFonts w:ascii="Arial" w:cs="Arial" w:eastAsia="Arial" w:hAnsi="Arial"/>
          <w:sz w:val="17"/>
          <w:szCs w:val="17"/>
          <w:color w:val="auto"/>
        </w:rPr>
      </w:pPr>
    </w:p>
    <w:p>
      <w:pPr>
        <w:ind w:left="640" w:right="200" w:hanging="320"/>
        <w:spacing w:after="0" w:line="271"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FCA, and civil monetary penalty laws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right="100"/>
        <w:spacing w:after="0" w:line="264" w:lineRule="auto"/>
        <w:rPr>
          <w:sz w:val="20"/>
          <w:szCs w:val="20"/>
          <w:color w:val="auto"/>
        </w:rPr>
      </w:pPr>
      <w:r>
        <w:rPr>
          <w:rFonts w:ascii="Arial" w:cs="Arial" w:eastAsia="Arial" w:hAnsi="Arial"/>
          <w:sz w:val="17"/>
          <w:szCs w:val="17"/>
          <w:color w:val="auto"/>
        </w:rPr>
        <w:t>material to a false, fictitious or fraudulent claim or an obligation to pay or transmit money or property to the federal government; or knowingly concealing or knowingly and improperly avoiding, decreasing or concealing an obligation to pay money to the federal government. In addition,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 or settlement;</w:t>
      </w:r>
    </w:p>
    <w:p>
      <w:pPr>
        <w:spacing w:after="0" w:line="68" w:lineRule="exact"/>
        <w:rPr>
          <w:sz w:val="20"/>
          <w:szCs w:val="20"/>
          <w:color w:val="auto"/>
        </w:rPr>
      </w:pPr>
    </w:p>
    <w:p>
      <w:pPr>
        <w:ind w:left="640" w:right="180" w:hanging="320"/>
        <w:spacing w:after="0" w:line="262" w:lineRule="auto"/>
        <w:tabs>
          <w:tab w:leader="none" w:pos="6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including private third-party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relating to healthcare matters. Similar to the federal Anti-Kickback Statute, a person or entity can be found guilty of violating HIPAA fraud provisions without actual knowledge of the statute or specific intent to violate it;</w:t>
      </w:r>
    </w:p>
    <w:p>
      <w:pPr>
        <w:spacing w:after="0" w:line="72" w:lineRule="exact"/>
        <w:rPr>
          <w:rFonts w:ascii="Arial" w:cs="Arial" w:eastAsia="Arial" w:hAnsi="Arial"/>
          <w:sz w:val="17"/>
          <w:szCs w:val="17"/>
          <w:color w:val="auto"/>
        </w:rPr>
      </w:pPr>
    </w:p>
    <w:p>
      <w:pPr>
        <w:ind w:left="640" w:right="80" w:hanging="320"/>
        <w:spacing w:after="0" w:line="266" w:lineRule="auto"/>
        <w:tabs>
          <w:tab w:leader="none" w:pos="6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Physician Payments Sunshine Act and its implementing regulations, which require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made to physicians (defined to include doctors, dentists, optometrists, podiatrists and chiropractors), certain non-physician providers including physician providers including physician assistants and nurse practitioners, and teaching hospitals, as well as ownership and investment interests held by the physicians and their immediate family members;</w:t>
      </w:r>
    </w:p>
    <w:p>
      <w:pPr>
        <w:spacing w:after="0" w:line="63" w:lineRule="exact"/>
        <w:rPr>
          <w:rFonts w:ascii="Arial" w:cs="Arial" w:eastAsia="Arial" w:hAnsi="Arial"/>
          <w:sz w:val="17"/>
          <w:szCs w:val="17"/>
          <w:color w:val="auto"/>
        </w:rPr>
      </w:pPr>
    </w:p>
    <w:p>
      <w:pPr>
        <w:ind w:left="640" w:right="40" w:hanging="320"/>
        <w:spacing w:after="0" w:line="300" w:lineRule="auto"/>
        <w:tabs>
          <w:tab w:leader="none" w:pos="6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 and</w:t>
      </w:r>
    </w:p>
    <w:p>
      <w:pPr>
        <w:spacing w:after="0" w:line="35" w:lineRule="exact"/>
        <w:rPr>
          <w:rFonts w:ascii="Arial" w:cs="Arial" w:eastAsia="Arial" w:hAnsi="Arial"/>
          <w:sz w:val="17"/>
          <w:szCs w:val="17"/>
          <w:color w:val="auto"/>
        </w:rPr>
      </w:pPr>
    </w:p>
    <w:p>
      <w:pPr>
        <w:ind w:left="640" w:hanging="320"/>
        <w:spacing w:after="0" w:line="263" w:lineRule="auto"/>
        <w:tabs>
          <w:tab w:leader="none" w:pos="6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analogous U.S. state, local and foreign laws and regulations, such as state anti-kickback and false claims laws, which may apply to sales or marketing arrangements and claims involving healthcare items or services reimbursed by any third-party payor, including private insurers, and may be broader in scope than their federal equivalents; state and foreign laws that require biopharmaceutical companies to comply with the biopharmaceutical industry’s voluntary compliance guidelines and other relevant compliance guidance promulgated by the federal government or otherwise restrict payments that may be made to healthcare providers and other potential referral sources; and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w:t>
      </w:r>
    </w:p>
    <w:p>
      <w:pPr>
        <w:spacing w:after="0" w:line="70"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70" w:lineRule="exact"/>
        <w:rPr>
          <w:sz w:val="20"/>
          <w:szCs w:val="20"/>
          <w:color w:val="auto"/>
        </w:rPr>
      </w:pPr>
    </w:p>
    <w:p>
      <w:pPr>
        <w:ind w:right="240" w:firstLine="433"/>
        <w:spacing w:after="0" w:line="266" w:lineRule="auto"/>
        <w:rPr>
          <w:sz w:val="20"/>
          <w:szCs w:val="20"/>
          <w:color w:val="auto"/>
        </w:rPr>
      </w:pPr>
      <w:r>
        <w:rPr>
          <w:rFonts w:ascii="Arial" w:cs="Arial" w:eastAsia="Arial" w:hAnsi="Arial"/>
          <w:sz w:val="17"/>
          <w:szCs w:val="17"/>
          <w:color w:val="auto"/>
        </w:rPr>
        <w:t>It is possible that governmental and enforcement authorities will conclude that our business practices, including our arrangements with physicians and other healthcare providers, some of whom may receive stock options as compensation for services provided, may not comply with current or future statutes, regulations or case law interpreting applicable fraud and abuse or other healthcare laws and regulations. If our operations are found to be in violation of any of the laws described above or any other government regulations that apply to us, we may be subject to significant sanctions, including civil, criminal and administrative penalties, damages, fines, disgorgement, imprisonment, reputational harm, exclusion from participation in federal and state funded healthcare programs,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40"/>
        <w:spacing w:after="0" w:line="300" w:lineRule="auto"/>
        <w:rPr>
          <w:sz w:val="20"/>
          <w:szCs w:val="20"/>
          <w:color w:val="auto"/>
        </w:rPr>
      </w:pPr>
      <w:r>
        <w:rPr>
          <w:rFonts w:ascii="Arial" w:cs="Arial" w:eastAsia="Arial" w:hAnsi="Arial"/>
          <w:sz w:val="17"/>
          <w:szCs w:val="17"/>
          <w:color w:val="auto"/>
        </w:rPr>
        <w:t>contractual damages and the curtailment or restricting of our operations, as well as additional reporting obligations and oversight if we become subject to a corporate integrity agreement or other agreement to resolve allegations of non-compliance with these laws.</w:t>
      </w:r>
    </w:p>
    <w:p>
      <w:pPr>
        <w:spacing w:after="0" w:line="36"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Further, if any of the physicians or other healthcare providers or entities with whom we expect to do business are found to be not in compliance with applicable laws, they may be subject to similar penalties. Any action for violation of these laws, even if successfully defended, could cause us to incur significant legal expenses and divert management’s attention from the operation of the business.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63"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6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48"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79"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In Europe, the General Data Protection Regulation, or GDPR, took effect in May 2018. The GDPR imposes stringent requirements on entities that process personal data of individuals in the European Economic Area, or EEA. These requirements include, for example, establishing a legal basis for processing, providing notice to data subjects about how personal data is collected and processed, developing procedures to vindicate expanded data subject rights, implementing appropriate technical and organizational measures to safeguard personal data, introducing the obligation to notify data protection regulators or supervisory authorities (and in certain cases, affected individuals) of significant data breaches, imposing limitations on retention of personal data, maintaining a record of data processing and complying with the principal of accountability and the obligation to demonstrate compliance through policies, procedures, training and audit. In addition, the GDPR establishes obligations for entities that process “special categories” of personal data, such as health data. Nearly all clinical trials involve the processing of these “special categories” of personal data, and processing of personal data collected during the course of clinical trials is therefore subject to heightened protections under the GDPR. Violations of the GDPR can lead to potential fines of up to €20 million or 4% of the annual global revenues of the noncompliant undertaking, whichever is greater. In addition to the foregoing, a breach of the GDPR could result in regulatory investigations, reputational damage, orders to cease /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287" w:lineRule="exact"/>
        <w:rPr>
          <w:sz w:val="20"/>
          <w:szCs w:val="20"/>
          <w:color w:val="auto"/>
        </w:rPr>
      </w:pPr>
    </w:p>
    <w:p>
      <w:pPr>
        <w:jc w:val="both"/>
        <w:ind w:right="40" w:firstLine="433"/>
        <w:spacing w:after="0" w:line="271" w:lineRule="auto"/>
        <w:rPr>
          <w:sz w:val="20"/>
          <w:szCs w:val="20"/>
          <w:color w:val="auto"/>
        </w:rPr>
      </w:pPr>
      <w:r>
        <w:rPr>
          <w:rFonts w:ascii="Arial" w:cs="Arial" w:eastAsia="Arial" w:hAnsi="Arial"/>
          <w:sz w:val="17"/>
          <w:szCs w:val="17"/>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Union and the United States remains uncertain. For example, in 2016, the European Union and United States agreed to a transfer</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framework for data transferred from the European Union to the United States called the Privacy Shield, but in July 2020 the Court of Justice of the EU, or the CJEU, limited how organizations could lawfully transfer personal data from the EEA to the United States by invalidating the Privacy Shield for purposes of international transfers and imposing further restrictions on use of the standard contractual clauses, or SCCs. While the CJEU upheld the adequacy of the SCCs, it made clear that reliance on them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There is some uncertainty around whether the revised clauses can be used for all types of data transfers, particularly whether they can be relied on for data transfers to non-EEA entities subject to the GDPR. The revised SCCs apply only to the transfer of personal data outside of the EEA and not the United Kingdom, or the U.K.; the U.K.’s Information Commissioner’s Office launched a public consultation on its draft revised data transfers mechanisms in August 2021.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83"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Further, since January 2021, we may also be subject to the U.K. GDPR, which, together with the UK Data Protection Act 2018, retains the GDPR in U.K. national law. The U.K. GDPR mirrors the fines under the GDPR, meaning the potential of parallel fines of up to the greater of £17.5 million or 4% of global turnover.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European Commission reviewing the U.K. adequacy decision, and the United Kingdom losing its adequacy decision if the European Commission deems the United Kingdom to no longer provide adequate protection for personal data. The relationship between the United Kingdom and the European Union in relation to certain aspects of data protection law remains uncertain, and it is unclear how U.K. data protection laws and regulations will develop in the medium to longer term.</w:t>
      </w:r>
    </w:p>
    <w:p>
      <w:pPr>
        <w:spacing w:after="0" w:line="75"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In the United States, HIPAA establishes a set of national privacy and security standards for the protection of individually identifiable health information, including protected health information, or PHI, by health plans, certain health care clearinghouses and health 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as well as their covered subcontractors. While we do not believe that we are currently acting as a covered entity or business associate under HIPAA, we may receive individually identifiable health information from these entities. Failure to receive this information properly could subject us to HIPAA’s criminal penalties. Further, any person may be prosecuted under HIPAA’s criminal provisions either directly or under aiding-and-abetting or conspiracy principles.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59" w:lineRule="exact"/>
        <w:rPr>
          <w:sz w:val="20"/>
          <w:szCs w:val="20"/>
          <w:color w:val="auto"/>
        </w:rPr>
      </w:pPr>
    </w:p>
    <w:p>
      <w:pPr>
        <w:ind w:right="20" w:firstLine="433"/>
        <w:spacing w:after="0" w:line="255" w:lineRule="auto"/>
        <w:rPr>
          <w:sz w:val="20"/>
          <w:szCs w:val="20"/>
          <w:color w:val="auto"/>
        </w:rPr>
      </w:pPr>
      <w:r>
        <w:rPr>
          <w:rFonts w:ascii="Arial" w:cs="Arial" w:eastAsia="Arial" w:hAnsi="Arial"/>
          <w:sz w:val="17"/>
          <w:szCs w:val="17"/>
          <w:color w:val="auto"/>
        </w:rPr>
        <w:t>Various states, such as California and Massachusetts, have also implemented similar privacy laws and regulations, such as the California Confidentiality of Medical Information Act, or the CMIA, that impose restrictive requirements regulating the use and disclosure of health information and other personally identifiable information. In addition to imposing fines and penalties, some of these state laws afford private rights of action to individuals who</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believe their personal information has been misused. California’s patient privacy laws, for example, provide for significant penalties and permit injured parties to sue for damages. In addition to the CMIA, California also enacted the California Consumer Privacy Act of 2018, or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or CPRA, which</w:t>
      </w:r>
    </w:p>
    <w:p>
      <w:pPr>
        <w:spacing w:after="0" w:line="4" w:lineRule="exact"/>
        <w:rPr>
          <w:sz w:val="20"/>
          <w:szCs w:val="20"/>
          <w:color w:val="auto"/>
        </w:rPr>
      </w:pPr>
    </w:p>
    <w:p>
      <w:pPr>
        <w:ind w:right="240"/>
        <w:spacing w:after="0" w:line="233" w:lineRule="auto"/>
        <w:rPr>
          <w:sz w:val="20"/>
          <w:szCs w:val="20"/>
          <w:color w:val="auto"/>
        </w:rPr>
      </w:pPr>
      <w:r>
        <w:rPr>
          <w:rFonts w:ascii="Arial" w:cs="Arial" w:eastAsia="Arial" w:hAnsi="Arial"/>
          <w:sz w:val="17"/>
          <w:szCs w:val="17"/>
          <w:color w:val="auto"/>
        </w:rPr>
        <w:t>generally went into effect on January 1, 2023, significantly amends the CCPA and imposes additional data protection obligations on covered businesses, including additional consumer rights processes, limitations on data uses, new audit requirements for higher risk data, and opt outs</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been passed in Virginia, Colorado, Connecticut and Utah,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the CCPA, the CPRA or other domestic privacy and data protection laws, any liability from failure to comply with the requirements of these laws could adversely affect our financial condition.</w:t>
      </w:r>
    </w:p>
    <w:p>
      <w:pPr>
        <w:spacing w:after="0" w:line="282"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Furthermore, the Federal Trade Commission, or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64" w:lineRule="exact"/>
        <w:rPr>
          <w:sz w:val="20"/>
          <w:szCs w:val="20"/>
          <w:color w:val="auto"/>
        </w:rPr>
      </w:pPr>
    </w:p>
    <w:p>
      <w:pPr>
        <w:ind w:right="100" w:firstLine="433"/>
        <w:spacing w:after="0" w:line="263" w:lineRule="auto"/>
        <w:rPr>
          <w:sz w:val="20"/>
          <w:szCs w:val="20"/>
          <w:color w:val="auto"/>
        </w:rPr>
      </w:pPr>
      <w:r>
        <w:rPr>
          <w:rFonts w:ascii="Arial" w:cs="Arial" w:eastAsia="Arial" w:hAnsi="Arial"/>
          <w:sz w:val="17"/>
          <w:szCs w:val="17"/>
          <w:color w:val="auto"/>
        </w:rPr>
        <w:t>The interplay of federal and state laws may be subject to varying interpretations by courts and government agencies, creating complex compliance issues for us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The legislative and regulatory landscape for privacy and data security continues to evolve, and there has been an increasing focus on privacy and data security issues which may affect our business. Any failure or perceived failure by us or our employees, representatives, contractors, consultants, collaborators, or other third parties to comply with current and future laws and regulations could result in government enforcement actions (including the imposition of significant penalties), criminal and/or civil liability for us and our officers and directors, private litigation and/or adverse publicity that negatively affects our business.</w:t>
      </w:r>
    </w:p>
    <w:p>
      <w:pPr>
        <w:spacing w:after="0" w:line="70" w:lineRule="exact"/>
        <w:rPr>
          <w:sz w:val="20"/>
          <w:szCs w:val="20"/>
          <w:color w:val="auto"/>
        </w:rPr>
      </w:pPr>
    </w:p>
    <w:p>
      <w:pPr>
        <w:ind w:right="440"/>
        <w:spacing w:after="0" w:line="310" w:lineRule="auto"/>
        <w:rPr>
          <w:sz w:val="20"/>
          <w:szCs w:val="20"/>
          <w:color w:val="auto"/>
        </w:rPr>
      </w:pPr>
      <w:r>
        <w:rPr>
          <w:rFonts w:ascii="Arial" w:cs="Arial" w:eastAsia="Arial" w:hAnsi="Arial"/>
          <w:sz w:val="17"/>
          <w:szCs w:val="17"/>
          <w:b w:val="1"/>
          <w:bCs w:val="1"/>
          <w:i w:val="1"/>
          <w:iCs w:val="1"/>
          <w:color w:val="auto"/>
        </w:rPr>
        <w:t>Ongoing healthcare legislative and regulatory reform measures may have a material adverse effect on our business and results of operations.</w:t>
      </w:r>
    </w:p>
    <w:p>
      <w:pPr>
        <w:spacing w:after="0" w:line="20" w:lineRule="exact"/>
        <w:rPr>
          <w:sz w:val="20"/>
          <w:szCs w:val="20"/>
          <w:color w:val="auto"/>
        </w:rPr>
      </w:pPr>
    </w:p>
    <w:p>
      <w:pPr>
        <w:ind w:right="60" w:firstLine="433"/>
        <w:spacing w:after="0" w:line="261" w:lineRule="auto"/>
        <w:rPr>
          <w:sz w:val="20"/>
          <w:szCs w:val="20"/>
          <w:color w:val="auto"/>
        </w:rPr>
      </w:pPr>
      <w:r>
        <w:rPr>
          <w:rFonts w:ascii="Arial" w:cs="Arial" w:eastAsia="Arial" w:hAnsi="Arial"/>
          <w:sz w:val="17"/>
          <w:szCs w:val="17"/>
          <w:color w:val="auto"/>
        </w:rPr>
        <w:t>In the United States and in some foreign jurisdictions, there have been, and likely will continue to be, a number of legislative initiatives and regulatory changes regarding the healthcare system directed at broadening the availability of healthcare, improving the quality of healthcare, and containing or lowering the cost of healthcare. For example, in March 2010, the ACA was enacted, which substantially changed the way health care is financed by both governmental and private insurers, and significantly impacted the U.S. biopharmaceutical industry. The ACA, among other things, subjects biological products to potential competition by lower-cost biosimilars, expands the types of entities eligible for the 340B drug discount program; introduced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w:t>
      </w:r>
    </w:p>
    <w:p>
      <w:pPr>
        <w:spacing w:after="0" w:line="72"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On June 17, 2021 the U.S. Supreme Court dismissed the recent judicial challenge to the ACA brought by several states without specifically ruling on the constitutionality of the ACA. Thus, the ACA will remain in effect in its current form. Further, prior to the U.S. Supreme Court ruling, President Biden issued an</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63"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on August 2, 2011, the Budget Control Act of 2011, among other things, included aggregate reductions of Medicare payments to providers. These reductions went into effect on April 1, 2013 and, due to subsequent legislative amendments to the statute, will remain in effect through 2030, with the exception of a temporary suspension from May 1, 2020 through March 31, 2022, unless additional Congressional action is taken. On January 2, 2013, the American Taxpayer Relief Act of 2012 was signed into law, which, among other things, further reduced Medicare payments to several types of providers, including hospitals and cancer treatment centers, and increased the statute of limitations period for the government to recover overpayments to providers from three to five years.</w:t>
      </w:r>
    </w:p>
    <w:p>
      <w:pPr>
        <w:spacing w:after="0" w:line="55" w:lineRule="exact"/>
        <w:rPr>
          <w:sz w:val="20"/>
          <w:szCs w:val="20"/>
          <w:color w:val="auto"/>
        </w:rPr>
      </w:pPr>
    </w:p>
    <w:p>
      <w:pPr>
        <w:ind w:right="140" w:firstLine="433"/>
        <w:spacing w:after="0" w:line="244" w:lineRule="auto"/>
        <w:rPr>
          <w:sz w:val="20"/>
          <w:szCs w:val="20"/>
          <w:color w:val="auto"/>
        </w:rPr>
      </w:pPr>
      <w:r>
        <w:rPr>
          <w:rFonts w:ascii="Arial" w:cs="Arial" w:eastAsia="Arial" w:hAnsi="Arial"/>
          <w:sz w:val="17"/>
          <w:szCs w:val="17"/>
          <w:color w:val="auto"/>
        </w:rPr>
        <w:t>Moreover, on March 11, 2021, President Biden signed the American Rescue Plan Act of 2021 into law, which eliminates the statutory Medicaid drug rebate cap, currently set at 100% of a drug’s AMP, for single source and innovator multiple source drugs, beginning January 1, 2024. Payment methodologies may also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products. Such scrutiny has resulted in several recent U.S. Congressional inquiries and proposed and enacted federal and state legislation designed to, among other things, bring more transparency to drug pricing, reduce the cost of</w:t>
      </w:r>
    </w:p>
    <w:p>
      <w:pPr>
        <w:spacing w:after="0" w:line="4"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prescription drugs under Medicare, review the relationship between pricing and manufacturer patient programs, and reform government program reimbursement methodologies for drugs. By way of example, in August 2022, the Inflation Reduction Act of 2022, or IRA, was signed into law.</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or the impact of the IRA on our business.</w:t>
      </w:r>
    </w:p>
    <w:p>
      <w:pPr>
        <w:spacing w:after="0" w:line="80" w:lineRule="exact"/>
        <w:rPr>
          <w:sz w:val="20"/>
          <w:szCs w:val="20"/>
          <w:color w:val="auto"/>
        </w:rPr>
      </w:pPr>
    </w:p>
    <w:p>
      <w:pPr>
        <w:ind w:right="120" w:firstLine="433"/>
        <w:spacing w:after="0" w:line="263" w:lineRule="auto"/>
        <w:rPr>
          <w:sz w:val="20"/>
          <w:szCs w:val="20"/>
          <w:color w:val="auto"/>
        </w:rPr>
      </w:pPr>
      <w:r>
        <w:rPr>
          <w:rFonts w:ascii="Arial" w:cs="Arial" w:eastAsia="Arial" w:hAnsi="Arial"/>
          <w:sz w:val="17"/>
          <w:szCs w:val="17"/>
          <w:color w:val="auto"/>
        </w:rPr>
        <w:t>At the state level in the United States, legislatures are increasingly passing legislation and implementing regulations designed to control 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70" w:lineRule="exact"/>
        <w:rPr>
          <w:sz w:val="20"/>
          <w:szCs w:val="20"/>
          <w:color w:val="auto"/>
        </w:rPr>
      </w:pPr>
    </w:p>
    <w:p>
      <w:pPr>
        <w:jc w:val="both"/>
        <w:ind w:firstLine="433"/>
        <w:spacing w:after="0" w:line="271"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United States or in any other jurisdictions.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6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i w:val="1"/>
          <w:iCs w:val="1"/>
          <w:color w:val="auto"/>
        </w:rPr>
        <w:t>In the United States, 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48"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inherently fluid and unpredictable.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or modifications to approved drugs or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49" w:lineRule="exact"/>
        <w:rPr>
          <w:sz w:val="20"/>
          <w:szCs w:val="20"/>
          <w:color w:val="auto"/>
        </w:rPr>
      </w:pPr>
    </w:p>
    <w:p>
      <w:pPr>
        <w:ind w:right="120" w:firstLine="433"/>
        <w:spacing w:after="0" w:line="244" w:lineRule="auto"/>
        <w:rPr>
          <w:sz w:val="20"/>
          <w:szCs w:val="20"/>
          <w:color w:val="auto"/>
        </w:rPr>
      </w:pPr>
      <w:r>
        <w:rPr>
          <w:rFonts w:ascii="Arial" w:cs="Arial" w:eastAsia="Arial" w:hAnsi="Arial"/>
          <w:sz w:val="17"/>
          <w:szCs w:val="17"/>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restrictions or other policy measures in response to the COVID-19 pandemic. If a prolonged government shutdown occurs, or if global health concerns continue to hinder or prevent the FDA or other regulatory</w:t>
      </w:r>
    </w:p>
    <w:p>
      <w:pPr>
        <w:spacing w:after="0" w:line="4"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International Re</w:t>
      </w:r>
      <w:r>
        <w:rPr>
          <w:rFonts w:ascii="Arial" w:cs="Arial" w:eastAsia="Arial" w:hAnsi="Arial"/>
          <w:sz w:val="17"/>
          <w:szCs w:val="17"/>
          <w:color w:val="auto"/>
        </w:rPr>
        <w:t>g</w:t>
      </w:r>
      <w:r>
        <w:rPr>
          <w:rFonts w:ascii="Arial" w:cs="Arial" w:eastAsia="Arial" w:hAnsi="Arial"/>
          <w:sz w:val="17"/>
          <w:szCs w:val="17"/>
          <w:u w:val="single" w:color="auto"/>
          <w:color w:val="auto"/>
        </w:rPr>
        <w:t>ulations</w:t>
      </w:r>
    </w:p>
    <w:p>
      <w:pPr>
        <w:spacing w:after="0" w:line="119" w:lineRule="exact"/>
        <w:rPr>
          <w:sz w:val="20"/>
          <w:szCs w:val="20"/>
          <w:color w:val="auto"/>
        </w:rPr>
      </w:pPr>
    </w:p>
    <w:p>
      <w:pPr>
        <w:ind w:right="80"/>
        <w:spacing w:after="0" w:line="310" w:lineRule="auto"/>
        <w:rPr>
          <w:sz w:val="20"/>
          <w:szCs w:val="20"/>
          <w:color w:val="auto"/>
        </w:rPr>
      </w:pPr>
      <w:r>
        <w:rPr>
          <w:rFonts w:ascii="Arial" w:cs="Arial" w:eastAsia="Arial" w:hAnsi="Arial"/>
          <w:sz w:val="17"/>
          <w:szCs w:val="17"/>
          <w:b w:val="1"/>
          <w:bCs w:val="1"/>
          <w:i w:val="1"/>
          <w:iCs w:val="1"/>
          <w:color w:val="auto"/>
        </w:rPr>
        <w:t>EU drug marketing and reimbursement regulations may materially affect our ability to market and receive coverage for our products in the European member states.</w:t>
      </w:r>
    </w:p>
    <w:p>
      <w:pPr>
        <w:spacing w:after="0" w:line="20"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color w:val="auto"/>
        </w:rPr>
        <w:t>We ultimately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68"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laws of EU member states, and in respect of the United Kingdom (which is longer a member of the European Union), the U.K. Bribery Act of 2010. Infringement of these laws could result in substantial fines and imprisonment.</w:t>
      </w:r>
    </w:p>
    <w:p>
      <w:pPr>
        <w:spacing w:after="0" w:line="63"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Payments made to physicians in certain EU member states must be publicly disclosed. Moreover, agreements with physicians must often be subject to a prior notification and/or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63"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 addition,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if reimbursement of our products is unavailable or limited in scope or amount, our revenues from sales and the potential profitability of any of our product candidates in those countries would be negatively affected.</w:t>
      </w:r>
    </w:p>
    <w:p>
      <w:pPr>
        <w:spacing w:after="0" w:line="36"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206"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In December 2021, Regulation No 2021/2282 on Health Technology Assessment, or HTA, amending Directive 2011/24/EU, was adopted. This regulation which entered into force in January 2022 and will become applicable from January 12, 2025 onwards, intends to boost cooperation among EU member states in assessing health technologies, including new medicinal products, and providing the basis for cooperation at the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w:t>
      </w:r>
      <w:r>
        <w:rPr>
          <w:rFonts w:ascii="Arial" w:cs="Arial" w:eastAsia="Arial" w:hAnsi="Arial"/>
          <w:sz w:val="17"/>
          <w:szCs w:val="17"/>
          <w:i w:val="1"/>
          <w:iCs w:val="1"/>
          <w:color w:val="auto"/>
        </w:rPr>
        <w:t>e.g.</w:t>
      </w:r>
      <w:r>
        <w:rPr>
          <w:rFonts w:ascii="Arial" w:cs="Arial" w:eastAsia="Arial" w:hAnsi="Arial"/>
          <w:sz w:val="17"/>
          <w:szCs w:val="17"/>
          <w:color w:val="auto"/>
        </w:rPr>
        <w:t>, economic, social, ethical) aspects of health technology, and making decisions on pricing and reimbursement.</w:t>
      </w:r>
    </w:p>
    <w:p>
      <w:pPr>
        <w:spacing w:after="0" w:line="73"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b w:val="1"/>
          <w:bCs w:val="1"/>
          <w:i w:val="1"/>
          <w:iCs w:val="1"/>
          <w:color w:val="auto"/>
        </w:rPr>
        <w:t>Legal, political and economic uncertainty surrounding the exit of the United Kingdom from the European Union may be a source of instability in international markets, create significant currency fluctuations, adversely affect our operations in the United Kingdom and pose additional risks to our business, revenue, financial condition and results of operations.</w:t>
      </w:r>
    </w:p>
    <w:p>
      <w:pPr>
        <w:spacing w:after="0" w:line="43"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In 2016, the United Kingdom held a referendum in which a majority of the eligible members of the electorate voted to leave the European Union, commonly referred to as Brexit. Pursuant to Article 50 of the Treaty on EU, the United Kingdom ceased being an EU member state on January 31, 2020. On December 30, 2020, the United Kingdom and European Union signed the Trade and Cooperation Agreement, or TCA, which includes an agreement on free trade between the two parties and has been provisionally applicable since January 1, 2021. Since January 1, 2021, the United Kingdom has operated under a separate regulatory regime to the European Union. EU laws regarding medicinal products only apply in respect of the United Kingdom to Northern Ireland (as set out in the Protocol on Ireland/Northern Ireland). The EU laws that have been transposed into U.K. law through secondary legislation remain applicable as “retained EU law.” However, under the Retained EU Law (Revocation and Reform) Bill 2022, which is currently before the U.K. parliament, any retained EU law not expressly preserved and “assimilated” into domestic law or extended by ministerial regulations (to no later than 23 June 2026) will automatically expire and be revoked by December 31, 2023. In addition, new EU legislation will not be applicable in Great Britain. The TCA includes specific provisions concerning medicinal products, which include the mutual recognition of Good Manufacturing Practice, or GMP, inspections of manufacturing facilities for medicinal products and GMP documents issued (such mutual recognition can be rejected by either party in certain circumstances), but does not foresee wholesale mutual recognition of U.K. and EU pharmaceutical regulations. Therefore, there remains political and economic uncertainty regarding to what extent the regulation of medicinal products will differ between the United Kingdom and the EU in the future. The U.K. government has passed a new Medicines and Medical Devices Act 2021, which introduces delegated powers in favor of the Secretary of State or an ‘appropriate authority’ to amend or supplement existing regulations in the area of medicines and medical devices. This allows new rules to be introduced in the future by way of secondary legislation, which aims to allow flexibility in addressing regulatory gaps. There is a possibility that over time, national laws will be amended and that consequently the regulatory framework in Great Britain will diverge from that of the EU. Any divergences will increase the cost and complexity of running our business, including with respect to the conduct of clinical trials. Since a significant proportion of the regulatory framework in the United Kingdom applicable to our business and our drug candidates is</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20"/>
        <w:spacing w:after="0" w:line="300" w:lineRule="auto"/>
        <w:rPr>
          <w:sz w:val="20"/>
          <w:szCs w:val="20"/>
          <w:color w:val="auto"/>
        </w:rPr>
      </w:pPr>
      <w:r>
        <w:rPr>
          <w:rFonts w:ascii="Arial" w:cs="Arial" w:eastAsia="Arial" w:hAnsi="Arial"/>
          <w:sz w:val="17"/>
          <w:szCs w:val="17"/>
          <w:color w:val="auto"/>
        </w:rPr>
        <w:t>derived from EU directives and regulations, Brexit could materially impact the regulatory regime with respect to the development, manufacture, importation, approval and commercialization of our drug candidates in the United Kingdom or the European Union.</w:t>
      </w:r>
    </w:p>
    <w:p>
      <w:pPr>
        <w:spacing w:after="0" w:line="36"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Great Britain (England, Scotland and Wales) is no longer covered by the European Union’s procedures for the grant of marketing authorizations (Northern Ireland is covered by the centralized authorization procedure and can be covered under the decentralized or mutual recognition procedures). A separate marketing authorization will be required to market medicinal products in Great Britain. As of January 1, 2021, the Medicines and Healthcare Products regulatory Agency, or MHRA, is the United Kingdom's standalone medicines and medical devices regulator. It is currently unclear whether the MHRA is sufficiently prepared to handle the increased volume of marketing authorization applications that it is likely to receive. Any delay in obtaining, or an inability to obtain, any marketing approvals, as a result of Brexit or otherwise, could prevent us and our collaborators or delay us and our collaborators from commercializing our drug candidates in the United Kingdom and/or the EEA and restrict our ability to generate revenue and achieve and sustain profitability.</w:t>
      </w:r>
    </w:p>
    <w:p>
      <w:pPr>
        <w:spacing w:after="0" w:line="70" w:lineRule="exact"/>
        <w:rPr>
          <w:sz w:val="20"/>
          <w:szCs w:val="20"/>
          <w:color w:val="auto"/>
        </w:rPr>
      </w:pPr>
    </w:p>
    <w:p>
      <w:pPr>
        <w:jc w:val="both"/>
        <w:ind w:right="160" w:firstLine="433"/>
        <w:spacing w:after="0" w:line="278" w:lineRule="auto"/>
        <w:rPr>
          <w:sz w:val="20"/>
          <w:szCs w:val="20"/>
          <w:color w:val="auto"/>
        </w:rPr>
      </w:pPr>
      <w:r>
        <w:rPr>
          <w:rFonts w:ascii="Arial" w:cs="Arial" w:eastAsia="Arial" w:hAnsi="Arial"/>
          <w:sz w:val="17"/>
          <w:szCs w:val="17"/>
          <w:color w:val="auto"/>
        </w:rPr>
        <w:t>The uncertainty concerning the United Kingdom’s legal, political and economic relationship with the European Union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55"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63"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Such a withdrawal from the European Union is unprecedented, and it is unclear how the United Kingdom’s access to the European single market for goods, capital, services and labor within the European Union, or single market, and the wider commercial, legal and regulatory environment, will impact our current and future operations (including business activities conducted by third parties and contract manufacturers on our behalf) and clinical activities in the United Kingdom.</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laws and regulations governing international operations could negatively impact or restrict our operations.</w:t>
      </w:r>
    </w:p>
    <w:p>
      <w:pPr>
        <w:spacing w:after="0" w:line="119" w:lineRule="exact"/>
        <w:rPr>
          <w:sz w:val="20"/>
          <w:szCs w:val="20"/>
          <w:color w:val="auto"/>
        </w:rPr>
      </w:pPr>
    </w:p>
    <w:p>
      <w:pPr>
        <w:ind w:right="280" w:firstLine="433"/>
        <w:spacing w:after="0" w:line="264" w:lineRule="auto"/>
        <w:rPr>
          <w:sz w:val="20"/>
          <w:szCs w:val="20"/>
          <w:color w:val="auto"/>
        </w:rPr>
      </w:pPr>
      <w:r>
        <w:rPr>
          <w:rFonts w:ascii="Arial" w:cs="Arial" w:eastAsia="Arial" w:hAnsi="Arial"/>
          <w:sz w:val="17"/>
          <w:szCs w:val="17"/>
          <w:color w:val="auto"/>
        </w:rPr>
        <w:t>For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68" w:lineRule="exact"/>
        <w:rPr>
          <w:sz w:val="20"/>
          <w:szCs w:val="20"/>
          <w:color w:val="auto"/>
        </w:rPr>
      </w:pPr>
    </w:p>
    <w:p>
      <w:pPr>
        <w:ind w:right="100" w:firstLine="433"/>
        <w:spacing w:after="0" w:line="264"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w:t>
      </w:r>
    </w:p>
    <w:p>
      <w:pPr>
        <w:spacing w:after="0" w:line="68"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continue and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if approved, in one or more countries and could materially damage our reputation, our brand, our international expansion efforts, our ability to attract and retain employees and our business, prospects, operating results and financial condition. The SEC also may suspend or bar issuers from trading securities on U.S. exchanges for violations of the FCPA’s accounting provisions.</w:t>
      </w:r>
    </w:p>
    <w:p>
      <w:pPr>
        <w:spacing w:after="0" w:line="64" w:lineRule="exact"/>
        <w:rPr>
          <w:sz w:val="20"/>
          <w:szCs w:val="20"/>
          <w:color w:val="auto"/>
        </w:rPr>
      </w:pPr>
    </w:p>
    <w:p>
      <w:pPr>
        <w:ind w:right="120"/>
        <w:spacing w:after="0" w:line="310"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harm our business.</w:t>
      </w:r>
    </w:p>
    <w:p>
      <w:pPr>
        <w:spacing w:after="0" w:line="20" w:lineRule="exact"/>
        <w:rPr>
          <w:sz w:val="20"/>
          <w:szCs w:val="20"/>
          <w:color w:val="auto"/>
        </w:rPr>
      </w:pPr>
    </w:p>
    <w:p>
      <w:pPr>
        <w:ind w:right="120" w:firstLine="433"/>
        <w:spacing w:after="0" w:line="264"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68" w:lineRule="exact"/>
        <w:rPr>
          <w:sz w:val="20"/>
          <w:szCs w:val="20"/>
          <w:color w:val="auto"/>
        </w:rPr>
      </w:pPr>
    </w:p>
    <w:p>
      <w:pPr>
        <w:ind w:right="180" w:firstLine="433"/>
        <w:spacing w:after="0" w:line="278" w:lineRule="auto"/>
        <w:rPr>
          <w:sz w:val="20"/>
          <w:szCs w:val="20"/>
          <w:color w:val="auto"/>
        </w:rPr>
      </w:pPr>
      <w:r>
        <w:rPr>
          <w:rFonts w:ascii="Arial" w:cs="Arial" w:eastAsia="Arial" w:hAnsi="Arial"/>
          <w:sz w:val="17"/>
          <w:szCs w:val="17"/>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55"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Licensed Intellectual Property</w:t>
      </w:r>
    </w:p>
    <w:p>
      <w:pPr>
        <w:spacing w:after="0" w:line="119" w:lineRule="exact"/>
        <w:rPr>
          <w:sz w:val="20"/>
          <w:szCs w:val="20"/>
          <w:color w:val="auto"/>
        </w:rPr>
      </w:pPr>
    </w:p>
    <w:p>
      <w:pPr>
        <w:ind w:right="120"/>
        <w:spacing w:after="0" w:line="310"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20"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Our business depends in large part on obtaining and maintaining patent, trademark and trade secret protection of our proprietary technologies and our product candidates, their respective components, synthetic intermediates,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0"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or obtain, maintain and/or enforce patents or trademarks that may issue or be registered based on our applications, at a reasonable cost or in a timely manner. In addition, our pending and future patent applications may not result in issued patents that protect our technology or products, in whole or in part, or may not effectively prevent others from commercializing competitive technologies and products.Changes in either patent laws or interpretation of patent laws in the United States and other countries may diminish the value of our patents or narrow the scope of our patent protection. Further, we may not pursue, obtain, or maintain patent protection in all relevant markets.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ability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55"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that we hold with respect to our product candidates is threatened, it could dissuade companies from collaborating with us to develop new or improved products and threaten our ability to commercialize our product candidates. Further, if we encounter delays in our clinical trials, the period of time during which we could market our product candidates under patent protection would be reduced.</w:t>
      </w:r>
    </w:p>
    <w:p>
      <w:pPr>
        <w:spacing w:after="0" w:line="73" w:lineRule="exact"/>
        <w:rPr>
          <w:sz w:val="20"/>
          <w:szCs w:val="20"/>
          <w:color w:val="auto"/>
        </w:rPr>
      </w:pPr>
    </w:p>
    <w:p>
      <w:pPr>
        <w:ind w:right="120" w:firstLine="433"/>
        <w:spacing w:after="0" w:line="300"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36"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64"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279"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2" w:lineRule="exact"/>
        <w:rPr>
          <w:sz w:val="20"/>
          <w:szCs w:val="20"/>
          <w:color w:val="auto"/>
        </w:rPr>
      </w:pPr>
    </w:p>
    <w:p>
      <w:pPr>
        <w:ind w:right="580" w:firstLine="433"/>
        <w:spacing w:after="0" w:line="300"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40" w:right="20" w:hanging="320"/>
        <w:spacing w:after="0" w:line="243"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121" w:lineRule="exact"/>
        <w:rPr>
          <w:rFonts w:ascii="Arial" w:cs="Arial" w:eastAsia="Arial" w:hAnsi="Arial"/>
          <w:sz w:val="21"/>
          <w:szCs w:val="21"/>
          <w:color w:val="auto"/>
        </w:rPr>
      </w:pPr>
    </w:p>
    <w:p>
      <w:pPr>
        <w:ind w:left="640" w:right="280" w:hanging="320"/>
        <w:spacing w:after="0" w:line="243"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4"/>
        </w:numPr>
        <w:rPr>
          <w:rFonts w:ascii="Arial" w:cs="Arial" w:eastAsia="Arial" w:hAnsi="Arial"/>
          <w:sz w:val="21"/>
          <w:szCs w:val="21"/>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36" w:lineRule="exact"/>
        <w:rPr>
          <w:rFonts w:ascii="Arial" w:cs="Arial" w:eastAsia="Arial" w:hAnsi="Arial"/>
          <w:sz w:val="21"/>
          <w:szCs w:val="21"/>
          <w:color w:val="auto"/>
        </w:rPr>
      </w:pPr>
    </w:p>
    <w:p>
      <w:pPr>
        <w:ind w:left="640" w:right="800" w:hanging="320"/>
        <w:spacing w:after="0" w:line="243"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4"/>
        </w:numPr>
        <w:rPr>
          <w:rFonts w:ascii="Arial" w:cs="Arial" w:eastAsia="Arial" w:hAnsi="Arial"/>
          <w:sz w:val="21"/>
          <w:szCs w:val="21"/>
          <w:color w:val="auto"/>
        </w:rPr>
      </w:pPr>
      <w:r>
        <w:rPr>
          <w:rFonts w:ascii="Arial" w:cs="Arial" w:eastAsia="Arial" w:hAnsi="Arial"/>
          <w:sz w:val="17"/>
          <w:szCs w:val="17"/>
          <w:color w:val="auto"/>
        </w:rPr>
        <w:t>it is possible that our pending patent applications will not result in issued patents;</w:t>
      </w:r>
    </w:p>
    <w:p>
      <w:pPr>
        <w:spacing w:after="0" w:line="123" w:lineRule="exact"/>
        <w:rPr>
          <w:rFonts w:ascii="Arial" w:cs="Arial" w:eastAsia="Arial" w:hAnsi="Arial"/>
          <w:sz w:val="21"/>
          <w:szCs w:val="21"/>
          <w:color w:val="auto"/>
        </w:rPr>
      </w:pPr>
    </w:p>
    <w:p>
      <w:pPr>
        <w:ind w:left="640" w:right="100" w:hanging="320"/>
        <w:spacing w:after="0" w:line="243"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4"/>
        </w:numPr>
        <w:rPr>
          <w:rFonts w:ascii="Arial" w:cs="Arial" w:eastAsia="Arial" w:hAnsi="Arial"/>
          <w:sz w:val="21"/>
          <w:szCs w:val="21"/>
          <w:color w:val="auto"/>
        </w:rPr>
      </w:pPr>
      <w:r>
        <w:rPr>
          <w:rFonts w:ascii="Arial" w:cs="Arial" w:eastAsia="Arial" w:hAnsi="Arial"/>
          <w:sz w:val="17"/>
          <w:szCs w:val="17"/>
          <w:color w:val="auto"/>
        </w:rPr>
        <w:t>it is possible that others may circumvent our owned or in-licensed patents;</w:t>
      </w:r>
    </w:p>
    <w:p>
      <w:pPr>
        <w:spacing w:after="0" w:line="123" w:lineRule="exact"/>
        <w:rPr>
          <w:rFonts w:ascii="Arial" w:cs="Arial" w:eastAsia="Arial" w:hAnsi="Arial"/>
          <w:sz w:val="21"/>
          <w:szCs w:val="21"/>
          <w:color w:val="auto"/>
        </w:rPr>
      </w:pPr>
    </w:p>
    <w:p>
      <w:pPr>
        <w:ind w:left="640" w:right="660" w:hanging="320"/>
        <w:spacing w:after="0" w:line="259"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105" w:lineRule="exact"/>
        <w:rPr>
          <w:rFonts w:ascii="Arial" w:cs="Arial" w:eastAsia="Arial" w:hAnsi="Arial"/>
          <w:sz w:val="21"/>
          <w:szCs w:val="21"/>
          <w:color w:val="auto"/>
        </w:rPr>
      </w:pPr>
    </w:p>
    <w:p>
      <w:pPr>
        <w:ind w:left="640" w:right="120" w:hanging="320"/>
        <w:spacing w:after="0" w:line="243"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4"/>
        </w:numPr>
        <w:rPr>
          <w:rFonts w:ascii="Arial" w:cs="Arial" w:eastAsia="Arial" w:hAnsi="Arial"/>
          <w:sz w:val="21"/>
          <w:szCs w:val="21"/>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23" w:lineRule="exact"/>
        <w:rPr>
          <w:rFonts w:ascii="Arial" w:cs="Arial" w:eastAsia="Arial" w:hAnsi="Arial"/>
          <w:sz w:val="21"/>
          <w:szCs w:val="21"/>
          <w:color w:val="auto"/>
        </w:rPr>
      </w:pPr>
    </w:p>
    <w:p>
      <w:pPr>
        <w:ind w:left="640" w:hanging="320"/>
        <w:spacing w:after="0" w:line="243"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7"/>
          <w:szCs w:val="17"/>
          <w:color w:val="auto"/>
        </w:rPr>
        <w:t>our owned or in-licensed issued patents may not provide us with any competitive advantages, may be narrowed in scope, or may be held invalid or unenforceable as a result of legal challenges by third parties;</w:t>
      </w:r>
    </w:p>
    <w:p>
      <w:pPr>
        <w:spacing w:after="0" w:line="121" w:lineRule="exact"/>
        <w:rPr>
          <w:rFonts w:ascii="Arial" w:cs="Arial" w:eastAsia="Arial" w:hAnsi="Arial"/>
          <w:sz w:val="21"/>
          <w:szCs w:val="21"/>
          <w:color w:val="auto"/>
        </w:rPr>
      </w:pPr>
    </w:p>
    <w:p>
      <w:pPr>
        <w:ind w:left="640" w:right="280" w:hanging="320"/>
        <w:spacing w:after="0" w:line="249"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7"/>
          <w:szCs w:val="17"/>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17" w:lineRule="exact"/>
        <w:rPr>
          <w:rFonts w:ascii="Arial" w:cs="Arial" w:eastAsia="Arial" w:hAnsi="Arial"/>
          <w:sz w:val="21"/>
          <w:szCs w:val="21"/>
          <w:color w:val="auto"/>
        </w:rPr>
      </w:pPr>
    </w:p>
    <w:p>
      <w:pPr>
        <w:jc w:val="both"/>
        <w:ind w:left="640" w:right="100" w:hanging="320"/>
        <w:spacing w:after="0" w:line="249"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17" w:lineRule="exact"/>
        <w:rPr>
          <w:rFonts w:ascii="Arial" w:cs="Arial" w:eastAsia="Arial" w:hAnsi="Arial"/>
          <w:sz w:val="21"/>
          <w:szCs w:val="21"/>
          <w:color w:val="auto"/>
        </w:rPr>
      </w:pPr>
    </w:p>
    <w:p>
      <w:pPr>
        <w:ind w:left="640" w:right="40" w:hanging="320"/>
        <w:spacing w:after="0" w:line="259"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7"/>
          <w:szCs w:val="17"/>
          <w:color w:val="auto"/>
        </w:rPr>
        <w:t>we have engaged in scientific collaborations in the past, and are likely to continue to do so in the future. Such collaborators may develop adjacent or competing products to ours that are outside the scope of our patents;</w:t>
      </w:r>
    </w:p>
    <w:p>
      <w:pPr>
        <w:spacing w:after="0" w:line="94" w:lineRule="exact"/>
        <w:rPr>
          <w:rFonts w:ascii="Arial" w:cs="Arial" w:eastAsia="Arial" w:hAnsi="Arial"/>
          <w:sz w:val="21"/>
          <w:szCs w:val="21"/>
          <w:color w:val="auto"/>
        </w:rPr>
      </w:pPr>
    </w:p>
    <w:p>
      <w:pPr>
        <w:ind w:left="620" w:hanging="300"/>
        <w:spacing w:after="0"/>
        <w:tabs>
          <w:tab w:leader="none" w:pos="620" w:val="left"/>
        </w:tabs>
        <w:numPr>
          <w:ilvl w:val="0"/>
          <w:numId w:val="34"/>
        </w:numPr>
        <w:rPr>
          <w:rFonts w:ascii="Arial" w:cs="Arial" w:eastAsia="Arial" w:hAnsi="Arial"/>
          <w:sz w:val="21"/>
          <w:szCs w:val="21"/>
          <w:color w:val="auto"/>
        </w:rPr>
      </w:pPr>
      <w:r>
        <w:rPr>
          <w:rFonts w:ascii="Arial" w:cs="Arial" w:eastAsia="Arial" w:hAnsi="Arial"/>
          <w:sz w:val="17"/>
          <w:szCs w:val="17"/>
          <w:color w:val="auto"/>
        </w:rPr>
        <w:t>we may not develop additional proprietary technologies for which we can obtain patent protection;</w:t>
      </w:r>
    </w:p>
    <w:p>
      <w:pPr>
        <w:spacing w:after="0" w:line="123" w:lineRule="exact"/>
        <w:rPr>
          <w:rFonts w:ascii="Arial" w:cs="Arial" w:eastAsia="Arial" w:hAnsi="Arial"/>
          <w:sz w:val="21"/>
          <w:szCs w:val="21"/>
          <w:color w:val="auto"/>
        </w:rPr>
      </w:pPr>
    </w:p>
    <w:p>
      <w:pPr>
        <w:ind w:left="640" w:right="460" w:hanging="320"/>
        <w:spacing w:after="0" w:line="243"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7"/>
          <w:szCs w:val="17"/>
          <w:color w:val="auto"/>
        </w:rPr>
        <w:t>it is possible that product candidates or diagnostic tests that we develop may be covered by third parties’ patents or other exclusive rights; or</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4"/>
        </w:numPr>
        <w:rPr>
          <w:rFonts w:ascii="Arial" w:cs="Arial" w:eastAsia="Arial" w:hAnsi="Arial"/>
          <w:sz w:val="21"/>
          <w:szCs w:val="21"/>
          <w:color w:val="auto"/>
        </w:rPr>
      </w:pPr>
      <w:r>
        <w:rPr>
          <w:rFonts w:ascii="Arial" w:cs="Arial" w:eastAsia="Arial" w:hAnsi="Arial"/>
          <w:sz w:val="17"/>
          <w:szCs w:val="17"/>
          <w:color w:val="auto"/>
        </w:rPr>
        <w:t>the patents of others may have an adverse effect on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License and Collaboration A</w:t>
      </w:r>
      <w:r>
        <w:rPr>
          <w:rFonts w:ascii="Arial" w:cs="Arial" w:eastAsia="Arial" w:hAnsi="Arial"/>
          <w:sz w:val="17"/>
          <w:szCs w:val="17"/>
          <w:color w:val="auto"/>
        </w:rPr>
        <w:t>g</w:t>
      </w:r>
      <w:r>
        <w:rPr>
          <w:rFonts w:ascii="Arial" w:cs="Arial" w:eastAsia="Arial" w:hAnsi="Arial"/>
          <w:sz w:val="17"/>
          <w:szCs w:val="17"/>
          <w:u w:val="single" w:color="auto"/>
          <w:color w:val="auto"/>
        </w:rPr>
        <w:t>reements</w:t>
      </w:r>
    </w:p>
    <w:p>
      <w:pPr>
        <w:spacing w:after="0" w:line="119"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b w:val="1"/>
          <w:bCs w:val="1"/>
          <w:i w:val="1"/>
          <w:iCs w:val="1"/>
          <w:color w:val="auto"/>
        </w:rPr>
        <w:t>We have entered into, and may enter into, license or other collaboration agreements that impose certain obligations on us. If we fail to comply with our obligations under such agreements with third parties or otherwise experience disruptions to our business relationships with our current or future licensors, we could lose rights that may be important to our business.</w:t>
      </w:r>
    </w:p>
    <w:p>
      <w:pPr>
        <w:spacing w:after="0" w:line="43" w:lineRule="exact"/>
        <w:rPr>
          <w:sz w:val="20"/>
          <w:szCs w:val="20"/>
          <w:color w:val="auto"/>
        </w:rPr>
      </w:pPr>
    </w:p>
    <w:p>
      <w:pPr>
        <w:ind w:right="20" w:firstLine="433"/>
        <w:spacing w:after="0" w:line="278" w:lineRule="auto"/>
        <w:rPr>
          <w:sz w:val="20"/>
          <w:szCs w:val="20"/>
          <w:color w:val="auto"/>
        </w:rPr>
      </w:pPr>
      <w:r>
        <w:rPr>
          <w:rFonts w:ascii="Arial" w:cs="Arial" w:eastAsia="Arial" w:hAnsi="Arial"/>
          <w:sz w:val="17"/>
          <w:szCs w:val="17"/>
          <w:color w:val="auto"/>
        </w:rPr>
        <w:t>In connection with our efforts to expand our pipeline of product candidates, we have entered into and may further enter into certain licenses or other collaboration agreements in the future pertaining to the in-license of rights to additional candidates. Such agreements may impose various reporting, diligence, milestone payment, royalty,</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 or to pursue other remedies.</w:t>
      </w:r>
    </w:p>
    <w:p>
      <w:pPr>
        <w:spacing w:after="0" w:line="55" w:lineRule="exact"/>
        <w:rPr>
          <w:sz w:val="20"/>
          <w:szCs w:val="20"/>
          <w:color w:val="auto"/>
        </w:rPr>
      </w:pPr>
    </w:p>
    <w:p>
      <w:pPr>
        <w:ind w:right="20" w:firstLine="393"/>
        <w:spacing w:after="0" w:line="266" w:lineRule="auto"/>
        <w:rPr>
          <w:sz w:val="20"/>
          <w:szCs w:val="20"/>
          <w:color w:val="auto"/>
        </w:rPr>
      </w:pPr>
      <w:r>
        <w:rPr>
          <w:rFonts w:ascii="Arial" w:cs="Arial" w:eastAsia="Arial" w:hAnsi="Arial"/>
          <w:sz w:val="17"/>
          <w:szCs w:val="17"/>
          <w:color w:val="auto"/>
        </w:rPr>
        <w:t>We may not be able to obtain licenses at a reasonable cost or on reasonable terms, if at all. Furthermore, if we lose intellectual property rights licensed under existing agreements or fail to obtain future licenses, we may be required to expend considerable time and resources to develop or license replacement technology. If we are unable to do so, we may be unable to develop or commercialize the affected proprietary technologies and product candidates, which could harm our business significantly. Third-party patents may exist which might be enforced against our current or future proprietary technologies and product candidates, resulting in either an injunction prohibiting our sales, or, with respect to our sales, an obligation on our part to pay royalties and/or other forms of compensation to third parties</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47" w:lineRule="exact"/>
        <w:rPr>
          <w:sz w:val="20"/>
          <w:szCs w:val="20"/>
          <w:color w:val="auto"/>
        </w:rPr>
      </w:pPr>
    </w:p>
    <w:p>
      <w:pPr>
        <w:ind w:left="620" w:hanging="300"/>
        <w:spacing w:after="0"/>
        <w:tabs>
          <w:tab w:leader="none" w:pos="620" w:val="left"/>
        </w:tabs>
        <w:numPr>
          <w:ilvl w:val="0"/>
          <w:numId w:val="35"/>
        </w:numPr>
        <w:rPr>
          <w:rFonts w:ascii="Arial" w:cs="Arial" w:eastAsia="Arial" w:hAnsi="Arial"/>
          <w:sz w:val="21"/>
          <w:szCs w:val="21"/>
          <w:color w:val="auto"/>
        </w:rPr>
      </w:pPr>
      <w:r>
        <w:rPr>
          <w:rFonts w:ascii="Arial" w:cs="Arial" w:eastAsia="Arial" w:hAnsi="Arial"/>
          <w:sz w:val="17"/>
          <w:szCs w:val="17"/>
          <w:color w:val="auto"/>
        </w:rPr>
        <w:t>the scope of rights granted under the license agreement and other interpretation-related issues;</w:t>
      </w:r>
    </w:p>
    <w:p>
      <w:pPr>
        <w:spacing w:after="0" w:line="123" w:lineRule="exact"/>
        <w:rPr>
          <w:rFonts w:ascii="Arial" w:cs="Arial" w:eastAsia="Arial" w:hAnsi="Arial"/>
          <w:sz w:val="21"/>
          <w:szCs w:val="21"/>
          <w:color w:val="auto"/>
        </w:rPr>
      </w:pPr>
    </w:p>
    <w:p>
      <w:pPr>
        <w:ind w:left="640" w:right="20" w:hanging="320"/>
        <w:spacing w:after="0" w:line="243" w:lineRule="auto"/>
        <w:tabs>
          <w:tab w:leader="none" w:pos="635" w:val="left"/>
        </w:tabs>
        <w:numPr>
          <w:ilvl w:val="0"/>
          <w:numId w:val="35"/>
        </w:numPr>
        <w:rPr>
          <w:rFonts w:ascii="Arial" w:cs="Arial" w:eastAsia="Arial" w:hAnsi="Arial"/>
          <w:sz w:val="21"/>
          <w:szCs w:val="21"/>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5"/>
        </w:numPr>
        <w:rPr>
          <w:rFonts w:ascii="Arial" w:cs="Arial" w:eastAsia="Arial" w:hAnsi="Arial"/>
          <w:sz w:val="21"/>
          <w:szCs w:val="21"/>
          <w:color w:val="auto"/>
        </w:rPr>
      </w:pPr>
      <w:r>
        <w:rPr>
          <w:rFonts w:ascii="Arial" w:cs="Arial" w:eastAsia="Arial" w:hAnsi="Arial"/>
          <w:sz w:val="17"/>
          <w:szCs w:val="17"/>
          <w:color w:val="auto"/>
        </w:rPr>
        <w:t>the sublicensing of patent and other rights under our collaborative development relationships;</w:t>
      </w:r>
    </w:p>
    <w:p>
      <w:pPr>
        <w:spacing w:after="0" w:line="125" w:lineRule="exact"/>
        <w:rPr>
          <w:rFonts w:ascii="Arial" w:cs="Arial" w:eastAsia="Arial" w:hAnsi="Arial"/>
          <w:sz w:val="21"/>
          <w:szCs w:val="21"/>
          <w:color w:val="auto"/>
        </w:rPr>
      </w:pPr>
    </w:p>
    <w:p>
      <w:pPr>
        <w:ind w:left="620" w:hanging="300"/>
        <w:spacing w:after="0"/>
        <w:tabs>
          <w:tab w:leader="none" w:pos="620" w:val="left"/>
        </w:tabs>
        <w:numPr>
          <w:ilvl w:val="0"/>
          <w:numId w:val="35"/>
        </w:numPr>
        <w:rPr>
          <w:rFonts w:ascii="Arial" w:cs="Arial" w:eastAsia="Arial" w:hAnsi="Arial"/>
          <w:sz w:val="21"/>
          <w:szCs w:val="21"/>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23" w:lineRule="exact"/>
        <w:rPr>
          <w:rFonts w:ascii="Arial" w:cs="Arial" w:eastAsia="Arial" w:hAnsi="Arial"/>
          <w:sz w:val="21"/>
          <w:szCs w:val="21"/>
          <w:color w:val="auto"/>
        </w:rPr>
      </w:pPr>
    </w:p>
    <w:p>
      <w:pPr>
        <w:ind w:left="640" w:right="700" w:hanging="320"/>
        <w:spacing w:after="0" w:line="243" w:lineRule="auto"/>
        <w:tabs>
          <w:tab w:leader="none" w:pos="635" w:val="left"/>
        </w:tabs>
        <w:numPr>
          <w:ilvl w:val="0"/>
          <w:numId w:val="35"/>
        </w:numPr>
        <w:rPr>
          <w:rFonts w:ascii="Arial" w:cs="Arial" w:eastAsia="Arial" w:hAnsi="Arial"/>
          <w:sz w:val="21"/>
          <w:szCs w:val="21"/>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5"/>
        </w:numPr>
        <w:rPr>
          <w:rFonts w:ascii="Arial" w:cs="Arial" w:eastAsia="Arial" w:hAnsi="Arial"/>
          <w:sz w:val="21"/>
          <w:szCs w:val="21"/>
          <w:color w:val="auto"/>
        </w:rPr>
      </w:pPr>
      <w:r>
        <w:rPr>
          <w:rFonts w:ascii="Arial" w:cs="Arial" w:eastAsia="Arial" w:hAnsi="Arial"/>
          <w:sz w:val="17"/>
          <w:szCs w:val="17"/>
          <w:color w:val="auto"/>
        </w:rPr>
        <w:t>the priority of invention of patented technology.</w:t>
      </w:r>
    </w:p>
    <w:p>
      <w:pPr>
        <w:spacing w:after="0" w:line="85"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could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78"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If any of our current or future licensors fail to obtain and maintain patent or other protection for the proprietary intellectual property we license from them, we could lose our rights to the intellectual property, these patents and applications may not be prosecuted and enforced in a manner consistent with the best interests of our business and our competitors could market competing products using the intellectual property. In the event we breach any of our obligations related to such prosecution, we may incur significant liability to our licensing partners, including loss of our right to prosecute the licensed patent applications or early termination of the license by our licensor. We also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technology licensed from third parties may be subject to retained rights.</w:t>
      </w:r>
    </w:p>
    <w:p>
      <w:pPr>
        <w:spacing w:after="0" w:line="119" w:lineRule="exact"/>
        <w:rPr>
          <w:sz w:val="20"/>
          <w:szCs w:val="20"/>
          <w:color w:val="auto"/>
        </w:rPr>
      </w:pPr>
    </w:p>
    <w:p>
      <w:pPr>
        <w:ind w:right="200" w:firstLine="433"/>
        <w:spacing w:after="0" w:line="268" w:lineRule="auto"/>
        <w:rPr>
          <w:sz w:val="20"/>
          <w:szCs w:val="20"/>
          <w:color w:val="auto"/>
        </w:rPr>
      </w:pPr>
      <w:r>
        <w:rPr>
          <w:rFonts w:ascii="Arial" w:cs="Arial" w:eastAsia="Arial" w:hAnsi="Arial"/>
          <w:sz w:val="17"/>
          <w:szCs w:val="17"/>
          <w:color w:val="auto"/>
        </w:rPr>
        <w:t>Any license we may enter into could provide for the retention by the licensor of certain rights under their agreements with us, including for example,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any future licensors will limit their use of the technology to these uses, and we may incur substantial expenses to enforce our rights to our licensed technology in the event of misuse.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firstLine="433"/>
        <w:spacing w:after="0" w:line="265" w:lineRule="auto"/>
        <w:rPr>
          <w:sz w:val="20"/>
          <w:szCs w:val="20"/>
          <w:color w:val="auto"/>
        </w:rPr>
      </w:pPr>
      <w:r>
        <w:rPr>
          <w:rFonts w:ascii="Arial" w:cs="Arial" w:eastAsia="Arial" w:hAnsi="Arial"/>
          <w:sz w:val="17"/>
          <w:szCs w:val="17"/>
          <w:color w:val="auto"/>
        </w:rPr>
        <w:t>In addition, the U.S. government retains certain rights in inventions produced with its financial assistance under the Patent and Trademark Law Amendments Act, or the Bayh-Dole Act. The U.S.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The Bayh-Dole Act also imposes other obligations, including the requirement that products covered by the government funded patents be manufactured in the United</w:t>
      </w:r>
    </w:p>
    <w:p>
      <w:pPr>
        <w:spacing w:after="0" w:line="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States. We sometimes collaborate with academic institutions to accelerate our preclinical research or development. In the future, we may own or license technology which is critical to our business that is developed in whole or in part with federal funds subject to the Bayh-Dole Act. If the federal government exercises its rights under the Bayh-Dole Act, our ability to enforce or otherwise exploit patents covering such technology may be adversely affected.</w:t>
      </w:r>
    </w:p>
    <w:p>
      <w:pPr>
        <w:spacing w:after="0" w:line="61" w:lineRule="exact"/>
        <w:rPr>
          <w:sz w:val="20"/>
          <w:szCs w:val="20"/>
          <w:color w:val="auto"/>
        </w:rPr>
      </w:pPr>
    </w:p>
    <w:p>
      <w:pPr>
        <w:ind w:right="20"/>
        <w:spacing w:after="0" w:line="310" w:lineRule="auto"/>
        <w:rPr>
          <w:sz w:val="20"/>
          <w:szCs w:val="20"/>
          <w:color w:val="auto"/>
        </w:rPr>
      </w:pPr>
      <w:r>
        <w:rPr>
          <w:rFonts w:ascii="Arial" w:cs="Arial" w:eastAsia="Arial" w:hAnsi="Arial"/>
          <w:sz w:val="17"/>
          <w:szCs w:val="17"/>
          <w:b w:val="1"/>
          <w:bCs w:val="1"/>
          <w:i w:val="1"/>
          <w:iCs w:val="1"/>
          <w:color w:val="auto"/>
        </w:rPr>
        <w:t>We may rely on trade secrets and proprietary know-how, which can be difficult to trace and enforce and, if we are unable to protect the confidentiality of our trade secrets and proprietary know-how, our business and competitive position would be harmed.</w:t>
      </w:r>
    </w:p>
    <w:p>
      <w:pPr>
        <w:spacing w:after="0" w:line="20"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Additionally, because we expect to rely on third parties in the development and manufacture of our product candidates, we must, at times, share trade secrets with them.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w:t>
      </w:r>
    </w:p>
    <w:p>
      <w:pPr>
        <w:spacing w:after="0" w:line="72"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61"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Potential Third-Party Claims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19" w:lineRule="exact"/>
        <w:rPr>
          <w:sz w:val="20"/>
          <w:szCs w:val="20"/>
          <w:color w:val="auto"/>
        </w:rPr>
      </w:pPr>
    </w:p>
    <w:p>
      <w:pPr>
        <w:ind w:right="200" w:firstLine="433"/>
        <w:spacing w:after="0" w:line="273" w:lineRule="auto"/>
        <w:rPr>
          <w:sz w:val="20"/>
          <w:szCs w:val="20"/>
          <w:color w:val="auto"/>
        </w:rPr>
      </w:pPr>
      <w:r>
        <w:rPr>
          <w:rFonts w:ascii="Arial" w:cs="Arial" w:eastAsia="Arial" w:hAnsi="Arial"/>
          <w:sz w:val="17"/>
          <w:szCs w:val="17"/>
          <w:color w:val="auto"/>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55"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We also may be subject to, or threatened with, other third party claims relating to alleged infringement of intellectual property or other proprietary rights, including breach of nondisclosure, nonuse, noncompetition and non-solicitation provisions, intellectual property assignment and ownership, and misuse or misappropriation of intellectual property, trade secrets and other confidential information, among others. If a court of competent jurisdiction finds us liable for any such claims, we may be prohibited from using certain intellectual property, trade secrets and confidential information, effectively blocking our ability to seek patent protection for our inventions and slowing or halting the progress of our clinical development and commercialization efforts.</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59" w:lineRule="exact"/>
        <w:rPr>
          <w:sz w:val="20"/>
          <w:szCs w:val="20"/>
          <w:color w:val="auto"/>
        </w:rPr>
      </w:pPr>
    </w:p>
    <w:p>
      <w:pPr>
        <w:ind w:left="640" w:right="100" w:hanging="320"/>
        <w:spacing w:after="0" w:line="243" w:lineRule="auto"/>
        <w:tabs>
          <w:tab w:leader="none" w:pos="635" w:val="left"/>
        </w:tabs>
        <w:numPr>
          <w:ilvl w:val="0"/>
          <w:numId w:val="36"/>
        </w:numPr>
        <w:rPr>
          <w:rFonts w:ascii="Arial" w:cs="Arial" w:eastAsia="Arial" w:hAnsi="Arial"/>
          <w:sz w:val="21"/>
          <w:szCs w:val="21"/>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121" w:lineRule="exact"/>
        <w:rPr>
          <w:rFonts w:ascii="Arial" w:cs="Arial" w:eastAsia="Arial" w:hAnsi="Arial"/>
          <w:sz w:val="21"/>
          <w:szCs w:val="21"/>
          <w:color w:val="auto"/>
        </w:rPr>
      </w:pPr>
    </w:p>
    <w:p>
      <w:pPr>
        <w:ind w:left="640" w:right="220" w:hanging="320"/>
        <w:spacing w:after="0" w:line="249" w:lineRule="auto"/>
        <w:tabs>
          <w:tab w:leader="none" w:pos="635" w:val="left"/>
        </w:tabs>
        <w:numPr>
          <w:ilvl w:val="0"/>
          <w:numId w:val="36"/>
        </w:numPr>
        <w:rPr>
          <w:rFonts w:ascii="Arial" w:cs="Arial" w:eastAsia="Arial" w:hAnsi="Arial"/>
          <w:sz w:val="21"/>
          <w:szCs w:val="21"/>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117" w:lineRule="exact"/>
        <w:rPr>
          <w:rFonts w:ascii="Arial" w:cs="Arial" w:eastAsia="Arial" w:hAnsi="Arial"/>
          <w:sz w:val="21"/>
          <w:szCs w:val="21"/>
          <w:color w:val="auto"/>
        </w:rPr>
      </w:pPr>
    </w:p>
    <w:p>
      <w:pPr>
        <w:ind w:left="640" w:right="740" w:hanging="320"/>
        <w:spacing w:after="0" w:line="259" w:lineRule="auto"/>
        <w:tabs>
          <w:tab w:leader="none" w:pos="635" w:val="left"/>
        </w:tabs>
        <w:numPr>
          <w:ilvl w:val="0"/>
          <w:numId w:val="36"/>
        </w:numPr>
        <w:rPr>
          <w:rFonts w:ascii="Arial" w:cs="Arial" w:eastAsia="Arial" w:hAnsi="Arial"/>
          <w:sz w:val="21"/>
          <w:szCs w:val="21"/>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105" w:lineRule="exact"/>
        <w:rPr>
          <w:rFonts w:ascii="Arial" w:cs="Arial" w:eastAsia="Arial" w:hAnsi="Arial"/>
          <w:sz w:val="21"/>
          <w:szCs w:val="21"/>
          <w:color w:val="auto"/>
        </w:rPr>
      </w:pPr>
    </w:p>
    <w:p>
      <w:pPr>
        <w:jc w:val="both"/>
        <w:ind w:left="640" w:right="160" w:hanging="320"/>
        <w:spacing w:after="0" w:line="249" w:lineRule="auto"/>
        <w:tabs>
          <w:tab w:leader="none" w:pos="635" w:val="left"/>
        </w:tabs>
        <w:numPr>
          <w:ilvl w:val="0"/>
          <w:numId w:val="36"/>
        </w:numPr>
        <w:rPr>
          <w:rFonts w:ascii="Arial" w:cs="Arial" w:eastAsia="Arial" w:hAnsi="Arial"/>
          <w:sz w:val="21"/>
          <w:szCs w:val="21"/>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117" w:lineRule="exact"/>
        <w:rPr>
          <w:rFonts w:ascii="Arial" w:cs="Arial" w:eastAsia="Arial" w:hAnsi="Arial"/>
          <w:sz w:val="21"/>
          <w:szCs w:val="21"/>
          <w:color w:val="auto"/>
        </w:rPr>
      </w:pPr>
    </w:p>
    <w:p>
      <w:pPr>
        <w:ind w:left="640" w:right="500" w:hanging="320"/>
        <w:spacing w:after="0" w:line="243" w:lineRule="auto"/>
        <w:tabs>
          <w:tab w:leader="none" w:pos="635" w:val="left"/>
        </w:tabs>
        <w:numPr>
          <w:ilvl w:val="0"/>
          <w:numId w:val="36"/>
        </w:numPr>
        <w:rPr>
          <w:rFonts w:ascii="Arial" w:cs="Arial" w:eastAsia="Arial" w:hAnsi="Arial"/>
          <w:sz w:val="21"/>
          <w:szCs w:val="21"/>
          <w:color w:val="auto"/>
        </w:rPr>
      </w:pPr>
      <w:r>
        <w:rPr>
          <w:rFonts w:ascii="Arial" w:cs="Arial" w:eastAsia="Arial" w:hAnsi="Arial"/>
          <w:sz w:val="17"/>
          <w:szCs w:val="17"/>
          <w:color w:val="auto"/>
        </w:rPr>
        <w:t>redesigning our product candidates or processes so that they do not infringe, which may not be possible or may require substantial monetary expenditures and time.</w:t>
      </w:r>
    </w:p>
    <w:p>
      <w:pPr>
        <w:spacing w:after="0" w:line="82" w:lineRule="exact"/>
        <w:rPr>
          <w:sz w:val="20"/>
          <w:szCs w:val="20"/>
          <w:color w:val="auto"/>
        </w:rPr>
      </w:pPr>
    </w:p>
    <w:p>
      <w:pPr>
        <w:ind w:right="160" w:firstLine="433"/>
        <w:spacing w:after="0" w:line="266"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64"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If we are found to infringe a third-party’s intellectual property rights, we could be forced, including by court order, to cease developing, manufacturing or commercializing the infringing technologies, product candidates or products. Alternatively, we may be required to obtain a license from such third-party in order to use the infringing technology and continue developing, manufacturing or marketing the infringing technologies, product candidates or products. However, we may not be able to obtain any required license on commercially reasonable terms or at all. Even if we were able to obtain a license, it could be non-exclusive, thereby giving our competitors access to the same technologies licensed to us. A finding of infringement could prevent us from commercializing our technologies, product candidates or products or force us to cease some of our business operations, and could divert the time and attention of our technical personnel and management, cause development delays, and/or require us to develop non-infringing technology, which may not be possible on a cost-effective basis, any of which could materially harm our business. In the event of a successful claim of infringement against us, we may have to pay substantial monetary damages, including treble damages and attorneys’ fees for willful infringement, pay royalties and other fees, redesign our infringing drug or obtain one or more licenses from third parties, which may be impossible or require substantial time and monetary expenditure. Claims that we have misappropriated the confidential information or trade secrets of third parties could have a similar negative impact on our business.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spacing w:after="0" w:line="310"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or otherwise arising from the collaboration.</w:t>
      </w:r>
    </w:p>
    <w:p>
      <w:pPr>
        <w:spacing w:after="0" w:line="20" w:lineRule="exact"/>
        <w:rPr>
          <w:sz w:val="20"/>
          <w:szCs w:val="20"/>
          <w:color w:val="auto"/>
        </w:rPr>
      </w:pPr>
    </w:p>
    <w:p>
      <w:pPr>
        <w:ind w:right="80" w:firstLine="433"/>
        <w:spacing w:after="0" w:line="264" w:lineRule="auto"/>
        <w:rPr>
          <w:sz w:val="20"/>
          <w:szCs w:val="20"/>
          <w:color w:val="auto"/>
        </w:rPr>
      </w:pPr>
      <w:r>
        <w:rPr>
          <w:rFonts w:ascii="Arial" w:cs="Arial" w:eastAsia="Arial" w:hAnsi="Arial"/>
          <w:sz w:val="17"/>
          <w:szCs w:val="17"/>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in cases where written agreements either do or do not exist, we may be limited in our ability to capitalize on the market potential of these inventions or developments.</w:t>
      </w:r>
    </w:p>
    <w:p>
      <w:pPr>
        <w:spacing w:after="0" w:line="68"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Additionally, our licensors may have relied on third-party consultants or collaborators or on funds from third parties, such as the U.S. government, such that our licensors are not the sole and exclusive owners of the patents we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subject to claims challenging the inventorship or ownership of our patents and other intellectual property.</w:t>
      </w:r>
    </w:p>
    <w:p>
      <w:pPr>
        <w:spacing w:after="0" w:line="11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We may be subject to claims that employees, former employees or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or not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or portion of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69"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In addition, while we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competitive position, business, financial conditions, results of operations, and prospects.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19"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There may be third-party patents of which we are currently unaware with claims to compounds, compositions of matter, materials, formulations, methods of manufacture or methods of use that encompass the composition, use or manufacture of our product candidates. There may be currently pending patent applications of which we are currently unaware which may later result in issued patents that our product candidates or their use or manufacture may infringe. It is also possible that patents owned by third parties of which we are aware, but which we do not believe are relevant to our product candidates and other proprietary technologies we may develop, could be found to be infringed by our product candidates.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272"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3" w:lineRule="exact"/>
        <w:rPr>
          <w:sz w:val="20"/>
          <w:szCs w:val="20"/>
          <w:color w:val="auto"/>
        </w:rPr>
      </w:pPr>
    </w:p>
    <w:p>
      <w:pPr>
        <w:ind w:right="1120"/>
        <w:spacing w:after="0" w:line="310"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or misappropriated trade secrets.</w:t>
      </w:r>
    </w:p>
    <w:p>
      <w:pPr>
        <w:spacing w:after="0" w:line="20"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A court could also prohibit us from using technologies or features that are essential to our product candidates, if such technologies or features are found to incorporate or be derived from the trade secrets or other proprietary information of the former employers.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119" w:lineRule="exact"/>
        <w:rPr>
          <w:sz w:val="20"/>
          <w:szCs w:val="20"/>
          <w:color w:val="auto"/>
        </w:rPr>
      </w:pPr>
    </w:p>
    <w:p>
      <w:pPr>
        <w:ind w:right="320" w:firstLine="433"/>
        <w:spacing w:after="0" w:line="300"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36"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compounds, compositions, formulations,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compounds, compositions formulations, methods of use or processes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68"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different or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64" w:lineRule="exact"/>
        <w:rPr>
          <w:sz w:val="20"/>
          <w:szCs w:val="20"/>
          <w:color w:val="auto"/>
        </w:rPr>
      </w:pPr>
    </w:p>
    <w:p>
      <w:pPr>
        <w:ind w:right="20"/>
        <w:spacing w:after="0" w:line="310"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other intellectual property, or the patents or intellectual property of our licensors, which could be expensive, time-consuming and unsuccessful.</w:t>
      </w:r>
    </w:p>
    <w:p>
      <w:pPr>
        <w:spacing w:after="0" w:line="20" w:lineRule="exact"/>
        <w:rPr>
          <w:sz w:val="20"/>
          <w:szCs w:val="20"/>
          <w:color w:val="auto"/>
        </w:rPr>
      </w:pPr>
    </w:p>
    <w:p>
      <w:pPr>
        <w:ind w:right="80" w:firstLine="433"/>
        <w:spacing w:after="0" w:line="261" w:lineRule="auto"/>
        <w:rPr>
          <w:sz w:val="20"/>
          <w:szCs w:val="20"/>
          <w:color w:val="auto"/>
        </w:rPr>
      </w:pPr>
      <w:r>
        <w:rPr>
          <w:rFonts w:ascii="Arial" w:cs="Arial" w:eastAsia="Arial" w:hAnsi="Arial"/>
          <w:sz w:val="17"/>
          <w:szCs w:val="17"/>
          <w:color w:val="auto"/>
        </w:rPr>
        <w:t>Competitors or other third parties may infringe our patents, trademarks, copyrights or other intellectual property, or the intellectual property of our current or future licensors. To counter infringement or unauthorized use, we may be required to file infringement claims, which can be expensive and time-consuming and divert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addition, in any infringement proceeding, a court may decide that one or more of our patents is not valid or is unenforceable, in whole or in part, and that we do not have the right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75"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 xml:space="preserve">We may choose to challenge the patentability of claims in a third-party’s U.S. patent by requesting that the USPTO review the patent claims in an </w:t>
      </w:r>
      <w:r>
        <w:rPr>
          <w:rFonts w:ascii="Arial" w:cs="Arial" w:eastAsia="Arial" w:hAnsi="Arial"/>
          <w:sz w:val="17"/>
          <w:szCs w:val="17"/>
          <w:i w:val="1"/>
          <w:iCs w:val="1"/>
          <w:color w:val="auto"/>
        </w:rPr>
        <w:t>ex-parte</w:t>
      </w:r>
      <w:r>
        <w:rPr>
          <w:rFonts w:ascii="Arial" w:cs="Arial" w:eastAsia="Arial" w:hAnsi="Arial"/>
          <w:sz w:val="17"/>
          <w:szCs w:val="17"/>
          <w:color w:val="auto"/>
        </w:rPr>
        <w:t xml:space="preserv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post-grant review proceedings. These proceedings are expensive and may consume our time or other resources. We may choose to challenge a third-party’s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64"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or, in some cases, not at all,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owned by or in-licensed to us, we may incur substantial costs, divert management’s time and expend other resources, even if we are successful.</w:t>
      </w:r>
    </w:p>
    <w:p>
      <w:pPr>
        <w:spacing w:after="0" w:line="119"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70"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we may not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70" w:lineRule="exact"/>
        <w:rPr>
          <w:sz w:val="20"/>
          <w:szCs w:val="20"/>
          <w:color w:val="auto"/>
        </w:rPr>
      </w:pPr>
    </w:p>
    <w:p>
      <w:pPr>
        <w:ind w:right="240" w:firstLine="433"/>
        <w:spacing w:after="0" w:line="271"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Patent Laws and Protection</w:t>
      </w:r>
    </w:p>
    <w:p>
      <w:pPr>
        <w:spacing w:after="0" w:line="119" w:lineRule="exact"/>
        <w:rPr>
          <w:sz w:val="20"/>
          <w:szCs w:val="20"/>
          <w:color w:val="auto"/>
        </w:rPr>
      </w:pPr>
    </w:p>
    <w:p>
      <w:pPr>
        <w:jc w:val="both"/>
        <w:ind w:right="100"/>
        <w:spacing w:after="0" w:line="283"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3"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Periodic maintenance fees, renewal fees, annuities fees and various other governmental fees on any issued patent and/or patent application are due to be paid to the USPTO and foreign patent agencies in several stages over the lifetime of the patent and/or patent application.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patents, if issued, covering our product candidates could be found invalid or unenforceable if challenged in court or the USPTO.</w:t>
      </w:r>
    </w:p>
    <w:p>
      <w:pPr>
        <w:spacing w:after="0" w:line="119" w:lineRule="exact"/>
        <w:rPr>
          <w:sz w:val="20"/>
          <w:szCs w:val="20"/>
          <w:color w:val="auto"/>
        </w:rPr>
      </w:pPr>
    </w:p>
    <w:p>
      <w:pPr>
        <w:ind w:right="100" w:firstLine="433"/>
        <w:spacing w:after="0" w:line="264" w:lineRule="auto"/>
        <w:rPr>
          <w:sz w:val="20"/>
          <w:szCs w:val="20"/>
          <w:color w:val="auto"/>
        </w:rPr>
      </w:pPr>
      <w:r>
        <w:rPr>
          <w:rFonts w:ascii="Arial" w:cs="Arial" w:eastAsia="Arial" w:hAnsi="Arial"/>
          <w:sz w:val="17"/>
          <w:szCs w:val="17"/>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patent prosecution. The outcome following legal assertions of invalidity and unenforceability is unpredictable. In 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position, business, financial conditions,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69"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 xml:space="preserve">Third parties may also raise similar claims before administrative bodies in the United States or abroad, even outside the context of litigation. Such mechanisms include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280"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Likewise, our current licensed or owned patents are expected to expire between 2029 and 2041, without taking into account any possible patent term adjustments or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Our current licensed or owned pending patent applications covering our proprietary technologies or our product candidates that if issued as patents are expected to expire from 2029 through 2043, without taking into account any possible patent term adjustments or extensions. However, we cannot be assured that the USPTO or relevant foreign patent offices will grant any of these patent applications not already granted or that a court will uphold any patents already issued.</w:t>
      </w:r>
    </w:p>
    <w:p>
      <w:pPr>
        <w:spacing w:after="0" w:line="70" w:lineRule="exact"/>
        <w:rPr>
          <w:sz w:val="20"/>
          <w:szCs w:val="20"/>
          <w:color w:val="auto"/>
        </w:rPr>
      </w:pPr>
    </w:p>
    <w:p>
      <w:pPr>
        <w:spacing w:after="0" w:line="310" w:lineRule="auto"/>
        <w:rPr>
          <w:sz w:val="20"/>
          <w:szCs w:val="20"/>
          <w:color w:val="auto"/>
        </w:rPr>
      </w:pPr>
      <w:r>
        <w:rPr>
          <w:rFonts w:ascii="Arial" w:cs="Arial" w:eastAsia="Arial" w:hAnsi="Arial"/>
          <w:sz w:val="17"/>
          <w:szCs w:val="17"/>
          <w:b w:val="1"/>
          <w:bCs w:val="1"/>
          <w:i w:val="1"/>
          <w:iCs w:val="1"/>
          <w:color w:val="auto"/>
        </w:rPr>
        <w:t>Changes in patent law in the United States and in foreign jurisdictions could diminish the value of patents in general, thereby impairing our ability to protect our products.</w:t>
      </w:r>
    </w:p>
    <w:p>
      <w:pPr>
        <w:spacing w:after="0" w:line="20"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Our success is heavily dependent on intellectual property, particularly patents. Obtaining and enforcing patents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72"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inter-parties review and derivation proceedings. Because of a lower evidentiary standard in USPTO proceedings compared to the evidentiary standard in United</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27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19"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73"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w:t>
      </w:r>
    </w:p>
    <w:p>
      <w:pPr>
        <w:spacing w:after="0" w:line="63" w:lineRule="exact"/>
        <w:rPr>
          <w:sz w:val="20"/>
          <w:szCs w:val="20"/>
          <w:color w:val="auto"/>
        </w:rPr>
      </w:pPr>
    </w:p>
    <w:p>
      <w:pPr>
        <w:ind w:right="180" w:firstLine="433"/>
        <w:spacing w:after="0" w:line="264" w:lineRule="auto"/>
        <w:rPr>
          <w:sz w:val="20"/>
          <w:szCs w:val="20"/>
          <w:color w:val="auto"/>
        </w:rPr>
      </w:pPr>
      <w:r>
        <w:rPr>
          <w:rFonts w:ascii="Arial" w:cs="Arial" w:eastAsia="Arial" w:hAnsi="Arial"/>
          <w:sz w:val="17"/>
          <w:szCs w:val="17"/>
          <w:color w:val="auto"/>
        </w:rPr>
        <w:t>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19"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technologies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580"/>
        <w:spacing w:after="0" w:line="310"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20"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w:t>
      </w:r>
    </w:p>
    <w:p>
      <w:pPr>
        <w:spacing w:after="0" w:line="72" w:lineRule="exact"/>
        <w:rPr>
          <w:sz w:val="20"/>
          <w:szCs w:val="20"/>
          <w:color w:val="auto"/>
        </w:rPr>
      </w:pPr>
    </w:p>
    <w:p>
      <w:pPr>
        <w:ind w:right="140"/>
        <w:spacing w:after="0" w:line="310"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0"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Our current or future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other foreign jurisdictions.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tradenames.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Third Parties Generally</w:t>
      </w:r>
    </w:p>
    <w:p>
      <w:pPr>
        <w:spacing w:after="0" w:line="119"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b w:val="1"/>
          <w:bCs w:val="1"/>
          <w:i w:val="1"/>
          <w:iCs w:val="1"/>
          <w:color w:val="auto"/>
        </w:rPr>
        <w:t>We rely on third parties to assist in conducting our preclinical studies and clinical trials. If they do not perform satisfactorily, we may not be able to obtain regulatory approval or commercialize our product candidates, or such approval or commercialization may be delayed, and our business could be substantially harmed.</w:t>
      </w:r>
    </w:p>
    <w:p>
      <w:pPr>
        <w:spacing w:after="0" w:line="43"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We have relied upon and plan to continue to rely on third parties, such as laboratories, CROs, clinical data management organizations, medical institutions and clinical investigators, to conduct our preclinical studies and clinical trials and expect to rely on these third parties to conduct preclinical studies and clinical trials of any other product candidate that we develop. Any of these third parties may terminate their engagements with us under certain circumstances. We may not be able to enter into alternative arrangements or do so on commercially reasonable terms. Moreover, delays may occur, which could negatively impact our ability to meet our expected clinical development timelines and harm our business, financial condition and prospects.</w:t>
      </w:r>
    </w:p>
    <w:p>
      <w:pPr>
        <w:spacing w:after="0" w:line="64" w:lineRule="exact"/>
        <w:rPr>
          <w:sz w:val="20"/>
          <w:szCs w:val="20"/>
          <w:color w:val="auto"/>
        </w:rPr>
      </w:pPr>
    </w:p>
    <w:p>
      <w:pPr>
        <w:ind w:right="100" w:firstLine="433"/>
        <w:spacing w:after="0" w:line="263" w:lineRule="auto"/>
        <w:rPr>
          <w:sz w:val="20"/>
          <w:szCs w:val="20"/>
          <w:color w:val="auto"/>
        </w:rPr>
      </w:pPr>
      <w:r>
        <w:rPr>
          <w:rFonts w:ascii="Arial" w:cs="Arial" w:eastAsia="Arial" w:hAnsi="Arial"/>
          <w:sz w:val="17"/>
          <w:szCs w:val="17"/>
          <w:color w:val="auto"/>
        </w:rPr>
        <w:t>Although our reliance on these third parties for preclinical and clinical development activities limits our control over these activities, we remain responsible for ensuring that each of our preclinical studies and clinical trials is conducted in accordance with the applicable protocol, legal and regulatory requirements and scientific standards. Moreover, human clinical research must comply with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principal investigators, clinical trial sites and IRBs. If we or our third-party contractors fail to comply with applicable GCPs, the clinical data generated in our clinical trials may be deemed unreliable and the regulatory authorities may require us to perform additional clinical trials before approving our product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candidates, which would delay the regulatory approval process. We cannot be certain that, upon inspection, a regulatory authority will determine that any of our clinical trials comply with GCPs.</w:t>
      </w:r>
    </w:p>
    <w:p>
      <w:pPr>
        <w:spacing w:after="0" w:line="36"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outside contractors may not assign as great a priority to our programs or pursue them as diligently as we would if we were undertaking such programs ourselves.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279" w:lineRule="exact"/>
        <w:rPr>
          <w:sz w:val="20"/>
          <w:szCs w:val="20"/>
          <w:color w:val="auto"/>
        </w:rPr>
      </w:pPr>
    </w:p>
    <w:p>
      <w:pPr>
        <w:ind w:right="160" w:firstLine="433"/>
        <w:spacing w:after="0" w:line="264" w:lineRule="auto"/>
        <w:rPr>
          <w:sz w:val="20"/>
          <w:szCs w:val="20"/>
          <w:color w:val="auto"/>
        </w:rPr>
      </w:pPr>
      <w:r>
        <w:rPr>
          <w:rFonts w:ascii="Arial" w:cs="Arial" w:eastAsia="Arial" w:hAnsi="Arial"/>
          <w:sz w:val="17"/>
          <w:szCs w:val="17"/>
          <w:color w:val="auto"/>
        </w:rPr>
        <w:t>If our relationships with any third parties conducting our studies are terminated, we may be unable to enter into arrangements with alternative third parties on commercially reasonable terms, or at all. Switching or adding third parties to conduct our studies involves substantial cost and requires extensive management time and focus. In addition, there is a natural transition period when a new third party commences work. As a result, delays occur, which can materially impact our ability to meet our desired preclinical and clinical development timelines. Although we carefully manage our relationships with third parties conducting our studies, we cannot assure that we will not encounter similar challenges or delays in the future or that these delays or challenges will not have a material and adverse effect on our business, financial condition and results of operations.</w:t>
      </w:r>
    </w:p>
    <w:p>
      <w:pPr>
        <w:spacing w:after="0" w:line="68" w:lineRule="exact"/>
        <w:rPr>
          <w:sz w:val="20"/>
          <w:szCs w:val="20"/>
          <w:color w:val="auto"/>
        </w:rPr>
      </w:pPr>
    </w:p>
    <w:p>
      <w:pPr>
        <w:ind w:right="380" w:firstLine="433"/>
        <w:spacing w:after="0" w:line="278" w:lineRule="auto"/>
        <w:rPr>
          <w:sz w:val="20"/>
          <w:szCs w:val="20"/>
          <w:color w:val="auto"/>
        </w:rPr>
      </w:pPr>
      <w:r>
        <w:rPr>
          <w:rFonts w:ascii="Arial" w:cs="Arial" w:eastAsia="Arial" w:hAnsi="Arial"/>
          <w:sz w:val="17"/>
          <w:szCs w:val="17"/>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Third-Party Manufacturers</w:t>
      </w:r>
    </w:p>
    <w:p>
      <w:pPr>
        <w:spacing w:after="0" w:line="119"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43" w:lineRule="exact"/>
        <w:rPr>
          <w:sz w:val="20"/>
          <w:szCs w:val="20"/>
          <w:color w:val="auto"/>
        </w:rPr>
      </w:pPr>
    </w:p>
    <w:p>
      <w:pPr>
        <w:ind w:firstLine="393"/>
        <w:spacing w:after="0" w:line="266" w:lineRule="auto"/>
        <w:rPr>
          <w:sz w:val="20"/>
          <w:szCs w:val="20"/>
          <w:color w:val="auto"/>
        </w:rPr>
      </w:pPr>
      <w:r>
        <w:rPr>
          <w:rFonts w:ascii="Arial" w:cs="Arial" w:eastAsia="Arial" w:hAnsi="Arial"/>
          <w:sz w:val="17"/>
          <w:szCs w:val="17"/>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64" w:lineRule="exact"/>
        <w:rPr>
          <w:sz w:val="20"/>
          <w:szCs w:val="20"/>
          <w:color w:val="auto"/>
        </w:rPr>
      </w:pPr>
    </w:p>
    <w:p>
      <w:pPr>
        <w:ind w:right="160" w:firstLine="393"/>
        <w:spacing w:after="0" w:line="271" w:lineRule="auto"/>
        <w:rPr>
          <w:sz w:val="20"/>
          <w:szCs w:val="20"/>
          <w:color w:val="auto"/>
        </w:rPr>
      </w:pPr>
      <w:r>
        <w:rPr>
          <w:rFonts w:ascii="Arial" w:cs="Arial" w:eastAsia="Arial" w:hAnsi="Arial"/>
          <w:sz w:val="17"/>
          <w:szCs w:val="17"/>
          <w:color w:val="auto"/>
        </w:rPr>
        <w:t>We expect to continue to rely on third -party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61" w:lineRule="exact"/>
        <w:rPr>
          <w:sz w:val="20"/>
          <w:szCs w:val="20"/>
          <w:color w:val="auto"/>
        </w:rPr>
      </w:pPr>
    </w:p>
    <w:p>
      <w:pPr>
        <w:ind w:left="640" w:right="360" w:hanging="320"/>
        <w:spacing w:after="0" w:line="278"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reduction or termination of production or deliveries by suppliers, or the raising of prices or renegotiation of terms;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termination or nonrenewal of arrangements or agreements by our third-party contractors at a time that is costly or inconvenient for us;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breach by the third-party contractors of our agreements with them;</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failure of third-party contractors to comply with applicable regulatory requirements;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failure of the third party to manufacture our product candidates according to our specifications;</w:t>
      </w:r>
    </w:p>
    <w:p>
      <w:pPr>
        <w:spacing w:after="0" w:line="119" w:lineRule="exact"/>
        <w:rPr>
          <w:rFonts w:ascii="Arial" w:cs="Arial" w:eastAsia="Arial" w:hAnsi="Arial"/>
          <w:sz w:val="17"/>
          <w:szCs w:val="17"/>
          <w:color w:val="auto"/>
        </w:rPr>
      </w:pPr>
    </w:p>
    <w:p>
      <w:pPr>
        <w:ind w:left="640" w:right="340" w:hanging="320"/>
        <w:spacing w:after="0" w:line="300"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mislabeling of clinical supplies, potentially resulting in the wrong dose amounts being supplied or study drug or placebo not being properly identified;</w:t>
      </w:r>
    </w:p>
    <w:p>
      <w:pPr>
        <w:spacing w:after="0" w:line="35" w:lineRule="exact"/>
        <w:rPr>
          <w:rFonts w:ascii="Arial" w:cs="Arial" w:eastAsia="Arial" w:hAnsi="Arial"/>
          <w:sz w:val="17"/>
          <w:szCs w:val="17"/>
          <w:color w:val="auto"/>
        </w:rPr>
      </w:pPr>
    </w:p>
    <w:p>
      <w:pPr>
        <w:ind w:left="640" w:right="560" w:hanging="320"/>
        <w:spacing w:after="0" w:line="300"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clinical supplies not being delivered to clinical sites on time and at expected cost due to inflationary impacts, leading to clinical trial interruptions, or of drug supplies not being distributed to commercial vendors in a timely manner, resulting in lost sales; and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misappropriation of our proprietary information, including our trade secrets and know-how.</w:t>
      </w:r>
    </w:p>
    <w:p>
      <w:pPr>
        <w:spacing w:after="0" w:line="119"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We do not have complete control over all aspects of the manufacturing process of, and are dependent on, our contract manufacturing partners for compliance with cGMP or similar regulations for manufacturing both active drug substances and finished drug products. Third-party manufacturers may not be able to comply with cGMP or similar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72" w:lineRule="exact"/>
        <w:rPr>
          <w:sz w:val="20"/>
          <w:szCs w:val="20"/>
          <w:color w:val="auto"/>
        </w:rPr>
      </w:pPr>
    </w:p>
    <w:p>
      <w:pPr>
        <w:ind w:right="160" w:firstLine="433"/>
        <w:spacing w:after="0" w:line="300"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36"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b w:val="1"/>
          <w:bCs w:val="1"/>
          <w:i w:val="1"/>
          <w:iCs w:val="1"/>
          <w:color w:val="auto"/>
        </w:rPr>
        <w:t>If any third-party manufacturer of our product candidates is unable to increase the scale of its production of our product candidates, and/or increase the product yield of its manufacturing, then our costs to manufacture the product may increase and commercialization may be delayed.</w:t>
      </w:r>
    </w:p>
    <w:p>
      <w:pPr>
        <w:spacing w:after="0" w:line="43"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In order to produce sufficient quantities to meet the demand for clinical trials and, if approved, subsequent commercialization of our product candidates that we may develop, our third-party manufacturers will be required to increase their production and optimize their manufacturing processes while maintaining the quality of the product. The transition to larger scale production could prove difficult. In addition, if our third party manufacturers are not able to optimize their manufacturing processes to increase the product yield for our product candidates, or if they are unable to produce increased amounts of our product candidates while maintaining the quality of the product, then we may not be able to meet the demands of clinical trials or market demands, which could decrease our ability to generate profits and have a material adverse impact on our business and results of operation.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Third-Party Suppliers</w:t>
      </w:r>
    </w:p>
    <w:p>
      <w:pPr>
        <w:spacing w:after="0" w:line="119" w:lineRule="exact"/>
        <w:rPr>
          <w:sz w:val="20"/>
          <w:szCs w:val="20"/>
          <w:color w:val="auto"/>
        </w:rPr>
      </w:pPr>
    </w:p>
    <w:p>
      <w:pPr>
        <w:jc w:val="both"/>
        <w:ind w:right="80"/>
        <w:spacing w:after="0" w:line="310" w:lineRule="auto"/>
        <w:rPr>
          <w:sz w:val="20"/>
          <w:szCs w:val="20"/>
          <w:color w:val="auto"/>
        </w:rPr>
      </w:pPr>
      <w:r>
        <w:rPr>
          <w:rFonts w:ascii="Arial" w:cs="Arial" w:eastAsia="Arial" w:hAnsi="Arial"/>
          <w:sz w:val="17"/>
          <w:szCs w:val="17"/>
          <w:b w:val="1"/>
          <w:bCs w:val="1"/>
          <w:i w:val="1"/>
          <w:iCs w:val="1"/>
          <w:color w:val="auto"/>
        </w:rPr>
        <w:t>We depend on third-party suppliers for key raw materials used in our manufacturing processes, some of which are our sole source of supply, and the loss of these third-party suppliers or their inability to supply us with adequate raw materials could harm our business.</w:t>
      </w:r>
    </w:p>
    <w:p>
      <w:pPr>
        <w:spacing w:after="0" w:line="20"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We rely on our CDMOs to purchase from third-party suppliers the materials necessary to produce our product candidates for our clinical trials. We do not have, nor do we expect to enter into, any agreements for the commercial production of these raw materials, and we do not expect to have any control over the process or timing of our CDMOs’ acquisition of raw materials needed to produce our product candidates. Any significant delay in the supply of a product candidate or the raw material components thereof for an ongoing clinical trial due to a manufacturer’s need to replace a third-party supplier of raw materials could considerably delay completion of our clinical trials, product testing and potential regulatory approval of our product candidates. Additionally, if our future manufacturers or we are unable to purchase these raw materials to commercially produce any of our product candidates that gains regulatory approvals, the commercial launch of our product candidates would be delayed or there would be a shortage in supply, which would impair our ability to generate revenues from the sale of our product candidates.</w:t>
      </w:r>
    </w:p>
    <w:p>
      <w:pPr>
        <w:spacing w:after="0" w:line="70" w:lineRule="exact"/>
        <w:rPr>
          <w:sz w:val="20"/>
          <w:szCs w:val="20"/>
          <w:color w:val="auto"/>
        </w:rPr>
      </w:pPr>
    </w:p>
    <w:p>
      <w:pPr>
        <w:ind w:right="220" w:firstLine="433"/>
        <w:spacing w:after="0" w:line="300" w:lineRule="auto"/>
        <w:rPr>
          <w:sz w:val="20"/>
          <w:szCs w:val="20"/>
          <w:color w:val="auto"/>
        </w:rPr>
      </w:pPr>
      <w:r>
        <w:rPr>
          <w:rFonts w:ascii="Arial" w:cs="Arial" w:eastAsia="Arial" w:hAnsi="Arial"/>
          <w:sz w:val="17"/>
          <w:szCs w:val="17"/>
          <w:color w:val="auto"/>
        </w:rPr>
        <w:t>Furthermore, for those third-party suppliers who may be our sole source of supply of certain materials, we may not have arrangements in place for a redundant or second-source supply of any such materials in the event any of</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our current suppliers cease their operations for any reason. Establishing additional or replacement suppliers for the raw materials used in our product candidates, if required, may not be accomplished quickly. If we are able to find a replacement supplier, such replacement supplier would need to be qualified and may require additional regulatory inspection or approval, which could result in further delay.</w:t>
      </w:r>
    </w:p>
    <w:p>
      <w:pPr>
        <w:spacing w:after="0" w:line="55"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b w:val="1"/>
          <w:bCs w:val="1"/>
          <w:i w:val="1"/>
          <w:iCs w:val="1"/>
          <w:color w:val="auto"/>
        </w:rPr>
        <w:t>We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43"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We have, and may seek in the future, third-party collaborators for the research, development and commercialization of certain of the product candidates we may develop. For example, we have a collaboration with Ionis Pharmaceuticals, Inc. to further our development of product candidates and to enhance our research efforts directed to developing a product candidate for the treatment of epilepsy. Our likely collaborators for any other collaboration arrangements include large and mid-size pharmaceutical companies, regional and national pharmaceutical companies, biotechnology companies and academic institutions, such as The Florey Institute of Neuroscience.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Collaborations involving our research programs, or any product candidates we may develop, pose the following risks to us:</w:t>
      </w:r>
    </w:p>
    <w:p>
      <w:pPr>
        <w:spacing w:after="0" w:line="119" w:lineRule="exact"/>
        <w:rPr>
          <w:sz w:val="20"/>
          <w:szCs w:val="20"/>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generally have significant discretion in determining the efforts and resources that they will apply to these collaborations;</w:t>
      </w:r>
    </w:p>
    <w:p>
      <w:pPr>
        <w:spacing w:after="0" w:line="119" w:lineRule="exact"/>
        <w:rPr>
          <w:rFonts w:ascii="Arial" w:cs="Arial" w:eastAsia="Arial" w:hAnsi="Arial"/>
          <w:sz w:val="17"/>
          <w:szCs w:val="17"/>
          <w:color w:val="auto"/>
        </w:rPr>
      </w:pPr>
    </w:p>
    <w:p>
      <w:pPr>
        <w:ind w:left="640" w:right="340" w:hanging="320"/>
        <w:spacing w:after="0" w:line="271"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61" w:lineRule="exact"/>
        <w:rPr>
          <w:rFonts w:ascii="Arial" w:cs="Arial" w:eastAsia="Arial" w:hAnsi="Arial"/>
          <w:sz w:val="17"/>
          <w:szCs w:val="17"/>
          <w:color w:val="auto"/>
        </w:rPr>
      </w:pPr>
    </w:p>
    <w:p>
      <w:pPr>
        <w:ind w:left="640" w:right="480" w:hanging="320"/>
        <w:spacing w:after="0" w:line="278"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own or co-own intellectual property covering our product candidates or research programs that results from our collaboration with them, and in such cases, we may not have the exclusive right to commercialize such intellectual property or such product candidates or research programs;</w:t>
      </w:r>
    </w:p>
    <w:p>
      <w:pPr>
        <w:spacing w:after="0" w:line="55"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need the cooperation of our collaborators to enforce or defend any intellectual property we contribute to or that arises out of our collaborations, which may not be provided to us;</w:t>
      </w:r>
    </w:p>
    <w:p>
      <w:pPr>
        <w:spacing w:after="0" w:line="35" w:lineRule="exact"/>
        <w:rPr>
          <w:rFonts w:ascii="Arial" w:cs="Arial" w:eastAsia="Arial" w:hAnsi="Arial"/>
          <w:sz w:val="17"/>
          <w:szCs w:val="17"/>
          <w:color w:val="auto"/>
        </w:rPr>
      </w:pPr>
    </w:p>
    <w:p>
      <w:pPr>
        <w:ind w:left="640" w:right="200" w:hanging="320"/>
        <w:spacing w:after="0" w:line="300"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control certain interactions with regulatory authorities, which may impact our ability to obtain and maintain regulatory approval of our products candidates;</w:t>
      </w:r>
    </w:p>
    <w:p>
      <w:pPr>
        <w:spacing w:after="0" w:line="35" w:lineRule="exact"/>
        <w:rPr>
          <w:rFonts w:ascii="Arial" w:cs="Arial" w:eastAsia="Arial" w:hAnsi="Arial"/>
          <w:sz w:val="17"/>
          <w:szCs w:val="17"/>
          <w:color w:val="auto"/>
        </w:rPr>
      </w:pPr>
    </w:p>
    <w:p>
      <w:pPr>
        <w:ind w:left="640" w:right="60" w:hanging="320"/>
        <w:spacing w:after="0" w:line="278"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w:t>
      </w:r>
    </w:p>
    <w:p>
      <w:pPr>
        <w:spacing w:after="0" w:line="55" w:lineRule="exact"/>
        <w:rPr>
          <w:rFonts w:ascii="Arial" w:cs="Arial" w:eastAsia="Arial" w:hAnsi="Arial"/>
          <w:sz w:val="17"/>
          <w:szCs w:val="17"/>
          <w:color w:val="auto"/>
        </w:rPr>
      </w:pPr>
    </w:p>
    <w:p>
      <w:pPr>
        <w:ind w:left="640" w:right="280" w:hanging="320"/>
        <w:spacing w:after="0" w:line="278"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decide to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55" w:lineRule="exact"/>
        <w:rPr>
          <w:rFonts w:ascii="Arial" w:cs="Arial" w:eastAsia="Arial" w:hAnsi="Arial"/>
          <w:sz w:val="17"/>
          <w:szCs w:val="17"/>
          <w:color w:val="auto"/>
        </w:rPr>
      </w:pPr>
    </w:p>
    <w:p>
      <w:pPr>
        <w:ind w:left="640" w:right="400" w:hanging="320"/>
        <w:spacing w:after="0" w:line="300"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5" w:lineRule="exact"/>
        <w:rPr>
          <w:rFonts w:ascii="Arial" w:cs="Arial" w:eastAsia="Arial" w:hAnsi="Arial"/>
          <w:sz w:val="17"/>
          <w:szCs w:val="17"/>
          <w:color w:val="auto"/>
        </w:rPr>
      </w:pPr>
    </w:p>
    <w:p>
      <w:pPr>
        <w:ind w:left="640" w:right="280" w:hanging="320"/>
        <w:spacing w:after="0" w:line="278"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restrict us from researching, developing or commercializing certain products or technologies without their involvement;</w:t>
      </w:r>
    </w:p>
    <w:p>
      <w:pPr>
        <w:spacing w:after="0" w:line="119" w:lineRule="exact"/>
        <w:rPr>
          <w:rFonts w:ascii="Arial" w:cs="Arial" w:eastAsia="Arial" w:hAnsi="Arial"/>
          <w:sz w:val="17"/>
          <w:szCs w:val="17"/>
          <w:color w:val="auto"/>
        </w:rPr>
      </w:pPr>
    </w:p>
    <w:p>
      <w:pPr>
        <w:ind w:left="640" w:right="680" w:hanging="320"/>
        <w:spacing w:after="0" w:line="300"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with marketing and distribution rights to one or more product candidates may not commit sufficient resources to the marketing and distribution of such product candidates;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collaborators may grant sublicenses to our technology or product candidates or undergo a change of control and the sublicensees or new owners may decide to take the collaboration in a direction which is not in our best interest;</w:t>
      </w:r>
    </w:p>
    <w:p>
      <w:pPr>
        <w:spacing w:after="0" w:line="35" w:lineRule="exact"/>
        <w:rPr>
          <w:rFonts w:ascii="Arial" w:cs="Arial" w:eastAsia="Arial" w:hAnsi="Arial"/>
          <w:sz w:val="17"/>
          <w:szCs w:val="17"/>
          <w:color w:val="auto"/>
        </w:rPr>
      </w:pPr>
    </w:p>
    <w:p>
      <w:pPr>
        <w:ind w:left="640" w:right="460" w:hanging="320"/>
        <w:spacing w:after="0" w:line="278" w:lineRule="auto"/>
        <w:tabs>
          <w:tab w:leader="none" w:pos="6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 or research programs;</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key personnel at our collaborators may leave, which could negatively impact our ability to productively work with our collaborators;</w:t>
      </w:r>
    </w:p>
    <w:p>
      <w:pPr>
        <w:spacing w:after="0" w:line="119" w:lineRule="exact"/>
        <w:rPr>
          <w:rFonts w:ascii="Arial" w:cs="Arial" w:eastAsia="Arial" w:hAnsi="Arial"/>
          <w:sz w:val="17"/>
          <w:szCs w:val="17"/>
          <w:color w:val="auto"/>
        </w:rPr>
      </w:pPr>
    </w:p>
    <w:p>
      <w:pPr>
        <w:ind w:left="640" w:right="560" w:hanging="320"/>
        <w:spacing w:after="0" w:line="300" w:lineRule="auto"/>
        <w:tabs>
          <w:tab w:leader="none" w:pos="6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collaborations may require us to incur short and long-term expenditures, issue securities that dilute our stockholders or disrupt our management and business;</w:t>
      </w:r>
    </w:p>
    <w:p>
      <w:pPr>
        <w:spacing w:after="0" w:line="35" w:lineRule="exact"/>
        <w:rPr>
          <w:rFonts w:ascii="Arial" w:cs="Arial" w:eastAsia="Arial" w:hAnsi="Arial"/>
          <w:sz w:val="17"/>
          <w:szCs w:val="17"/>
          <w:color w:val="auto"/>
        </w:rPr>
      </w:pPr>
    </w:p>
    <w:p>
      <w:pPr>
        <w:ind w:left="640" w:right="140" w:hanging="320"/>
        <w:spacing w:after="0" w:line="300" w:lineRule="auto"/>
        <w:tabs>
          <w:tab w:leader="none" w:pos="6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our collaborators do not satisfy their obligations under our agreements with them, or if they terminate our collaborations with them, we may not be able to develop or commercialize product candidates as planned;</w:t>
      </w:r>
    </w:p>
    <w:p>
      <w:pPr>
        <w:spacing w:after="0" w:line="35" w:lineRule="exact"/>
        <w:rPr>
          <w:rFonts w:ascii="Arial" w:cs="Arial" w:eastAsia="Arial" w:hAnsi="Arial"/>
          <w:sz w:val="17"/>
          <w:szCs w:val="17"/>
          <w:color w:val="auto"/>
        </w:rPr>
      </w:pPr>
    </w:p>
    <w:p>
      <w:pPr>
        <w:jc w:val="both"/>
        <w:ind w:left="640" w:right="100" w:hanging="320"/>
        <w:spacing w:after="0" w:line="278" w:lineRule="auto"/>
        <w:tabs>
          <w:tab w:leader="none" w:pos="6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w:t>
      </w:r>
    </w:p>
    <w:p>
      <w:pPr>
        <w:spacing w:after="0" w:line="55" w:lineRule="exact"/>
        <w:rPr>
          <w:rFonts w:ascii="Arial" w:cs="Arial" w:eastAsia="Arial" w:hAnsi="Arial"/>
          <w:sz w:val="17"/>
          <w:szCs w:val="17"/>
          <w:color w:val="auto"/>
        </w:rPr>
      </w:pPr>
    </w:p>
    <w:p>
      <w:pPr>
        <w:ind w:left="640" w:right="40" w:hanging="320"/>
        <w:spacing w:after="0" w:line="278" w:lineRule="auto"/>
        <w:tabs>
          <w:tab w:leader="none" w:pos="6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collaborations may be terminated in their entirety or with respect to certain product candidates or technologies and, if so terminated, may result in a need for additional capital to pursue further development or commercialization of the applicable product candidates or technologies; and</w:t>
      </w:r>
    </w:p>
    <w:p>
      <w:pPr>
        <w:spacing w:after="0" w:line="55" w:lineRule="exact"/>
        <w:rPr>
          <w:rFonts w:ascii="Arial" w:cs="Arial" w:eastAsia="Arial" w:hAnsi="Arial"/>
          <w:sz w:val="17"/>
          <w:szCs w:val="17"/>
          <w:color w:val="auto"/>
        </w:rPr>
      </w:pPr>
    </w:p>
    <w:p>
      <w:pPr>
        <w:ind w:left="640" w:right="100" w:hanging="320"/>
        <w:spacing w:after="0" w:line="278" w:lineRule="auto"/>
        <w:tabs>
          <w:tab w:leader="none" w:pos="6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development or commercialization program under such collaboration could be delayed, diminished or terminated.</w:t>
      </w:r>
    </w:p>
    <w:p>
      <w:pPr>
        <w:spacing w:after="0" w:line="55"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73"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elects not to exercise the rights granted under the agreement or if we or our collaborator are unable to successfully integrate a product candidate into existing operations and company culture. The failure to develop and commercialize a product candidate pursuant to our agreements with our current or future collaborators could prevent us from receiving future payments under such agreements, which could negatively impact our revenues.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“Risk Factors” section also apply to the activities of our collaborators and any negative impact on our collaborators may adversely affect us.</w:t>
      </w:r>
    </w:p>
    <w:p>
      <w:pPr>
        <w:spacing w:after="0" w:line="75" w:lineRule="exact"/>
        <w:rPr>
          <w:sz w:val="20"/>
          <w:szCs w:val="20"/>
          <w:color w:val="auto"/>
        </w:rPr>
      </w:pPr>
    </w:p>
    <w:p>
      <w:pPr>
        <w:ind w:right="780"/>
        <w:spacing w:after="0" w:line="310" w:lineRule="auto"/>
        <w:rPr>
          <w:sz w:val="20"/>
          <w:szCs w:val="20"/>
          <w:color w:val="auto"/>
        </w:rPr>
      </w:pPr>
      <w:r>
        <w:rPr>
          <w:rFonts w:ascii="Arial" w:cs="Arial" w:eastAsia="Arial" w:hAnsi="Arial"/>
          <w:sz w:val="17"/>
          <w:szCs w:val="17"/>
          <w:b w:val="1"/>
          <w:bCs w:val="1"/>
          <w:i w:val="1"/>
          <w:iCs w:val="1"/>
          <w:color w:val="auto"/>
        </w:rPr>
        <w:t>We may acquire businesses or products, or form strategic alliances, in the future, and we may not realize the benefits of such acquisitions or alliances.</w:t>
      </w:r>
    </w:p>
    <w:p>
      <w:pPr>
        <w:spacing w:after="0" w:line="20" w:lineRule="exact"/>
        <w:rPr>
          <w:sz w:val="20"/>
          <w:szCs w:val="20"/>
          <w:color w:val="auto"/>
        </w:rPr>
      </w:pPr>
    </w:p>
    <w:p>
      <w:pPr>
        <w:ind w:right="340" w:firstLine="433"/>
        <w:spacing w:after="0" w:line="300"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that, following any such acquisition, we will achieve the expected synergies to justify the transaction.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Managing Our Business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Business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economic, political, regulatory and other risks associated with international operations.</w:t>
      </w:r>
    </w:p>
    <w:p>
      <w:pPr>
        <w:spacing w:after="0" w:line="119" w:lineRule="exact"/>
        <w:rPr>
          <w:sz w:val="20"/>
          <w:szCs w:val="20"/>
          <w:color w:val="auto"/>
        </w:rPr>
      </w:pPr>
    </w:p>
    <w:p>
      <w:pPr>
        <w:ind w:right="160" w:firstLine="433"/>
        <w:spacing w:after="0" w:line="300" w:lineRule="auto"/>
        <w:rPr>
          <w:sz w:val="20"/>
          <w:szCs w:val="20"/>
          <w:color w:val="auto"/>
        </w:rPr>
      </w:pPr>
      <w:r>
        <w:rPr>
          <w:rFonts w:ascii="Arial" w:cs="Arial" w:eastAsia="Arial" w:hAnsi="Arial"/>
          <w:sz w:val="17"/>
          <w:szCs w:val="17"/>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36" w:lineRule="exact"/>
        <w:rPr>
          <w:sz w:val="20"/>
          <w:szCs w:val="20"/>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non-U.S. economies and markets;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differing and changing regulatory requirements in non-U.S. countries;</w:t>
      </w:r>
    </w:p>
    <w:p>
      <w:pPr>
        <w:spacing w:after="0" w:line="119" w:lineRule="exact"/>
        <w:rPr>
          <w:rFonts w:ascii="Arial" w:cs="Arial" w:eastAsia="Arial" w:hAnsi="Arial"/>
          <w:sz w:val="17"/>
          <w:szCs w:val="17"/>
          <w:color w:val="auto"/>
        </w:rPr>
      </w:pPr>
    </w:p>
    <w:p>
      <w:pPr>
        <w:ind w:left="640" w:right="40" w:hanging="320"/>
        <w:spacing w:after="0" w:line="266" w:lineRule="auto"/>
        <w:tabs>
          <w:tab w:leader="none" w:pos="6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 including our ability to prosecute or maintain patents in Russia due to the sanctions imposed by the United States and other countries on Russia as a result of Russia’s invasion of Ukraine and our ability to enforce patents due to Russia's March 2022 decree that allows the use of inventions, utility models and industrial designs that are held by intellectual property owners from "unfriendly countries," including the United States, without the consent of or payment of any compensation to such owners;</w:t>
      </w:r>
    </w:p>
    <w:p>
      <w:pPr>
        <w:spacing w:after="0" w:line="63"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difficulties in compliance with non-U.S. laws and regulations;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changes in non-U.S. regulations and customs, tariffs and trade barriers;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changes in non-U.S. currency exchange rates and currency controls;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or economic environment;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U.S. or non-U.S. governments;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negative consequences from changes in tax laws;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difficulties associated with staffing and managing international operations, including differing labor relations</w:t>
      </w:r>
    </w:p>
    <w:p>
      <w:pPr>
        <w:spacing w:after="0" w:line="119" w:lineRule="exact"/>
        <w:rPr>
          <w:rFonts w:ascii="Arial" w:cs="Arial" w:eastAsia="Arial" w:hAnsi="Arial"/>
          <w:sz w:val="17"/>
          <w:szCs w:val="17"/>
          <w:color w:val="auto"/>
        </w:rPr>
      </w:pPr>
    </w:p>
    <w:p>
      <w:pPr>
        <w:ind w:left="640" w:right="480" w:hanging="320"/>
        <w:spacing w:after="0" w:line="300" w:lineRule="auto"/>
        <w:tabs>
          <w:tab w:leader="none" w:pos="6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potential liability under the Foreign Corrupt Practices Act, U.K. Bribery Act of 2010 or comparable foreign laws, including expanded sanctions imposed by the United States and other countries on Russia due to Russia's invasion of Ukraine;</w:t>
      </w:r>
    </w:p>
    <w:p>
      <w:pPr>
        <w:spacing w:after="0" w:line="35" w:lineRule="exact"/>
        <w:rPr>
          <w:rFonts w:ascii="Arial" w:cs="Arial" w:eastAsia="Arial" w:hAnsi="Arial"/>
          <w:sz w:val="17"/>
          <w:szCs w:val="17"/>
          <w:color w:val="auto"/>
        </w:rPr>
      </w:pPr>
    </w:p>
    <w:p>
      <w:pPr>
        <w:ind w:left="640" w:right="420" w:hanging="320"/>
        <w:spacing w:after="0" w:line="300" w:lineRule="auto"/>
        <w:tabs>
          <w:tab w:leader="none" w:pos="6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such as Russia's invasion of Ukraine, natural disasters including earthquakes, typhoons, floods and fires, or health epidemics such as COVID-19; and</w:t>
      </w:r>
    </w:p>
    <w:p>
      <w:pPr>
        <w:spacing w:after="0" w:line="35"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cyberattacks, which are growing in frequency, sophistication and intensity, and are becoming increasingly difficult to detect, including an increased likelihood that Russia's invasion of Ukraine could result in more cyberattacks or cybersecurity incidents.</w:t>
      </w:r>
    </w:p>
    <w:p>
      <w:pPr>
        <w:spacing w:after="0" w:line="36" w:lineRule="exact"/>
        <w:rPr>
          <w:sz w:val="20"/>
          <w:szCs w:val="20"/>
          <w:color w:val="auto"/>
        </w:rPr>
      </w:pPr>
    </w:p>
    <w:p>
      <w:pPr>
        <w:ind w:right="320" w:firstLine="433"/>
        <w:spacing w:after="0" w:line="300" w:lineRule="auto"/>
        <w:rPr>
          <w:sz w:val="20"/>
          <w:szCs w:val="20"/>
          <w:color w:val="auto"/>
        </w:rPr>
      </w:pPr>
      <w:r>
        <w:rPr>
          <w:rFonts w:ascii="Arial" w:cs="Arial" w:eastAsia="Arial" w:hAnsi="Arial"/>
          <w:sz w:val="17"/>
          <w:szCs w:val="17"/>
          <w:color w:val="auto"/>
        </w:rPr>
        <w:t>These and other risks associated with our planned international operations may materially adversely affect our ability to attain profitable operations.</w:t>
      </w:r>
    </w:p>
    <w:p>
      <w:pPr>
        <w:spacing w:after="0" w:line="36" w:lineRule="exact"/>
        <w:rPr>
          <w:sz w:val="20"/>
          <w:szCs w:val="20"/>
          <w:color w:val="auto"/>
        </w:rPr>
      </w:pPr>
    </w:p>
    <w:p>
      <w:pPr>
        <w:ind w:right="420"/>
        <w:spacing w:after="0" w:line="310"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natural disasters, health epidemics or other business interruptions and our business continuity and disaster recovery plans may not adequately protect us from a serious disaster.</w:t>
      </w:r>
    </w:p>
    <w:p>
      <w:pPr>
        <w:spacing w:after="0" w:line="20"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7"/>
          <w:szCs w:val="17"/>
          <w:color w:val="auto"/>
        </w:rPr>
        <w:t>Natural disasters or health epidemics could severely disrupt our operations, and have a material adverse impact on our business, results of operations, financial condition, and prospects. If a natural disaster, power outage, health epidemic or other event occurred that prevented us from conducting our clinical trials, releasing clinical trial</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80"/>
        <w:spacing w:after="0" w:line="300" w:lineRule="auto"/>
        <w:rPr>
          <w:sz w:val="20"/>
          <w:szCs w:val="20"/>
          <w:color w:val="auto"/>
        </w:rPr>
      </w:pPr>
      <w:r>
        <w:rPr>
          <w:rFonts w:ascii="Arial" w:cs="Arial" w:eastAsia="Arial" w:hAnsi="Arial"/>
          <w:sz w:val="17"/>
          <w:szCs w:val="17"/>
          <w:color w:val="auto"/>
        </w:rPr>
        <w:t>results or delaying our ability to obtain regulatory approval for our product candidates, it may be difficult or, in certain cases, impossible for us to continue our business for a substantial period of time.</w:t>
      </w:r>
    </w:p>
    <w:p>
      <w:pPr>
        <w:spacing w:after="0" w:line="36"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For example, since December 2019, several novel strains of coronavirus have been identified and continue to spread globally, including in the United States, and the disease they cause, COVID-19, has been declared a pandemic by the World Health Organization. The COVID-19 pandemic and government measures taken in response thereto have impacted the global economy and may impact our operations, including the potential interruption of our clinical trial activities, regulatory reviews and our supply chain. As a result of stringent COVID-19 lockdown restrictions, we had previously observed delays in trial enrollment for our Phase 2a trial for ulixacaltamide in Australia. While these lockdowns did not lead to a material impact on our business, we cannot predict the scope and severity of potential shutdowns or disruptions of businesses due to COVID-19 or another pandemic, epidemic or outbreak of an infectious disease in the future. At present, we are not experiencing significant impact or delays from the COVID-19 pandemic on our business, operations and, if our product candidates are approved, commercialization plans.We continue to closely monitor the COVID-19 pandemic as we evolve our clinical development plans. The extent to which the COVID-19 pandemic impacts our business will depend on future developments, which are highly uncertain and cannot be predicted, including new information which may emerge concerning the severity of the novel coronavirus strains, and of any future-identified novel coronavirus strains, the effectiveness of actions taken in the United States and other countries to contain the coronavirus strains or treat their impact, including the adoption and effectiveness of vaccines and vaccine distribution efforts and the extent and duration of the pandemic's impact on economic conditions and social activity, including with respect to inflationary pressures and supply chain shortages and disruptions, among others.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Employees</w:t>
      </w:r>
    </w:p>
    <w:p>
      <w:pPr>
        <w:spacing w:after="0" w:line="119" w:lineRule="exact"/>
        <w:rPr>
          <w:sz w:val="20"/>
          <w:szCs w:val="20"/>
          <w:color w:val="auto"/>
        </w:rPr>
      </w:pPr>
    </w:p>
    <w:p>
      <w:pPr>
        <w:ind w:right="20"/>
        <w:spacing w:after="0" w:line="310" w:lineRule="auto"/>
        <w:rPr>
          <w:sz w:val="20"/>
          <w:szCs w:val="20"/>
          <w:color w:val="auto"/>
        </w:rPr>
      </w:pPr>
      <w:r>
        <w:rPr>
          <w:rFonts w:ascii="Arial" w:cs="Arial" w:eastAsia="Arial" w:hAnsi="Arial"/>
          <w:sz w:val="17"/>
          <w:szCs w:val="17"/>
          <w:b w:val="1"/>
          <w:bCs w:val="1"/>
          <w:i w:val="1"/>
          <w:iCs w:val="1"/>
          <w:color w:val="auto"/>
        </w:rPr>
        <w:t>We depend heavily on our executive officers, principal consultants and others, and the loss of their services would materially harm our business.</w:t>
      </w:r>
    </w:p>
    <w:p>
      <w:pPr>
        <w:spacing w:after="0" w:line="20"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color w:val="auto"/>
        </w:rPr>
        <w:t>Our success depends, and will likely continue to depend, upon our ability to retain the services of our current executive officers, principal consultants and others, including Marcio Souza, our President and Chief Executive Officer, and Timothy Kelly, our Chief Financial Officer. We have entered into employment agreements with Mr. Souza and Mr. Kelly, but they may terminate their employment with us at any time. The loss of their services might impede the achievement of our research, development and commercialization objectives. In August 2022, Bernard Ravina stepped down as our Chief Medical Officer and transitioned to a part-time role as strategic advisor. This change in our senior management may be disruptive to our business, and if we are unable to manage an orderly transition of Dr. Ravina's duties to our clinical team or to a new Chief Medical Officer, our business may be adversely affected. We do not maintain “key person” insurance for any of our executives or other employees.</w:t>
      </w:r>
    </w:p>
    <w:p>
      <w:pPr>
        <w:spacing w:after="0" w:line="278"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Our ability to compete in the biotechnology and pharmaceuticals industries depends upon our ability to attract and retain highly qualified managerial, scientific and medical personnel. Our industry has experienced significant demand for, and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w:t>
      </w:r>
    </w:p>
    <w:p>
      <w:pPr>
        <w:spacing w:after="0" w:line="63" w:lineRule="exact"/>
        <w:rPr>
          <w:sz w:val="20"/>
          <w:szCs w:val="20"/>
          <w:color w:val="auto"/>
        </w:rPr>
      </w:pPr>
    </w:p>
    <w:p>
      <w:pPr>
        <w:ind w:right="140" w:firstLine="433"/>
        <w:spacing w:after="0" w:line="278" w:lineRule="auto"/>
        <w:rPr>
          <w:sz w:val="20"/>
          <w:szCs w:val="20"/>
          <w:color w:val="auto"/>
        </w:rPr>
      </w:pPr>
      <w:r>
        <w:rPr>
          <w:rFonts w:ascii="Arial" w:cs="Arial" w:eastAsia="Arial" w:hAnsi="Arial"/>
          <w:sz w:val="17"/>
          <w:szCs w:val="17"/>
          <w:color w:val="auto"/>
        </w:rPr>
        <w:t>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55" w:lineRule="exact"/>
        <w:rPr>
          <w:sz w:val="20"/>
          <w:szCs w:val="20"/>
          <w:color w:val="auto"/>
        </w:rPr>
      </w:pPr>
    </w:p>
    <w:p>
      <w:pPr>
        <w:ind w:right="540" w:firstLine="433"/>
        <w:spacing w:after="0" w:line="278" w:lineRule="auto"/>
        <w:rPr>
          <w:sz w:val="20"/>
          <w:szCs w:val="20"/>
          <w:color w:val="auto"/>
        </w:rPr>
      </w:pPr>
      <w:r>
        <w:rPr>
          <w:rFonts w:ascii="Arial" w:cs="Arial" w:eastAsia="Arial" w:hAnsi="Arial"/>
          <w:sz w:val="17"/>
          <w:szCs w:val="17"/>
          <w:color w:val="auto"/>
        </w:rPr>
        <w:t>In addition, we have a limited number of employees to manage and operate our business. We cannot ensure that we will be able to maintain adequate staff to develop our product candidates, to run our operations or accomplish our objectives. If we are unable to maintain adequate staffing levels, our business and operations could be materially adversely affected.</w:t>
      </w:r>
    </w:p>
    <w:p>
      <w:pPr>
        <w:spacing w:after="0" w:line="55"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We rely on consultants and advisors, including scientific and clinical advisors, to assist us in formulating our research and development and commercialization strategies.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61"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We are exposed to the risk that our employees, independent contractors, consultants, collaborators and contract research organizations may engage in fraudulent conduct or other illegal activity. Misconduct by those parties could include intentional, reckless and/or negligent conduct or disclosure of unauthorized activities to us that violates:</w:t>
      </w:r>
    </w:p>
    <w:p>
      <w:pPr>
        <w:spacing w:after="0" w:line="55" w:lineRule="exact"/>
        <w:rPr>
          <w:sz w:val="20"/>
          <w:szCs w:val="20"/>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regulatory authorities, including those laws requiring the reporting of true, complete and accurate information to such authorities;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manufacturing standards;</w:t>
      </w:r>
    </w:p>
    <w:p>
      <w:pPr>
        <w:spacing w:after="0" w:line="119" w:lineRule="exact"/>
        <w:rPr>
          <w:rFonts w:ascii="Arial" w:cs="Arial" w:eastAsia="Arial" w:hAnsi="Arial"/>
          <w:sz w:val="17"/>
          <w:szCs w:val="17"/>
          <w:color w:val="auto"/>
        </w:rPr>
      </w:pPr>
    </w:p>
    <w:p>
      <w:pPr>
        <w:ind w:left="640" w:right="720" w:hanging="320"/>
        <w:spacing w:after="0" w:line="300" w:lineRule="auto"/>
        <w:tabs>
          <w:tab w:leader="none" w:pos="635" w:val="left"/>
        </w:tabs>
        <w:numPr>
          <w:ilvl w:val="0"/>
          <w:numId w:val="42"/>
        </w:numPr>
        <w:rPr>
          <w:rFonts w:ascii="Arial" w:cs="Arial" w:eastAsia="Arial" w:hAnsi="Arial"/>
          <w:sz w:val="17"/>
          <w:szCs w:val="17"/>
          <w:color w:val="auto"/>
        </w:rPr>
      </w:pPr>
      <w:r>
        <w:rPr>
          <w:rFonts w:ascii="Arial" w:cs="Arial" w:eastAsia="Arial" w:hAnsi="Arial"/>
          <w:sz w:val="17"/>
          <w:szCs w:val="17"/>
          <w:color w:val="auto"/>
        </w:rPr>
        <w:t>federal and state healthcare fraud and abuse laws and regulations and similar laws and regulations established and enforced by comparable non-U.S. regulatory authorities; and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laws that require the accurate reporting of financial information or data.</w:t>
      </w:r>
    </w:p>
    <w:p>
      <w:pPr>
        <w:spacing w:after="0" w:line="119" w:lineRule="exact"/>
        <w:rPr>
          <w:sz w:val="20"/>
          <w:szCs w:val="20"/>
          <w:color w:val="auto"/>
        </w:rPr>
      </w:pPr>
    </w:p>
    <w:p>
      <w:pPr>
        <w:ind w:right="180" w:firstLine="433"/>
        <w:spacing w:after="0" w:line="261" w:lineRule="auto"/>
        <w:rPr>
          <w:sz w:val="20"/>
          <w:szCs w:val="20"/>
          <w:color w:val="auto"/>
        </w:rPr>
      </w:pPr>
      <w:r>
        <w:rPr>
          <w:rFonts w:ascii="Arial" w:cs="Arial" w:eastAsia="Arial" w:hAnsi="Arial"/>
          <w:sz w:val="17"/>
          <w:szCs w:val="17"/>
          <w:color w:val="auto"/>
        </w:rPr>
        <w:t>Activities subject to these laws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kind of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the United States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75" w:lineRule="exact"/>
        <w:rPr>
          <w:sz w:val="20"/>
          <w:szCs w:val="20"/>
          <w:color w:val="auto"/>
        </w:rPr>
      </w:pPr>
    </w:p>
    <w:p>
      <w:pPr>
        <w:ind w:right="100"/>
        <w:spacing w:after="0" w:line="310" w:lineRule="auto"/>
        <w:rPr>
          <w:sz w:val="20"/>
          <w:szCs w:val="20"/>
          <w:color w:val="auto"/>
        </w:rPr>
      </w:pPr>
      <w:r>
        <w:rPr>
          <w:rFonts w:ascii="Arial" w:cs="Arial" w:eastAsia="Arial" w:hAnsi="Arial"/>
          <w:sz w:val="17"/>
          <w:szCs w:val="17"/>
          <w:b w:val="1"/>
          <w:bCs w:val="1"/>
          <w:i w:val="1"/>
          <w:iCs w:val="1"/>
          <w:color w:val="auto"/>
        </w:rPr>
        <w:t>We expect to expand our organization, and as a result, we may encounter difficulties in managing our growth, which could disrupt our operations.</w:t>
      </w:r>
    </w:p>
    <w:p>
      <w:pPr>
        <w:spacing w:after="0" w:line="20" w:lineRule="exact"/>
        <w:rPr>
          <w:sz w:val="20"/>
          <w:szCs w:val="20"/>
          <w:color w:val="auto"/>
        </w:rPr>
      </w:pPr>
    </w:p>
    <w:p>
      <w:pPr>
        <w:ind w:right="140" w:firstLine="433"/>
        <w:spacing w:after="0" w:line="261"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regulatory affairs and sales, marketing and distribution, as well as to support our public company operations.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Data Privacy and Cybersecurity</w:t>
      </w:r>
    </w:p>
    <w:p>
      <w:pPr>
        <w:spacing w:after="0" w:line="119"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b w:val="1"/>
          <w:bCs w:val="1"/>
          <w:i w:val="1"/>
          <w:iCs w:val="1"/>
          <w:color w:val="auto"/>
        </w:rPr>
        <w:t>Cyberattacks or other failures in our telecommunications or information technology systems, or those of our collaborators, contract research organizations, third-party logistics providers, distributors or other contractors or consultants, could result in information theft, data corruption and significant disruption of our business operations.</w:t>
      </w:r>
    </w:p>
    <w:p>
      <w:pPr>
        <w:spacing w:after="0" w:line="43"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color w:val="auto"/>
        </w:rPr>
        <w:t>We, our collaborators, our CROs, third-party logistics providers, distributors and other contractors and consultants utilize information technology, or IT, systems and networks to process, transmit and store electronic information in connection with our business activities. As use of digital technologies has increased, cyber incidents, including third parties gaining access to employee accounts using stolen or inferred credentials, computer malware, viruses, spamming, phishing attacks or other means, and deliberate attacks and attempts to gain unauthorized access to computer systems and networks, have increased in frequency and sophistication. Attacks upon information technology systems are also increasing in their levels of persistence and intensity, and are being conducted by sophisticated and organized groups and individuals with a wide range of motives and expertise. As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w:t>
      </w:r>
    </w:p>
    <w:p>
      <w:pPr>
        <w:spacing w:after="0" w:line="63"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While we do not believe that we have experienced any such system failure, accident or security breach to date, if such an event were to occur and cause interruptions in our operations, it could result in a material disruption of our drug development programs. These threats pose a risk to the security of our, our collaborators’, our CROs’, third-party logistics providers’, distributors’ and other contractors’ and consultants’ systems and networks, and the confidentiality, availability and integrity of our data. There can be no assurance that we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and could have a material adverse effect on our business and prospects. For example, the loss of clinical trial data from completed, ongoing or planned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spacing w:after="0" w:line="76" w:lineRule="exact"/>
        <w:rPr>
          <w:sz w:val="20"/>
          <w:szCs w:val="20"/>
          <w:color w:val="auto"/>
        </w:rPr>
      </w:pPr>
    </w:p>
    <w:p>
      <w:pPr>
        <w:jc w:val="both"/>
        <w:ind w:right="300"/>
        <w:spacing w:after="0" w:line="283" w:lineRule="auto"/>
        <w:rPr>
          <w:sz w:val="20"/>
          <w:szCs w:val="20"/>
          <w:color w:val="auto"/>
        </w:rPr>
      </w:pPr>
      <w:r>
        <w:rPr>
          <w:rFonts w:ascii="Arial" w:cs="Arial" w:eastAsia="Arial" w:hAnsi="Arial"/>
          <w:sz w:val="17"/>
          <w:szCs w:val="17"/>
          <w:b w:val="1"/>
          <w:bCs w:val="1"/>
          <w:i w:val="1"/>
          <w:iCs w:val="1"/>
          <w:color w:val="auto"/>
        </w:rPr>
        <w:t>We rely on a set of cloud-based software services and access these services via the Internet for the vast majority of our computing, storage, bandwidth and other services. Any disruption of or interference with our use of our cloud-based services would negatively affect our operations and could seriously harm our business.</w:t>
      </w:r>
    </w:p>
    <w:p>
      <w:pPr>
        <w:spacing w:after="0" w:line="43"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We use several distributed computing infrastructure platforms for business operations, or what is commonly referred to as “cloud” computing services and we access these services via the Internet. Any transition of the cloud services currently provided by an existing vendor to another cloud provider would be difficult to implement and will cause us to incur significant time and expense. Given this, any significant disruption of or interference with our use of these cloud computing services would negatively impact our operations and our business would be seriously harmed. If our employees or partners are not able to access our cloud computing services or encounter difficulties in doing so, we may experience business disruption. The level of service provided by our cloud computing vendors, including the ability to secure our confidential information and the confidential information of third parties that is shared with us, may also impact the perception of our company and could seriously harm our business and reputation and create liability for us. If a cloud computing service that we use experiences interruptions in service regularly or for a prolonged basis, or other similar issues, our business could be seriously harmed.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a cloud computing service may take actions beyond our control that could seriously harm our business, including:</w:t>
      </w:r>
    </w:p>
    <w:p>
      <w:pPr>
        <w:spacing w:after="0" w:line="119" w:lineRule="exact"/>
        <w:rPr>
          <w:sz w:val="20"/>
          <w:szCs w:val="20"/>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discontinuing or limiting our access to its platform;</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increasing pricing terms;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terminating or seeking to terminate our contractual relationship altogether; or</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modifying or interpreting its terms of service or other policies in a manner that impacts our ability to run our business and operations.</w:t>
      </w:r>
    </w:p>
    <w:p>
      <w:pPr>
        <w:spacing w:after="0" w:line="119" w:lineRule="exact"/>
        <w:rPr>
          <w:sz w:val="20"/>
          <w:szCs w:val="20"/>
          <w:color w:val="auto"/>
        </w:rPr>
      </w:pPr>
    </w:p>
    <w:p>
      <w:pPr>
        <w:ind w:right="60" w:firstLine="433"/>
        <w:spacing w:after="0" w:line="278" w:lineRule="auto"/>
        <w:rPr>
          <w:sz w:val="20"/>
          <w:szCs w:val="20"/>
          <w:color w:val="auto"/>
        </w:rPr>
      </w:pPr>
      <w:r>
        <w:rPr>
          <w:rFonts w:ascii="Arial" w:cs="Arial" w:eastAsia="Arial" w:hAnsi="Arial"/>
          <w:sz w:val="17"/>
          <w:szCs w:val="17"/>
          <w:color w:val="auto"/>
        </w:rPr>
        <w:t>Our cloud computing services have broad discretion to change and interpret its terms of service and other policies with respect to us, and those actions may be unfavorable to us. Our cloud computing services may also alter how we are able to process data on the platform. If a cloud computing services makes changes or interpretations that are unfavorable to us, our business could be seriously harmed.</w:t>
      </w:r>
    </w:p>
    <w:p>
      <w:pPr>
        <w:spacing w:after="0" w:line="55" w:lineRule="exact"/>
        <w:rPr>
          <w:sz w:val="20"/>
          <w:szCs w:val="20"/>
          <w:color w:val="auto"/>
        </w:rPr>
      </w:pPr>
    </w:p>
    <w:p>
      <w:pPr>
        <w:ind w:right="20" w:firstLine="433"/>
        <w:spacing w:after="0" w:line="278" w:lineRule="auto"/>
        <w:rPr>
          <w:sz w:val="20"/>
          <w:szCs w:val="20"/>
          <w:color w:val="auto"/>
        </w:rPr>
      </w:pPr>
      <w:r>
        <w:rPr>
          <w:rFonts w:ascii="Arial" w:cs="Arial" w:eastAsia="Arial" w:hAnsi="Arial"/>
          <w:sz w:val="17"/>
          <w:szCs w:val="17"/>
          <w:color w:val="auto"/>
        </w:rPr>
        <w:t>Our efforts to protect the information shared with us may be unsuccessful due to the actions of third parties, software bugs or other technical malfunctions, employee error or malfeasance or other factors. In addition, third parties may attempt to fraudulently induce employees or users to disclose information to gain access to our data or</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third-party data entrusted to us. If any of these events occur, our or third-party information could be accessed or disclosed improperly. Some partners or collaborators may store information that we share with them on their own computing system. If these third parties fail to implement adequate data-security practices or fail to comply with our policies, our data may be improperly accessed or disclosed. And even if these third parties take all of these steps, their networks may still suffer a breach, which could compromise our data.</w:t>
      </w:r>
    </w:p>
    <w:p>
      <w:pPr>
        <w:spacing w:after="0" w:line="61" w:lineRule="exact"/>
        <w:rPr>
          <w:sz w:val="20"/>
          <w:szCs w:val="20"/>
          <w:color w:val="auto"/>
        </w:rPr>
      </w:pPr>
    </w:p>
    <w:p>
      <w:pPr>
        <w:ind w:right="160" w:firstLine="433"/>
        <w:spacing w:after="0" w:line="266" w:lineRule="auto"/>
        <w:rPr>
          <w:sz w:val="20"/>
          <w:szCs w:val="20"/>
          <w:color w:val="auto"/>
        </w:rPr>
      </w:pPr>
      <w:r>
        <w:rPr>
          <w:rFonts w:ascii="Arial" w:cs="Arial" w:eastAsia="Arial" w:hAnsi="Arial"/>
          <w:sz w:val="17"/>
          <w:szCs w:val="17"/>
          <w:color w:val="auto"/>
        </w:rPr>
        <w:t>Any incidents where our information is accessed without authorization, or is improperly used, or incidents that violate our policies, could damage our reputation and our brand and diminish our competitive position. In addition, affected parties or government authorities could initiate legal or regulatory action against us over those incidents, which could cause us to incur significant expense and liability or result in orders or consent decrees forcing us to modify our business practices. Concerns over our privacy practices, whether actual or unfounded, could damage our reputation and brand and deter users, advertisers and partners from using our products and services. Any of these occurrences could seriously harm our business.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Tax Laws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Legislation or other changes in U.S. tax law could adversely affect our business and financial condition.</w:t>
      </w:r>
    </w:p>
    <w:p>
      <w:pPr>
        <w:spacing w:after="0" w:line="11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The legislation, regulations and rules regarding U.S. federal, state and local income taxation are constantly under review by persons involved in the legislative process and by the Internal Revenue Service and the U.S. Treasury Department and by state and local tax agencies. Changes to tax laws (which changes may have retroactive application) could adversely affect us or holders of our common stock. In recent years, many changes have been made to applicable tax laws and changes are likely to continue to occur in the future. In particular, the U.S. federal government may enact significant changes to the taxation of business entities including, among others, an increase in the corporate income tax rate and the imposition of minimum taxes or surtaxes on certain types of income.</w:t>
      </w:r>
    </w:p>
    <w:p>
      <w:pPr>
        <w:spacing w:after="0" w:line="64"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It cannot be predicted whether, when, in what form or with what effective dates any changes in tax laws, regulations or rules, promulgated or issued under existing or new tax laws, which could result in an increase in our or our shareholders’ tax liability or require changes in the manner in which we operate in order to minimize or mitigate any adverse effects of changes in tax law or in the interpretation thereof. If any such changes are enacted or implemented, we care currently unable to predict the ultimate impact on our business or holders of our common stock.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U.S. federal and state net operating loss carryforwards and certain other tax attributes may be limited.</w:t>
      </w:r>
    </w:p>
    <w:p>
      <w:pPr>
        <w:spacing w:after="0" w:line="119" w:lineRule="exact"/>
        <w:rPr>
          <w:sz w:val="20"/>
          <w:szCs w:val="20"/>
          <w:color w:val="auto"/>
        </w:rPr>
      </w:pPr>
    </w:p>
    <w:p>
      <w:pPr>
        <w:ind w:right="60" w:firstLine="433"/>
        <w:spacing w:after="0" w:line="278" w:lineRule="auto"/>
        <w:rPr>
          <w:sz w:val="20"/>
          <w:szCs w:val="20"/>
          <w:color w:val="auto"/>
        </w:rPr>
      </w:pPr>
      <w:r>
        <w:rPr>
          <w:rFonts w:ascii="Arial" w:cs="Arial" w:eastAsia="Arial" w:hAnsi="Arial"/>
          <w:sz w:val="17"/>
          <w:szCs w:val="17"/>
          <w:color w:val="auto"/>
        </w:rPr>
        <w:t>Our ability to use our U.S. federal and state net operating losses and tax credits is dependent upon our generation of future taxable income and income tax liabilities, and we cannot predict with certainty when, or whether, we will generate sufficient taxable income or income tax liabilities to use any or all of our net operating losses or tax credits.</w:t>
      </w:r>
    </w:p>
    <w:p>
      <w:pPr>
        <w:spacing w:after="0" w:line="55"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Our unused U.S. federal net operating losses generated in tax years beginning before January 1, 2018, and unused state net operating losses subject to expiration, will carry forward to offset future taxable income, if any, until such unused net operating losses expire. Our unused U.S. federal net operating losses generated in tax years beginning after December 31, 2017 will not expire and may be carried forward indefinitely, although, for taxable years beginning after December 31, 2020, the deductibility of such U.S. federal net operating losses is limited to 80% of our taxable income in such taxable year.</w:t>
      </w:r>
    </w:p>
    <w:p>
      <w:pPr>
        <w:spacing w:after="0" w:line="63" w:lineRule="exact"/>
        <w:rPr>
          <w:sz w:val="20"/>
          <w:szCs w:val="20"/>
          <w:color w:val="auto"/>
        </w:rPr>
      </w:pPr>
    </w:p>
    <w:p>
      <w:pPr>
        <w:ind w:right="140" w:firstLine="433"/>
        <w:spacing w:after="0" w:line="278" w:lineRule="auto"/>
        <w:rPr>
          <w:sz w:val="20"/>
          <w:szCs w:val="20"/>
          <w:color w:val="auto"/>
        </w:rPr>
      </w:pPr>
      <w:r>
        <w:rPr>
          <w:rFonts w:ascii="Arial" w:cs="Arial" w:eastAsia="Arial" w:hAnsi="Arial"/>
          <w:sz w:val="17"/>
          <w:szCs w:val="17"/>
          <w:color w:val="auto"/>
        </w:rPr>
        <w:t>In addition, both our current and future net operating losses and tax credits may be subject to limitation under Sections 382 and 383 of the Internal Revenue Code of 1986, as amended, or the Code, if we undergo an “ownership change,” generally defined as a greater than 50 percentage point change (by value) in its equity ownership by certain stockholders or groups of stockholders over a rolling three-year period.</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Investment in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stock has been and may in the future be volatile, and you could lose all or part of your investment.</w:t>
      </w:r>
    </w:p>
    <w:p>
      <w:pPr>
        <w:spacing w:after="0" w:line="119" w:lineRule="exact"/>
        <w:rPr>
          <w:sz w:val="20"/>
          <w:szCs w:val="20"/>
          <w:color w:val="auto"/>
        </w:rPr>
      </w:pPr>
    </w:p>
    <w:p>
      <w:pPr>
        <w:ind w:right="220" w:firstLine="433"/>
        <w:spacing w:after="0" w:line="278" w:lineRule="auto"/>
        <w:rPr>
          <w:sz w:val="20"/>
          <w:szCs w:val="20"/>
          <w:color w:val="auto"/>
        </w:rPr>
      </w:pPr>
      <w:r>
        <w:rPr>
          <w:rFonts w:ascii="Arial" w:cs="Arial" w:eastAsia="Arial" w:hAnsi="Arial"/>
          <w:sz w:val="17"/>
          <w:szCs w:val="17"/>
          <w:color w:val="auto"/>
        </w:rPr>
        <w:t>The trading price of our common stock has been and is likely to continue to be highly volatile and has been subject to wide fluctuations in response to various factors, some of which are beyond our control, including limited trading volume. For example, the trading price of our common stock experienced a significant decline after our June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2022 announcement of the Phase 2/3 Aria Study results. In addition to the factors discussed in this “Risk Factors” section, factors that may affect the trading price of our common stock include:</w:t>
      </w:r>
    </w:p>
    <w:p>
      <w:pPr>
        <w:spacing w:after="0" w:line="36" w:lineRule="exact"/>
        <w:rPr>
          <w:sz w:val="20"/>
          <w:szCs w:val="20"/>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commencement, enrollment, completion or results of our current clinical trials of our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delay in identifying and advancing a clinical candidate for our other programs;</w:t>
      </w:r>
    </w:p>
    <w:p>
      <w:pPr>
        <w:spacing w:after="0" w:line="119" w:lineRule="exact"/>
        <w:rPr>
          <w:rFonts w:ascii="Arial" w:cs="Arial" w:eastAsia="Arial" w:hAnsi="Arial"/>
          <w:sz w:val="17"/>
          <w:szCs w:val="17"/>
          <w:color w:val="auto"/>
        </w:rPr>
      </w:pPr>
    </w:p>
    <w:p>
      <w:pPr>
        <w:jc w:val="both"/>
        <w:ind w:left="640" w:hanging="320"/>
        <w:spacing w:after="0" w:line="278" w:lineRule="auto"/>
        <w:tabs>
          <w:tab w:leader="none" w:pos="6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adverse results or delays, suspensions or terminations in future preclinical studies or clinical trials;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decision to initiate a clinical trial, not to initiate a clinical trial or to terminate an existing clinical trial;</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adverse regulatory decisions, including failure to receive regulatory approval of any of our product candidates or the failure of a regulatory authority to accept data from preclinical studies or clinical trials conducted in other countries;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product candidates, including but not limited to clinical trial requirements for approvals;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adverse developments concerning our manufacturers;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inability to obtain adequate product supply for any approved product or inability to do so at acceptable prices;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inability to establish collaborations, if needed;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failure to commercialize our product candidates, if approved;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additions or departures of key scientific or management personnel;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unanticipated serious safety concerns related to the use of our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introduction of new products or services offered by us or our competitors;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effectively manage our growth;</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actual or anticipated variations in quarterly operating results;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cash position;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failure to meet the estimates and projections of the investment community or that we may otherwise provide to the public;</w:t>
      </w:r>
    </w:p>
    <w:p>
      <w:pPr>
        <w:spacing w:after="0" w:line="119" w:lineRule="exact"/>
        <w:rPr>
          <w:rFonts w:ascii="Arial" w:cs="Arial" w:eastAsia="Arial" w:hAnsi="Arial"/>
          <w:sz w:val="17"/>
          <w:szCs w:val="17"/>
          <w:color w:val="auto"/>
        </w:rPr>
      </w:pPr>
    </w:p>
    <w:p>
      <w:pPr>
        <w:ind w:left="640" w:right="220" w:hanging="320"/>
        <w:spacing w:after="0" w:line="300" w:lineRule="auto"/>
        <w:tabs>
          <w:tab w:leader="none" w:pos="6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publication of research reports about us or our industry, or product candidates in particular, or positive or negative recommendations or withdrawal of research coverage by securities analysts;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the market valuations of similar companies;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the structure of the healthcare payment systems;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overall performance of the equity markets;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 in the future;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accounting practices;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ineffectiveness of our internal controls;</w:t>
      </w:r>
    </w:p>
    <w:p>
      <w:pPr>
        <w:spacing w:after="0" w:line="119" w:lineRule="exact"/>
        <w:rPr>
          <w:rFonts w:ascii="Arial" w:cs="Arial" w:eastAsia="Arial" w:hAnsi="Arial"/>
          <w:sz w:val="17"/>
          <w:szCs w:val="17"/>
          <w:color w:val="auto"/>
        </w:rPr>
      </w:pPr>
    </w:p>
    <w:p>
      <w:pPr>
        <w:ind w:left="640" w:right="20" w:hanging="320"/>
        <w:spacing w:after="0" w:line="300" w:lineRule="auto"/>
        <w:tabs>
          <w:tab w:leader="none" w:pos="6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significant lawsuits, including patent or stockholder litigation;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general political and economic conditions;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other events or factors, many of which are beyond our control.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the COVID-19 pandemic and general economic conditions. Broad market and industry factors have negatively affected and may continue to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64" w:lineRule="exact"/>
        <w:rPr>
          <w:sz w:val="20"/>
          <w:szCs w:val="20"/>
          <w:color w:val="auto"/>
        </w:rPr>
      </w:pPr>
    </w:p>
    <w:p>
      <w:pPr>
        <w:ind w:right="120"/>
        <w:spacing w:after="0" w:line="310"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20" w:lineRule="exact"/>
        <w:rPr>
          <w:sz w:val="20"/>
          <w:szCs w:val="20"/>
          <w:color w:val="auto"/>
        </w:rPr>
      </w:pPr>
    </w:p>
    <w:p>
      <w:pPr>
        <w:ind w:right="160" w:firstLine="433"/>
        <w:spacing w:after="0" w:line="266"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We may never obtain research coverage by industry or financial analysts. If no securities or industry analysts commence coverage of our company, the trading price for our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119" w:lineRule="exact"/>
        <w:rPr>
          <w:sz w:val="20"/>
          <w:szCs w:val="20"/>
          <w:color w:val="auto"/>
        </w:rPr>
      </w:pPr>
    </w:p>
    <w:p>
      <w:pPr>
        <w:ind w:right="220" w:firstLine="433"/>
        <w:spacing w:after="0" w:line="271"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61" w:lineRule="exact"/>
        <w:rPr>
          <w:sz w:val="20"/>
          <w:szCs w:val="20"/>
          <w:color w:val="auto"/>
        </w:rPr>
      </w:pPr>
    </w:p>
    <w:p>
      <w:pPr>
        <w:ind w:right="780"/>
        <w:spacing w:after="0" w:line="310"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stock incentive plans or otherwise will dilute all other stockholders.</w:t>
      </w:r>
    </w:p>
    <w:p>
      <w:pPr>
        <w:spacing w:after="0" w:line="20"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r>
        <w:rPr>
          <w:rFonts w:ascii="Arial" w:cs="Arial" w:eastAsia="Arial" w:hAnsi="Arial"/>
          <w:sz w:val="17"/>
          <w:szCs w:val="17"/>
          <w:i w:val="1"/>
          <w:iCs w:val="1"/>
          <w:color w:val="auto"/>
        </w:rPr>
        <w:t>.</w:t>
      </w:r>
    </w:p>
    <w:p>
      <w:pPr>
        <w:spacing w:after="0" w:line="63" w:lineRule="exact"/>
        <w:rPr>
          <w:sz w:val="20"/>
          <w:szCs w:val="20"/>
          <w:color w:val="auto"/>
        </w:rPr>
      </w:pPr>
    </w:p>
    <w:p>
      <w:pPr>
        <w:ind w:right="220"/>
        <w:spacing w:after="0" w:line="310" w:lineRule="auto"/>
        <w:rPr>
          <w:sz w:val="20"/>
          <w:szCs w:val="20"/>
          <w:color w:val="auto"/>
        </w:rPr>
      </w:pPr>
      <w:r>
        <w:rPr>
          <w:rFonts w:ascii="Arial" w:cs="Arial" w:eastAsia="Arial" w:hAnsi="Arial"/>
          <w:sz w:val="17"/>
          <w:szCs w:val="17"/>
          <w:b w:val="1"/>
          <w:bCs w:val="1"/>
          <w:i w:val="1"/>
          <w:iCs w:val="1"/>
          <w:color w:val="auto"/>
        </w:rPr>
        <w:t>Our executive officers, directors and their affiliates and our principal stockholders own a significant percentage of our stock and will be able to exert significant influence over matters subject to stockholder approval.</w:t>
      </w:r>
    </w:p>
    <w:p>
      <w:pPr>
        <w:spacing w:after="0" w:line="20"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Based on shares outstanding as of December 31, 2022, our executive officers, directors and their affiliates and our principal stockholders beneficially hold, in the aggregate, approximately 49.2% of our outstanding voting stock. These stockholders, acting together, would be able to exert significant influence over all matters requiring stockholder approval. The concentration of voting power among these stockholders may have an adverse effect on the price of our common stock. This concentration of ownership control may adversely affect the market price of our common stock by:</w:t>
      </w:r>
    </w:p>
    <w:p>
      <w:pPr>
        <w:spacing w:after="0" w:line="63" w:lineRule="exact"/>
        <w:rPr>
          <w:sz w:val="20"/>
          <w:szCs w:val="20"/>
          <w:color w:val="auto"/>
        </w:rPr>
      </w:pPr>
    </w:p>
    <w:p>
      <w:pPr>
        <w:ind w:left="620" w:hanging="300"/>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delaying, deferring or preventing a change in control;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entrenching our management and the board of directors;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impeding a merger, consolidation, takeover or other business combination involving us that other stockholders may desire; and/or</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Our Controls and Reporting Requirements</w:t>
      </w:r>
    </w:p>
    <w:p>
      <w:pPr>
        <w:spacing w:after="0" w:line="119" w:lineRule="exact"/>
        <w:rPr>
          <w:sz w:val="20"/>
          <w:szCs w:val="20"/>
          <w:color w:val="auto"/>
        </w:rPr>
      </w:pPr>
    </w:p>
    <w:p>
      <w:pPr>
        <w:ind w:right="700"/>
        <w:spacing w:after="0" w:line="310" w:lineRule="auto"/>
        <w:rPr>
          <w:sz w:val="20"/>
          <w:szCs w:val="20"/>
          <w:color w:val="auto"/>
        </w:rPr>
      </w:pPr>
      <w:r>
        <w:rPr>
          <w:rFonts w:ascii="Arial" w:cs="Arial" w:eastAsia="Arial" w:hAnsi="Arial"/>
          <w:sz w:val="17"/>
          <w:szCs w:val="17"/>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or the Dodd- 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69" w:lineRule="exact"/>
        <w:rPr>
          <w:sz w:val="20"/>
          <w:szCs w:val="20"/>
          <w:color w:val="auto"/>
        </w:rPr>
      </w:pPr>
    </w:p>
    <w:p>
      <w:pPr>
        <w:ind w:right="120" w:firstLine="433"/>
        <w:spacing w:after="0" w:line="263" w:lineRule="auto"/>
        <w:rPr>
          <w:sz w:val="20"/>
          <w:szCs w:val="20"/>
          <w:color w:val="auto"/>
        </w:rPr>
      </w:pPr>
      <w:r>
        <w:rPr>
          <w:rFonts w:ascii="Arial" w:cs="Arial" w:eastAsia="Arial" w:hAnsi="Arial"/>
          <w:sz w:val="17"/>
          <w:szCs w:val="17"/>
          <w:color w:val="auto"/>
        </w:rPr>
        <w:t>The rules and regulations applicable to public companies substantially increase our legal and financial compliance costs and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0" w:lineRule="exact"/>
        <w:rPr>
          <w:sz w:val="20"/>
          <w:szCs w:val="20"/>
          <w:color w:val="auto"/>
        </w:rPr>
      </w:pPr>
    </w:p>
    <w:p>
      <w:pPr>
        <w:ind w:right="260"/>
        <w:spacing w:after="0" w:line="310" w:lineRule="auto"/>
        <w:rPr>
          <w:sz w:val="20"/>
          <w:szCs w:val="20"/>
          <w:color w:val="auto"/>
        </w:rPr>
      </w:pPr>
      <w:r>
        <w:rPr>
          <w:rFonts w:ascii="Arial" w:cs="Arial" w:eastAsia="Arial" w:hAnsi="Arial"/>
          <w:sz w:val="17"/>
          <w:szCs w:val="17"/>
          <w:b w:val="1"/>
          <w:bCs w:val="1"/>
          <w:i w:val="1"/>
          <w:iCs w:val="1"/>
          <w:color w:val="auto"/>
        </w:rPr>
        <w:t>We are a smaller reporting company, and we cannot be certain if the reduced reporting requirements applicable to smaller reporting companies will make our common stock less attractive to investors.</w:t>
      </w:r>
    </w:p>
    <w:p>
      <w:pPr>
        <w:spacing w:after="0" w:line="20"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We are a smaller reporting company as defined under SEC rules. As a smaller reporting company, we are able to take advantage of certain exemptions from disclosure requirements, including reduced disclosure obligations regarding executive compensation in our periodic reports and proxy statements and providing only two years of audited financial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63" w:lineRule="exact"/>
        <w:rPr>
          <w:sz w:val="20"/>
          <w:szCs w:val="20"/>
          <w:color w:val="auto"/>
        </w:rPr>
      </w:pPr>
    </w:p>
    <w:p>
      <w:pPr>
        <w:ind w:right="320"/>
        <w:spacing w:after="0" w:line="283"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43"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68"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19"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over the use of our cash and cash equivalents and may not use them effectively.</w:t>
      </w:r>
    </w:p>
    <w:p>
      <w:pPr>
        <w:spacing w:after="0" w:line="119"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Our management has broad discretion to use our cash and cash equivalents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our use to fund operations, we may invest our cash and cash equivalents in a manner that does not produce income or that loses value.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Charter and Bylaws</w:t>
      </w:r>
    </w:p>
    <w:p>
      <w:pPr>
        <w:spacing w:after="0" w:line="119"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3" w:lineRule="exact"/>
        <w:rPr>
          <w:sz w:val="20"/>
          <w:szCs w:val="20"/>
          <w:color w:val="auto"/>
        </w:rPr>
      </w:pPr>
    </w:p>
    <w:p>
      <w:pPr>
        <w:jc w:val="both"/>
        <w:ind w:right="140" w:firstLine="433"/>
        <w:spacing w:after="0" w:line="278"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5" w:lineRule="exact"/>
        <w:rPr>
          <w:sz w:val="20"/>
          <w:szCs w:val="20"/>
          <w:color w:val="auto"/>
        </w:rPr>
      </w:pPr>
    </w:p>
    <w:p>
      <w:pPr>
        <w:ind w:left="640" w:right="80" w:hanging="320"/>
        <w:spacing w:after="0" w:line="300"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35" w:lineRule="exact"/>
        <w:rPr>
          <w:rFonts w:ascii="Arial" w:cs="Arial" w:eastAsia="Arial" w:hAnsi="Arial"/>
          <w:sz w:val="17"/>
          <w:szCs w:val="17"/>
          <w:color w:val="auto"/>
        </w:rPr>
      </w:pPr>
    </w:p>
    <w:p>
      <w:pPr>
        <w:ind w:left="640" w:right="520" w:hanging="320"/>
        <w:spacing w:after="0" w:line="300"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35" w:lineRule="exact"/>
        <w:rPr>
          <w:rFonts w:ascii="Arial" w:cs="Arial" w:eastAsia="Arial" w:hAnsi="Arial"/>
          <w:sz w:val="17"/>
          <w:szCs w:val="17"/>
          <w:color w:val="auto"/>
        </w:rPr>
      </w:pPr>
    </w:p>
    <w:p>
      <w:pPr>
        <w:ind w:left="640" w:right="140" w:hanging="320"/>
        <w:spacing w:after="0" w:line="300"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19" w:lineRule="exact"/>
        <w:rPr>
          <w:rFonts w:ascii="Arial" w:cs="Arial" w:eastAsia="Arial" w:hAnsi="Arial"/>
          <w:sz w:val="17"/>
          <w:szCs w:val="17"/>
          <w:color w:val="auto"/>
        </w:rPr>
      </w:pPr>
    </w:p>
    <w:p>
      <w:pPr>
        <w:ind w:left="640" w:hanging="320"/>
        <w:spacing w:after="0" w:line="278"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55" w:lineRule="exact"/>
        <w:rPr>
          <w:rFonts w:ascii="Arial" w:cs="Arial" w:eastAsia="Arial" w:hAnsi="Arial"/>
          <w:sz w:val="17"/>
          <w:szCs w:val="17"/>
          <w:color w:val="auto"/>
        </w:rPr>
      </w:pPr>
    </w:p>
    <w:p>
      <w:pPr>
        <w:ind w:left="640" w:right="280" w:hanging="320"/>
        <w:spacing w:after="0" w:line="300"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35" w:lineRule="exact"/>
        <w:rPr>
          <w:rFonts w:ascii="Arial" w:cs="Arial" w:eastAsia="Arial" w:hAnsi="Arial"/>
          <w:sz w:val="17"/>
          <w:szCs w:val="17"/>
          <w:color w:val="auto"/>
        </w:rPr>
      </w:pPr>
    </w:p>
    <w:p>
      <w:pPr>
        <w:ind w:left="640" w:right="400" w:hanging="320"/>
        <w:spacing w:after="0" w:line="300"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authority of the board of directors to issue convertible preferred stock on terms determined by the board of directors without stockholder approval and which convertible preferred stock may include rights superior to the rights of the holders of common stock.</w:t>
      </w:r>
    </w:p>
    <w:p>
      <w:pPr>
        <w:spacing w:after="0" w:line="36"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General Corporation Law of the State of Delaware,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0"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b w:val="1"/>
          <w:bCs w:val="1"/>
          <w:i w:val="1"/>
          <w:iCs w:val="1"/>
          <w:color w:val="auto"/>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3" w:lineRule="exact"/>
        <w:rPr>
          <w:sz w:val="20"/>
          <w:szCs w:val="20"/>
          <w:color w:val="auto"/>
        </w:rPr>
      </w:pPr>
    </w:p>
    <w:p>
      <w:pPr>
        <w:ind w:right="140" w:firstLine="433"/>
        <w:spacing w:after="0" w:line="300" w:lineRule="auto"/>
        <w:rPr>
          <w:sz w:val="20"/>
          <w:szCs w:val="20"/>
          <w:color w:val="auto"/>
        </w:rPr>
      </w:pPr>
      <w:r>
        <w:rPr>
          <w:rFonts w:ascii="Arial" w:cs="Arial" w:eastAsia="Arial" w:hAnsi="Arial"/>
          <w:sz w:val="17"/>
          <w:szCs w:val="17"/>
          <w:color w:val="auto"/>
        </w:rPr>
        <w:t>Our amended and restated bylaws provide that, unless we consent in writing to an alternative forum, the Court of Chancery of the State of Delaware will be the sole and exclusive forum for any state law claims for (i) any</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derivative action or proceeding brought on our behalf, (ii) any action asserting a claim of breach of fiduciary duty owed by any of our directors, officers and employees to us or our stockholders, (iii) any action asserting a claim arising pursuant to any provision of the DGCL, our amended and restated certificate of incorporation or our bylaws (in each case, as they may be amended from time to time) or (iv) any action asserting a claim that is governed by the internal affairs doctrine, in each case subject to the Court of Chancery having personal jurisdiction over the indispensable parties named as defendants therein; provided, however, that this exclusive forum provision will not apply to any causes of action arising under the Securities Act or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bylaws also specify that unless we consent in writing to the selection of an alternate forum, the federal district courts of the United States shall be the exclusive forum for the resolution of any complaint asserting a cause of action arising under the Securities Act. Any person or entity purchasing or otherwise acquiring any interest in shares of our common stock is deemed to have notice of and consented to the foregoing provisions. We recognize that the forum selection clause in our bylaws may impose additional litigation costs on stockholders in pursuing any such claims. Additionally, the forum selection clause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enforceability of similar choice of forum provisions in other companies’ governing documents has been challenged in legal proceedings, and it is possible that, in connection with any applicable action brought against us, a court could find the choice of forum provisions contained in our bylaws to be inapplicable or unenforceable in such action. If a court were to find the choice of forum provision contained in our bylaws to be inapplicable or unenforceable in an action, we may incur additional costs associated with resolving such action in other jurisdictions, which could adversely affect our business, financial condition, or results of operations.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82"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7"/>
          <w:szCs w:val="17"/>
          <w:color w:val="auto"/>
        </w:rPr>
        <w:t>We sublease a facility containing 25,445 square feet of office space, which is located at 99 High Street, Boston, Massachusetts 02110. Our sublease expires on January 31, 2026. We believe that our current facility is sufficient to meet our current and near-term needs and that, should it be needed, suitable additional space will be available.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21" w:lineRule="exact"/>
        <w:rPr>
          <w:sz w:val="20"/>
          <w:szCs w:val="20"/>
          <w:color w:val="auto"/>
        </w:rPr>
      </w:pPr>
    </w:p>
    <w:p>
      <w:pPr>
        <w:ind w:right="240" w:firstLine="433"/>
        <w:spacing w:after="0" w:line="275" w:lineRule="auto"/>
        <w:rPr>
          <w:sz w:val="20"/>
          <w:szCs w:val="20"/>
          <w:color w:val="auto"/>
        </w:rPr>
      </w:pPr>
      <w:r>
        <w:rPr>
          <w:rFonts w:ascii="Arial" w:cs="Arial" w:eastAsia="Arial" w:hAnsi="Arial"/>
          <w:sz w:val="17"/>
          <w:szCs w:val="17"/>
          <w:color w:val="auto"/>
        </w:rPr>
        <w:t>We are not currently a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PART II</w:t>
      </w:r>
    </w:p>
    <w:p>
      <w:pPr>
        <w:spacing w:after="0" w:line="329" w:lineRule="exact"/>
        <w:rPr>
          <w:sz w:val="20"/>
          <w:szCs w:val="20"/>
          <w:color w:val="auto"/>
        </w:rPr>
      </w:pPr>
    </w:p>
    <w:p>
      <w:pPr>
        <w:ind w:right="1220"/>
        <w:spacing w:after="0" w:line="452" w:lineRule="auto"/>
        <w:rPr>
          <w:sz w:val="20"/>
          <w:szCs w:val="20"/>
          <w:color w:val="auto"/>
        </w:rPr>
      </w:pPr>
      <w:r>
        <w:rPr>
          <w:rFonts w:ascii="Arial" w:cs="Arial" w:eastAsia="Arial" w:hAnsi="Arial"/>
          <w:sz w:val="17"/>
          <w:szCs w:val="17"/>
          <w:b w:val="1"/>
          <w:bCs w:val="1"/>
          <w:color w:val="auto"/>
        </w:rPr>
        <w:t xml:space="preserve">Item 5. Market for Registrant's Common Equity, Related Stockholder Matters and Issuer Purchases of Equity Securities </w:t>
      </w:r>
      <w:r>
        <w:rPr>
          <w:rFonts w:ascii="Arial" w:cs="Arial" w:eastAsia="Arial" w:hAnsi="Arial"/>
          <w:sz w:val="17"/>
          <w:szCs w:val="17"/>
          <w:b w:val="1"/>
          <w:bCs w:val="1"/>
          <w:i w:val="1"/>
          <w:iCs w:val="1"/>
          <w:color w:val="auto"/>
        </w:rPr>
        <w:t>Certain Information Regarding the Trading of Our Common Stock</w:t>
      </w:r>
    </w:p>
    <w:p>
      <w:pPr>
        <w:ind w:left="440"/>
        <w:spacing w:after="0"/>
        <w:rPr>
          <w:sz w:val="20"/>
          <w:szCs w:val="20"/>
          <w:color w:val="auto"/>
        </w:rPr>
      </w:pPr>
      <w:r>
        <w:rPr>
          <w:rFonts w:ascii="Arial" w:cs="Arial" w:eastAsia="Arial" w:hAnsi="Arial"/>
          <w:sz w:val="17"/>
          <w:szCs w:val="17"/>
          <w:color w:val="auto"/>
        </w:rPr>
        <w:t>Our common stock trades under the symbol “PRAX” on the Nasdaq Global Select Market.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Our Common Stock</w:t>
      </w:r>
    </w:p>
    <w:p>
      <w:pPr>
        <w:spacing w:after="0" w:line="119"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As of February 3, 2023, there were approximately three holders of record of shares of our common stock. The actual number of stockholders is greater than this number of record holders, and includes stockholders who are beneficial owners, but whose shares are held in street name by brokers and other nominees.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Policy</w:t>
      </w:r>
    </w:p>
    <w:p>
      <w:pPr>
        <w:spacing w:after="0" w:line="119"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to fund the development and expansion of our business, and therefore we do not anticipate paying cash dividends on our common stock in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Securities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did not make any sales of unregistered securities during the three months ended December 31, 2022.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 from Initial Public Offering</w:t>
      </w:r>
    </w:p>
    <w:p>
      <w:pPr>
        <w:spacing w:after="0" w:line="119" w:lineRule="exact"/>
        <w:rPr>
          <w:sz w:val="20"/>
          <w:szCs w:val="20"/>
          <w:color w:val="auto"/>
        </w:rPr>
      </w:pPr>
    </w:p>
    <w:p>
      <w:pPr>
        <w:ind w:right="100" w:firstLine="393"/>
        <w:spacing w:after="0" w:line="271" w:lineRule="auto"/>
        <w:rPr>
          <w:sz w:val="20"/>
          <w:szCs w:val="20"/>
          <w:color w:val="auto"/>
        </w:rPr>
      </w:pPr>
      <w:r>
        <w:rPr>
          <w:rFonts w:ascii="Arial" w:cs="Arial" w:eastAsia="Arial" w:hAnsi="Arial"/>
          <w:sz w:val="17"/>
          <w:szCs w:val="17"/>
          <w:color w:val="auto"/>
        </w:rPr>
        <w:t>In October 2020, we completed the initial public offering of our common stock, or IPO, pursuant to which we issued and sold 11,500,000 shares of our common stock at a price to the public of $19.00 per share. All of the shares issued and sold in the IPO were registered under the Securities Act pursuant to a Registration Statement on Form S-1 (File No. 333-249074), which was declared effective by the Securities and Exchange Commission on October 15, 2020. As of December 31, 2022, we had used all of the net proceeds from the IPO.</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were no repurchases of shares of common stock made during the three months ended December 31, 2022.</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Reserved.</w:t>
      </w: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16"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financing needs,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As noted in our Company Overview in Part I of this report, we are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56" w:lineRule="exact"/>
        <w:rPr>
          <w:sz w:val="20"/>
          <w:szCs w:val="20"/>
          <w:color w:val="auto"/>
        </w:rPr>
      </w:pPr>
    </w:p>
    <w:p>
      <w:pPr>
        <w:ind w:left="640" w:right="440" w:hanging="320"/>
        <w:spacing w:after="0" w:line="243" w:lineRule="auto"/>
        <w:tabs>
          <w:tab w:leader="none" w:pos="635" w:val="left"/>
        </w:tabs>
        <w:numPr>
          <w:ilvl w:val="0"/>
          <w:numId w:val="47"/>
        </w:numPr>
        <w:rPr>
          <w:rFonts w:ascii="Arial" w:cs="Arial" w:eastAsia="Arial" w:hAnsi="Arial"/>
          <w:sz w:val="21"/>
          <w:szCs w:val="21"/>
          <w:color w:val="auto"/>
        </w:rPr>
      </w:pPr>
      <w:r>
        <w:rPr>
          <w:rFonts w:ascii="Arial" w:cs="Arial" w:eastAsia="Arial" w:hAnsi="Arial"/>
          <w:sz w:val="17"/>
          <w:szCs w:val="17"/>
          <w:b w:val="1"/>
          <w:bCs w:val="1"/>
          <w:i w:val="1"/>
          <w:iCs w:val="1"/>
          <w:color w:val="auto"/>
        </w:rPr>
        <w:t>Cerebrum</w:t>
      </w:r>
      <w:r>
        <w:rPr>
          <w:rFonts w:ascii="Arial" w:cs="Arial" w:eastAsia="Arial" w:hAnsi="Arial"/>
          <w:sz w:val="17"/>
          <w:szCs w:val="17"/>
          <w:color w:val="auto"/>
        </w:rPr>
        <w:t>™, our small molecule platform, utilizes deep understanding of neuronal excitability and neuronal networks and applies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of computational and experimental tools to develop orally available precision therapies</w:t>
      </w:r>
    </w:p>
    <w:p>
      <w:pPr>
        <w:spacing w:after="0" w:line="134" w:lineRule="exact"/>
        <w:rPr>
          <w:rFonts w:ascii="Arial" w:cs="Arial" w:eastAsia="Arial" w:hAnsi="Arial"/>
          <w:sz w:val="21"/>
          <w:szCs w:val="21"/>
          <w:color w:val="auto"/>
        </w:rPr>
      </w:pPr>
    </w:p>
    <w:p>
      <w:pPr>
        <w:ind w:left="640" w:right="500" w:hanging="320"/>
        <w:spacing w:after="0" w:line="300"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Solidus</w:t>
      </w:r>
      <w:r>
        <w:rPr>
          <w:rFonts w:ascii="Arial" w:cs="Arial" w:eastAsia="Arial" w:hAnsi="Arial"/>
          <w:sz w:val="17"/>
          <w:szCs w:val="17"/>
          <w:color w:val="auto"/>
        </w:rPr>
        <w:t>™, our antisense oligonucleotide, or ASO, platform, is an efficient, targeted precision medicine discovery and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 anchored on a proprietary, computational methodology</w:t>
      </w:r>
    </w:p>
    <w:p>
      <w:pPr>
        <w:spacing w:after="0" w:line="141" w:lineRule="exact"/>
        <w:rPr>
          <w:sz w:val="20"/>
          <w:szCs w:val="20"/>
          <w:color w:val="auto"/>
        </w:rPr>
      </w:pPr>
    </w:p>
    <w:p>
      <w:pPr>
        <w:ind w:right="60" w:firstLine="433"/>
        <w:spacing w:after="0" w:line="261" w:lineRule="auto"/>
        <w:rPr>
          <w:sz w:val="20"/>
          <w:szCs w:val="20"/>
          <w:color w:val="auto"/>
        </w:rPr>
      </w:pPr>
      <w:r>
        <w:rPr>
          <w:rFonts w:ascii="Arial" w:cs="Arial" w:eastAsia="Arial" w:hAnsi="Arial"/>
          <w:sz w:val="17"/>
          <w:szCs w:val="17"/>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 For our most advanced product candidate under the Cerebrum™ platform, ulixacaltamide (formerly known as PRAX-944), we expect to announce topline results from the Phase 2b Essential1 clinical trial in essential tremor, or ET, in the first quarter of 2023. We also plan to initiate an ulixacaltamide Phase 2 clinical trial in Parkinson's disease, or PD, in the first quarter of 2023 and expect topline results in the fourth quarter of 2023. We plan to initiate our PRAX-562 Phase 2 EMBOLD study in the first quarter of 2023, with initial cohorts in SCN2A-DEE and SCN8A-DEE, and expect to announce topline results for both cohorts in the second half of 2023. We also initiated a Phase 1 healthy volunteer study of PRAX-628 in the fourth quarter of 2022 and expect to report topline results in mid-2023. For our most advanced product candidate under the Solidus™ platform, PRAX-222, we expect to announce topline results from the first dose cohort of our EMBRAVE study in mid-2023. For further details on our business, refer to the Business section of Part I of this report.</w:t>
      </w:r>
    </w:p>
    <w:p>
      <w:pPr>
        <w:spacing w:after="0" w:line="179" w:lineRule="exact"/>
        <w:rPr>
          <w:sz w:val="20"/>
          <w:szCs w:val="20"/>
          <w:color w:val="auto"/>
        </w:rPr>
      </w:pPr>
    </w:p>
    <w:p>
      <w:pPr>
        <w:ind w:right="80" w:firstLine="393"/>
        <w:spacing w:after="0" w:line="266" w:lineRule="auto"/>
        <w:rPr>
          <w:sz w:val="20"/>
          <w:szCs w:val="20"/>
          <w:color w:val="auto"/>
        </w:rPr>
      </w:pPr>
      <w:r>
        <w:rPr>
          <w:rFonts w:ascii="Arial" w:cs="Arial" w:eastAsia="Arial" w:hAnsi="Arial"/>
          <w:sz w:val="17"/>
          <w:szCs w:val="17"/>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contract development and manufacturing organizations and contract research organizations, or CROs, to conduct our preclinical and clinical activities. Since inception, we have financed our operations primarily with proceeds from the sale and issuance of equity securities.</w:t>
      </w:r>
    </w:p>
    <w:p>
      <w:pPr>
        <w:spacing w:after="0" w:line="169"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We are a development stage company and we have not generated any revenue from product sales, and do not expect to do so for several years, if at all. All of our product candidates are still in preclinical and clinical 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net losses of $214.0 million and $167.1 million for the years ended December 31, 2022 and 2021, respectively. As of December 31, 2022, we had an accumulated</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color w:val="auto"/>
        </w:rPr>
        <w:t>deficit of $530.6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increase significantly in connection with our ongoing activities, as we:</w:t>
      </w:r>
    </w:p>
    <w:p>
      <w:pPr>
        <w:spacing w:after="0" w:line="114" w:lineRule="exact"/>
        <w:rPr>
          <w:sz w:val="20"/>
          <w:szCs w:val="20"/>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advance our lead product candidate, ulixacaltamide, to a late stage clinical trial for the treatment of ET;</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advance ulixacaltamide in our Phase 2 clinical trial for the treatment of PD;</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advance our PRAX-562 product candidate in the EMBOLD clinical trial;</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advance our PRAX-222 product candidate in the EMBRAVE clinical trial;</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advance our PRAX-628 product candidate in the Phase 1 clinical trial;</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advance our preclinical candidates to clinical trials;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further invest in our pipeline;</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further invest in our manufacturing capabilities;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seek regulatory approval for our product candidates;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maintain, expand, protect and defend our IP portfolio;</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acquire or in-license technology;</w:t>
      </w:r>
    </w:p>
    <w:p>
      <w:pPr>
        <w:spacing w:after="0" w:line="171" w:lineRule="exact"/>
        <w:rPr>
          <w:rFonts w:ascii="Arial" w:cs="Arial" w:eastAsia="Arial" w:hAnsi="Arial"/>
          <w:sz w:val="17"/>
          <w:szCs w:val="17"/>
          <w:color w:val="auto"/>
        </w:rPr>
      </w:pPr>
    </w:p>
    <w:p>
      <w:pPr>
        <w:ind w:left="800" w:right="60" w:hanging="323"/>
        <w:spacing w:after="0" w:line="300" w:lineRule="auto"/>
        <w:tabs>
          <w:tab w:leader="none" w:pos="795" w:val="left"/>
        </w:tabs>
        <w:numPr>
          <w:ilvl w:val="0"/>
          <w:numId w:val="48"/>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 and</w:t>
      </w:r>
    </w:p>
    <w:p>
      <w:pPr>
        <w:spacing w:after="0" w:line="88"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when needed, increase our headcount to support our development efforts and any future commercialization efforts.</w:t>
      </w:r>
    </w:p>
    <w:p>
      <w:pPr>
        <w:spacing w:after="0" w:line="224"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69" w:lineRule="exact"/>
        <w:rPr>
          <w:sz w:val="20"/>
          <w:szCs w:val="20"/>
          <w:color w:val="auto"/>
        </w:rPr>
      </w:pPr>
    </w:p>
    <w:p>
      <w:pPr>
        <w:jc w:val="both"/>
        <w:ind w:right="200" w:firstLine="433"/>
        <w:spacing w:after="0" w:line="271" w:lineRule="auto"/>
        <w:rPr>
          <w:sz w:val="20"/>
          <w:szCs w:val="20"/>
          <w:color w:val="auto"/>
        </w:rPr>
      </w:pPr>
      <w:r>
        <w:rPr>
          <w:rFonts w:ascii="Arial" w:cs="Arial" w:eastAsia="Arial" w:hAnsi="Arial"/>
          <w:sz w:val="17"/>
          <w:szCs w:val="17"/>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66" w:lineRule="exact"/>
        <w:rPr>
          <w:sz w:val="20"/>
          <w:szCs w:val="20"/>
          <w:color w:val="auto"/>
        </w:rPr>
      </w:pPr>
    </w:p>
    <w:p>
      <w:pPr>
        <w:ind w:right="160" w:firstLine="433"/>
        <w:spacing w:after="0" w:line="262" w:lineRule="auto"/>
        <w:rPr>
          <w:sz w:val="20"/>
          <w:szCs w:val="20"/>
          <w:color w:val="auto"/>
        </w:rPr>
      </w:pPr>
      <w:r>
        <w:rPr>
          <w:rFonts w:ascii="Arial" w:cs="Arial" w:eastAsia="Arial" w:hAnsi="Arial"/>
          <w:sz w:val="17"/>
          <w:szCs w:val="17"/>
          <w:color w:val="auto"/>
        </w:rPr>
        <w:t>As of December 31, 2022, we had cash, cash equivalents and marketable securities of $100.5 million, which will enable us to fund our operating expenses and capital expenditures into the first quarter of 2024. Since our cash, cash equivalents and marketable securities as of December 31, 2022 are not sufficient to fund our operations for at least the next twelve months from the date of issuance of the consolidated financial statements included elsewhere in this Annual Report on Form 10-K, there is substantial doubt about our ability to continue as a going concern. Our future viability is dependent on our ability to raise additional capital to finance our operations. We expect to finance our operations through potential public or private equity financings, debt financings, collaboration agreements or other capital sources. Our inability to raise capital as and when needed could have a negative impact on our financial condition and ability to pursue our business strategies. There can be no assurance that the current operating plan will be achieved or that additional funding will be available on terms acceptable to us, or at all. We have based our assessment on assumptions that may prove to be wrong, and we could use our capital resources sooner than we currently expect. See “—Liquidity and Capital Resources.”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w:t>
      </w:r>
    </w:p>
    <w:p>
      <w:pPr>
        <w:spacing w:after="0" w:line="119" w:lineRule="exact"/>
        <w:rPr>
          <w:sz w:val="20"/>
          <w:szCs w:val="20"/>
          <w:color w:val="auto"/>
        </w:rPr>
      </w:pPr>
    </w:p>
    <w:p>
      <w:pPr>
        <w:ind w:right="140" w:firstLine="433"/>
        <w:spacing w:after="0" w:line="300" w:lineRule="auto"/>
        <w:rPr>
          <w:sz w:val="20"/>
          <w:szCs w:val="20"/>
          <w:color w:val="auto"/>
        </w:rPr>
      </w:pPr>
      <w:r>
        <w:rPr>
          <w:rFonts w:ascii="Arial" w:cs="Arial" w:eastAsia="Arial" w:hAnsi="Arial"/>
          <w:sz w:val="17"/>
          <w:szCs w:val="17"/>
          <w:color w:val="auto"/>
        </w:rPr>
        <w:t>In June 2022, we began a strategic realignment to focus resources on our ulixacaltamide, PRAX-562, PRAX-222 and PRAX-628 product candidates, as well as our preclinical programs across our Cerebrum™ and Solidus™ platforms, which resulted in a reduction of our workforce.</w:t>
      </w:r>
    </w:p>
    <w:p>
      <w:pPr>
        <w:spacing w:after="0" w:line="141" w:lineRule="exact"/>
        <w:rPr>
          <w:sz w:val="20"/>
          <w:szCs w:val="20"/>
          <w:color w:val="auto"/>
        </w:rPr>
      </w:pPr>
    </w:p>
    <w:p>
      <w:pPr>
        <w:ind w:right="220" w:firstLine="433"/>
        <w:spacing w:after="0" w:line="278" w:lineRule="auto"/>
        <w:rPr>
          <w:sz w:val="20"/>
          <w:szCs w:val="20"/>
          <w:color w:val="auto"/>
        </w:rPr>
      </w:pPr>
      <w:r>
        <w:rPr>
          <w:rFonts w:ascii="Arial" w:cs="Arial" w:eastAsia="Arial" w:hAnsi="Arial"/>
          <w:sz w:val="17"/>
          <w:szCs w:val="17"/>
          <w:color w:val="auto"/>
        </w:rPr>
        <w:t>We incurred $ 1.0 million of costs related to the realignment, of which $0.6 million has been recognized in research and development expenses and $0.4 million has been recognized in general and administrative expenses in the consolidated statement of operations during the year ended December 31, 2022. These costs relate to employee severance, benefits and related costs.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2022, all costs related to the strategic realignment were paid.</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9"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We have not generated any revenue since inception and do not expect to generate any revenue from the sale of products for several years, if at all. If our development efforts for our current or future product candidates are successful and result in marketing approval or collaboration or license agreements with third parties, we may generate revenue in the future from a combination of product sales or payments from such collaboration or license agreements.</w:t>
      </w:r>
    </w:p>
    <w:p>
      <w:pPr>
        <w:spacing w:after="0" w:line="61" w:lineRule="exact"/>
        <w:rPr>
          <w:sz w:val="20"/>
          <w:szCs w:val="20"/>
          <w:color w:val="auto"/>
        </w:rPr>
      </w:pPr>
    </w:p>
    <w:p>
      <w:pPr>
        <w:ind w:right="160" w:firstLine="433"/>
        <w:spacing w:after="0" w:line="300" w:lineRule="auto"/>
        <w:rPr>
          <w:sz w:val="20"/>
          <w:szCs w:val="20"/>
          <w:color w:val="auto"/>
        </w:rPr>
      </w:pPr>
      <w:r>
        <w:rPr>
          <w:rFonts w:ascii="Arial" w:cs="Arial" w:eastAsia="Arial" w:hAnsi="Arial"/>
          <w:sz w:val="17"/>
          <w:szCs w:val="17"/>
          <w:color w:val="auto"/>
        </w:rPr>
        <w:t>As discussed in Note 9 to our audited consolidated financial statements, we have entered into a collaboration agreement that will result in the recognition of $5.0 million of revenue upon the satisfaction of the performance obligation identified within the agreement.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19" w:lineRule="exact"/>
        <w:rPr>
          <w:sz w:val="20"/>
          <w:szCs w:val="20"/>
          <w:color w:val="auto"/>
        </w:rPr>
      </w:pPr>
    </w:p>
    <w:p>
      <w:pPr>
        <w:ind w:right="80" w:firstLine="433"/>
        <w:spacing w:after="0" w:line="300" w:lineRule="auto"/>
        <w:rPr>
          <w:sz w:val="20"/>
          <w:szCs w:val="20"/>
          <w:color w:val="auto"/>
        </w:rPr>
      </w:pPr>
      <w:r>
        <w:rPr>
          <w:rFonts w:ascii="Arial" w:cs="Arial" w:eastAsia="Arial" w:hAnsi="Arial"/>
          <w:sz w:val="17"/>
          <w:szCs w:val="17"/>
          <w:color w:val="auto"/>
        </w:rPr>
        <w:t>The nature of our business and primary focus of our activities generate a significant amount of research and development costs. Research and development expenses represent costs incurred by us for the following:</w:t>
      </w:r>
    </w:p>
    <w:p>
      <w:pPr>
        <w:spacing w:after="0" w:line="88" w:lineRule="exact"/>
        <w:rPr>
          <w:sz w:val="20"/>
          <w:szCs w:val="20"/>
          <w:color w:val="auto"/>
        </w:rPr>
      </w:pPr>
    </w:p>
    <w:p>
      <w:pPr>
        <w:ind w:left="620" w:hanging="300"/>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costs to develop our portfolio;</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discovery efforts leading to development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clinical development costs for our product candidates; and</w:t>
      </w:r>
    </w:p>
    <w:p>
      <w:pPr>
        <w:spacing w:after="0" w:line="171" w:lineRule="exact"/>
        <w:rPr>
          <w:rFonts w:ascii="Arial" w:cs="Arial" w:eastAsia="Arial" w:hAnsi="Arial"/>
          <w:sz w:val="17"/>
          <w:szCs w:val="17"/>
          <w:color w:val="auto"/>
        </w:rPr>
      </w:pPr>
    </w:p>
    <w:p>
      <w:pPr>
        <w:ind w:left="440" w:right="5500" w:hanging="120"/>
        <w:spacing w:after="0" w:line="450" w:lineRule="auto"/>
        <w:tabs>
          <w:tab w:leader="none" w:pos="632"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costs to develop our manufacturing technology and infrastructure. The costs above comprise the following categories: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personnel-related expenses, including salaries, benefits and stock-based compensation expense;</w:t>
      </w:r>
    </w:p>
    <w:p>
      <w:pPr>
        <w:spacing w:after="0" w:line="171" w:lineRule="exact"/>
        <w:rPr>
          <w:rFonts w:ascii="Arial" w:cs="Arial" w:eastAsia="Arial" w:hAnsi="Arial"/>
          <w:sz w:val="17"/>
          <w:szCs w:val="17"/>
          <w:color w:val="auto"/>
        </w:rPr>
      </w:pPr>
    </w:p>
    <w:p>
      <w:pPr>
        <w:ind w:left="640" w:right="220" w:hanging="320"/>
        <w:spacing w:after="0" w:line="300" w:lineRule="auto"/>
        <w:tabs>
          <w:tab w:leader="none" w:pos="635"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such as consultants, investigative sites and CROs, that conduct our preclinical and clinical studies and in-licensing arrangements;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costs incurred to maintain compliance with regulatory requirements;</w:t>
      </w:r>
    </w:p>
    <w:p>
      <w:pPr>
        <w:spacing w:after="0" w:line="171" w:lineRule="exact"/>
        <w:rPr>
          <w:rFonts w:ascii="Arial" w:cs="Arial" w:eastAsia="Arial" w:hAnsi="Arial"/>
          <w:sz w:val="17"/>
          <w:szCs w:val="17"/>
          <w:color w:val="auto"/>
        </w:rPr>
      </w:pPr>
    </w:p>
    <w:p>
      <w:pPr>
        <w:ind w:left="640" w:right="80" w:hanging="320"/>
        <w:spacing w:after="0" w:line="300" w:lineRule="auto"/>
        <w:tabs>
          <w:tab w:leader="none" w:pos="635"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costs incurred with third-party contract development and manufacturing organizations to acquire, develop and manufacture materials for preclinical and clinical studies; and</w:t>
      </w:r>
    </w:p>
    <w:p>
      <w:pPr>
        <w:spacing w:after="0" w:line="88" w:lineRule="exact"/>
        <w:rPr>
          <w:rFonts w:ascii="Arial" w:cs="Arial" w:eastAsia="Arial" w:hAnsi="Arial"/>
          <w:sz w:val="17"/>
          <w:szCs w:val="17"/>
          <w:color w:val="auto"/>
        </w:rPr>
      </w:pPr>
    </w:p>
    <w:p>
      <w:pPr>
        <w:ind w:left="640" w:right="660" w:hanging="320"/>
        <w:spacing w:after="0" w:line="300" w:lineRule="auto"/>
        <w:tabs>
          <w:tab w:leader="none" w:pos="635"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depreciation, amortization and other direct and allocated expenses, including rent and other operating costs, such as information technology, incurred as a result of our research and development activities.</w:t>
      </w:r>
    </w:p>
    <w:p>
      <w:pPr>
        <w:spacing w:after="0" w:line="141"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consolidated balance sheets as prepaid expenses or accrued expenses. Non-refundable advance payments for goods or services to be received in the future for use in research and development activities are deferred and capitalized, even when there is no alternative</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20"/>
        <w:spacing w:after="0" w:line="300" w:lineRule="auto"/>
        <w:rPr>
          <w:sz w:val="20"/>
          <w:szCs w:val="20"/>
          <w:color w:val="auto"/>
        </w:rPr>
      </w:pPr>
      <w:r>
        <w:rPr>
          <w:rFonts w:ascii="Arial" w:cs="Arial" w:eastAsia="Arial" w:hAnsi="Arial"/>
          <w:sz w:val="17"/>
          <w:szCs w:val="17"/>
          <w:color w:val="auto"/>
        </w:rPr>
        <w:t>future use for the research and development. The capitalized amounts are expensed as the related goods are delivered or the services are performed.</w:t>
      </w:r>
    </w:p>
    <w:p>
      <w:pPr>
        <w:spacing w:after="0" w:line="141"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As a company operating in a virtual environment, a significant portion of our research and development costs have been external costs. We track direct external research and development expenses to specific platforms and product candidates upon commencement. Due to the number of ongoing studies and our ability to use resources across platforms, indirect or shared operating costs incurred for our research and development platforms, such as personnel, facility costs and certain consulting costs, are not recorded or maintained on a platform-specific basis.</w:t>
      </w:r>
    </w:p>
    <w:p>
      <w:pPr>
        <w:spacing w:after="0" w:line="166" w:lineRule="exact"/>
        <w:rPr>
          <w:sz w:val="20"/>
          <w:szCs w:val="20"/>
          <w:color w:val="auto"/>
        </w:rPr>
      </w:pPr>
    </w:p>
    <w:p>
      <w:pPr>
        <w:ind w:right="380" w:firstLine="433"/>
        <w:spacing w:after="0" w:line="300" w:lineRule="auto"/>
        <w:rPr>
          <w:sz w:val="20"/>
          <w:szCs w:val="20"/>
          <w:color w:val="auto"/>
        </w:rPr>
      </w:pPr>
      <w:r>
        <w:rPr>
          <w:rFonts w:ascii="Arial" w:cs="Arial" w:eastAsia="Arial" w:hAnsi="Arial"/>
          <w:sz w:val="17"/>
          <w:szCs w:val="17"/>
          <w:color w:val="auto"/>
        </w:rPr>
        <w:t>The following table reflects our research and development expenses, including direct expenses summarized by platform and indirect or shared operating costs recognized as research and development expenses during each period presented (in thousands):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7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6"/>
                <w:szCs w:val="16"/>
                <w:b w:val="1"/>
                <w:bCs w:val="1"/>
                <w:color w:val="auto"/>
              </w:rPr>
              <w:t>Year Ended December 31,</w:t>
            </w:r>
          </w:p>
        </w:tc>
      </w:tr>
      <w:tr>
        <w:trPr>
          <w:trHeight w:val="203"/>
        </w:trPr>
        <w:tc>
          <w:tcPr>
            <w:tcW w:w="79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r>
      <w:tr>
        <w:trPr>
          <w:trHeight w:val="20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92,708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72,663</w:t>
            </w: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Solidus™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7,646</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31,090</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8,858</w:t>
            </w:r>
          </w:p>
        </w:tc>
      </w:tr>
      <w:tr>
        <w:trPr>
          <w:trHeight w:val="22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155,040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120,257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be maintained or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167"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14" w:lineRule="exact"/>
        <w:rPr>
          <w:sz w:val="20"/>
          <w:szCs w:val="20"/>
          <w:color w:val="auto"/>
        </w:rPr>
      </w:pPr>
    </w:p>
    <w:p>
      <w:pPr>
        <w:ind w:left="620" w:hanging="300"/>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ability to add and retain key research and development personnel;</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timing and progress of preclinical and clinical development activities;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number and scope of preclinical and clinical programs we decide to pursue;</w:t>
      </w:r>
    </w:p>
    <w:p>
      <w:pPr>
        <w:spacing w:after="0" w:line="171" w:lineRule="exact"/>
        <w:rPr>
          <w:rFonts w:ascii="Arial" w:cs="Arial" w:eastAsia="Arial" w:hAnsi="Arial"/>
          <w:sz w:val="17"/>
          <w:szCs w:val="17"/>
          <w:color w:val="auto"/>
        </w:rPr>
      </w:pPr>
    </w:p>
    <w:p>
      <w:pPr>
        <w:ind w:left="640" w:right="360" w:hanging="320"/>
        <w:spacing w:after="0" w:line="300" w:lineRule="auto"/>
        <w:tabs>
          <w:tab w:leader="none" w:pos="6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ability to successfully complete clinical trials with safety, tolerability and efficacy profiles that are satisfactory to the U.S. Food and Drug Administration, or the FDA, or any comparable foreign regulatory authority;</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ability to successfully develop, obtain regulatory approval for, and then successfully commercialize, our product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successful enrollment in and completion of clinical trials;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costs associated with the development of any additional product candidates we identify in-house or acquire through collaborations;</w:t>
      </w:r>
    </w:p>
    <w:p>
      <w:pPr>
        <w:spacing w:after="0" w:line="171" w:lineRule="exact"/>
        <w:rPr>
          <w:rFonts w:ascii="Arial" w:cs="Arial" w:eastAsia="Arial" w:hAnsi="Arial"/>
          <w:sz w:val="17"/>
          <w:szCs w:val="17"/>
          <w:color w:val="auto"/>
        </w:rPr>
      </w:pPr>
    </w:p>
    <w:p>
      <w:pPr>
        <w:ind w:left="640" w:right="580" w:hanging="320"/>
        <w:spacing w:after="0" w:line="300" w:lineRule="auto"/>
        <w:tabs>
          <w:tab w:leader="none" w:pos="6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ability to discover, develop and utilize biomarkers to demonstrate target engagement, pathway engagement and the impact on disease progression of our product candidates;</w:t>
      </w:r>
    </w:p>
    <w:p>
      <w:pPr>
        <w:spacing w:after="0" w:line="88" w:lineRule="exact"/>
        <w:rPr>
          <w:rFonts w:ascii="Arial" w:cs="Arial" w:eastAsia="Arial" w:hAnsi="Arial"/>
          <w:sz w:val="17"/>
          <w:szCs w:val="17"/>
          <w:color w:val="auto"/>
        </w:rPr>
      </w:pPr>
    </w:p>
    <w:p>
      <w:pPr>
        <w:ind w:left="640" w:right="340" w:hanging="320"/>
        <w:spacing w:after="0" w:line="300" w:lineRule="auto"/>
        <w:tabs>
          <w:tab w:leader="none" w:pos="6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ability to establish and maintain agreements with third-party manufacturers for clinical supply for our clinical trials and commercial manufacturing, if our product candidates are approved;</w:t>
      </w:r>
    </w:p>
    <w:p>
      <w:pPr>
        <w:spacing w:after="0" w:line="88" w:lineRule="exact"/>
        <w:rPr>
          <w:rFonts w:ascii="Arial" w:cs="Arial" w:eastAsia="Arial" w:hAnsi="Arial"/>
          <w:sz w:val="17"/>
          <w:szCs w:val="17"/>
          <w:color w:val="auto"/>
        </w:rPr>
      </w:pPr>
    </w:p>
    <w:p>
      <w:pPr>
        <w:ind w:left="640" w:right="580" w:hanging="320"/>
        <w:spacing w:after="0" w:line="300" w:lineRule="auto"/>
        <w:tabs>
          <w:tab w:leader="none" w:pos="6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terms and timing of any collaboration, license or other arrangement, including the terms and timing of any milestone payments thereunder;</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40" w:right="440" w:hanging="320"/>
        <w:spacing w:after="0" w:line="300"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obtain and maintain patent, trade secret and other IP protection and regulatory exclusivity for our product candidates, if approved;</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receipt of marketing approvals from applicable regulatory authorities;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commercialize products, if approved, whether alone or in collaboration with others;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continued acceptable safety profiles of our product candidates.</w:t>
      </w:r>
    </w:p>
    <w:p>
      <w:pPr>
        <w:spacing w:after="0" w:line="224" w:lineRule="exact"/>
        <w:rPr>
          <w:sz w:val="20"/>
          <w:szCs w:val="20"/>
          <w:color w:val="auto"/>
        </w:rPr>
      </w:pPr>
    </w:p>
    <w:p>
      <w:pPr>
        <w:ind w:right="200" w:firstLine="433"/>
        <w:spacing w:after="0" w:line="266" w:lineRule="auto"/>
        <w:rPr>
          <w:sz w:val="20"/>
          <w:szCs w:val="20"/>
          <w:color w:val="auto"/>
        </w:rPr>
      </w:pPr>
      <w:r>
        <w:rPr>
          <w:rFonts w:ascii="Arial" w:cs="Arial" w:eastAsia="Arial" w:hAnsi="Arial"/>
          <w:sz w:val="17"/>
          <w:szCs w:val="17"/>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require significant development costs.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119"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to support market assessments and scenario planning; insurance costs; administrative travel expenses; and facility-related expenses, which include direct depreciation costs and allocated expenses for office rent and other operating costs, such as information technology. Costs to secure and defend our IP are expensed as incurred and are classified as general and administrative expenses. These costs relate to the operation of the business and are unrelated to the research and development function or any individual platform or product candidate.</w:t>
      </w:r>
    </w:p>
    <w:p>
      <w:pPr>
        <w:spacing w:after="0" w:line="383" w:lineRule="exact"/>
        <w:rPr>
          <w:sz w:val="20"/>
          <w:szCs w:val="20"/>
          <w:color w:val="auto"/>
        </w:rPr>
      </w:pPr>
    </w:p>
    <w:p>
      <w:pPr>
        <w:ind w:right="180" w:firstLine="433"/>
        <w:spacing w:after="0" w:line="271" w:lineRule="auto"/>
        <w:rPr>
          <w:sz w:val="20"/>
          <w:szCs w:val="20"/>
          <w:color w:val="auto"/>
        </w:rPr>
      </w:pPr>
      <w:r>
        <w:rPr>
          <w:rFonts w:ascii="Arial" w:cs="Arial" w:eastAsia="Arial" w:hAnsi="Arial"/>
          <w:sz w:val="17"/>
          <w:szCs w:val="17"/>
          <w:color w:val="auto"/>
        </w:rPr>
        <w:t>We anticipate that our general and administrative expenses may increase in the future as we increase our headcount, when needed,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Net</w:t>
      </w:r>
    </w:p>
    <w:p>
      <w:pPr>
        <w:spacing w:after="0" w:line="119" w:lineRule="exact"/>
        <w:rPr>
          <w:sz w:val="20"/>
          <w:szCs w:val="20"/>
          <w:color w:val="auto"/>
        </w:rPr>
      </w:pPr>
    </w:p>
    <w:p>
      <w:pPr>
        <w:ind w:right="320" w:firstLine="433"/>
        <w:spacing w:after="0" w:line="300" w:lineRule="auto"/>
        <w:rPr>
          <w:sz w:val="20"/>
          <w:szCs w:val="20"/>
          <w:color w:val="auto"/>
        </w:rPr>
      </w:pPr>
      <w:r>
        <w:rPr>
          <w:rFonts w:ascii="Arial" w:cs="Arial" w:eastAsia="Arial" w:hAnsi="Arial"/>
          <w:sz w:val="17"/>
          <w:szCs w:val="17"/>
          <w:color w:val="auto"/>
        </w:rPr>
        <w:t>Other income, net consists of interest income from our cash, cash equivalents and marketable securities and amortization of investment premiums and discounts.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9"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Since our inception, we have not recorded any U.S. federal or state income tax benefits for the net losses we have incurred in each year or for our earned research and development tax credits due to our uncertainty of realizing a benefit from those items. As of December 31, 2022 and 2021, we had U.S. federal and state net operating loss carryforwards which may be available to offset future taxable income and which begin to expire in 2035. As of December 31, 2022 and 2021, we also had federal and state research and development tax credit carryforwards which may be available to offset future income tax liabilities and which begin to expire in 2031.</w:t>
      </w:r>
    </w:p>
    <w:p>
      <w:pPr>
        <w:spacing w:after="0" w:line="167" w:lineRule="exact"/>
        <w:rPr>
          <w:sz w:val="20"/>
          <w:szCs w:val="20"/>
          <w:color w:val="auto"/>
        </w:rPr>
      </w:pPr>
    </w:p>
    <w:p>
      <w:pPr>
        <w:ind w:right="200" w:firstLine="433"/>
        <w:spacing w:after="0" w:line="278" w:lineRule="auto"/>
        <w:rPr>
          <w:sz w:val="20"/>
          <w:szCs w:val="20"/>
          <w:color w:val="auto"/>
        </w:rPr>
      </w:pPr>
      <w:r>
        <w:rPr>
          <w:rFonts w:ascii="Arial" w:cs="Arial" w:eastAsia="Arial" w:hAnsi="Arial"/>
          <w:sz w:val="17"/>
          <w:szCs w:val="17"/>
          <w:color w:val="auto"/>
        </w:rPr>
        <w:t>Income taxes are determined at the applicable tax rates adjusted for non-deductible expenses, research and development tax credits and other permanent differences. Our income tax provision may be significantly affected by changes to our estimates. There was no income tax provision recognized for the years ended December 31, 2022 and 2021.</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2022 and 2021</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consolidated statements of operations for each period presented (in thousands):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1160" w:type="dxa"/>
            <w:vAlign w:val="bottom"/>
          </w:tcPr>
          <w:p>
            <w:pPr>
              <w:jc w:val="right"/>
              <w:ind w:right="341"/>
              <w:spacing w:after="0"/>
              <w:rPr>
                <w:sz w:val="20"/>
                <w:szCs w:val="20"/>
                <w:color w:val="auto"/>
              </w:rPr>
            </w:pPr>
            <w:r>
              <w:rPr>
                <w:rFonts w:ascii="Arial" w:cs="Arial" w:eastAsia="Arial" w:hAnsi="Arial"/>
                <w:sz w:val="16"/>
                <w:szCs w:val="16"/>
                <w:b w:val="1"/>
                <w:bCs w:val="1"/>
                <w:color w:val="auto"/>
              </w:rPr>
              <w:t>Change</w:t>
            </w:r>
          </w:p>
        </w:tc>
      </w:tr>
      <w:tr>
        <w:trPr>
          <w:trHeight w:val="203"/>
        </w:trPr>
        <w:tc>
          <w:tcPr>
            <w:tcW w:w="67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CCEEFF"/>
            </w:tcBorders>
          </w:tcPr>
          <w:p>
            <w:pPr>
              <w:spacing w:after="0"/>
              <w:rPr>
                <w:sz w:val="17"/>
                <w:szCs w:val="17"/>
                <w:color w:val="auto"/>
              </w:rPr>
            </w:pPr>
          </w:p>
        </w:tc>
        <w:tc>
          <w:tcPr>
            <w:tcW w:w="1160" w:type="dxa"/>
            <w:vAlign w:val="bottom"/>
            <w:tcBorders>
              <w:top w:val="single" w:sz="8" w:color="auto"/>
              <w:bottom w:val="single" w:sz="8" w:color="CCEEFF"/>
            </w:tcBorders>
          </w:tcPr>
          <w:p>
            <w:pPr>
              <w:spacing w:after="0"/>
              <w:rPr>
                <w:sz w:val="17"/>
                <w:szCs w:val="17"/>
                <w:color w:val="auto"/>
              </w:rPr>
            </w:pPr>
          </w:p>
        </w:tc>
      </w:tr>
      <w:tr>
        <w:trPr>
          <w:trHeight w:val="19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9"/>
        </w:trPr>
        <w:tc>
          <w:tcPr>
            <w:tcW w:w="670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155,040</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120,257</w:t>
            </w:r>
          </w:p>
        </w:tc>
        <w:tc>
          <w:tcPr>
            <w:tcW w:w="8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34,783</w:t>
            </w:r>
          </w:p>
        </w:tc>
      </w:tr>
      <w:tr>
        <w:trPr>
          <w:trHeight w:val="211"/>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47,075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12,871</w:t>
            </w:r>
          </w:p>
        </w:tc>
      </w:tr>
      <w:tr>
        <w:trPr>
          <w:trHeight w:val="202"/>
        </w:trPr>
        <w:tc>
          <w:tcPr>
            <w:tcW w:w="670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214,986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167,332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47,654</w:t>
            </w:r>
          </w:p>
        </w:tc>
      </w:tr>
      <w:tr>
        <w:trPr>
          <w:trHeight w:val="20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(167,332)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(47,654)</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1"/>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w:t>
            </w:r>
          </w:p>
        </w:tc>
      </w:tr>
      <w:tr>
        <w:trPr>
          <w:trHeight w:val="202"/>
        </w:trPr>
        <w:tc>
          <w:tcPr>
            <w:tcW w:w="670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Total other income</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r>
      <w:tr>
        <w:trPr>
          <w:trHeight w:val="22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(167,061)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(46,968)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119" w:lineRule="exact"/>
        <w:rPr>
          <w:sz w:val="20"/>
          <w:szCs w:val="20"/>
          <w:color w:val="auto"/>
        </w:rPr>
      </w:pPr>
    </w:p>
    <w:p>
      <w:pPr>
        <w:ind w:right="60" w:firstLine="433"/>
        <w:spacing w:after="0" w:line="300" w:lineRule="auto"/>
        <w:rPr>
          <w:sz w:val="20"/>
          <w:szCs w:val="20"/>
          <w:color w:val="auto"/>
        </w:rPr>
      </w:pPr>
      <w:r>
        <w:rPr>
          <w:rFonts w:ascii="Arial" w:cs="Arial" w:eastAsia="Arial" w:hAnsi="Arial"/>
          <w:sz w:val="17"/>
          <w:szCs w:val="17"/>
          <w:color w:val="auto"/>
        </w:rPr>
        <w:t>The following table summarizes our research and development expenses for each period presented, along with the changes in those items (in thousands):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1160" w:type="dxa"/>
            <w:vAlign w:val="bottom"/>
          </w:tcPr>
          <w:p>
            <w:pPr>
              <w:jc w:val="right"/>
              <w:ind w:right="341"/>
              <w:spacing w:after="0"/>
              <w:rPr>
                <w:sz w:val="20"/>
                <w:szCs w:val="20"/>
                <w:color w:val="auto"/>
              </w:rPr>
            </w:pPr>
            <w:r>
              <w:rPr>
                <w:rFonts w:ascii="Arial" w:cs="Arial" w:eastAsia="Arial" w:hAnsi="Arial"/>
                <w:sz w:val="16"/>
                <w:szCs w:val="16"/>
                <w:b w:val="1"/>
                <w:bCs w:val="1"/>
                <w:color w:val="auto"/>
              </w:rPr>
              <w:t>Change</w:t>
            </w:r>
          </w:p>
        </w:tc>
      </w:tr>
      <w:tr>
        <w:trPr>
          <w:trHeight w:val="203"/>
        </w:trPr>
        <w:tc>
          <w:tcPr>
            <w:tcW w:w="67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CCEEFF"/>
            </w:tcBorders>
          </w:tcPr>
          <w:p>
            <w:pPr>
              <w:spacing w:after="0"/>
              <w:rPr>
                <w:sz w:val="17"/>
                <w:szCs w:val="17"/>
                <w:color w:val="auto"/>
              </w:rPr>
            </w:pPr>
          </w:p>
        </w:tc>
        <w:tc>
          <w:tcPr>
            <w:tcW w:w="1160" w:type="dxa"/>
            <w:vAlign w:val="bottom"/>
            <w:tcBorders>
              <w:top w:val="single" w:sz="8" w:color="auto"/>
              <w:bottom w:val="single" w:sz="8" w:color="CCEEFF"/>
            </w:tcBorders>
          </w:tcPr>
          <w:p>
            <w:pPr>
              <w:spacing w:after="0"/>
              <w:rPr>
                <w:sz w:val="17"/>
                <w:szCs w:val="17"/>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92,708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72,663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20,045</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Solidus™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7,646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9,854</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31,090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6,302</w:t>
            </w:r>
          </w:p>
        </w:tc>
      </w:tr>
      <w:tr>
        <w:trPr>
          <w:trHeight w:val="20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8,858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w:t>
            </w: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155,040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120,257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34,783</w:t>
            </w:r>
          </w:p>
        </w:tc>
      </w:tr>
    </w:tbl>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$34.8 million increase in research and development expenses was primarily attributable to the following:</w:t>
      </w:r>
    </w:p>
    <w:p>
      <w:pPr>
        <w:spacing w:after="0" w:line="172" w:lineRule="exact"/>
        <w:rPr>
          <w:sz w:val="20"/>
          <w:szCs w:val="20"/>
          <w:color w:val="auto"/>
        </w:rPr>
      </w:pPr>
    </w:p>
    <w:p>
      <w:pPr>
        <w:ind w:left="620" w:hanging="300"/>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$20.0 million increase in expense related to our Cerebrum™ platform, driven primarily by:</w:t>
      </w:r>
    </w:p>
    <w:p>
      <w:pPr>
        <w:spacing w:after="0" w:line="171" w:lineRule="exact"/>
        <w:rPr>
          <w:rFonts w:ascii="Arial" w:cs="Arial" w:eastAsia="Arial" w:hAnsi="Arial"/>
          <w:sz w:val="17"/>
          <w:szCs w:val="17"/>
          <w:color w:val="auto"/>
        </w:rPr>
      </w:pPr>
    </w:p>
    <w:p>
      <w:pPr>
        <w:ind w:left="1260" w:right="520" w:hanging="311"/>
        <w:spacing w:after="0" w:line="300" w:lineRule="auto"/>
        <w:tabs>
          <w:tab w:leader="none" w:pos="1256" w:val="left"/>
        </w:tabs>
        <w:numPr>
          <w:ilvl w:val="1"/>
          <w:numId w:val="52"/>
        </w:numPr>
        <w:rPr>
          <w:rFonts w:ascii="Arial" w:cs="Arial" w:eastAsia="Arial" w:hAnsi="Arial"/>
          <w:sz w:val="17"/>
          <w:szCs w:val="17"/>
          <w:color w:val="auto"/>
        </w:rPr>
      </w:pPr>
      <w:r>
        <w:rPr>
          <w:rFonts w:ascii="Arial" w:cs="Arial" w:eastAsia="Arial" w:hAnsi="Arial"/>
          <w:sz w:val="17"/>
          <w:szCs w:val="17"/>
          <w:color w:val="auto"/>
        </w:rPr>
        <w:t>an increase in clinical, manufacturing and toxicology-related spend for our ulixacaltamide program, including our Phase 2b Essential1 clinical trial;</w:t>
      </w:r>
    </w:p>
    <w:p>
      <w:pPr>
        <w:spacing w:after="0" w:line="88" w:lineRule="exact"/>
        <w:rPr>
          <w:rFonts w:ascii="Arial" w:cs="Arial" w:eastAsia="Arial" w:hAnsi="Arial"/>
          <w:sz w:val="17"/>
          <w:szCs w:val="17"/>
          <w:color w:val="auto"/>
        </w:rPr>
      </w:pPr>
    </w:p>
    <w:p>
      <w:pPr>
        <w:ind w:left="1260" w:right="220" w:hanging="311"/>
        <w:spacing w:after="0" w:line="300" w:lineRule="auto"/>
        <w:tabs>
          <w:tab w:leader="none" w:pos="1256" w:val="left"/>
        </w:tabs>
        <w:numPr>
          <w:ilvl w:val="1"/>
          <w:numId w:val="52"/>
        </w:numPr>
        <w:rPr>
          <w:rFonts w:ascii="Arial" w:cs="Arial" w:eastAsia="Arial" w:hAnsi="Arial"/>
          <w:sz w:val="17"/>
          <w:szCs w:val="17"/>
          <w:color w:val="auto"/>
        </w:rPr>
      </w:pPr>
      <w:r>
        <w:rPr>
          <w:rFonts w:ascii="Arial" w:cs="Arial" w:eastAsia="Arial" w:hAnsi="Arial"/>
          <w:sz w:val="17"/>
          <w:szCs w:val="17"/>
          <w:color w:val="auto"/>
        </w:rPr>
        <w:t>an increase in clinical-related spend for our PRAX-114 Phase 2 clinical trials, all of which were wound down during the second and third quarters of 2022 due to our strategic realignment;</w:t>
      </w:r>
    </w:p>
    <w:p>
      <w:pPr>
        <w:spacing w:after="0" w:line="88" w:lineRule="exact"/>
        <w:rPr>
          <w:rFonts w:ascii="Arial" w:cs="Arial" w:eastAsia="Arial" w:hAnsi="Arial"/>
          <w:sz w:val="17"/>
          <w:szCs w:val="17"/>
          <w:color w:val="auto"/>
        </w:rPr>
      </w:pPr>
    </w:p>
    <w:p>
      <w:pPr>
        <w:ind w:left="1260" w:hanging="311"/>
        <w:spacing w:after="0"/>
        <w:tabs>
          <w:tab w:leader="none" w:pos="12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an increase in clinical-related spend for our PRAX-628 Phase 1 clinical trial; and</w:t>
      </w:r>
    </w:p>
    <w:p>
      <w:pPr>
        <w:spacing w:after="0" w:line="171" w:lineRule="exact"/>
        <w:rPr>
          <w:rFonts w:ascii="Arial" w:cs="Arial" w:eastAsia="Arial" w:hAnsi="Arial"/>
          <w:sz w:val="17"/>
          <w:szCs w:val="17"/>
          <w:color w:val="auto"/>
        </w:rPr>
      </w:pPr>
    </w:p>
    <w:p>
      <w:pPr>
        <w:ind w:left="1260" w:right="300" w:hanging="311"/>
        <w:spacing w:after="0" w:line="300" w:lineRule="auto"/>
        <w:tabs>
          <w:tab w:leader="none" w:pos="1256" w:val="left"/>
        </w:tabs>
        <w:numPr>
          <w:ilvl w:val="1"/>
          <w:numId w:val="52"/>
        </w:numPr>
        <w:rPr>
          <w:rFonts w:ascii="Arial" w:cs="Arial" w:eastAsia="Arial" w:hAnsi="Arial"/>
          <w:sz w:val="17"/>
          <w:szCs w:val="17"/>
          <w:color w:val="auto"/>
        </w:rPr>
      </w:pPr>
      <w:r>
        <w:rPr>
          <w:rFonts w:ascii="Arial" w:cs="Arial" w:eastAsia="Arial" w:hAnsi="Arial"/>
          <w:sz w:val="17"/>
          <w:szCs w:val="17"/>
          <w:color w:val="auto"/>
        </w:rPr>
        <w:t>an increase in costs associated with our Phase 1 PRAX-562 clinical trial in healthy volunteers and startup costs related to the EMBOLD Phase 2 clinical trial, partially offset by a decrease related to prior year toxicology-related spend for PRAX-562.</w:t>
      </w:r>
    </w:p>
    <w:p>
      <w:pPr>
        <w:spacing w:after="0" w:line="88" w:lineRule="exact"/>
        <w:rPr>
          <w:rFonts w:ascii="Arial" w:cs="Arial" w:eastAsia="Arial" w:hAnsi="Arial"/>
          <w:sz w:val="17"/>
          <w:szCs w:val="17"/>
          <w:color w:val="auto"/>
        </w:rPr>
      </w:pPr>
    </w:p>
    <w:p>
      <w:pPr>
        <w:ind w:left="640" w:right="80" w:hanging="320"/>
        <w:spacing w:after="0" w:line="271" w:lineRule="auto"/>
        <w:tabs>
          <w:tab w:leader="none" w:pos="635" w:val="left"/>
        </w:tabs>
        <w:numPr>
          <w:ilvl w:val="0"/>
          <w:numId w:val="52"/>
        </w:numPr>
        <w:rPr>
          <w:rFonts w:ascii="Arial" w:cs="Arial" w:eastAsia="Arial" w:hAnsi="Arial"/>
          <w:sz w:val="17"/>
          <w:szCs w:val="17"/>
          <w:color w:val="auto"/>
        </w:rPr>
      </w:pPr>
      <w:r>
        <w:rPr>
          <w:rFonts w:ascii="Arial" w:cs="Arial" w:eastAsia="Arial" w:hAnsi="Arial"/>
          <w:sz w:val="17"/>
          <w:szCs w:val="17"/>
          <w:color w:val="auto"/>
        </w:rPr>
        <w:t>$9.9 million increase in expense related to our Solidus™ platform, driven primarily by an increase in clinical-related spend to support the initiation of the PRAX-222 EMBRAVE clinical trial, an increase in preclinical activities for our earlier stage assets and the payment of a $2.0 million license fee to Ionis Pharmaceuticals, Inc. in January of 2022 upon exercise of our exclusive option to obtain the rights and license to further develop and commercialize PRAX-222; and</w:t>
      </w:r>
    </w:p>
    <w:p>
      <w:pPr>
        <w:spacing w:after="0" w:line="113" w:lineRule="exact"/>
        <w:rPr>
          <w:rFonts w:ascii="Arial" w:cs="Arial" w:eastAsia="Arial" w:hAnsi="Arial"/>
          <w:sz w:val="17"/>
          <w:szCs w:val="17"/>
          <w:color w:val="auto"/>
        </w:rPr>
      </w:pPr>
    </w:p>
    <w:p>
      <w:pPr>
        <w:ind w:left="620" w:hanging="300"/>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$6.3 million increase in personnel-related costs due to changes in headcount.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119" w:lineRule="exact"/>
        <w:rPr>
          <w:sz w:val="20"/>
          <w:szCs w:val="20"/>
          <w:color w:val="auto"/>
        </w:rPr>
      </w:pPr>
    </w:p>
    <w:p>
      <w:pPr>
        <w:ind w:right="460" w:firstLine="433"/>
        <w:spacing w:after="0" w:line="300" w:lineRule="auto"/>
        <w:rPr>
          <w:sz w:val="20"/>
          <w:szCs w:val="20"/>
          <w:color w:val="auto"/>
        </w:rPr>
      </w:pPr>
      <w:r>
        <w:rPr>
          <w:rFonts w:ascii="Arial" w:cs="Arial" w:eastAsia="Arial" w:hAnsi="Arial"/>
          <w:sz w:val="17"/>
          <w:szCs w:val="17"/>
          <w:color w:val="auto"/>
        </w:rPr>
        <w:t>The $12.9 million increase in general and administrative expenses was primarily attributable to an $11.8 million increase in personnel-related costs due to changes in headcount, including an increase of $5.3 million in stock-based compensation expense.</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19" w:lineRule="exact"/>
        <w:rPr>
          <w:sz w:val="20"/>
          <w:szCs w:val="20"/>
          <w:color w:val="auto"/>
        </w:rPr>
      </w:pPr>
    </w:p>
    <w:p>
      <w:pPr>
        <w:ind w:right="480" w:firstLine="433"/>
        <w:spacing w:after="0" w:line="300" w:lineRule="auto"/>
        <w:rPr>
          <w:sz w:val="20"/>
          <w:szCs w:val="20"/>
          <w:color w:val="auto"/>
        </w:rPr>
      </w:pPr>
      <w:r>
        <w:rPr>
          <w:rFonts w:ascii="Arial" w:cs="Arial" w:eastAsia="Arial" w:hAnsi="Arial"/>
          <w:sz w:val="17"/>
          <w:szCs w:val="17"/>
          <w:color w:val="auto"/>
        </w:rPr>
        <w:t>Other income for the years ended December 31, 2022 and 2021 was comprised of interest income on our cash, cash equivalents and marketable securities and investment premium and discount amortization.</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19" w:lineRule="exact"/>
        <w:rPr>
          <w:sz w:val="20"/>
          <w:szCs w:val="20"/>
          <w:color w:val="auto"/>
        </w:rPr>
      </w:pPr>
    </w:p>
    <w:p>
      <w:pPr>
        <w:jc w:val="both"/>
        <w:ind w:right="340" w:firstLine="433"/>
        <w:spacing w:after="0" w:line="278" w:lineRule="auto"/>
        <w:rPr>
          <w:sz w:val="20"/>
          <w:szCs w:val="20"/>
          <w:color w:val="auto"/>
        </w:rPr>
      </w:pPr>
      <w:r>
        <w:rPr>
          <w:rFonts w:ascii="Arial" w:cs="Arial" w:eastAsia="Arial" w:hAnsi="Arial"/>
          <w:sz w:val="17"/>
          <w:szCs w:val="17"/>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160"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To date, we have financed our operations primarily with proceeds from the issuance of redeemable convertible preferred stock and from the sale of common stock through an initial public offering, a follow-on public offering and at-the-market offerings under our shelf registration statement. From inception through December 31, 2022, we have raised $526.0 million in aggregate cash proceeds from such transactions, net of issuance costs. As of December 31, 2022, we had cash, cash equivalents and marketable securities of $100.5 million.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November 3, 2021, we entered into an Open Market Sale Agreement, or the Sales Agreement, with Jefferies LLC, or Jefferies, to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provide for the offering, issuance and sale of up to an aggregate amount of $125.0 million of common stock from time to time in at-the-market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offerings for which Jefferies acts as sales agent. During the year ended December 31, 2022, we issued and sold 3,595,273 shares under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Sales Agreement for aggregate net proceeds of $9.6 million after deducting commissions and offering expenses payable by us. As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we have issued and sold a total of 3,987,270 shares under the Sales Agreement for aggregate net proceeds of $16.6 million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after deducting commissions and offering expenses payable by us. Subsequent to December 31, 2022, we issued and sold a total of 2,942,083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shares under the Sales Agreement for aggregate net proceeds of $11.2 million after deducting commissions and offering expenses payable by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regarding our cash flows for each period presented (in thousands):</w:t>
      </w:r>
    </w:p>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7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6"/>
                <w:szCs w:val="16"/>
                <w:b w:val="1"/>
                <w:bCs w:val="1"/>
                <w:color w:val="auto"/>
              </w:rPr>
              <w:t>Year Ended December 31,</w:t>
            </w:r>
          </w:p>
        </w:tc>
      </w:tr>
      <w:tr>
        <w:trPr>
          <w:trHeight w:val="203"/>
        </w:trPr>
        <w:tc>
          <w:tcPr>
            <w:tcW w:w="78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2021</w:t>
            </w:r>
          </w:p>
        </w:tc>
      </w:tr>
      <w:tr>
        <w:trPr>
          <w:trHeight w:val="19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9"/>
        </w:trPr>
        <w:tc>
          <w:tcPr>
            <w:tcW w:w="788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(185,043)</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center"/>
              <w:ind w:left="401"/>
              <w:spacing w:after="0"/>
              <w:rPr>
                <w:sz w:val="20"/>
                <w:szCs w:val="20"/>
                <w:color w:val="auto"/>
              </w:rPr>
            </w:pPr>
            <w:r>
              <w:rPr>
                <w:rFonts w:ascii="Arial" w:cs="Arial" w:eastAsia="Arial" w:hAnsi="Arial"/>
                <w:sz w:val="16"/>
                <w:szCs w:val="16"/>
                <w:color w:val="auto"/>
                <w:w w:val="96"/>
              </w:rPr>
              <w:t>(124,554)</w:t>
            </w:r>
          </w:p>
        </w:tc>
      </w:tr>
      <w:tr>
        <w:trPr>
          <w:trHeight w:val="211"/>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96,889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401"/>
              <w:spacing w:after="0"/>
              <w:rPr>
                <w:sz w:val="20"/>
                <w:szCs w:val="20"/>
                <w:color w:val="auto"/>
              </w:rPr>
            </w:pPr>
            <w:r>
              <w:rPr>
                <w:rFonts w:ascii="Arial" w:cs="Arial" w:eastAsia="Arial" w:hAnsi="Arial"/>
                <w:sz w:val="16"/>
                <w:szCs w:val="16"/>
                <w:color w:val="auto"/>
                <w:w w:val="96"/>
              </w:rPr>
              <w:t>(140,520)</w:t>
            </w:r>
          </w:p>
        </w:tc>
      </w:tr>
      <w:tr>
        <w:trPr>
          <w:trHeight w:val="20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421"/>
              <w:spacing w:after="0"/>
              <w:rPr>
                <w:sz w:val="20"/>
                <w:szCs w:val="20"/>
                <w:color w:val="auto"/>
              </w:rPr>
            </w:pPr>
            <w:r>
              <w:rPr>
                <w:rFonts w:ascii="Arial" w:cs="Arial" w:eastAsia="Arial" w:hAnsi="Arial"/>
                <w:sz w:val="16"/>
                <w:szCs w:val="16"/>
                <w:color w:val="auto"/>
                <w:w w:val="96"/>
              </w:rPr>
              <w:t>107,586</w:t>
            </w:r>
          </w:p>
        </w:tc>
      </w:tr>
      <w:tr>
        <w:trPr>
          <w:trHeight w:val="22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(77,689)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center"/>
              <w:ind w:left="401"/>
              <w:spacing w:after="0"/>
              <w:rPr>
                <w:sz w:val="20"/>
                <w:szCs w:val="20"/>
                <w:color w:val="auto"/>
              </w:rPr>
            </w:pPr>
            <w:r>
              <w:rPr>
                <w:rFonts w:ascii="Arial" w:cs="Arial" w:eastAsia="Arial" w:hAnsi="Arial"/>
                <w:sz w:val="16"/>
                <w:szCs w:val="16"/>
                <w:color w:val="auto"/>
                <w:w w:val="96"/>
              </w:rPr>
              <w:t>(157,488)</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19" w:lineRule="exact"/>
        <w:rPr>
          <w:sz w:val="20"/>
          <w:szCs w:val="20"/>
          <w:color w:val="auto"/>
        </w:rPr>
      </w:pPr>
    </w:p>
    <w:p>
      <w:pPr>
        <w:ind w:right="40" w:firstLine="433"/>
        <w:spacing w:after="0" w:line="270" w:lineRule="auto"/>
        <w:rPr>
          <w:sz w:val="20"/>
          <w:szCs w:val="20"/>
          <w:color w:val="auto"/>
        </w:rPr>
      </w:pPr>
      <w:r>
        <w:rPr>
          <w:rFonts w:ascii="Arial" w:cs="Arial" w:eastAsia="Arial" w:hAnsi="Arial"/>
          <w:sz w:val="17"/>
          <w:szCs w:val="17"/>
          <w:color w:val="auto"/>
        </w:rPr>
        <w:t>Our cash flows from operating activities are greatly influenced by our use of cash for operating expenses and working capital requirements to support the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operating assets and liabilities, which are primarily the result of increased expenses and timing of vendor payments.</w:t>
      </w:r>
    </w:p>
    <w:p>
      <w:pPr>
        <w:spacing w:after="0" w:line="379" w:lineRule="exact"/>
        <w:rPr>
          <w:sz w:val="20"/>
          <w:szCs w:val="20"/>
          <w:color w:val="auto"/>
        </w:rPr>
      </w:pPr>
    </w:p>
    <w:p>
      <w:pPr>
        <w:ind w:right="260" w:firstLine="433"/>
        <w:spacing w:after="0" w:line="278" w:lineRule="auto"/>
        <w:rPr>
          <w:sz w:val="20"/>
          <w:szCs w:val="20"/>
          <w:color w:val="auto"/>
        </w:rPr>
      </w:pPr>
      <w:r>
        <w:rPr>
          <w:rFonts w:ascii="Arial" w:cs="Arial" w:eastAsia="Arial" w:hAnsi="Arial"/>
          <w:sz w:val="17"/>
          <w:szCs w:val="17"/>
          <w:color w:val="auto"/>
        </w:rPr>
        <w:t>During the year ended December 31, 2022, net cash used in operating activities of $185.0 million was primarily due to our $214.0 million net loss and $1.8 million in changes in operating assets and liabilities primarily related to a decrease in accrued expenses, partially offset by $30.8 million of non-cash charges primarily related to stock-based compensation.</w:t>
      </w:r>
    </w:p>
    <w:p>
      <w:pPr>
        <w:spacing w:after="0" w:line="160" w:lineRule="exact"/>
        <w:rPr>
          <w:sz w:val="20"/>
          <w:szCs w:val="20"/>
          <w:color w:val="auto"/>
        </w:rPr>
      </w:pPr>
    </w:p>
    <w:p>
      <w:pPr>
        <w:ind w:right="260" w:firstLine="433"/>
        <w:spacing w:after="0" w:line="278" w:lineRule="auto"/>
        <w:rPr>
          <w:sz w:val="20"/>
          <w:szCs w:val="20"/>
          <w:color w:val="auto"/>
        </w:rPr>
      </w:pPr>
      <w:r>
        <w:rPr>
          <w:rFonts w:ascii="Arial" w:cs="Arial" w:eastAsia="Arial" w:hAnsi="Arial"/>
          <w:sz w:val="17"/>
          <w:szCs w:val="17"/>
          <w:color w:val="auto"/>
        </w:rPr>
        <w:t>During the year ended December 31, 2021, net cash used in operating activities of $124.6 million was primarily due to our $167.1 million net loss, partially offset by $26.4 million of non-cash charges primarily related to stock-based compensation and $16.1 million in changes in operating assets and liabilities primarily related to increases in accounts payable and accrued expenses.</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19" w:lineRule="exact"/>
        <w:rPr>
          <w:sz w:val="20"/>
          <w:szCs w:val="20"/>
          <w:color w:val="auto"/>
        </w:rPr>
      </w:pPr>
    </w:p>
    <w:p>
      <w:pPr>
        <w:ind w:right="320" w:firstLine="433"/>
        <w:spacing w:after="0" w:line="300" w:lineRule="auto"/>
        <w:rPr>
          <w:sz w:val="20"/>
          <w:szCs w:val="20"/>
          <w:color w:val="auto"/>
        </w:rPr>
      </w:pPr>
      <w:r>
        <w:rPr>
          <w:rFonts w:ascii="Arial" w:cs="Arial" w:eastAsia="Arial" w:hAnsi="Arial"/>
          <w:sz w:val="17"/>
          <w:szCs w:val="17"/>
          <w:color w:val="auto"/>
        </w:rPr>
        <w:t>During the year ended December 31, 2022, net cash provided by investing activities of $96.9 million primarily related to the maturities of marketable securities, partially offset by purchases of marketable securities.</w:t>
      </w:r>
    </w:p>
    <w:p>
      <w:pPr>
        <w:spacing w:after="0" w:line="141" w:lineRule="exact"/>
        <w:rPr>
          <w:sz w:val="20"/>
          <w:szCs w:val="20"/>
          <w:color w:val="auto"/>
        </w:rPr>
      </w:pPr>
    </w:p>
    <w:p>
      <w:pPr>
        <w:ind w:right="600" w:firstLine="433"/>
        <w:spacing w:after="0" w:line="300" w:lineRule="auto"/>
        <w:rPr>
          <w:sz w:val="20"/>
          <w:szCs w:val="20"/>
          <w:color w:val="auto"/>
        </w:rPr>
      </w:pPr>
      <w:r>
        <w:rPr>
          <w:rFonts w:ascii="Arial" w:cs="Arial" w:eastAsia="Arial" w:hAnsi="Arial"/>
          <w:sz w:val="17"/>
          <w:szCs w:val="17"/>
          <w:color w:val="auto"/>
        </w:rPr>
        <w:t>During the year ended December 31, 2021, net cash used in investing activities of $140.5 million primarily related to the purchase of marketable securities, partially offset by the maturities of marketable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19"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During the year ended December 31, 2022, net cash provided by financing activities of $10.5 million consisted of net proceeds from at-the-market offerings of $9.6 million and proceeds from purchases of common stock under our employee stock purchase plan and from the exercise of stock options of $1.4 million, partially offset by the payment of issuance costs for our at-the-market offerings and the payment of taxes related to the vesting of restricted stock units.</w:t>
      </w:r>
    </w:p>
    <w:p>
      <w:pPr>
        <w:spacing w:after="0" w:line="166" w:lineRule="exact"/>
        <w:rPr>
          <w:sz w:val="20"/>
          <w:szCs w:val="20"/>
          <w:color w:val="auto"/>
        </w:rPr>
      </w:pPr>
    </w:p>
    <w:p>
      <w:pPr>
        <w:jc w:val="both"/>
        <w:ind w:right="260" w:firstLine="433"/>
        <w:spacing w:after="0" w:line="278" w:lineRule="auto"/>
        <w:rPr>
          <w:sz w:val="20"/>
          <w:szCs w:val="20"/>
          <w:color w:val="auto"/>
        </w:rPr>
      </w:pPr>
      <w:r>
        <w:rPr>
          <w:rFonts w:ascii="Arial" w:cs="Arial" w:eastAsia="Arial" w:hAnsi="Arial"/>
          <w:sz w:val="17"/>
          <w:szCs w:val="17"/>
          <w:color w:val="auto"/>
        </w:rPr>
        <w:t>During the year ended December 31, 2021, net cash provided by financing activities of $107.6 million consisted of net proceeds from our follow-on public offering of $98.4 million and at-the-market offerings of $7.3 million and net proceeds from the exercise of stock options of $2.4 million, partially offset by the payment of issuance costs for our initial public offering.</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Plan of Operation and Future Funding Requirements</w:t>
      </w:r>
    </w:p>
    <w:p>
      <w:pPr>
        <w:spacing w:after="0" w:line="119" w:lineRule="exact"/>
        <w:rPr>
          <w:sz w:val="20"/>
          <w:szCs w:val="20"/>
          <w:color w:val="auto"/>
        </w:rPr>
      </w:pPr>
    </w:p>
    <w:p>
      <w:pPr>
        <w:ind w:right="280" w:firstLine="433"/>
        <w:spacing w:after="0" w:line="278" w:lineRule="auto"/>
        <w:rPr>
          <w:sz w:val="20"/>
          <w:szCs w:val="20"/>
          <w:color w:val="auto"/>
        </w:rPr>
      </w:pPr>
      <w:r>
        <w:rPr>
          <w:rFonts w:ascii="Arial" w:cs="Arial" w:eastAsia="Arial" w:hAnsi="Arial"/>
          <w:sz w:val="17"/>
          <w:szCs w:val="17"/>
          <w:color w:val="auto"/>
        </w:rPr>
        <w:t>We expect our expenses to increase substantially in connection with our ongoing research and development activities, particularly as we advance the preclinical activities and clinical trials of our product candidates. As a result, we expect to incur substantial operating losses and negative operating cash flows for the foreseeable future. We anticipate that our expenses will increase substantially if and as we:</w:t>
      </w:r>
    </w:p>
    <w:p>
      <w:pPr>
        <w:spacing w:after="0" w:line="108" w:lineRule="exact"/>
        <w:rPr>
          <w:sz w:val="20"/>
          <w:szCs w:val="20"/>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advance the clinical development of our clinical-stage product candidates within our Cerebrum™ and Solidus™ platforms;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advance the development of any additional product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conduct research and continue preclinical development of potential product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make strategic investments in manufacturing capabilities;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maintain our IP portfolio and opportunistically acquire complementary IP;</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seek to obtain regulatory approvals for our product candidates;</w:t>
      </w:r>
    </w:p>
    <w:p>
      <w:pPr>
        <w:spacing w:after="0" w:line="171" w:lineRule="exact"/>
        <w:rPr>
          <w:rFonts w:ascii="Arial" w:cs="Arial" w:eastAsia="Arial" w:hAnsi="Arial"/>
          <w:sz w:val="17"/>
          <w:szCs w:val="17"/>
          <w:color w:val="auto"/>
        </w:rPr>
      </w:pPr>
    </w:p>
    <w:p>
      <w:pPr>
        <w:ind w:left="640" w:right="500" w:hanging="320"/>
        <w:spacing w:after="0" w:line="300" w:lineRule="auto"/>
        <w:tabs>
          <w:tab w:leader="none" w:pos="6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potentially establish a sales, marketing and distribution infrastructure and scale-up manufacturing capabilities to commercialize any products for which we may obtain regulatory approval;</w:t>
      </w:r>
    </w:p>
    <w:p>
      <w:pPr>
        <w:spacing w:after="0" w:line="35" w:lineRule="exact"/>
        <w:rPr>
          <w:rFonts w:ascii="Arial" w:cs="Arial" w:eastAsia="Arial" w:hAnsi="Arial"/>
          <w:sz w:val="17"/>
          <w:szCs w:val="17"/>
          <w:color w:val="auto"/>
        </w:rPr>
      </w:pPr>
    </w:p>
    <w:p>
      <w:pPr>
        <w:jc w:val="both"/>
        <w:ind w:left="640" w:right="160" w:hanging="320"/>
        <w:spacing w:after="0" w:line="300" w:lineRule="auto"/>
        <w:tabs>
          <w:tab w:leader="none" w:pos="6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when needed, 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35" w:lineRule="exact"/>
        <w:rPr>
          <w:rFonts w:ascii="Arial" w:cs="Arial" w:eastAsia="Arial" w:hAnsi="Arial"/>
          <w:sz w:val="17"/>
          <w:szCs w:val="17"/>
          <w:color w:val="auto"/>
        </w:rPr>
      </w:pPr>
    </w:p>
    <w:p>
      <w:pPr>
        <w:ind w:left="640" w:right="200" w:hanging="320"/>
        <w:spacing w:after="0" w:line="300" w:lineRule="auto"/>
        <w:tabs>
          <w:tab w:leader="none" w:pos="6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experience any delays or encounter any issues with any of the above, including but not limited to failed studies, complex results, safety issues or other regulatory challenges.</w:t>
      </w:r>
    </w:p>
    <w:p>
      <w:pPr>
        <w:spacing w:after="0" w:line="141"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As of December 31, 2022 we had cash, cash equivalents and marketable securities of $100.5 million. Subsequent to December 31, 2022, we issued and sold a total of 2,942,083 shares under the Sales Agreement for aggregate net proceeds of $11.2 million after deducting commissions and offering expenses payable by us. We are unable to estimate the exact amount of our working capital requirements, but based on our current operating plan, we believe that our cash, cash equivalents and marketable securities as of December 31, 2022, together with net proceeds raised under the Sales Agreement subsequent to December 31, 2022, will enable us to fund our operating expenses and capital expenditures into the first quarter of 2024. We have incurred recurring losses since our inception, including a net loss of $214.0 million for the year ended December 31, 2022. In addition, as of December 31, 2022, we had an accumulated deficit of $ 530.6 million. We expect to continue to generate operating losses for the foreseeable future. We have evaluated whether there are conditions and events, considered in the aggregate, that raise substantial doubt about our ability to continue as a going concern within one year of the issuance of the consolidated financial statements included elsewhere in this Annual Report on Form 10-K. Since we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expect that our cash, cash equivalents and marketable securities as of December 31, 2022 will not be sufficient to fund operations for at least the next twelve months from the date of issuance of the consolidated financial statements included elsewhere in this Annual Report on Form 10-K, there is substantial doubt about our ability to continue as a going concern. Our future viability is dependent on our ability to raise additional capital to finance our operations. We expect to finance our operations through potential public or private equity financings, debt financings, collaboration agreements or other capital sources. Our inability to raise capital as and when needed could have a negative impact on our financial condition and ability to pursue our business strategies. There can be no assurance that the current operating plan will be achieved or that additional funding will be available on terms acceptable to us, or at all. We have based our assessment on assumptions that may prove to be wrong, and we could use our capital resources sooner than we currently expect.</w:t>
      </w:r>
    </w:p>
    <w:p>
      <w:pPr>
        <w:spacing w:after="0" w:line="175"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114" w:lineRule="exact"/>
        <w:rPr>
          <w:sz w:val="20"/>
          <w:szCs w:val="20"/>
          <w:color w:val="auto"/>
        </w:rPr>
      </w:pPr>
    </w:p>
    <w:p>
      <w:pPr>
        <w:ind w:left="780" w:hanging="303"/>
        <w:spacing w:after="0"/>
        <w:tabs>
          <w:tab w:leader="none" w:pos="7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studies and clinical trials for our platforms and product candidates;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number and characteristics of product candidates and technologies that we develop or may in-license;</w:t>
      </w:r>
    </w:p>
    <w:p>
      <w:pPr>
        <w:spacing w:after="0" w:line="119" w:lineRule="exact"/>
        <w:rPr>
          <w:rFonts w:ascii="Arial" w:cs="Arial" w:eastAsia="Arial" w:hAnsi="Arial"/>
          <w:sz w:val="17"/>
          <w:szCs w:val="17"/>
          <w:color w:val="auto"/>
        </w:rPr>
      </w:pPr>
    </w:p>
    <w:p>
      <w:pPr>
        <w:ind w:left="800" w:right="340" w:hanging="323"/>
        <w:spacing w:after="0" w:line="300" w:lineRule="auto"/>
        <w:tabs>
          <w:tab w:leader="none" w:pos="79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manufacturing, marketing, sales and distribution, for any of our product candidates for which we receive marketing approval;</w:t>
      </w:r>
    </w:p>
    <w:p>
      <w:pPr>
        <w:spacing w:after="0" w:line="35" w:lineRule="exact"/>
        <w:rPr>
          <w:rFonts w:ascii="Arial" w:cs="Arial" w:eastAsia="Arial" w:hAnsi="Arial"/>
          <w:sz w:val="17"/>
          <w:szCs w:val="17"/>
          <w:color w:val="auto"/>
        </w:rPr>
      </w:pPr>
    </w:p>
    <w:p>
      <w:pPr>
        <w:ind w:left="800" w:right="360" w:hanging="323"/>
        <w:spacing w:after="0" w:line="300" w:lineRule="auto"/>
        <w:tabs>
          <w:tab w:leader="none" w:pos="79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35" w:lineRule="exact"/>
        <w:rPr>
          <w:rFonts w:ascii="Arial" w:cs="Arial" w:eastAsia="Arial" w:hAnsi="Arial"/>
          <w:sz w:val="17"/>
          <w:szCs w:val="17"/>
          <w:color w:val="auto"/>
        </w:rPr>
      </w:pPr>
    </w:p>
    <w:p>
      <w:pPr>
        <w:ind w:left="800" w:right="60" w:hanging="323"/>
        <w:spacing w:after="0" w:line="300" w:lineRule="auto"/>
        <w:tabs>
          <w:tab w:leader="none" w:pos="79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IP rights and defending any IP-related claims;</w:t>
      </w:r>
    </w:p>
    <w:p>
      <w:pPr>
        <w:spacing w:after="0" w:line="35" w:lineRule="exact"/>
        <w:rPr>
          <w:rFonts w:ascii="Arial" w:cs="Arial" w:eastAsia="Arial" w:hAnsi="Arial"/>
          <w:sz w:val="17"/>
          <w:szCs w:val="17"/>
          <w:color w:val="auto"/>
        </w:rPr>
      </w:pPr>
    </w:p>
    <w:p>
      <w:pPr>
        <w:ind w:left="780" w:hanging="303"/>
        <w:spacing w:after="0"/>
        <w:tabs>
          <w:tab w:leader="none" w:pos="7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continuation of our existing licensing arrangements and entry into new collaborations and licensing arrangements;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costs we incur in maintaining business operations;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costs associated with being a public company;</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any product candidates for which we receive marketing approval;</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19" w:lineRule="exact"/>
        <w:rPr>
          <w:rFonts w:ascii="Arial" w:cs="Arial" w:eastAsia="Arial" w:hAnsi="Arial"/>
          <w:sz w:val="17"/>
          <w:szCs w:val="17"/>
          <w:color w:val="auto"/>
        </w:rPr>
      </w:pPr>
    </w:p>
    <w:p>
      <w:pPr>
        <w:ind w:left="800" w:right="20" w:hanging="323"/>
        <w:spacing w:after="0" w:line="278" w:lineRule="auto"/>
        <w:tabs>
          <w:tab w:leader="none" w:pos="79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160"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67"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Market volatility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21" w:lineRule="exact"/>
        <w:rPr>
          <w:sz w:val="20"/>
          <w:szCs w:val="20"/>
          <w:color w:val="auto"/>
        </w:rPr>
      </w:pPr>
    </w:p>
    <w:p>
      <w:pPr>
        <w:ind w:right="120" w:firstLine="433"/>
        <w:spacing w:after="0" w:line="300" w:lineRule="auto"/>
        <w:rPr>
          <w:sz w:val="20"/>
          <w:szCs w:val="20"/>
          <w:color w:val="auto"/>
        </w:rPr>
      </w:pPr>
      <w:r>
        <w:rPr>
          <w:rFonts w:ascii="Arial" w:cs="Arial" w:eastAsia="Arial" w:hAnsi="Arial"/>
          <w:sz w:val="17"/>
          <w:szCs w:val="17"/>
          <w:color w:val="auto"/>
        </w:rPr>
        <w:t>We have entered into certain agreements under which we have incurred or may in the future incur obligations and commitments that could have a material impact on our capital resources.</w:t>
      </w:r>
    </w:p>
    <w:p>
      <w:pPr>
        <w:spacing w:after="0" w:line="141" w:lineRule="exact"/>
        <w:rPr>
          <w:sz w:val="20"/>
          <w:szCs w:val="20"/>
          <w:color w:val="auto"/>
        </w:rPr>
      </w:pPr>
    </w:p>
    <w:p>
      <w:pPr>
        <w:ind w:right="560" w:firstLine="433"/>
        <w:spacing w:after="0" w:line="300" w:lineRule="auto"/>
        <w:rPr>
          <w:sz w:val="20"/>
          <w:szCs w:val="20"/>
          <w:color w:val="auto"/>
        </w:rPr>
      </w:pPr>
      <w:r>
        <w:rPr>
          <w:rFonts w:ascii="Arial" w:cs="Arial" w:eastAsia="Arial" w:hAnsi="Arial"/>
          <w:sz w:val="17"/>
          <w:szCs w:val="17"/>
          <w:color w:val="auto"/>
        </w:rPr>
        <w:t>We sublease building space in Boston, Massachusetts. Our sublease will expire on January 31, 2026. As of December 31, 2022, our operating lease commitments for the remainder of the lease term were $4.0 million.</w:t>
      </w:r>
    </w:p>
    <w:p>
      <w:pPr>
        <w:spacing w:after="0" w:line="141" w:lineRule="exact"/>
        <w:rPr>
          <w:sz w:val="20"/>
          <w:szCs w:val="20"/>
          <w:color w:val="auto"/>
        </w:rPr>
      </w:pPr>
    </w:p>
    <w:p>
      <w:pPr>
        <w:ind w:right="240" w:firstLine="433"/>
        <w:spacing w:after="0" w:line="300" w:lineRule="auto"/>
        <w:rPr>
          <w:sz w:val="20"/>
          <w:szCs w:val="20"/>
          <w:color w:val="auto"/>
        </w:rPr>
      </w:pPr>
      <w:r>
        <w:rPr>
          <w:rFonts w:ascii="Arial" w:cs="Arial" w:eastAsia="Arial" w:hAnsi="Arial"/>
          <w:sz w:val="17"/>
          <w:szCs w:val="17"/>
          <w:color w:val="auto"/>
        </w:rPr>
        <w:t>In addition, we have entered into collaboration and license agreements with RogCon Inc., or RogCon, and Ionis Pharmaceuticals, Inc., or Ionis, under which we could be obligated to pay certain fees, milestone payments and cost reimbursements.</w:t>
      </w:r>
    </w:p>
    <w:p>
      <w:pPr>
        <w:spacing w:after="0" w:line="141"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Under our license agreement with RogCon, Inc., or RogCon, we are obligated to reimburse RogCon for its out-of-pocket costs incurred for activities performed under the license agreement. Additionally, we may be obligated to pay RogCon a milestone payment of $3.0 million and profit share payments. The $3.0 million milestone payment is due when the first profit share payment has become due and payable and certain contingent payments have become due and payable to Ionis under our collaboration agreement with Ionis. The profit share payments are based on a low-double-digit percentage of net profits, depending on sales volume. Either party may terminate the license agreement for material breach or insolvency of the other party. Additionally, we may terminate for convenience with prior notice to RogCon. See “Business—License Agreements—License Agreement with RogCon.”</w:t>
      </w:r>
    </w:p>
    <w:p>
      <w:pPr>
        <w:spacing w:after="0" w:line="173"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Under our collaboration agreement with Ionis Pharmaceuticals, Inc., or Ionis,, we reimbursed Ionis for identifying a development candidate and conducting an investigational new drug application, or IND, enabling toxicology study, as well as out of pocket costs incurred by Ionis related to research activities. Ionis granted us an exclusive option to obtain the rights and license to further develop and commercialize the development candidate in the field of epilepsy and neurodevelopmental disorders, other than Dravet Syndrome, following the results of the IND-enabling toxicology study. We exercised this exclusive option in January 2022 and paid a $2.0 million license fee. We may be required to make additional payments to Ionis including development milestone payments, additional milestone payments and sales royalties or sublicense fees. Either party may terminate the collaboration agreement upon material breach or insolvency of the other party. Ionis may terminate if we fail to achieve a performance milestone. See “Business—License Agreements—Ionis Collaboration Agreement.”</w:t>
      </w:r>
    </w:p>
    <w:p>
      <w:pPr>
        <w:spacing w:after="0" w:line="175" w:lineRule="exact"/>
        <w:rPr>
          <w:sz w:val="20"/>
          <w:szCs w:val="20"/>
          <w:color w:val="auto"/>
        </w:rPr>
      </w:pPr>
    </w:p>
    <w:p>
      <w:pPr>
        <w:ind w:right="100" w:firstLine="433"/>
        <w:spacing w:after="0" w:line="271" w:lineRule="auto"/>
        <w:rPr>
          <w:sz w:val="20"/>
          <w:szCs w:val="20"/>
          <w:color w:val="auto"/>
        </w:rPr>
      </w:pPr>
      <w:r>
        <w:rPr>
          <w:rFonts w:ascii="Arial" w:cs="Arial" w:eastAsia="Arial" w:hAnsi="Arial"/>
          <w:sz w:val="17"/>
          <w:szCs w:val="17"/>
          <w:color w:val="auto"/>
        </w:rPr>
        <w:t>We have also entered into multiple agreements with third parties under which we may be obligated to make future development, regulatory and commercial milestone payments and royalty payments on future sales of specified product candidates. Payments under these agreements generally become due and payable upon achievement of such milestones and sales. When the achievement of these milestones or sales have not occurred, such contingencies are not recorded in our financial statements.</w:t>
      </w:r>
    </w:p>
    <w:p>
      <w:pPr>
        <w:spacing w:after="0" w:line="166"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We have agreements with certain vendors for various services, including services related to clinical operations and support, for which we are not contractually able to terminate for convenience and avoid any and all future obligations to the vendors. Under such agreements, we are contractually obligated to make certain payments to vendors to reimburse them for their unrecoverable outlays incurred prior to cancellation. The exact amounts of such obligations are dependent on the timing of termination and the exact terms of the relevant agreement and cannot be reasonably estimated.</w:t>
      </w:r>
    </w:p>
    <w:p>
      <w:pPr>
        <w:spacing w:after="0" w:line="167"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In addition, we enter into indemnification agreements and agreements containing indemnification provisions in the ordinary course of business. Pursuant to these agreements, we agree to indemnify, hold harmless and reimburse the indemnified party for losses suffered or incurred by the indemnified party, generally our business collaborators, in connection with any U.S. patent or any copyright or other IP infringement claim by any third party with respect to our product candidates. The term of these indemnification agreements is generally perpetual upon execution of the agreement. The maximum potential amount of future payments we could be required to make under these indemnification agreements cannot be reasonably estimated.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21" w:lineRule="exact"/>
        <w:rPr>
          <w:sz w:val="20"/>
          <w:szCs w:val="20"/>
          <w:color w:val="auto"/>
        </w:rPr>
      </w:pPr>
    </w:p>
    <w:p>
      <w:pPr>
        <w:ind w:right="100" w:firstLine="433"/>
        <w:spacing w:after="0" w:line="264"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3"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appearing elsewhere in this Annual Report on Form 10-K, we believe the following accounting policies used in the preparation of our consolidated financial statements require the most significant judgments and estimates.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 and Related Accruals and Prepaids</w:t>
      </w:r>
    </w:p>
    <w:p>
      <w:pPr>
        <w:spacing w:after="0" w:line="119"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Research and development expenses include costs directly attributable to the conduct of research and development activities, including personnel-related expenses such as salaries, benefits and stock-based compensation expense; materials; supplies; manufacturing and external costs related to outside vendors engaged to conduct both preclinical studies and clinical trials; and the allocable portions of facility costs, such as rent, utilities, depreciation and general support services. All costs associated with research and development activities are expensed as incurred.</w:t>
      </w:r>
    </w:p>
    <w:p>
      <w:pPr>
        <w:spacing w:after="0" w:line="166"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and prepaid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in determining our accrued and prepaid research and development expenses as of each balance sheet date in our financial statements based on facts and circumstances known to us at that time. When evaluating the adequacy of the accrued liabilities and prepaid expenses, we analyze progress of the studies or trials related to these services, including the phase or completion of events, invoices received and contracted costs. Examples of estimated accrued and prepaid research and development expenses include fees paid to:</w:t>
      </w:r>
    </w:p>
    <w:p>
      <w:pPr>
        <w:spacing w:after="0" w:line="125" w:lineRule="exact"/>
        <w:rPr>
          <w:sz w:val="20"/>
          <w:szCs w:val="20"/>
          <w:color w:val="auto"/>
        </w:rPr>
      </w:pPr>
    </w:p>
    <w:p>
      <w:pPr>
        <w:ind w:left="780" w:hanging="303"/>
        <w:spacing w:after="0"/>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CROs in connection with performing research services and preclinical and clinical studies;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investigative sites or other providers in connection with preclinical and clinical studies;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vendors in connection with preclinical and clinical development activities; and</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vendors related to product manufacturing, development and distribution of preclinical and clinical supplies.</w:t>
      </w:r>
    </w:p>
    <w:p>
      <w:pPr>
        <w:spacing w:after="0" w:line="224"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The financial terms of our agreements with CROs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milestones. In expensing service fees, we estimate the time period over which services will be performed, enrollment of patients, number of sites activated and the level of effort expended in each period. If the actual timing of the performance of services or the level of effort varies from our estimate, we adjust the expense accordingly. Significant judgments and estimates are made in determining the accrued and prepaid research and development expenses at the end of any reporting period.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21" w:lineRule="exact"/>
        <w:rPr>
          <w:sz w:val="20"/>
          <w:szCs w:val="20"/>
          <w:color w:val="auto"/>
        </w:rPr>
      </w:pPr>
    </w:p>
    <w:p>
      <w:pPr>
        <w:ind w:right="200" w:firstLine="433"/>
        <w:spacing w:after="0" w:line="278" w:lineRule="auto"/>
        <w:rPr>
          <w:sz w:val="20"/>
          <w:szCs w:val="20"/>
          <w:color w:val="auto"/>
        </w:rPr>
      </w:pPr>
      <w:r>
        <w:rPr>
          <w:rFonts w:ascii="Arial" w:cs="Arial" w:eastAsia="Arial" w:hAnsi="Arial"/>
          <w:sz w:val="17"/>
          <w:szCs w:val="17"/>
          <w:color w:val="auto"/>
        </w:rPr>
        <w:t>We have reviewed all recently issued standards and have determined that, other than as disclosed in Note 2 to our consolidated financial statements appearing elsewhere in this Annual Report on Form 10-K, such standards will not have a material impact on our consolidated financial statements or do not otherwise apply to our current operations.</w:t>
      </w:r>
    </w:p>
    <w:p>
      <w:pPr>
        <w:spacing w:after="0" w:line="158" w:lineRule="exact"/>
        <w:rPr>
          <w:sz w:val="20"/>
          <w:szCs w:val="20"/>
          <w:color w:val="auto"/>
        </w:rPr>
      </w:pPr>
    </w:p>
    <w:p>
      <w:pPr>
        <w:ind w:right="5560"/>
        <w:spacing w:after="0" w:line="387" w:lineRule="auto"/>
        <w:rPr>
          <w:sz w:val="20"/>
          <w:szCs w:val="20"/>
          <w:color w:val="auto"/>
        </w:rPr>
      </w:pPr>
      <w:r>
        <w:rPr>
          <w:rFonts w:ascii="Arial" w:cs="Arial" w:eastAsia="Arial" w:hAnsi="Arial"/>
          <w:sz w:val="17"/>
          <w:szCs w:val="17"/>
          <w:b w:val="1"/>
          <w:bCs w:val="1"/>
          <w:color w:val="auto"/>
        </w:rPr>
        <w:t xml:space="preserve">Item 7A. Quantitative and Qualitative Disclosures About Market Risk </w:t>
      </w:r>
      <w:r>
        <w:rPr>
          <w:rFonts w:ascii="Arial" w:cs="Arial" w:eastAsia="Arial" w:hAnsi="Arial"/>
          <w:sz w:val="17"/>
          <w:szCs w:val="17"/>
          <w:b w:val="1"/>
          <w:bCs w:val="1"/>
          <w:i w:val="1"/>
          <w:iCs w:val="1"/>
          <w:color w:val="auto"/>
        </w:rPr>
        <w:t>Interest Rate Fluctuation Risk</w:t>
      </w:r>
    </w:p>
    <w:p>
      <w:pPr>
        <w:spacing w:after="0" w:line="1"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rate sensitivity, which is affected by changes in the general level of U.S. interest rates, particularly because our cash, cash equivalents and marketable securities are or may be in the form of money market funds or marketable debt securities and are or may be invested in U.S. Treasury and U.S. government agency obligations. However, because of the short-term nature and low risk profile of the instruments in our portfolio, an immediate change in market interest rates of 100 basis points would not have a material impact on the fair market value of our investment portfolio or on our financial position or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Fluctuation Risk</w:t>
      </w:r>
    </w:p>
    <w:p>
      <w:pPr>
        <w:spacing w:after="0" w:line="119"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We are not currently exposed to significant market risk related to changes in foreign currency exchange rates; however, we have contracted with and may continue to contract with foreign vendors. Our operations may be subject to fluctuations in foreign currency exchange rates in the future.</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52" w:lineRule="exact"/>
        <w:rPr>
          <w:sz w:val="20"/>
          <w:szCs w:val="20"/>
          <w:color w:val="auto"/>
        </w:rPr>
      </w:pPr>
    </w:p>
    <w:p>
      <w:pPr>
        <w:ind w:right="220" w:firstLine="472"/>
        <w:spacing w:after="0" w:line="300" w:lineRule="auto"/>
        <w:rPr>
          <w:sz w:val="20"/>
          <w:szCs w:val="20"/>
          <w:color w:val="auto"/>
        </w:rPr>
      </w:pPr>
      <w:r>
        <w:rPr>
          <w:rFonts w:ascii="Arial" w:cs="Arial" w:eastAsia="Arial" w:hAnsi="Arial"/>
          <w:sz w:val="17"/>
          <w:szCs w:val="17"/>
          <w:color w:val="auto"/>
        </w:rPr>
        <w:t>The financial statements required to be filed pursuant to this Item 8 are appended to this Annual Report on Form 10-K. An index of those financial statements is found in Item 15, Exhibits and Financial Statement Schedules, of this Annual Report on Form 10-K.</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920" w:type="dxa"/>
            <w:vAlign w:val="bottom"/>
            <w:gridSpan w:val="4"/>
          </w:tcPr>
          <w:p>
            <w:pPr>
              <w:ind w:left="240"/>
              <w:spacing w:after="0"/>
              <w:rPr>
                <w:sz w:val="20"/>
                <w:szCs w:val="20"/>
                <w:color w:val="auto"/>
              </w:rPr>
            </w:pPr>
            <w:r>
              <w:rPr>
                <w:rFonts w:ascii="Arial" w:cs="Arial" w:eastAsia="Arial" w:hAnsi="Arial"/>
                <w:sz w:val="17"/>
                <w:szCs w:val="17"/>
                <w:b w:val="1"/>
                <w:bCs w:val="1"/>
                <w:color w:val="auto"/>
              </w:rPr>
              <w:t>Page</w:t>
            </w:r>
          </w:p>
        </w:tc>
      </w:tr>
      <w:tr>
        <w:trPr>
          <w:trHeight w:val="190"/>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20" w:type="dxa"/>
            <w:vAlign w:val="bottom"/>
            <w:shd w:val="clear" w:color="auto" w:fill="CCEEFF"/>
          </w:tcPr>
          <w:p>
            <w:pPr>
              <w:spacing w:after="0"/>
              <w:rPr>
                <w:sz w:val="15"/>
                <w:szCs w:val="15"/>
                <w:color w:val="auto"/>
              </w:rPr>
            </w:pPr>
          </w:p>
        </w:tc>
        <w:tc>
          <w:tcPr>
            <w:tcW w:w="10300" w:type="dxa"/>
            <w:vAlign w:val="bottom"/>
            <w:gridSpan w:val="6"/>
            <w:shd w:val="clear" w:color="auto" w:fill="CCEEFF"/>
          </w:tcPr>
          <w:p>
            <w:pPr>
              <w:spacing w:after="0" w:line="184" w:lineRule="exact"/>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(PCAOB ID: 42)</w:t>
            </w:r>
          </w:p>
        </w:tc>
        <w:tc>
          <w:tcPr>
            <w:tcW w:w="540" w:type="dxa"/>
            <w:vAlign w:val="bottom"/>
            <w:gridSpan w:val="2"/>
            <w:shd w:val="clear" w:color="auto" w:fill="CCEEFF"/>
          </w:tcPr>
          <w:p>
            <w:pPr>
              <w:jc w:val="center"/>
              <w:ind w:left="253"/>
              <w:spacing w:after="0" w:line="184" w:lineRule="exact"/>
              <w:rPr>
                <w:sz w:val="20"/>
                <w:szCs w:val="20"/>
                <w:color w:val="auto"/>
              </w:rPr>
            </w:pPr>
            <w:r>
              <w:rPr>
                <w:rFonts w:ascii="Arial" w:cs="Arial" w:eastAsia="Arial" w:hAnsi="Arial"/>
                <w:sz w:val="17"/>
                <w:szCs w:val="17"/>
                <w:color w:val="0000FF"/>
              </w:rPr>
              <w:t>97</w:t>
            </w:r>
          </w:p>
        </w:tc>
        <w:tc>
          <w:tcPr>
            <w:tcW w:w="36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230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40" w:type="dxa"/>
            <w:vAlign w:val="bottom"/>
            <w:tcBorders>
              <w:righ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582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2300" w:type="dxa"/>
            <w:vAlign w:val="bottom"/>
          </w:tcPr>
          <w:p>
            <w:pPr>
              <w:spacing w:after="0" w:line="184" w:lineRule="exact"/>
              <w:rPr>
                <w:sz w:val="20"/>
                <w:szCs w:val="20"/>
                <w:color w:val="auto"/>
              </w:rPr>
            </w:pPr>
            <w:r>
              <w:rPr>
                <w:rFonts w:ascii="Arial" w:cs="Arial" w:eastAsia="Arial" w:hAnsi="Arial"/>
                <w:sz w:val="17"/>
                <w:szCs w:val="17"/>
                <w:color w:val="0000FF"/>
              </w:rPr>
              <w:t>Consolidated Balance Sheets</w:t>
            </w:r>
          </w:p>
        </w:tc>
        <w:tc>
          <w:tcPr>
            <w:tcW w:w="2180" w:type="dxa"/>
            <w:vAlign w:val="bottom"/>
            <w:gridSpan w:val="4"/>
          </w:tcPr>
          <w:p>
            <w:pPr>
              <w:spacing w:after="0"/>
              <w:rPr>
                <w:sz w:val="15"/>
                <w:szCs w:val="15"/>
                <w:color w:val="auto"/>
              </w:rPr>
            </w:pPr>
          </w:p>
        </w:tc>
        <w:tc>
          <w:tcPr>
            <w:tcW w:w="5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jc w:val="center"/>
              <w:spacing w:after="0" w:line="184" w:lineRule="exact"/>
              <w:rPr>
                <w:sz w:val="20"/>
                <w:szCs w:val="20"/>
                <w:color w:val="auto"/>
              </w:rPr>
            </w:pPr>
            <w:r>
              <w:rPr>
                <w:rFonts w:ascii="Arial" w:cs="Arial" w:eastAsia="Arial" w:hAnsi="Arial"/>
                <w:sz w:val="17"/>
                <w:szCs w:val="17"/>
                <w:color w:val="0000FF"/>
              </w:rPr>
              <w:t>99</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3120" w:type="dxa"/>
            <w:vAlign w:val="bottom"/>
            <w:tcBorders>
              <w:right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0000FF"/>
              </w:rPr>
              <w:t>Consolidated Statements of Operations</w:t>
            </w:r>
          </w:p>
        </w:tc>
        <w:tc>
          <w:tcPr>
            <w:tcW w:w="7180" w:type="dxa"/>
            <w:vAlign w:val="bottom"/>
            <w:gridSpan w:val="4"/>
            <w:shd w:val="clear" w:color="auto" w:fill="CCEEFF"/>
          </w:tcPr>
          <w:p>
            <w:pPr>
              <w:spacing w:after="0"/>
              <w:rPr>
                <w:sz w:val="16"/>
                <w:szCs w:val="16"/>
                <w:color w:val="auto"/>
              </w:rPr>
            </w:pPr>
          </w:p>
        </w:tc>
        <w:tc>
          <w:tcPr>
            <w:tcW w:w="900" w:type="dxa"/>
            <w:vAlign w:val="bottom"/>
            <w:gridSpan w:val="3"/>
            <w:shd w:val="clear" w:color="auto" w:fill="CCEEFF"/>
          </w:tcPr>
          <w:p>
            <w:pPr>
              <w:jc w:val="center"/>
              <w:spacing w:after="0" w:line="194" w:lineRule="exact"/>
              <w:rPr>
                <w:sz w:val="20"/>
                <w:szCs w:val="20"/>
                <w:color w:val="auto"/>
              </w:rPr>
            </w:pPr>
            <w:r>
              <w:rPr>
                <w:rFonts w:ascii="Arial" w:cs="Arial" w:eastAsia="Arial" w:hAnsi="Arial"/>
                <w:sz w:val="17"/>
                <w:szCs w:val="17"/>
                <w:color w:val="0000FF"/>
              </w:rPr>
              <w:t>100</w:t>
            </w:r>
          </w:p>
        </w:tc>
        <w:tc>
          <w:tcPr>
            <w:tcW w:w="20" w:type="dxa"/>
            <w:vAlign w:val="bottom"/>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300" w:type="dxa"/>
            <w:vAlign w:val="bottom"/>
            <w:shd w:val="clear" w:color="auto" w:fill="0000FF"/>
          </w:tcPr>
          <w:p>
            <w:pPr>
              <w:spacing w:after="0"/>
              <w:rPr>
                <w:sz w:val="3"/>
                <w:szCs w:val="3"/>
                <w:color w:val="auto"/>
              </w:rPr>
            </w:pPr>
          </w:p>
        </w:tc>
        <w:tc>
          <w:tcPr>
            <w:tcW w:w="820" w:type="dxa"/>
            <w:vAlign w:val="bottom"/>
            <w:tcBorders>
              <w:right w:val="single" w:sz="8" w:color="CCEEFF"/>
            </w:tcBorders>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820" w:type="dxa"/>
            <w:vAlign w:val="bottom"/>
            <w:shd w:val="clear" w:color="auto" w:fill="CCEEFF"/>
          </w:tcPr>
          <w:p>
            <w:pPr>
              <w:spacing w:after="0"/>
              <w:rPr>
                <w:sz w:val="3"/>
                <w:szCs w:val="3"/>
                <w:color w:val="auto"/>
              </w:rPr>
            </w:pPr>
          </w:p>
        </w:tc>
        <w:tc>
          <w:tcPr>
            <w:tcW w:w="340" w:type="dxa"/>
            <w:vAlign w:val="bottom"/>
            <w:tcBorders>
              <w:right w:val="single" w:sz="8" w:color="0000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3840" w:type="dxa"/>
            <w:vAlign w:val="bottom"/>
            <w:gridSpan w:val="4"/>
          </w:tcPr>
          <w:p>
            <w:pPr>
              <w:spacing w:after="0" w:line="184" w:lineRule="exact"/>
              <w:rPr>
                <w:sz w:val="20"/>
                <w:szCs w:val="20"/>
                <w:color w:val="auto"/>
              </w:rPr>
            </w:pPr>
            <w:r>
              <w:rPr>
                <w:rFonts w:ascii="Arial" w:cs="Arial" w:eastAsia="Arial" w:hAnsi="Arial"/>
                <w:sz w:val="17"/>
                <w:szCs w:val="17"/>
                <w:color w:val="0000FF"/>
              </w:rPr>
              <w:t>Consolidated Statements of Comprehensive Loss</w:t>
            </w:r>
          </w:p>
        </w:tc>
        <w:tc>
          <w:tcPr>
            <w:tcW w:w="6460" w:type="dxa"/>
            <w:vAlign w:val="bottom"/>
            <w:gridSpan w:val="2"/>
          </w:tcPr>
          <w:p>
            <w:pPr>
              <w:spacing w:after="0"/>
              <w:rPr>
                <w:sz w:val="15"/>
                <w:szCs w:val="15"/>
                <w:color w:val="auto"/>
              </w:rPr>
            </w:pPr>
          </w:p>
        </w:tc>
        <w:tc>
          <w:tcPr>
            <w:tcW w:w="900" w:type="dxa"/>
            <w:vAlign w:val="bottom"/>
            <w:gridSpan w:val="3"/>
          </w:tcPr>
          <w:p>
            <w:pPr>
              <w:jc w:val="center"/>
              <w:spacing w:after="0" w:line="184" w:lineRule="exact"/>
              <w:rPr>
                <w:sz w:val="20"/>
                <w:szCs w:val="20"/>
                <w:color w:val="auto"/>
              </w:rPr>
            </w:pPr>
            <w:r>
              <w:rPr>
                <w:rFonts w:ascii="Arial" w:cs="Arial" w:eastAsia="Arial" w:hAnsi="Arial"/>
                <w:sz w:val="17"/>
                <w:szCs w:val="17"/>
                <w:color w:val="0000FF"/>
              </w:rPr>
              <w:t>101</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82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3840" w:type="dxa"/>
            <w:vAlign w:val="bottom"/>
            <w:tcBorders>
              <w:right w:val="single" w:sz="8" w:color="CCEEFF"/>
            </w:tcBorders>
            <w:gridSpan w:val="4"/>
            <w:shd w:val="clear" w:color="auto" w:fill="CCEEFF"/>
          </w:tcPr>
          <w:p>
            <w:pPr>
              <w:spacing w:after="0" w:line="194" w:lineRule="exact"/>
              <w:rPr>
                <w:sz w:val="20"/>
                <w:szCs w:val="20"/>
                <w:color w:val="auto"/>
              </w:rPr>
            </w:pPr>
            <w:r>
              <w:rPr>
                <w:rFonts w:ascii="Arial" w:cs="Arial" w:eastAsia="Arial" w:hAnsi="Arial"/>
                <w:sz w:val="17"/>
                <w:szCs w:val="17"/>
                <w:color w:val="0000FF"/>
              </w:rPr>
              <w:t>Consolidated Statements of Stockholders’ Equity</w:t>
            </w:r>
          </w:p>
        </w:tc>
        <w:tc>
          <w:tcPr>
            <w:tcW w:w="6460" w:type="dxa"/>
            <w:vAlign w:val="bottom"/>
            <w:gridSpan w:val="2"/>
            <w:shd w:val="clear" w:color="auto" w:fill="CCEEFF"/>
          </w:tcPr>
          <w:p>
            <w:pPr>
              <w:spacing w:after="0"/>
              <w:rPr>
                <w:sz w:val="16"/>
                <w:szCs w:val="16"/>
                <w:color w:val="auto"/>
              </w:rPr>
            </w:pPr>
          </w:p>
        </w:tc>
        <w:tc>
          <w:tcPr>
            <w:tcW w:w="900" w:type="dxa"/>
            <w:vAlign w:val="bottom"/>
            <w:gridSpan w:val="3"/>
            <w:shd w:val="clear" w:color="auto" w:fill="CCEEFF"/>
          </w:tcPr>
          <w:p>
            <w:pPr>
              <w:jc w:val="center"/>
              <w:spacing w:after="0" w:line="194" w:lineRule="exact"/>
              <w:rPr>
                <w:sz w:val="20"/>
                <w:szCs w:val="20"/>
                <w:color w:val="auto"/>
              </w:rPr>
            </w:pPr>
            <w:r>
              <w:rPr>
                <w:rFonts w:ascii="Arial" w:cs="Arial" w:eastAsia="Arial" w:hAnsi="Arial"/>
                <w:sz w:val="17"/>
                <w:szCs w:val="17"/>
                <w:color w:val="0000FF"/>
              </w:rPr>
              <w:t>102</w:t>
            </w:r>
          </w:p>
        </w:tc>
        <w:tc>
          <w:tcPr>
            <w:tcW w:w="20" w:type="dxa"/>
            <w:vAlign w:val="bottom"/>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30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40" w:type="dxa"/>
            <w:vAlign w:val="bottom"/>
            <w:tcBorders>
              <w:right w:val="single" w:sz="8" w:color="CCEEFF"/>
            </w:tcBorders>
            <w:shd w:val="clear" w:color="auto" w:fill="0000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820" w:type="dxa"/>
            <w:vAlign w:val="bottom"/>
            <w:shd w:val="clear" w:color="auto" w:fill="CCEEFF"/>
          </w:tcPr>
          <w:p>
            <w:pPr>
              <w:spacing w:after="0"/>
              <w:rPr>
                <w:sz w:val="3"/>
                <w:szCs w:val="3"/>
                <w:color w:val="auto"/>
              </w:rPr>
            </w:pPr>
          </w:p>
        </w:tc>
        <w:tc>
          <w:tcPr>
            <w:tcW w:w="340" w:type="dxa"/>
            <w:vAlign w:val="bottom"/>
            <w:tcBorders>
              <w:right w:val="single" w:sz="8" w:color="0000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3120" w:type="dxa"/>
            <w:vAlign w:val="bottom"/>
            <w:gridSpan w:val="2"/>
          </w:tcPr>
          <w:p>
            <w:pPr>
              <w:spacing w:after="0" w:line="184" w:lineRule="exact"/>
              <w:rPr>
                <w:sz w:val="20"/>
                <w:szCs w:val="20"/>
                <w:color w:val="auto"/>
              </w:rPr>
            </w:pPr>
            <w:r>
              <w:rPr>
                <w:rFonts w:ascii="Arial" w:cs="Arial" w:eastAsia="Arial" w:hAnsi="Arial"/>
                <w:sz w:val="17"/>
                <w:szCs w:val="17"/>
                <w:color w:val="0000FF"/>
              </w:rPr>
              <w:t>Consolidated Statements of Cash Flows</w:t>
            </w:r>
          </w:p>
        </w:tc>
        <w:tc>
          <w:tcPr>
            <w:tcW w:w="720" w:type="dxa"/>
            <w:vAlign w:val="bottom"/>
            <w:gridSpan w:val="2"/>
          </w:tcPr>
          <w:p>
            <w:pPr>
              <w:spacing w:after="0"/>
              <w:rPr>
                <w:sz w:val="15"/>
                <w:szCs w:val="15"/>
                <w:color w:val="auto"/>
              </w:rPr>
            </w:pPr>
          </w:p>
        </w:tc>
        <w:tc>
          <w:tcPr>
            <w:tcW w:w="6460" w:type="dxa"/>
            <w:vAlign w:val="bottom"/>
            <w:gridSpan w:val="2"/>
          </w:tcPr>
          <w:p>
            <w:pPr>
              <w:spacing w:after="0"/>
              <w:rPr>
                <w:sz w:val="15"/>
                <w:szCs w:val="15"/>
                <w:color w:val="auto"/>
              </w:rPr>
            </w:pPr>
          </w:p>
        </w:tc>
        <w:tc>
          <w:tcPr>
            <w:tcW w:w="900" w:type="dxa"/>
            <w:vAlign w:val="bottom"/>
            <w:gridSpan w:val="3"/>
          </w:tcPr>
          <w:p>
            <w:pPr>
              <w:jc w:val="center"/>
              <w:spacing w:after="0" w:line="184" w:lineRule="exact"/>
              <w:rPr>
                <w:sz w:val="20"/>
                <w:szCs w:val="20"/>
                <w:color w:val="auto"/>
              </w:rPr>
            </w:pPr>
            <w:r>
              <w:rPr>
                <w:rFonts w:ascii="Arial" w:cs="Arial" w:eastAsia="Arial" w:hAnsi="Arial"/>
                <w:sz w:val="17"/>
                <w:szCs w:val="17"/>
                <w:color w:val="0000FF"/>
              </w:rPr>
              <w:t>104</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82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4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20" w:type="dxa"/>
            <w:vAlign w:val="bottom"/>
            <w:shd w:val="clear" w:color="auto" w:fill="CCEEFF"/>
          </w:tcPr>
          <w:p>
            <w:pPr>
              <w:spacing w:after="0"/>
              <w:rPr>
                <w:sz w:val="18"/>
                <w:szCs w:val="18"/>
                <w:color w:val="auto"/>
              </w:rPr>
            </w:pPr>
          </w:p>
        </w:tc>
        <w:tc>
          <w:tcPr>
            <w:tcW w:w="10300" w:type="dxa"/>
            <w:vAlign w:val="bottom"/>
            <w:gridSpan w:val="6"/>
            <w:shd w:val="clear" w:color="auto" w:fill="CCEEFF"/>
          </w:tcPr>
          <w:p>
            <w:pPr>
              <w:spacing w:after="0" w:line="194" w:lineRule="exact"/>
              <w:rPr>
                <w:sz w:val="20"/>
                <w:szCs w:val="20"/>
                <w:color w:val="auto"/>
              </w:rPr>
            </w:pPr>
            <w:r>
              <w:rPr>
                <w:rFonts w:ascii="Arial" w:cs="Arial" w:eastAsia="Arial" w:hAnsi="Arial"/>
                <w:sz w:val="17"/>
                <w:szCs w:val="17"/>
                <w:color w:val="0000FF"/>
              </w:rPr>
              <w:t>Notes to Consolidated Financial Statements</w:t>
            </w:r>
          </w:p>
        </w:tc>
        <w:tc>
          <w:tcPr>
            <w:tcW w:w="900" w:type="dxa"/>
            <w:vAlign w:val="bottom"/>
            <w:gridSpan w:val="3"/>
            <w:shd w:val="clear" w:color="auto" w:fill="CCEEFF"/>
          </w:tcPr>
          <w:p>
            <w:pPr>
              <w:jc w:val="center"/>
              <w:spacing w:after="0" w:line="194" w:lineRule="exact"/>
              <w:rPr>
                <w:sz w:val="20"/>
                <w:szCs w:val="20"/>
                <w:color w:val="auto"/>
              </w:rPr>
            </w:pPr>
            <w:r>
              <w:rPr>
                <w:rFonts w:ascii="Arial" w:cs="Arial" w:eastAsia="Arial" w:hAnsi="Arial"/>
                <w:sz w:val="17"/>
                <w:szCs w:val="17"/>
                <w:color w:val="0000FF"/>
              </w:rPr>
              <w:t>105</w:t>
            </w:r>
          </w:p>
        </w:tc>
        <w:tc>
          <w:tcPr>
            <w:tcW w:w="20" w:type="dxa"/>
            <w:vAlign w:val="bottom"/>
          </w:tcPr>
          <w:p>
            <w:pPr>
              <w:spacing w:after="0"/>
              <w:rPr>
                <w:sz w:val="18"/>
                <w:szCs w:val="18"/>
                <w:color w:val="auto"/>
              </w:rPr>
            </w:pPr>
          </w:p>
        </w:tc>
      </w:tr>
      <w:tr>
        <w:trPr>
          <w:trHeight w:val="830"/>
        </w:trPr>
        <w:tc>
          <w:tcPr>
            <w:tcW w:w="20" w:type="dxa"/>
            <w:vAlign w:val="bottom"/>
            <w:tcBorders>
              <w:top w:val="single" w:sz="8" w:color="CCEEFF"/>
            </w:tcBorders>
          </w:tcPr>
          <w:p>
            <w:pPr>
              <w:spacing w:after="0"/>
              <w:rPr>
                <w:sz w:val="24"/>
                <w:szCs w:val="24"/>
                <w:color w:val="auto"/>
              </w:rPr>
            </w:pPr>
          </w:p>
        </w:tc>
        <w:tc>
          <w:tcPr>
            <w:tcW w:w="3400" w:type="dxa"/>
            <w:vAlign w:val="bottom"/>
            <w:tcBorders>
              <w:top w:val="single" w:sz="8" w:color="0000FF"/>
            </w:tcBorders>
            <w:gridSpan w:val="3"/>
          </w:tcPr>
          <w:p>
            <w:pPr>
              <w:spacing w:after="0"/>
              <w:rPr>
                <w:sz w:val="24"/>
                <w:szCs w:val="24"/>
                <w:color w:val="auto"/>
              </w:rPr>
            </w:pPr>
          </w:p>
        </w:tc>
        <w:tc>
          <w:tcPr>
            <w:tcW w:w="6900" w:type="dxa"/>
            <w:vAlign w:val="bottom"/>
            <w:tcBorders>
              <w:top w:val="single" w:sz="8" w:color="CCEEFF"/>
            </w:tcBorders>
            <w:gridSpan w:val="3"/>
          </w:tcPr>
          <w:p>
            <w:pPr>
              <w:jc w:val="right"/>
              <w:ind w:right="4600"/>
              <w:spacing w:after="0"/>
              <w:rPr>
                <w:sz w:val="20"/>
                <w:szCs w:val="20"/>
                <w:color w:val="auto"/>
              </w:rPr>
            </w:pPr>
            <w:r>
              <w:rPr>
                <w:rFonts w:ascii="Arial" w:cs="Arial" w:eastAsia="Arial" w:hAnsi="Arial"/>
                <w:sz w:val="17"/>
                <w:szCs w:val="17"/>
                <w:color w:val="auto"/>
              </w:rPr>
              <w:t>96</w:t>
            </w: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8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26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Praxis Precision Medicines, Inc.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2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We have audited the accompanying consolidated balance sheets of Praxis Precision Medicines, Inc. (the Company) as of December 31, 2022 and 2021, the related consolidated statements of operations, comprehensive loss,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Company's Ability to Continue as a Going Concern</w:t>
      </w:r>
    </w:p>
    <w:p>
      <w:pPr>
        <w:spacing w:after="0" w:line="12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financial statements, the Company has suffered recurring losses from operations, has limited financial resources,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1"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7" w:name="page98"/>
    <w:bookmarkEnd w:id="97"/>
    <w:p>
      <w:pPr>
        <w:spacing w:after="0" w:line="244" w:lineRule="auto"/>
        <w:framePr w:w="9260" w:h="997" w:wrap="auto" w:vAnchor="page" w:hAnchor="page" w:x="2200" w:y="3981"/>
        <w:rPr>
          <w:rFonts w:ascii="Arial" w:cs="Arial" w:eastAsia="Arial" w:hAnsi="Arial"/>
          <w:sz w:val="17"/>
          <w:szCs w:val="17"/>
          <w:color w:val="auto"/>
        </w:rPr>
      </w:pPr>
      <w:r>
        <w:rPr>
          <w:rFonts w:ascii="Arial" w:cs="Arial" w:eastAsia="Arial" w:hAnsi="Arial"/>
          <w:sz w:val="17"/>
          <w:szCs w:val="17"/>
          <w:color w:val="auto"/>
        </w:rPr>
        <w:t>Auditing the Company’s accrued and prepaid research and development costs for the ulixacaltamide Essential1 clinical trial was complex, as accounting for the costs associated with this clinical trial required subjective estimates of the level of services performed and the associated costs incurred by service providers. Furthermore, due to the duration of the Company’s ulixacaltamide Essential1 clinical trial, and the timing of information received from third parties, the actual amounts incurred are not typically known at the time the consolidated financial statements are issued.</w:t>
      </w:r>
    </w:p>
    <w:p>
      <w:pPr>
        <w:spacing w:after="0" w:line="226" w:lineRule="auto"/>
        <w:framePr w:w="11180" w:h="184" w:wrap="auto" w:vAnchor="page" w:hAnchor="page" w:x="300" w:y="5555"/>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How We Addressed the </w:t>
      </w:r>
      <w:r>
        <w:rPr>
          <w:rFonts w:ascii="Arial" w:cs="Arial" w:eastAsia="Arial" w:hAnsi="Arial"/>
          <w:sz w:val="17"/>
          <w:szCs w:val="17"/>
          <w:color w:val="auto"/>
        </w:rPr>
        <w:t>To evaluate the accrued and prepaid research and development costs for the ulixacaltamide Essential1 clinical trial, our</w:t>
      </w:r>
    </w:p>
    <w:p>
      <w:pPr>
        <w:spacing w:after="0" w:line="225" w:lineRule="auto"/>
        <w:framePr w:w="1540" w:h="158" w:wrap="auto" w:vAnchor="page" w:hAnchor="page" w:x="300" w:y="5843"/>
        <w:rPr>
          <w:rFonts w:ascii="Arial" w:cs="Arial" w:eastAsia="Arial" w:hAnsi="Arial"/>
          <w:sz w:val="17"/>
          <w:szCs w:val="17"/>
          <w:i w:val="1"/>
          <w:iCs w:val="1"/>
          <w:color w:val="auto"/>
        </w:rPr>
      </w:pPr>
      <w:r>
        <w:rPr>
          <w:rFonts w:ascii="Arial" w:cs="Arial" w:eastAsia="Arial" w:hAnsi="Arial"/>
          <w:sz w:val="34"/>
          <w:szCs w:val="34"/>
          <w:i w:val="1"/>
          <w:iCs w:val="1"/>
          <w:color w:val="auto"/>
          <w:vertAlign w:val="subscript"/>
        </w:rPr>
        <w:t>Matter in Our Audit</w:t>
      </w:r>
    </w:p>
    <w:p>
      <w:pPr>
        <w:spacing w:after="0" w:line="225" w:lineRule="auto"/>
        <w:framePr w:w="9000" w:h="368" w:wrap="auto" w:vAnchor="page" w:hAnchor="page" w:x="2200" w:y="5765"/>
        <w:rPr>
          <w:rFonts w:ascii="Arial" w:cs="Arial" w:eastAsia="Arial" w:hAnsi="Arial"/>
          <w:sz w:val="17"/>
          <w:szCs w:val="17"/>
          <w:i w:val="1"/>
          <w:iCs w:val="1"/>
          <w:color w:val="auto"/>
        </w:rPr>
      </w:pPr>
      <w:r>
        <w:rPr>
          <w:rFonts w:ascii="Arial" w:cs="Arial" w:eastAsia="Arial" w:hAnsi="Arial"/>
          <w:sz w:val="17"/>
          <w:szCs w:val="17"/>
          <w:i w:val="1"/>
          <w:iCs w:val="1"/>
          <w:color w:val="auto"/>
        </w:rPr>
        <w:t>audit procedures included, among others, testing the accuracy and completeness of the underlying data used in the estimates and evaluating the significant judgments and estimates made by management to determine the recorded</w:t>
      </w:r>
    </w:p>
    <w:p>
      <w:pPr>
        <w:spacing w:after="0" w:line="248" w:lineRule="auto"/>
        <w:framePr w:w="9280" w:h="1417" w:wrap="auto" w:vAnchor="page" w:hAnchor="page" w:x="2200" w:y="6184"/>
        <w:rPr>
          <w:rFonts w:ascii="Arial" w:cs="Arial" w:eastAsia="Arial" w:hAnsi="Arial"/>
          <w:sz w:val="17"/>
          <w:szCs w:val="17"/>
          <w:i w:val="1"/>
          <w:iCs w:val="1"/>
          <w:color w:val="auto"/>
        </w:rPr>
      </w:pPr>
      <w:r>
        <w:rPr>
          <w:rFonts w:ascii="Arial" w:cs="Arial" w:eastAsia="Arial" w:hAnsi="Arial"/>
          <w:sz w:val="17"/>
          <w:szCs w:val="17"/>
          <w:i w:val="1"/>
          <w:iCs w:val="1"/>
          <w:color w:val="auto"/>
        </w:rPr>
        <w:t>accruals and prepayments. To test the significant judgments and estimates, we corroborated the progress of research and development activities through discussion with the Company’s research and development personnel that oversee the research and development projects and inspected the Company’s contracts with third parties and any pending change orders to assess the impact on amounts recorded. In addition, we reviewed estimates of costs incurred to date provided to the Company from third parties. We also analyzed fluctuations in accruals by vendor and by trial throughout the period subject to audit, evaluated the costs incurred per trial, site and/or patient for reasonableness and tested subsequent invoices received from third parties.</w:t>
      </w:r>
    </w:p>
    <w:p>
      <w:pPr>
        <w:spacing w:after="0" w:line="194" w:lineRule="auto"/>
        <w:framePr w:w="1780" w:h="158" w:wrap="auto" w:vAnchor="page" w:hAnchor="page" w:x="280" w:y="8007"/>
        <w:rPr>
          <w:rFonts w:ascii="Arial" w:cs="Arial" w:eastAsia="Arial" w:hAnsi="Arial"/>
          <w:sz w:val="17"/>
          <w:szCs w:val="17"/>
          <w:i w:val="1"/>
          <w:iCs w:val="1"/>
          <w:color w:val="auto"/>
        </w:rPr>
      </w:pPr>
      <w:r>
        <w:rPr>
          <w:rFonts w:ascii="Arial" w:cs="Arial" w:eastAsia="Arial" w:hAnsi="Arial"/>
          <w:sz w:val="17"/>
          <w:szCs w:val="17"/>
          <w:i w:val="1"/>
          <w:iCs w:val="1"/>
          <w:color w:val="auto"/>
        </w:rPr>
        <w:t>/s/ Ernst &amp; Young LLP</w:t>
      </w:r>
    </w:p>
    <w:p>
      <w:pPr>
        <w:spacing w:after="0" w:line="225" w:lineRule="auto"/>
        <w:framePr w:w="4320" w:h="368" w:wrap="auto" w:vAnchor="page" w:hAnchor="page" w:x="280" w:y="8453"/>
        <w:rPr>
          <w:rFonts w:ascii="Arial" w:cs="Arial" w:eastAsia="Arial" w:hAnsi="Arial"/>
          <w:sz w:val="17"/>
          <w:szCs w:val="17"/>
          <w:i w:val="1"/>
          <w:iCs w:val="1"/>
          <w:color w:val="auto"/>
        </w:rPr>
      </w:pPr>
      <w:r>
        <w:rPr>
          <w:rFonts w:ascii="Arial" w:cs="Arial" w:eastAsia="Arial" w:hAnsi="Arial"/>
          <w:sz w:val="17"/>
          <w:szCs w:val="17"/>
          <w:i w:val="1"/>
          <w:iCs w:val="1"/>
          <w:color w:val="auto"/>
        </w:rPr>
        <w:t>We have served as the Company’s auditor since 2019. Boston, Massachusetts</w:t>
      </w:r>
    </w:p>
    <w:p>
      <w:pPr>
        <w:spacing w:after="0" w:line="194" w:lineRule="auto"/>
        <w:framePr w:w="1420" w:h="158" w:wrap="auto" w:vAnchor="page" w:hAnchor="page" w:x="280" w:y="8859"/>
        <w:rPr>
          <w:rFonts w:ascii="Arial" w:cs="Arial" w:eastAsia="Arial" w:hAnsi="Arial"/>
          <w:sz w:val="17"/>
          <w:szCs w:val="17"/>
          <w:i w:val="1"/>
          <w:iCs w:val="1"/>
          <w:color w:val="auto"/>
        </w:rPr>
      </w:pPr>
      <w:r>
        <w:rPr>
          <w:rFonts w:ascii="Arial" w:cs="Arial" w:eastAsia="Arial" w:hAnsi="Arial"/>
          <w:sz w:val="17"/>
          <w:szCs w:val="17"/>
          <w:i w:val="1"/>
          <w:iCs w:val="1"/>
          <w:color w:val="auto"/>
        </w:rPr>
        <w:t>February 7, 2023</w:t>
      </w:r>
    </w:p>
    <w:p>
      <w:pPr>
        <w:spacing w:after="0" w:line="194" w:lineRule="auto"/>
        <w:framePr w:w="280" w:h="158" w:wrap="auto" w:vAnchor="page" w:hAnchor="page" w:x="5800" w:y="9607"/>
        <w:rPr>
          <w:rFonts w:ascii="Arial" w:cs="Arial" w:eastAsia="Arial" w:hAnsi="Arial"/>
          <w:sz w:val="17"/>
          <w:szCs w:val="17"/>
          <w:i w:val="1"/>
          <w:iCs w:val="1"/>
          <w:color w:val="auto"/>
        </w:rPr>
      </w:pPr>
      <w:r>
        <w:rPr>
          <w:rFonts w:ascii="Arial" w:cs="Arial" w:eastAsia="Arial" w:hAnsi="Arial"/>
          <w:sz w:val="17"/>
          <w:szCs w:val="17"/>
          <w:i w:val="1"/>
          <w:iCs w:val="1"/>
          <w:color w:val="auto"/>
        </w:rPr>
        <w:t>98</w:t>
      </w:r>
    </w:p>
    <w:p>
      <w:pPr>
        <w:spacing w:after="0" w:line="251" w:lineRule="auto"/>
        <w:framePr w:w="9200" w:h="2256" w:wrap="auto" w:vAnchor="page" w:hAnchor="page" w:x="2200" w:y="1463"/>
        <w:rPr>
          <w:rFonts w:ascii="Arial" w:cs="Arial" w:eastAsia="Arial" w:hAnsi="Arial"/>
          <w:sz w:val="17"/>
          <w:szCs w:val="17"/>
          <w:i w:val="1"/>
          <w:iCs w:val="1"/>
          <w:color w:val="auto"/>
        </w:rPr>
      </w:pPr>
      <w:r>
        <w:rPr>
          <w:rFonts w:ascii="Arial" w:cs="Arial" w:eastAsia="Arial" w:hAnsi="Arial"/>
          <w:sz w:val="17"/>
          <w:szCs w:val="17"/>
          <w:i w:val="1"/>
          <w:iCs w:val="1"/>
          <w:color w:val="auto"/>
        </w:rPr>
        <w:t>The Company’s accrued costs for research and development expenses totaled $10.7 million at December 31, 2022, including accruals related to the Company’s ulixacaltamide Essential1 clinical trial. In addition, the Company’s prepaid expenses and other current assets were $10.4 million, which included amounts that were paid in advance of services incurred pursuant to the ulixacaltamide Essential1 clinical trial. As discussed in Note 2 to the consolidated financial statements, the Company analyzes the progress of the clinical trials, including the phase or completion of events, invoices received and contracted costs. Significant judgments and estimates are made in determining the accrued and prepaid balances at the end of any reporting period for the Company’s ulixacaltamide Essential1 clinical trial. The Company is required to estimate such accruals and prepaids using judgment based on certain information, including actual costs incurred or level of effort expended, as provided by its vendors. Payments for such activities are based on the terms of the individual arrangements, which may differ from the pattern of costs incurred, and are reflected on the consolidated balance sheet within accrued or prepaid expenses and other current assets.</w:t>
      </w: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rFonts w:ascii="Arial" w:cs="Arial" w:eastAsia="Arial" w:hAnsi="Arial"/>
          <w:sz w:val="17"/>
          <w:szCs w:val="17"/>
          <w:i w:val="1"/>
          <w:iCs w:val="1"/>
          <w:color w:val="auto"/>
        </w:rPr>
      </w:pPr>
    </w:p>
    <w:p>
      <w:pPr>
        <w:spacing w:after="0" w:line="392"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7"/>
          <w:szCs w:val="17"/>
          <w:b w:val="1"/>
          <w:bCs w:val="1"/>
          <w:color w:val="auto"/>
        </w:rPr>
        <w:t>Ulixacaltamide Essential1 Accrued and Prepaid Research and Development Costs</w:t>
      </w:r>
    </w:p>
    <w:p>
      <w:pPr>
        <w:spacing w:after="0" w:line="200" w:lineRule="exact"/>
        <w:rPr>
          <w:rFonts w:ascii="Arial" w:cs="Arial" w:eastAsia="Arial" w:hAnsi="Arial"/>
          <w:sz w:val="17"/>
          <w:szCs w:val="17"/>
          <w:i w:val="1"/>
          <w:iCs w:val="1"/>
          <w:color w:val="auto"/>
        </w:rPr>
      </w:pPr>
    </w:p>
    <w:p>
      <w:pPr>
        <w:ind w:left="20"/>
        <w:spacing w:after="0"/>
        <w:rPr>
          <w:sz w:val="20"/>
          <w:szCs w:val="20"/>
          <w:color w:val="auto"/>
        </w:rPr>
      </w:pPr>
      <w:r>
        <w:rPr>
          <w:rFonts w:ascii="Arial" w:cs="Arial" w:eastAsia="Arial" w:hAnsi="Arial"/>
          <w:sz w:val="17"/>
          <w:szCs w:val="17"/>
          <w:i w:val="1"/>
          <w:iCs w:val="1"/>
          <w:color w:val="auto"/>
        </w:rPr>
        <w:t>Description of the</w:t>
      </w:r>
    </w:p>
    <w:p>
      <w:pPr>
        <w:spacing w:after="0" w:line="67" w:lineRule="exact"/>
        <w:rPr>
          <w:rFonts w:ascii="Arial" w:cs="Arial" w:eastAsia="Arial" w:hAnsi="Arial"/>
          <w:sz w:val="17"/>
          <w:szCs w:val="17"/>
          <w:i w:val="1"/>
          <w:iCs w:val="1"/>
          <w:color w:val="auto"/>
        </w:rPr>
      </w:pPr>
    </w:p>
    <w:p>
      <w:pPr>
        <w:ind w:left="20"/>
        <w:spacing w:after="0"/>
        <w:rPr>
          <w:sz w:val="20"/>
          <w:szCs w:val="20"/>
          <w:color w:val="auto"/>
        </w:rPr>
      </w:pPr>
      <w:r>
        <w:rPr>
          <w:rFonts w:ascii="Arial" w:cs="Arial" w:eastAsia="Arial" w:hAnsi="Arial"/>
          <w:sz w:val="17"/>
          <w:szCs w:val="17"/>
          <w:i w:val="1"/>
          <w:iCs w:val="1"/>
          <w:color w:val="auto"/>
        </w:rPr>
        <w:t>Matter</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-8890</wp:posOffset>
            </wp:positionH>
            <wp:positionV relativeFrom="paragraph">
              <wp:posOffset>5194935</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61,615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138,704</w:t>
            </w:r>
          </w:p>
        </w:tc>
        <w:tc>
          <w:tcPr>
            <w:tcW w:w="0" w:type="dxa"/>
            <w:vAlign w:val="bottom"/>
          </w:tcPr>
          <w:p>
            <w:pPr>
              <w:spacing w:after="0"/>
              <w:rPr>
                <w:sz w:val="1"/>
                <w:szCs w:val="1"/>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38,874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137,207</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10,351</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11,498</w:t>
            </w:r>
          </w:p>
        </w:tc>
        <w:tc>
          <w:tcPr>
            <w:tcW w:w="0" w:type="dxa"/>
            <w:vAlign w:val="bottom"/>
          </w:tcPr>
          <w:p>
            <w:pPr>
              <w:spacing w:after="0"/>
              <w:rPr>
                <w:sz w:val="1"/>
                <w:szCs w:val="1"/>
                <w:color w:val="auto"/>
              </w:rPr>
            </w:pPr>
          </w:p>
        </w:tc>
      </w:tr>
      <w:tr>
        <w:trPr>
          <w:trHeight w:val="202"/>
        </w:trPr>
        <w:tc>
          <w:tcPr>
            <w:tcW w:w="806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110,840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287,409</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2,901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3,653</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04"/>
        </w:trPr>
        <w:tc>
          <w:tcPr>
            <w:tcW w:w="8060" w:type="dxa"/>
            <w:vAlign w:val="bottom"/>
          </w:tcPr>
          <w:p>
            <w:pPr>
              <w:ind w:left="44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115,128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292,747</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6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10,780</w:t>
            </w:r>
          </w:p>
        </w:tc>
        <w:tc>
          <w:tcPr>
            <w:tcW w:w="0" w:type="dxa"/>
            <w:vAlign w:val="bottom"/>
          </w:tcPr>
          <w:p>
            <w:pPr>
              <w:spacing w:after="0"/>
              <w:rPr>
                <w:sz w:val="1"/>
                <w:szCs w:val="1"/>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15,850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26,844</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Current portion of deferred revenue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34,345</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38,434</w:t>
            </w:r>
          </w:p>
        </w:tc>
        <w:tc>
          <w:tcPr>
            <w:tcW w:w="0" w:type="dxa"/>
            <w:vAlign w:val="bottom"/>
          </w:tcPr>
          <w:p>
            <w:pPr>
              <w:spacing w:after="0"/>
              <w:rPr>
                <w:sz w:val="1"/>
                <w:szCs w:val="1"/>
                <w:color w:val="auto"/>
              </w:rPr>
            </w:pPr>
          </w:p>
        </w:tc>
      </w:tr>
      <w:tr>
        <w:trPr>
          <w:trHeight w:val="189"/>
        </w:trPr>
        <w:tc>
          <w:tcPr>
            <w:tcW w:w="80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3,501</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Non-current portion of deferred revenue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liabilities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41,935</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Commitments and contingencies (Note 8)</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60" w:type="dxa"/>
            <w:vAlign w:val="bottom"/>
          </w:tcPr>
          <w:p>
            <w:pPr>
              <w:ind w:left="240"/>
              <w:spacing w:after="0" w:line="158"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34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8060" w:type="dxa"/>
            <w:vAlign w:val="bottom"/>
          </w:tcPr>
          <w:p>
            <w:pPr>
              <w:ind w:left="240"/>
              <w:spacing w:after="0"/>
              <w:rPr>
                <w:sz w:val="20"/>
                <w:szCs w:val="20"/>
                <w:color w:val="auto"/>
              </w:rPr>
            </w:pPr>
            <w:r>
              <w:rPr>
                <w:rFonts w:ascii="Arial" w:cs="Arial" w:eastAsia="Arial" w:hAnsi="Arial"/>
                <w:sz w:val="16"/>
                <w:szCs w:val="16"/>
                <w:color w:val="auto"/>
              </w:rPr>
              <w:t>December 31, 2022 and December 31, 2021</w:t>
            </w: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060" w:type="dxa"/>
            <w:vAlign w:val="bottom"/>
            <w:shd w:val="clear" w:color="auto" w:fill="CCEEFF"/>
          </w:tcPr>
          <w:p>
            <w:pPr>
              <w:ind w:left="240"/>
              <w:spacing w:after="0" w:line="160" w:lineRule="exact"/>
              <w:rPr>
                <w:sz w:val="20"/>
                <w:szCs w:val="20"/>
                <w:color w:val="auto"/>
              </w:rPr>
            </w:pPr>
            <w:r>
              <w:rPr>
                <w:rFonts w:ascii="Arial" w:cs="Arial" w:eastAsia="Arial" w:hAnsi="Arial"/>
                <w:sz w:val="16"/>
                <w:szCs w:val="16"/>
                <w:color w:val="auto"/>
                <w:w w:val="99"/>
              </w:rPr>
              <w:t>Common stock, $0.0001 par value; 150,000,000 shares authorized; 49,382,453 shares issued and outstanding</w:t>
            </w:r>
          </w:p>
        </w:tc>
        <w:tc>
          <w:tcPr>
            <w:tcW w:w="3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as of December 31, 2022, and 45,300,514 shares issued and outstanding as of December 31, 2021</w:t>
            </w:r>
          </w:p>
        </w:tc>
        <w:tc>
          <w:tcPr>
            <w:tcW w:w="3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606,918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567,598</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(530,644)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(316,615)</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76,106</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250,812</w:t>
            </w:r>
          </w:p>
        </w:tc>
        <w:tc>
          <w:tcPr>
            <w:tcW w:w="0" w:type="dxa"/>
            <w:vAlign w:val="bottom"/>
          </w:tcPr>
          <w:p>
            <w:pPr>
              <w:spacing w:after="0"/>
              <w:rPr>
                <w:sz w:val="1"/>
                <w:szCs w:val="1"/>
                <w:color w:val="auto"/>
              </w:rPr>
            </w:pPr>
          </w:p>
        </w:tc>
      </w:tr>
      <w:tr>
        <w:trPr>
          <w:trHeight w:val="204"/>
        </w:trPr>
        <w:tc>
          <w:tcPr>
            <w:tcW w:w="8060" w:type="dxa"/>
            <w:vAlign w:val="bottom"/>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115,128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292,747</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8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6"/>
                <w:szCs w:val="16"/>
                <w:b w:val="1"/>
                <w:bCs w:val="1"/>
                <w:color w:val="auto"/>
              </w:rPr>
              <w:t>Year Ended December 31,</w:t>
            </w:r>
          </w:p>
        </w:tc>
      </w:tr>
      <w:tr>
        <w:trPr>
          <w:trHeight w:val="203"/>
        </w:trPr>
        <w:tc>
          <w:tcPr>
            <w:tcW w:w="80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2021</w:t>
            </w:r>
          </w:p>
        </w:tc>
      </w:tr>
      <w:tr>
        <w:trPr>
          <w:trHeight w:val="19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9"/>
        </w:trPr>
        <w:tc>
          <w:tcPr>
            <w:tcW w:w="802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155,040</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120,257</w:t>
            </w:r>
          </w:p>
        </w:tc>
      </w:tr>
      <w:tr>
        <w:trPr>
          <w:trHeight w:val="211"/>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59,946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47,075</w:t>
            </w:r>
          </w:p>
        </w:tc>
      </w:tr>
      <w:tr>
        <w:trPr>
          <w:trHeight w:val="202"/>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214,986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167,332</w:t>
            </w:r>
          </w:p>
        </w:tc>
      </w:tr>
      <w:tr>
        <w:trPr>
          <w:trHeight w:val="20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(214,986)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(167,332)</w:t>
            </w: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1"/>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02"/>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income</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957</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(214,029)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(167,061)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82"/>
        </w:trPr>
        <w:tc>
          <w:tcPr>
            <w:tcW w:w="8020" w:type="dxa"/>
            <w:vAlign w:val="bottom"/>
          </w:tcPr>
          <w:p>
            <w:pPr>
              <w:ind w:left="20"/>
              <w:spacing w:after="0" w:line="182" w:lineRule="exact"/>
              <w:rPr>
                <w:sz w:val="20"/>
                <w:szCs w:val="20"/>
                <w:color w:val="auto"/>
              </w:rPr>
            </w:pPr>
            <w:r>
              <w:rPr>
                <w:rFonts w:ascii="Arial" w:cs="Arial" w:eastAsia="Arial" w:hAnsi="Arial"/>
                <w:sz w:val="16"/>
                <w:szCs w:val="16"/>
                <w:color w:val="auto"/>
              </w:rPr>
              <w:t>Net loss per share attributable to common stockholders, basic and diluted</w:t>
            </w:r>
          </w:p>
        </w:tc>
        <w:tc>
          <w:tcPr>
            <w:tcW w:w="360" w:type="dxa"/>
            <w:vAlign w:val="bottom"/>
            <w:tcBorders>
              <w:bottom w:val="single" w:sz="8" w:color="auto"/>
            </w:tcBorders>
          </w:tcPr>
          <w:p>
            <w:pPr>
              <w:jc w:val="right"/>
              <w:ind w:right="181"/>
              <w:spacing w:after="0" w:line="182"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(4.64)</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181"/>
              <w:spacing w:after="0" w:line="182"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(3.94)</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46,096,737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42,454,055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8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6"/>
                <w:szCs w:val="16"/>
                <w:b w:val="1"/>
                <w:bCs w:val="1"/>
                <w:color w:val="auto"/>
              </w:rPr>
              <w:t>Year Ended December 31,</w:t>
            </w:r>
          </w:p>
        </w:tc>
      </w:tr>
      <w:tr>
        <w:trPr>
          <w:trHeight w:val="203"/>
        </w:trPr>
        <w:tc>
          <w:tcPr>
            <w:tcW w:w="80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2021</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(214,029)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(167,061)</w:t>
            </w:r>
          </w:p>
        </w:tc>
      </w:tr>
      <w:tr>
        <w:trPr>
          <w:trHeight w:val="209"/>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unrealized losses on marketable securities, net of tax</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(214,026)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(167,237)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8"/>
              </w:rPr>
              <w:t>Additional</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12"/>
                <w:szCs w:val="12"/>
                <w:color w:val="auto"/>
              </w:rPr>
            </w:pPr>
          </w:p>
        </w:tc>
        <w:tc>
          <w:tcPr>
            <w:tcW w:w="780" w:type="dxa"/>
            <w:vAlign w:val="bottom"/>
            <w:vMerge w:val="restart"/>
          </w:tcPr>
          <w:p>
            <w:pPr>
              <w:jc w:val="center"/>
              <w:ind w:right="119"/>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800" w:type="dxa"/>
            <w:vAlign w:val="bottom"/>
            <w:gridSpan w:val="3"/>
          </w:tcPr>
          <w:p>
            <w:pPr>
              <w:jc w:val="right"/>
              <w:ind w:right="279"/>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Other</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50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20"/>
              <w:spacing w:after="0" w:line="53" w:lineRule="exact"/>
              <w:rPr>
                <w:sz w:val="20"/>
                <w:szCs w:val="20"/>
                <w:color w:val="auto"/>
              </w:rPr>
            </w:pPr>
            <w:r>
              <w:rPr>
                <w:rFonts w:ascii="Arial" w:cs="Arial" w:eastAsia="Arial" w:hAnsi="Arial"/>
                <w:sz w:val="6"/>
                <w:szCs w:val="6"/>
                <w:b w:val="1"/>
                <w:bCs w:val="1"/>
                <w:color w:val="auto"/>
              </w:rPr>
              <w:t>Paid-In</w:t>
            </w: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60" w:type="dxa"/>
            <w:vAlign w:val="bottom"/>
            <w:gridSpan w:val="3"/>
          </w:tcPr>
          <w:p>
            <w:pPr>
              <w:ind w:left="40"/>
              <w:spacing w:after="0" w:line="53" w:lineRule="exact"/>
              <w:rPr>
                <w:sz w:val="20"/>
                <w:szCs w:val="20"/>
                <w:color w:val="auto"/>
              </w:rPr>
            </w:pPr>
            <w:r>
              <w:rPr>
                <w:rFonts w:ascii="Arial" w:cs="Arial" w:eastAsia="Arial" w:hAnsi="Arial"/>
                <w:sz w:val="6"/>
                <w:szCs w:val="6"/>
                <w:b w:val="1"/>
                <w:bCs w:val="1"/>
                <w:color w:val="auto"/>
              </w:rPr>
              <w:t>Comprehensive</w:t>
            </w:r>
          </w:p>
        </w:tc>
        <w:tc>
          <w:tcPr>
            <w:tcW w:w="960" w:type="dxa"/>
            <w:vAlign w:val="bottom"/>
            <w:gridSpan w:val="2"/>
          </w:tcPr>
          <w:p>
            <w:pPr>
              <w:jc w:val="center"/>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06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Capital</w:t>
            </w:r>
          </w:p>
        </w:tc>
        <w:tc>
          <w:tcPr>
            <w:tcW w:w="8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Deficit</w:t>
            </w: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Loss</w:t>
            </w:r>
          </w:p>
        </w:tc>
        <w:tc>
          <w:tcPr>
            <w:tcW w:w="180" w:type="dxa"/>
            <w:vAlign w:val="bottom"/>
          </w:tcPr>
          <w:p>
            <w:pPr>
              <w:spacing w:after="0"/>
              <w:rPr>
                <w:sz w:val="15"/>
                <w:szCs w:val="15"/>
                <w:color w:val="auto"/>
              </w:rPr>
            </w:pPr>
          </w:p>
        </w:tc>
        <w:tc>
          <w:tcPr>
            <w:tcW w:w="780" w:type="dxa"/>
            <w:vAlign w:val="bottom"/>
          </w:tcPr>
          <w:p>
            <w:pPr>
              <w:jc w:val="center"/>
              <w:ind w:right="119"/>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65"/>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45,300,514</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567,598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(316,615)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250,812</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7,886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7,886</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from at-the-market public offerings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70,410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1,368</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81,130</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(17,850)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72,278</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333</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unrealized loss on marketable securities,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(68,717)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(68,717)</w:t>
            </w:r>
          </w:p>
        </w:tc>
        <w:tc>
          <w:tcPr>
            <w:tcW w:w="0" w:type="dxa"/>
            <w:vAlign w:val="bottom"/>
          </w:tcPr>
          <w:p>
            <w:pPr>
              <w:spacing w:after="0"/>
              <w:rPr>
                <w:sz w:val="1"/>
                <w:szCs w:val="1"/>
                <w:color w:val="auto"/>
              </w:rPr>
            </w:pPr>
          </w:p>
        </w:tc>
      </w:tr>
      <w:tr>
        <w:trPr>
          <w:trHeight w:val="193"/>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45,506,482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576,955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(385,332)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191,022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vMerge w:val="restart"/>
          </w:tcPr>
          <w:p>
            <w:pPr>
              <w:ind w:left="20"/>
              <w:spacing w:after="0"/>
              <w:rPr>
                <w:sz w:val="20"/>
                <w:szCs w:val="20"/>
                <w:color w:val="auto"/>
              </w:rPr>
            </w:pPr>
            <w:r>
              <w:rPr>
                <w:rFonts w:ascii="Arial" w:cs="Arial" w:eastAsia="Arial" w:hAnsi="Arial"/>
                <w:sz w:val="12"/>
                <w:szCs w:val="12"/>
                <w:color w:val="auto"/>
              </w:rPr>
              <w:t>Stock-based compensation expense</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02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7,611</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7,611</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under employee stock purchase plan</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51,645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6,361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13,143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unrealized loss on marketable securities,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(60,194)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(60,194)</w:t>
            </w:r>
          </w:p>
        </w:tc>
        <w:tc>
          <w:tcPr>
            <w:tcW w:w="0" w:type="dxa"/>
            <w:vAlign w:val="bottom"/>
          </w:tcPr>
          <w:p>
            <w:pPr>
              <w:spacing w:after="0"/>
              <w:rPr>
                <w:sz w:val="1"/>
                <w:szCs w:val="1"/>
                <w:color w:val="auto"/>
              </w:rPr>
            </w:pPr>
          </w:p>
        </w:tc>
      </w:tr>
      <w:tr>
        <w:trPr>
          <w:trHeight w:val="193"/>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June 30,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45,575,406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585,070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(445,526)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138,869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vMerge w:val="restart"/>
          </w:tcPr>
          <w:p>
            <w:pPr>
              <w:ind w:left="20"/>
              <w:spacing w:after="0"/>
              <w:rPr>
                <w:sz w:val="20"/>
                <w:szCs w:val="20"/>
                <w:color w:val="auto"/>
              </w:rPr>
            </w:pPr>
            <w:r>
              <w:rPr>
                <w:rFonts w:ascii="Arial" w:cs="Arial" w:eastAsia="Arial" w:hAnsi="Arial"/>
                <w:sz w:val="12"/>
                <w:szCs w:val="12"/>
                <w:color w:val="auto"/>
              </w:rPr>
              <w:t>Stock-based compensation expense</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02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6,730</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6,730</w:t>
            </w:r>
          </w:p>
        </w:tc>
        <w:tc>
          <w:tcPr>
            <w:tcW w:w="0" w:type="dxa"/>
            <w:vAlign w:val="bottom"/>
          </w:tcPr>
          <w:p>
            <w:pPr>
              <w:spacing w:after="0"/>
              <w:rPr>
                <w:sz w:val="1"/>
                <w:szCs w:val="1"/>
                <w:color w:val="auto"/>
              </w:rPr>
            </w:pPr>
          </w:p>
        </w:tc>
      </w:tr>
      <w:tr>
        <w:trPr>
          <w:trHeight w:val="131"/>
        </w:trPr>
        <w:tc>
          <w:tcPr>
            <w:tcW w:w="502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Issuance of common stock from at-the-market public offerings, net of issuance costs of</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$109</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1,105,006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2,962</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5,312</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(1,638)</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180,241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409</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unrealized loss on marketable securities,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(43,945)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(43,945)</w:t>
            </w:r>
          </w:p>
        </w:tc>
        <w:tc>
          <w:tcPr>
            <w:tcW w:w="0" w:type="dxa"/>
            <w:vAlign w:val="bottom"/>
          </w:tcPr>
          <w:p>
            <w:pPr>
              <w:spacing w:after="0"/>
              <w:rPr>
                <w:sz w:val="1"/>
                <w:szCs w:val="1"/>
                <w:color w:val="auto"/>
              </w:rPr>
            </w:pPr>
          </w:p>
        </w:tc>
      </w:tr>
      <w:tr>
        <w:trPr>
          <w:trHeight w:val="193"/>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September 30,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46,864,327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595,165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(489,471)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105,163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vMerge w:val="restart"/>
          </w:tcPr>
          <w:p>
            <w:pPr>
              <w:ind w:left="20"/>
              <w:spacing w:after="0"/>
              <w:rPr>
                <w:sz w:val="20"/>
                <w:szCs w:val="20"/>
                <w:color w:val="auto"/>
              </w:rPr>
            </w:pPr>
            <w:r>
              <w:rPr>
                <w:rFonts w:ascii="Arial" w:cs="Arial" w:eastAsia="Arial" w:hAnsi="Arial"/>
                <w:sz w:val="12"/>
                <w:szCs w:val="12"/>
                <w:color w:val="auto"/>
              </w:rPr>
              <w:t>Stock-based compensation expense</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02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6,366</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6,366</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under employee stock purchase plan</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89,739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from at-the-market public offerings</w:t>
            </w:r>
          </w:p>
        </w:tc>
        <w:tc>
          <w:tcPr>
            <w:tcW w:w="980" w:type="dxa"/>
            <w:vAlign w:val="bottom"/>
          </w:tcPr>
          <w:p>
            <w:pPr>
              <w:jc w:val="right"/>
              <w:spacing w:after="0"/>
              <w:rPr>
                <w:sz w:val="20"/>
                <w:szCs w:val="20"/>
                <w:color w:val="auto"/>
              </w:rPr>
            </w:pPr>
            <w:r>
              <w:rPr>
                <w:rFonts w:ascii="Arial" w:cs="Arial" w:eastAsia="Arial" w:hAnsi="Arial"/>
                <w:sz w:val="12"/>
                <w:szCs w:val="12"/>
                <w:color w:val="auto"/>
              </w:rPr>
              <w:t>2,419,857</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5,231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5,231</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12,000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(3,470)</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unrealized loss on marketable securities,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363</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(41,173)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(41,173)</w:t>
            </w:r>
          </w:p>
        </w:tc>
        <w:tc>
          <w:tcPr>
            <w:tcW w:w="0" w:type="dxa"/>
            <w:vAlign w:val="bottom"/>
          </w:tcPr>
          <w:p>
            <w:pPr>
              <w:spacing w:after="0"/>
              <w:rPr>
                <w:sz w:val="1"/>
                <w:szCs w:val="1"/>
                <w:color w:val="auto"/>
              </w:rPr>
            </w:pPr>
          </w:p>
        </w:tc>
      </w:tr>
      <w:tr>
        <w:trPr>
          <w:trHeight w:val="193"/>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49,382,453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606,918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(530,644)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76,106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80" w:right="2500"/>
        <w:spacing w:after="0" w:line="413" w:lineRule="auto"/>
        <w:rPr>
          <w:sz w:val="20"/>
          <w:szCs w:val="20"/>
          <w:color w:val="auto"/>
        </w:rPr>
      </w:pPr>
      <w:r>
        <w:rPr>
          <w:rFonts w:ascii="Arial" w:cs="Arial" w:eastAsia="Arial" w:hAnsi="Arial"/>
          <w:sz w:val="17"/>
          <w:szCs w:val="17"/>
          <w:b w:val="1"/>
          <w:bCs w:val="1"/>
          <w:color w:val="auto"/>
        </w:rPr>
        <w:t>PRAXIS PRECISION MEDICINES, INC. CONSOLIDATED STATEMENTS OF STOCKHOLDERS’ EQUITY (continued) (Amounts in thousands, except share data)</w:t>
      </w:r>
    </w:p>
    <w:p>
      <w:pPr>
        <w:spacing w:after="0" w:line="78"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12"/>
                <w:szCs w:val="12"/>
                <w:color w:val="auto"/>
              </w:rPr>
            </w:pPr>
          </w:p>
        </w:tc>
        <w:tc>
          <w:tcPr>
            <w:tcW w:w="780" w:type="dxa"/>
            <w:vAlign w:val="bottom"/>
            <w:vMerge w:val="restart"/>
          </w:tcPr>
          <w:p>
            <w:pPr>
              <w:jc w:val="center"/>
              <w:ind w:right="119"/>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8"/>
        </w:trPr>
        <w:tc>
          <w:tcPr>
            <w:tcW w:w="4920" w:type="dxa"/>
            <w:vAlign w:val="bottom"/>
          </w:tcPr>
          <w:p>
            <w:pPr>
              <w:spacing w:after="0"/>
              <w:rPr>
                <w:sz w:val="10"/>
                <w:szCs w:val="10"/>
                <w:color w:val="auto"/>
              </w:rPr>
            </w:pPr>
          </w:p>
        </w:tc>
        <w:tc>
          <w:tcPr>
            <w:tcW w:w="1800" w:type="dxa"/>
            <w:vAlign w:val="bottom"/>
            <w:gridSpan w:val="3"/>
            <w:vMerge w:val="restart"/>
          </w:tcPr>
          <w:p>
            <w:pPr>
              <w:jc w:val="right"/>
              <w:ind w:right="279"/>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9"/>
              </w:rPr>
              <w:t>Other</w:t>
            </w: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920" w:type="dxa"/>
            <w:vAlign w:val="bottom"/>
          </w:tcPr>
          <w:p>
            <w:pPr>
              <w:spacing w:after="0"/>
              <w:rPr>
                <w:sz w:val="8"/>
                <w:szCs w:val="8"/>
                <w:color w:val="auto"/>
              </w:rPr>
            </w:pPr>
          </w:p>
        </w:tc>
        <w:tc>
          <w:tcPr>
            <w:tcW w:w="1800" w:type="dxa"/>
            <w:vAlign w:val="bottom"/>
            <w:tcBorders>
              <w:bottom w:val="single" w:sz="8" w:color="auto"/>
            </w:tcBorders>
            <w:gridSpan w:val="3"/>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jc w:val="center"/>
              <w:ind w:right="240"/>
              <w:spacing w:after="0" w:line="98" w:lineRule="exact"/>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8"/>
                <w:szCs w:val="8"/>
                <w:color w:val="auto"/>
              </w:rPr>
            </w:pPr>
          </w:p>
        </w:tc>
        <w:tc>
          <w:tcPr>
            <w:tcW w:w="960" w:type="dxa"/>
            <w:vAlign w:val="bottom"/>
            <w:gridSpan w:val="2"/>
          </w:tcPr>
          <w:p>
            <w:pPr>
              <w:jc w:val="center"/>
              <w:ind w:right="180"/>
              <w:spacing w:after="0" w:line="98" w:lineRule="exact"/>
              <w:rPr>
                <w:sz w:val="20"/>
                <w:szCs w:val="20"/>
                <w:color w:val="auto"/>
              </w:rPr>
            </w:pPr>
            <w:r>
              <w:rPr>
                <w:rFonts w:ascii="Arial" w:cs="Arial" w:eastAsia="Arial" w:hAnsi="Arial"/>
                <w:sz w:val="11"/>
                <w:szCs w:val="11"/>
                <w:b w:val="1"/>
                <w:bCs w:val="1"/>
                <w:color w:val="auto"/>
              </w:rPr>
              <w:t>Accumulated</w:t>
            </w:r>
          </w:p>
        </w:tc>
        <w:tc>
          <w:tcPr>
            <w:tcW w:w="1060" w:type="dxa"/>
            <w:vAlign w:val="bottom"/>
            <w:gridSpan w:val="3"/>
          </w:tcPr>
          <w:p>
            <w:pPr>
              <w:ind w:left="20"/>
              <w:spacing w:after="0" w:line="98" w:lineRule="exact"/>
              <w:rPr>
                <w:sz w:val="20"/>
                <w:szCs w:val="20"/>
                <w:color w:val="auto"/>
              </w:rPr>
            </w:pPr>
            <w:r>
              <w:rPr>
                <w:rFonts w:ascii="Arial" w:cs="Arial" w:eastAsia="Arial" w:hAnsi="Arial"/>
                <w:sz w:val="11"/>
                <w:szCs w:val="11"/>
                <w:b w:val="1"/>
                <w:bCs w:val="1"/>
                <w:color w:val="auto"/>
              </w:rPr>
              <w:t>Comprehensive</w:t>
            </w:r>
          </w:p>
        </w:tc>
        <w:tc>
          <w:tcPr>
            <w:tcW w:w="960" w:type="dxa"/>
            <w:vAlign w:val="bottom"/>
            <w:gridSpan w:val="2"/>
          </w:tcPr>
          <w:p>
            <w:pPr>
              <w:jc w:val="center"/>
              <w:spacing w:after="0" w:line="98"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77"/>
        </w:trPr>
        <w:tc>
          <w:tcPr>
            <w:tcW w:w="4920" w:type="dxa"/>
            <w:vAlign w:val="bottom"/>
          </w:tcPr>
          <w:p>
            <w:pPr>
              <w:spacing w:after="0"/>
              <w:rPr>
                <w:sz w:val="15"/>
                <w:szCs w:val="15"/>
                <w:color w:val="auto"/>
              </w:rPr>
            </w:pPr>
          </w:p>
        </w:tc>
        <w:tc>
          <w:tcPr>
            <w:tcW w:w="106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Capital</w:t>
            </w:r>
          </w:p>
        </w:tc>
        <w:tc>
          <w:tcPr>
            <w:tcW w:w="8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Loss</w:t>
            </w:r>
          </w:p>
        </w:tc>
        <w:tc>
          <w:tcPr>
            <w:tcW w:w="180" w:type="dxa"/>
            <w:vAlign w:val="bottom"/>
          </w:tcPr>
          <w:p>
            <w:pPr>
              <w:spacing w:after="0"/>
              <w:rPr>
                <w:sz w:val="15"/>
                <w:szCs w:val="15"/>
                <w:color w:val="auto"/>
              </w:rPr>
            </w:pPr>
          </w:p>
        </w:tc>
        <w:tc>
          <w:tcPr>
            <w:tcW w:w="780" w:type="dxa"/>
            <w:vAlign w:val="bottom"/>
          </w:tcPr>
          <w:p>
            <w:pPr>
              <w:jc w:val="center"/>
              <w:ind w:right="139"/>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8"/>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at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38,268,543</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437,007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(149,554)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287,457</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4,666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4,666</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352,506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851</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Change in unrealized loss on marketable securities,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70"/>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(27,373)</w:t>
            </w:r>
          </w:p>
        </w:tc>
        <w:tc>
          <w:tcPr>
            <w:tcW w:w="0" w:type="dxa"/>
            <w:vAlign w:val="bottom"/>
          </w:tcPr>
          <w:p>
            <w:pPr>
              <w:spacing w:after="0"/>
              <w:rPr>
                <w:sz w:val="1"/>
                <w:szCs w:val="1"/>
                <w:color w:val="auto"/>
              </w:rPr>
            </w:pPr>
          </w:p>
        </w:tc>
      </w:tr>
      <w:tr>
        <w:trPr>
          <w:trHeight w:val="168"/>
        </w:trPr>
        <w:tc>
          <w:tcPr>
            <w:tcW w:w="4920" w:type="dxa"/>
            <w:vAlign w:val="bottom"/>
          </w:tcPr>
          <w:p>
            <w:pPr>
              <w:spacing w:after="0"/>
              <w:rPr>
                <w:sz w:val="20"/>
                <w:szCs w:val="20"/>
                <w:color w:val="auto"/>
              </w:rPr>
            </w:pPr>
            <w:r>
              <w:rPr>
                <w:rFonts w:ascii="Arial" w:cs="Arial" w:eastAsia="Arial" w:hAnsi="Arial"/>
                <w:sz w:val="12"/>
                <w:szCs w:val="12"/>
                <w:b w:val="1"/>
                <w:bCs w:val="1"/>
                <w:color w:val="auto"/>
              </w:rPr>
              <w:t>Balance at March 31,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38,621,049</w:t>
            </w: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442,524</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(176,927)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(86)</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265,515</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 expense</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5,400</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Issuance of common stock from follow-on public offering, net of offering costs of $229</w:t>
            </w:r>
          </w:p>
        </w:tc>
        <w:tc>
          <w:tcPr>
            <w:tcW w:w="980" w:type="dxa"/>
            <w:vAlign w:val="bottom"/>
          </w:tcPr>
          <w:p>
            <w:pPr>
              <w:jc w:val="right"/>
              <w:spacing w:after="0"/>
              <w:rPr>
                <w:sz w:val="20"/>
                <w:szCs w:val="20"/>
                <w:color w:val="auto"/>
              </w:rPr>
            </w:pPr>
            <w:r>
              <w:rPr>
                <w:rFonts w:ascii="Arial" w:cs="Arial" w:eastAsia="Arial" w:hAnsi="Arial"/>
                <w:sz w:val="12"/>
                <w:szCs w:val="12"/>
                <w:color w:val="auto"/>
              </w:rPr>
              <w:t>5,750,000</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98,412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98,413</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322,113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809</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Change in unrealized loss on marketable securities,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70"/>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(36,401)</w:t>
            </w:r>
          </w:p>
        </w:tc>
        <w:tc>
          <w:tcPr>
            <w:tcW w:w="0" w:type="dxa"/>
            <w:vAlign w:val="bottom"/>
          </w:tcPr>
          <w:p>
            <w:pPr>
              <w:spacing w:after="0"/>
              <w:rPr>
                <w:sz w:val="1"/>
                <w:szCs w:val="1"/>
                <w:color w:val="auto"/>
              </w:rPr>
            </w:pPr>
          </w:p>
        </w:tc>
      </w:tr>
      <w:tr>
        <w:trPr>
          <w:trHeight w:val="168"/>
        </w:trPr>
        <w:tc>
          <w:tcPr>
            <w:tcW w:w="4920" w:type="dxa"/>
            <w:vAlign w:val="bottom"/>
          </w:tcPr>
          <w:p>
            <w:pPr>
              <w:spacing w:after="0"/>
              <w:rPr>
                <w:sz w:val="20"/>
                <w:szCs w:val="20"/>
                <w:color w:val="auto"/>
              </w:rPr>
            </w:pPr>
            <w:r>
              <w:rPr>
                <w:rFonts w:ascii="Arial" w:cs="Arial" w:eastAsia="Arial" w:hAnsi="Arial"/>
                <w:sz w:val="12"/>
                <w:szCs w:val="12"/>
                <w:b w:val="1"/>
                <w:bCs w:val="1"/>
                <w:color w:val="auto"/>
              </w:rPr>
              <w:t>Balance at June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44,693,162</w:t>
            </w: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547,145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(213,328)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(50)</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333,772</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 expense</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6,521</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90,909</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309</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Change unrealized loss on marketable securities,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(44,705)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(44,705)</w:t>
            </w:r>
          </w:p>
        </w:tc>
        <w:tc>
          <w:tcPr>
            <w:tcW w:w="0" w:type="dxa"/>
            <w:vAlign w:val="bottom"/>
          </w:tcPr>
          <w:p>
            <w:pPr>
              <w:spacing w:after="0"/>
              <w:rPr>
                <w:sz w:val="1"/>
                <w:szCs w:val="1"/>
                <w:color w:val="auto"/>
              </w:rPr>
            </w:pPr>
          </w:p>
        </w:tc>
      </w:tr>
      <w:tr>
        <w:trPr>
          <w:trHeight w:val="193"/>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at September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44,784,071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553,975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(258,033)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295,922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vMerge w:val="restart"/>
          </w:tcPr>
          <w:p>
            <w:pPr>
              <w:spacing w:after="0"/>
              <w:rPr>
                <w:sz w:val="20"/>
                <w:szCs w:val="20"/>
                <w:color w:val="auto"/>
              </w:rPr>
            </w:pPr>
            <w:r>
              <w:rPr>
                <w:rFonts w:ascii="Arial" w:cs="Arial" w:eastAsia="Arial" w:hAnsi="Arial"/>
                <w:sz w:val="12"/>
                <w:szCs w:val="12"/>
                <w:color w:val="auto"/>
              </w:rPr>
              <w:t>Stock-based compensation expense</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92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6,106</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6,106</w:t>
            </w:r>
          </w:p>
        </w:tc>
        <w:tc>
          <w:tcPr>
            <w:tcW w:w="0" w:type="dxa"/>
            <w:vAlign w:val="bottom"/>
          </w:tcPr>
          <w:p>
            <w:pPr>
              <w:spacing w:after="0"/>
              <w:rPr>
                <w:sz w:val="1"/>
                <w:szCs w:val="1"/>
                <w:color w:val="auto"/>
              </w:rPr>
            </w:pPr>
          </w:p>
        </w:tc>
      </w:tr>
      <w:tr>
        <w:trPr>
          <w:trHeight w:val="123"/>
        </w:trPr>
        <w:tc>
          <w:tcPr>
            <w:tcW w:w="4920" w:type="dxa"/>
            <w:vAlign w:val="bottom"/>
            <w:shd w:val="clear" w:color="auto" w:fill="CCEEFF"/>
          </w:tcPr>
          <w:p>
            <w:pPr>
              <w:spacing w:after="0" w:line="123" w:lineRule="exact"/>
              <w:rPr>
                <w:sz w:val="20"/>
                <w:szCs w:val="20"/>
                <w:color w:val="auto"/>
              </w:rPr>
            </w:pPr>
            <w:r>
              <w:rPr>
                <w:rFonts w:ascii="Arial" w:cs="Arial" w:eastAsia="Arial" w:hAnsi="Arial"/>
                <w:sz w:val="12"/>
                <w:szCs w:val="12"/>
                <w:color w:val="auto"/>
              </w:rPr>
              <w:t>Issuance of common stock from at-the-market public offerings, net of offering costs of</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$598</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391,997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7,039</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124,446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478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478</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Change in unrealized loss on marketable securities,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(58,582)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(58,582)</w:t>
            </w:r>
          </w:p>
        </w:tc>
        <w:tc>
          <w:tcPr>
            <w:tcW w:w="0" w:type="dxa"/>
            <w:vAlign w:val="bottom"/>
          </w:tcPr>
          <w:p>
            <w:pPr>
              <w:spacing w:after="0"/>
              <w:rPr>
                <w:sz w:val="1"/>
                <w:szCs w:val="1"/>
                <w:color w:val="auto"/>
              </w:rPr>
            </w:pPr>
          </w:p>
        </w:tc>
      </w:tr>
      <w:tr>
        <w:trPr>
          <w:trHeight w:val="193"/>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at December 31,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45,300,514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567,598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(316,615)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250,812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6"/>
                <w:szCs w:val="16"/>
                <w:b w:val="1"/>
                <w:bCs w:val="1"/>
                <w:color w:val="auto"/>
              </w:rPr>
              <w:t>Year Ended December 31,</w:t>
            </w:r>
          </w:p>
        </w:tc>
      </w:tr>
      <w:tr>
        <w:trPr>
          <w:trHeight w:val="203"/>
        </w:trPr>
        <w:tc>
          <w:tcPr>
            <w:tcW w:w="8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(214,029)</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(167,061)</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22,693</w:t>
            </w: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1,412</w:t>
            </w: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w:t>
            </w: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1"/>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(5,780)</w:t>
            </w:r>
          </w:p>
        </w:tc>
      </w:tr>
      <w:tr>
        <w:trPr>
          <w:trHeight w:val="209"/>
        </w:trPr>
        <w:tc>
          <w:tcPr>
            <w:tcW w:w="8060" w:type="dxa"/>
            <w:vAlign w:val="bottom"/>
          </w:tcPr>
          <w:p>
            <w:pPr>
              <w:ind w:left="44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7,267</w:t>
            </w:r>
          </w:p>
        </w:tc>
      </w:tr>
      <w:tr>
        <w:trPr>
          <w:trHeight w:val="211"/>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expenses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15,450</w:t>
            </w:r>
          </w:p>
        </w:tc>
      </w:tr>
      <w:tr>
        <w:trPr>
          <w:trHeight w:val="209"/>
        </w:trPr>
        <w:tc>
          <w:tcPr>
            <w:tcW w:w="8060" w:type="dxa"/>
            <w:vAlign w:val="bottom"/>
          </w:tcPr>
          <w:p>
            <w:pPr>
              <w:ind w:left="44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(763)</w:t>
            </w:r>
          </w:p>
        </w:tc>
      </w:tr>
      <w:tr>
        <w:trPr>
          <w:trHeight w:val="211"/>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Deferred revenue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04"/>
        </w:trPr>
        <w:tc>
          <w:tcPr>
            <w:tcW w:w="8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(124,554)</w:t>
            </w: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(164,170)</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Maturities of marketable securities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180,355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24,700</w:t>
            </w:r>
          </w:p>
        </w:tc>
      </w:tr>
      <w:tr>
        <w:trPr>
          <w:trHeight w:val="202"/>
        </w:trPr>
        <w:tc>
          <w:tcPr>
            <w:tcW w:w="8060" w:type="dxa"/>
            <w:vAlign w:val="bottom"/>
          </w:tcPr>
          <w:p>
            <w:pPr>
              <w:ind w:left="660"/>
              <w:spacing w:after="0"/>
              <w:rPr>
                <w:sz w:val="20"/>
                <w:szCs w:val="20"/>
                <w:color w:val="auto"/>
              </w:rPr>
            </w:pPr>
            <w:r>
              <w:rPr>
                <w:rFonts w:ascii="Arial" w:cs="Arial" w:eastAsia="Arial" w:hAnsi="Arial"/>
                <w:sz w:val="16"/>
                <w:szCs w:val="16"/>
                <w:color w:val="auto"/>
              </w:rPr>
              <w:t>Net cash provided by (used in) investing activities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96,889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(140,520)</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Proceeds from at-the-market offerings, net of issuance costs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7,301</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follow-on public offering, net of issuance costs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98,413</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Payment of issuance costs for at-the-market offerings and initial public offering</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(575)</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tax withholdings related to vesting of restricted stock units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exercise of options and employee stock purchase plan contributions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w:t>
            </w:r>
          </w:p>
        </w:tc>
      </w:tr>
      <w:tr>
        <w:trPr>
          <w:trHeight w:val="204"/>
        </w:trPr>
        <w:tc>
          <w:tcPr>
            <w:tcW w:w="8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107,586</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Decrease in cash, cash equivalents and restricted cash</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(77,689)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(157,488)</w:t>
            </w: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297,208</w:t>
            </w:r>
          </w:p>
        </w:tc>
      </w:tr>
      <w:tr>
        <w:trPr>
          <w:trHeight w:val="204"/>
        </w:trPr>
        <w:tc>
          <w:tcPr>
            <w:tcW w:w="80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62,031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139,720</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6"/>
        </w:trPr>
        <w:tc>
          <w:tcPr>
            <w:tcW w:w="806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Reconciliation of cash, cash equivalents and restricted cash:</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61,615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138,704</w:t>
            </w: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w:t>
            </w:r>
          </w:p>
        </w:tc>
      </w:tr>
      <w:tr>
        <w:trPr>
          <w:trHeight w:val="204"/>
        </w:trPr>
        <w:tc>
          <w:tcPr>
            <w:tcW w:w="8060" w:type="dxa"/>
            <w:vAlign w:val="bottom"/>
          </w:tcPr>
          <w:p>
            <w:pPr>
              <w:ind w:left="660"/>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62,031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139,720</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6"/>
        </w:trPr>
        <w:tc>
          <w:tcPr>
            <w:tcW w:w="806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Supplemental disclosures of non-cash activities: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 right-of-use assets obtained in exchange for operating lease liabilities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4,068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Offering costs included in accrued expenses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0"/>
        </w:trPr>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2"/>
        </w:trPr>
        <w:tc>
          <w:tcPr>
            <w:tcW w:w="8060" w:type="dxa"/>
            <w:vAlign w:val="bottom"/>
          </w:tcPr>
          <w:p>
            <w:pPr>
              <w:ind w:left="20"/>
              <w:spacing w:after="0" w:line="182" w:lineRule="exact"/>
              <w:rPr>
                <w:sz w:val="20"/>
                <w:szCs w:val="20"/>
                <w:color w:val="auto"/>
              </w:rPr>
            </w:pPr>
            <w:r>
              <w:rPr>
                <w:rFonts w:ascii="Arial" w:cs="Arial" w:eastAsia="Arial" w:hAnsi="Arial"/>
                <w:sz w:val="16"/>
                <w:szCs w:val="16"/>
                <w:color w:val="auto"/>
              </w:rPr>
              <w:t>Purchases of property and equipment included in accrued expenses</w:t>
            </w:r>
          </w:p>
        </w:tc>
        <w:tc>
          <w:tcPr>
            <w:tcW w:w="340" w:type="dxa"/>
            <w:vAlign w:val="bottom"/>
          </w:tcPr>
          <w:p>
            <w:pPr>
              <w:jc w:val="right"/>
              <w:ind w:right="161"/>
              <w:spacing w:after="0" w:line="182" w:lineRule="exact"/>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line="182"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line="182" w:lineRule="exact"/>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line="182" w:lineRule="exact"/>
              <w:rPr>
                <w:sz w:val="20"/>
                <w:szCs w:val="20"/>
                <w:color w:val="auto"/>
              </w:rPr>
            </w:pPr>
            <w:r>
              <w:rPr>
                <w:rFonts w:ascii="Arial" w:cs="Arial" w:eastAsia="Arial" w:hAnsi="Arial"/>
                <w:sz w:val="16"/>
                <w:szCs w:val="16"/>
                <w:color w:val="auto"/>
              </w:rPr>
              <w:t>267</w:t>
            </w:r>
          </w:p>
        </w:tc>
      </w:tr>
      <w:tr>
        <w:trPr>
          <w:trHeight w:val="20"/>
        </w:trPr>
        <w:tc>
          <w:tcPr>
            <w:tcW w:w="8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the Business</w:t>
      </w:r>
    </w:p>
    <w:p>
      <w:pPr>
        <w:spacing w:after="0" w:line="121"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Praxis Precision Medicines, Inc. (“Praxis” or the “Company”) is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The Company is applying genetic insights to the discovery and development of therapies for neurological disorders through two proprietary platforms, using its understanding of shared biological targets and circuits in the brain. Each platform has multiple programs currently, with significant potential for additional program and indication expansion:</w:t>
      </w:r>
    </w:p>
    <w:p>
      <w:pPr>
        <w:spacing w:after="0" w:line="156" w:lineRule="exact"/>
        <w:rPr>
          <w:sz w:val="20"/>
          <w:szCs w:val="20"/>
          <w:color w:val="auto"/>
        </w:rPr>
      </w:pPr>
    </w:p>
    <w:p>
      <w:pPr>
        <w:ind w:left="640" w:right="300" w:hanging="320"/>
        <w:spacing w:after="0" w:line="243" w:lineRule="auto"/>
        <w:tabs>
          <w:tab w:leader="none" w:pos="635" w:val="left"/>
        </w:tabs>
        <w:numPr>
          <w:ilvl w:val="0"/>
          <w:numId w:val="56"/>
        </w:numPr>
        <w:rPr>
          <w:rFonts w:ascii="Arial" w:cs="Arial" w:eastAsia="Arial" w:hAnsi="Arial"/>
          <w:sz w:val="21"/>
          <w:szCs w:val="21"/>
          <w:color w:val="auto"/>
        </w:rPr>
      </w:pPr>
      <w:r>
        <w:rPr>
          <w:rFonts w:ascii="Arial" w:cs="Arial" w:eastAsia="Arial" w:hAnsi="Arial"/>
          <w:sz w:val="17"/>
          <w:szCs w:val="17"/>
          <w:b w:val="1"/>
          <w:bCs w:val="1"/>
          <w:i w:val="1"/>
          <w:iCs w:val="1"/>
          <w:color w:val="auto"/>
        </w:rPr>
        <w:t>Cerebrum</w:t>
      </w:r>
      <w:r>
        <w:rPr>
          <w:rFonts w:ascii="Arial" w:cs="Arial" w:eastAsia="Arial" w:hAnsi="Arial"/>
          <w:sz w:val="17"/>
          <w:szCs w:val="17"/>
          <w:color w:val="auto"/>
        </w:rPr>
        <w:t>™, the Company's small molecule platform, utilizes deep understanding of neuronal excitability and neuronal networks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applies a series of computational and experimental tools to develop orally available precision therapies</w:t>
      </w:r>
    </w:p>
    <w:p>
      <w:pPr>
        <w:spacing w:after="0" w:line="134" w:lineRule="exact"/>
        <w:rPr>
          <w:rFonts w:ascii="Arial" w:cs="Arial" w:eastAsia="Arial" w:hAnsi="Arial"/>
          <w:sz w:val="21"/>
          <w:szCs w:val="21"/>
          <w:color w:val="auto"/>
        </w:rPr>
      </w:pPr>
    </w:p>
    <w:p>
      <w:pPr>
        <w:ind w:left="640" w:right="660" w:hanging="320"/>
        <w:spacing w:after="0" w:line="300" w:lineRule="auto"/>
        <w:tabs>
          <w:tab w:leader="none" w:pos="635"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Solidus</w:t>
      </w:r>
      <w:r>
        <w:rPr>
          <w:rFonts w:ascii="Arial" w:cs="Arial" w:eastAsia="Arial" w:hAnsi="Arial"/>
          <w:sz w:val="17"/>
          <w:szCs w:val="17"/>
          <w:color w:val="auto"/>
        </w:rPr>
        <w:t>™, the Company's antisense oligonucleotide, or ASO, platform, is an efficient, targeted precision medicine discovery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engine anchored on a proprietary, computational methodology</w:t>
      </w:r>
    </w:p>
    <w:p>
      <w:pPr>
        <w:spacing w:after="0" w:line="141" w:lineRule="exact"/>
        <w:rPr>
          <w:sz w:val="20"/>
          <w:szCs w:val="20"/>
          <w:color w:val="auto"/>
        </w:rPr>
      </w:pPr>
    </w:p>
    <w:p>
      <w:pPr>
        <w:ind w:right="80" w:firstLine="433"/>
        <w:spacing w:after="0" w:line="261" w:lineRule="auto"/>
        <w:rPr>
          <w:sz w:val="20"/>
          <w:szCs w:val="20"/>
          <w:color w:val="auto"/>
        </w:rPr>
      </w:pPr>
      <w:r>
        <w:rPr>
          <w:rFonts w:ascii="Arial" w:cs="Arial" w:eastAsia="Arial" w:hAnsi="Arial"/>
          <w:sz w:val="17"/>
          <w:szCs w:val="17"/>
          <w:color w:val="auto"/>
        </w:rPr>
        <w:t>The Company's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the Company has established a diversified, multimodal CNS portfolio with four clinical-stage product candidates across movement disorders and epilepsy. For the Company's most advanced product candidate under the Cerebrum™ platform, ulixacaltamide (formerly known as PRAX-944), it expects to announce topline results from the Phase 2b Essential1 clinical trial in essential tremor in the first quarter of 2023. The Company also plans to initiate an ulixacaltamide Phase 2 clinical trial in Parkinson's disease in the first quarter of 2023 and expects topline results in the fourth quarter of 2023. The Company plans to initiate its PRAX-562 Phase 2 EMBOLD study in the first quarter of 2023, with initial cohorts in SCN2A-DEE and SCN8A-DEE, and expects to announce topline results for both cohorts in the second half of 2023. The Company also initiated a Phase 1 healthy volunteer study of PRAX-628 in the fourth quarter of 2022 and expects to report topline results in mid-2023. For the Company's most advanced product candidate under the Solidus™ platform, PRAX-222, it expects to announce topline results from the first dose cohort of its EMBRAVE study in mid-2023.</w:t>
      </w:r>
    </w:p>
    <w:p>
      <w:pPr>
        <w:spacing w:after="0" w:line="179" w:lineRule="exact"/>
        <w:rPr>
          <w:sz w:val="20"/>
          <w:szCs w:val="20"/>
          <w:color w:val="auto"/>
        </w:rPr>
      </w:pPr>
    </w:p>
    <w:p>
      <w:pPr>
        <w:ind w:firstLine="393"/>
        <w:spacing w:after="0" w:line="271" w:lineRule="auto"/>
        <w:rPr>
          <w:sz w:val="20"/>
          <w:szCs w:val="20"/>
          <w:color w:val="auto"/>
        </w:rPr>
      </w:pPr>
      <w:r>
        <w:rPr>
          <w:rFonts w:ascii="Arial" w:cs="Arial" w:eastAsia="Arial" w:hAnsi="Arial"/>
          <w:sz w:val="17"/>
          <w:szCs w:val="17"/>
          <w:color w:val="auto"/>
        </w:rPr>
        <w:t>Praxis was incorporated in 2015 and commenced operations in 2016. The Company has funded its operations primarily with proceeds from the issuance of redeemable convertible preferred stock, and from the sale of common stock through an initial public offering ("IPO"), a follow-on public offering and at-the-market offerings under its shelf registration statement. From inception through December 31, 2022, the Company raised $526.0 million in aggregate cash proceeds from these transactions, net of issuance costs.</w:t>
      </w:r>
    </w:p>
    <w:p>
      <w:pPr>
        <w:spacing w:after="0" w:line="166"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119" w:lineRule="exact"/>
        <w:rPr>
          <w:sz w:val="20"/>
          <w:szCs w:val="20"/>
          <w:color w:val="auto"/>
        </w:rPr>
      </w:pPr>
    </w:p>
    <w:p>
      <w:pPr>
        <w:ind w:right="480" w:firstLine="433"/>
        <w:spacing w:after="0" w:line="300" w:lineRule="auto"/>
        <w:rPr>
          <w:sz w:val="20"/>
          <w:szCs w:val="20"/>
          <w:color w:val="auto"/>
        </w:rPr>
      </w:pPr>
      <w:r>
        <w:rPr>
          <w:rFonts w:ascii="Arial" w:cs="Arial" w:eastAsia="Arial" w:hAnsi="Arial"/>
          <w:sz w:val="17"/>
          <w:szCs w:val="17"/>
          <w:color w:val="auto"/>
        </w:rPr>
        <w:t xml:space="preserve">In accordance with the Financial Accounting Standards Board ("FASB") Accounting Standards Update ("ASU") 2014-15, </w:t>
      </w:r>
      <w:r>
        <w:rPr>
          <w:rFonts w:ascii="Arial" w:cs="Arial" w:eastAsia="Arial" w:hAnsi="Arial"/>
          <w:sz w:val="17"/>
          <w:szCs w:val="17"/>
          <w:i w:val="1"/>
          <w:iCs w:val="1"/>
          <w:color w:val="auto"/>
        </w:rPr>
        <w:t>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Uncertainties about an Entity’s Ability to Continue as a Going Concern (Subtopic 205-40)</w:t>
      </w:r>
      <w:r>
        <w:rPr>
          <w:rFonts w:ascii="Arial" w:cs="Arial" w:eastAsia="Arial" w:hAnsi="Arial"/>
          <w:sz w:val="17"/>
          <w:szCs w:val="17"/>
          <w:color w:val="auto"/>
        </w:rPr>
        <w: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right="680"/>
        <w:spacing w:after="0" w:line="300" w:lineRule="auto"/>
        <w:rPr>
          <w:sz w:val="20"/>
          <w:szCs w:val="20"/>
          <w:color w:val="auto"/>
        </w:rPr>
      </w:pPr>
      <w:r>
        <w:rPr>
          <w:rFonts w:ascii="Arial" w:cs="Arial" w:eastAsia="Arial" w:hAnsi="Arial"/>
          <w:sz w:val="17"/>
          <w:szCs w:val="17"/>
          <w:color w:val="auto"/>
        </w:rPr>
        <w:t>the Company has evaluated whether there are conditions and events, considered in the aggregate, that raise substantial doubt about the Company’s ability to continue as a going concern within one year after the date that the consolidated financial statements are issued.</w:t>
      </w:r>
    </w:p>
    <w:p>
      <w:pPr>
        <w:spacing w:after="0" w:line="141" w:lineRule="exact"/>
        <w:rPr>
          <w:sz w:val="20"/>
          <w:szCs w:val="20"/>
          <w:color w:val="auto"/>
        </w:rPr>
      </w:pPr>
    </w:p>
    <w:p>
      <w:pPr>
        <w:ind w:right="360" w:firstLine="433"/>
        <w:spacing w:after="0" w:line="278" w:lineRule="auto"/>
        <w:rPr>
          <w:sz w:val="20"/>
          <w:szCs w:val="20"/>
          <w:color w:val="auto"/>
        </w:rPr>
      </w:pPr>
      <w:r>
        <w:rPr>
          <w:rFonts w:ascii="Arial" w:cs="Arial" w:eastAsia="Arial" w:hAnsi="Arial"/>
          <w:sz w:val="17"/>
          <w:szCs w:val="17"/>
          <w:color w:val="auto"/>
        </w:rPr>
        <w:t>The Company has incurred recurring losses since its inception, including a net loss of $214.0 million for the year ended December 31, 2022. In addition, as of December 31, 2022, the Company had an accumulated deficit of $530.6 million. The Company expects to continue to generate operating losses for the foreseeable future.</w:t>
      </w:r>
    </w:p>
    <w:p>
      <w:pPr>
        <w:spacing w:after="0" w:line="160"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The Company expects that its cash, cash equivalents and marketable securities as of December 31, 2022, together with net proceeds raised under the Open Market Sale Agreement ("the Sales Agreement") subsequent to December 31, 2022, may not be sufficient to fund operations for at least the next twelve months from the date of issuance of these consolidated financial statements which raises substantial doubt about the Company's ability to continue as a going concern, and the Company will need to obtain additional funding. The Company expects to finance its operations through potential public or private equity financings, debt financings, collaboration agreements or other capital sources.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384" w:lineRule="exact"/>
        <w:rPr>
          <w:sz w:val="20"/>
          <w:szCs w:val="20"/>
          <w:color w:val="auto"/>
        </w:rPr>
      </w:pPr>
    </w:p>
    <w:p>
      <w:pPr>
        <w:ind w:right="120" w:firstLine="433"/>
        <w:spacing w:after="0" w:line="271" w:lineRule="auto"/>
        <w:rPr>
          <w:sz w:val="20"/>
          <w:szCs w:val="20"/>
          <w:color w:val="auto"/>
        </w:rPr>
      </w:pPr>
      <w:r>
        <w:rPr>
          <w:rFonts w:ascii="Arial" w:cs="Arial" w:eastAsia="Arial" w:hAnsi="Arial"/>
          <w:sz w:val="17"/>
          <w:szCs w:val="17"/>
          <w:color w:val="auto"/>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69" w:lineRule="exact"/>
        <w:rPr>
          <w:sz w:val="20"/>
          <w:szCs w:val="20"/>
          <w:color w:val="auto"/>
        </w:rPr>
      </w:pPr>
    </w:p>
    <w:p>
      <w:pPr>
        <w:ind w:right="7360" w:firstLine="5"/>
        <w:spacing w:after="0" w:line="387" w:lineRule="auto"/>
        <w:tabs>
          <w:tab w:leader="none" w:pos="194"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ind w:right="20" w:firstLine="433"/>
        <w:spacing w:after="0" w:line="278"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9" w:lineRule="exact"/>
        <w:rPr>
          <w:sz w:val="20"/>
          <w:szCs w:val="20"/>
          <w:color w:val="auto"/>
        </w:rPr>
      </w:pPr>
    </w:p>
    <w:p>
      <w:pPr>
        <w:ind w:right="100" w:firstLine="433"/>
        <w:spacing w:after="0" w:line="300"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Praxis Security Corporation and Praxis Precision Medicines Australia Pty Ltd. All intercompany transactions have been eliminated in consolidation.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9"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accrued and prepaid research and development expense, stock-based compensation expense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right="620" w:firstLine="433"/>
        <w:spacing w:after="0" w:line="278" w:lineRule="auto"/>
        <w:rPr>
          <w:sz w:val="20"/>
          <w:szCs w:val="20"/>
          <w:color w:val="auto"/>
        </w:rPr>
      </w:pPr>
      <w:r>
        <w:rPr>
          <w:rFonts w:ascii="Arial" w:cs="Arial" w:eastAsia="Arial" w:hAnsi="Arial"/>
          <w:sz w:val="17"/>
          <w:szCs w:val="17"/>
          <w:color w:val="auto"/>
        </w:rPr>
        <w:t>The Company has one operating segment. The Company’s chief operating decision maker, its Chief Executive Officer, manages the Company’s operations on a consolidated basis for the purposes of assessing performance and allocating resources. The majority of the Company’s long-lived assets are held in the United States.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19" w:lineRule="exact"/>
        <w:rPr>
          <w:sz w:val="20"/>
          <w:szCs w:val="20"/>
          <w:color w:val="auto"/>
        </w:rPr>
      </w:pPr>
    </w:p>
    <w:p>
      <w:pPr>
        <w:ind w:right="100" w:firstLine="433"/>
        <w:spacing w:after="0" w:line="278"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Cash and cash equivalents include cash held in banks and amounts held in interest-bearing money market funds. Cash equivalents are carried at cost, which approximates their fair market value.</w:t>
      </w:r>
    </w:p>
    <w:p>
      <w:pPr>
        <w:spacing w:after="0" w:line="160" w:lineRule="exact"/>
        <w:rPr>
          <w:sz w:val="20"/>
          <w:szCs w:val="20"/>
          <w:color w:val="auto"/>
        </w:rPr>
      </w:pPr>
    </w:p>
    <w:p>
      <w:pPr>
        <w:ind w:right="20" w:firstLine="433"/>
        <w:spacing w:after="0" w:line="300" w:lineRule="auto"/>
        <w:rPr>
          <w:sz w:val="20"/>
          <w:szCs w:val="20"/>
          <w:color w:val="auto"/>
        </w:rPr>
      </w:pPr>
      <w:r>
        <w:rPr>
          <w:rFonts w:ascii="Arial" w:cs="Arial" w:eastAsia="Arial" w:hAnsi="Arial"/>
          <w:sz w:val="17"/>
          <w:szCs w:val="17"/>
          <w:color w:val="auto"/>
        </w:rPr>
        <w:t>Restricted cash comprises letters of credit for the benefit of the landlord in connection with the Company’s lease facilities. Restricted cash is classified as either current or non-current based on the terms of the underlying lease arrangement.</w:t>
      </w:r>
    </w:p>
    <w:p>
      <w:pPr>
        <w:spacing w:after="0" w:line="141" w:lineRule="exact"/>
        <w:rPr>
          <w:sz w:val="20"/>
          <w:szCs w:val="20"/>
          <w:color w:val="auto"/>
        </w:rPr>
      </w:pPr>
    </w:p>
    <w:p>
      <w:pPr>
        <w:ind w:right="160" w:firstLine="433"/>
        <w:spacing w:after="0" w:line="300" w:lineRule="auto"/>
        <w:rPr>
          <w:sz w:val="20"/>
          <w:szCs w:val="20"/>
          <w:color w:val="auto"/>
        </w:rPr>
      </w:pPr>
      <w:r>
        <w:rPr>
          <w:rFonts w:ascii="Arial" w:cs="Arial" w:eastAsia="Arial" w:hAnsi="Arial"/>
          <w:sz w:val="17"/>
          <w:szCs w:val="17"/>
          <w:color w:val="auto"/>
        </w:rPr>
        <w:t>The following table presents cash and cash equivalents and restricted cash as reported on the consolidated balance sheets that equal the total amounts on the consolidated statements of cash flows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61,615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138,704</w:t>
            </w: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w:t>
            </w:r>
          </w:p>
        </w:tc>
      </w:tr>
      <w:tr>
        <w:trPr>
          <w:trHeight w:val="22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 as shown on the consolidated statements of cash flows</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62,031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139,720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119"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The Company invests its excess cash in money market funds and debt instruments of the U.S. Treasury, financial institutions, corporations and U.S. government agencies with strong credit ratings and an investment grade rating at or above A-1 or P-1 by two of the three nationally recognized statistical rating organizations. The Company does not believe that it is exposed to more than a nominal amount of credit risk in its marketable securities. The Company has established guidelines relative to diversification and maturities that maintain safety and liquidity, and periodically reviews and modifies these guidelines to maximize trends in yields and interest rates without compromising safety and liquidity. The Company classifies its investments in debt instruments as available-for-sale. Available-for-sale investments are reported at fair value at each balance sheet date, and include any unrealized holding gains and losses in accumulated other comprehensive loss, a component of stockholders’ equity. Realized gains and losses are included in the Company's consolidated statements of operations. All of the Company's available-for-sale securities are available for use in its current operations. As a result, the Company has categorized all of these securities as current assets even though the stated maturity of some individual securities may be one year or more beyond the balance sheet date.</w:t>
      </w:r>
    </w:p>
    <w:p>
      <w:pPr>
        <w:spacing w:after="0" w:line="174"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The Company evaluates securities for impairment at the end of each reporting period. Impairment is evaluated considering numerous factors, and their relative significance varies depending on the situation. Factors considered include whether a decline in fair value below the amortized cost basis is due to credit-related factors or non-credit-related factors, the financial condition and near-term prospects of the Company, and the Company's intent and ability to hold the investment to allow for an anticipated recovery in fair value. A credit-related impairment is recognized as an allowance on the balance sheet with a corresponding adjustment to earnings. Any impairment that is not credit-related is recognized in other comprehensive loss, net of applicable taxes unless deemed other than temporary.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Significant Suppliers and License Agreements</w:t>
      </w:r>
    </w:p>
    <w:p>
      <w:pPr>
        <w:spacing w:after="0" w:line="119" w:lineRule="exact"/>
        <w:rPr>
          <w:sz w:val="20"/>
          <w:szCs w:val="20"/>
          <w:color w:val="auto"/>
        </w:rPr>
      </w:pPr>
    </w:p>
    <w:p>
      <w:pPr>
        <w:ind w:right="80" w:firstLine="433"/>
        <w:spacing w:after="0" w:line="270"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cash equivalents, restricted cash and marketable securities. The Company's investment portfolio comprises money market funds, marketable debt securities, including debt securities issued by U.S. government agencies and corporations, and commercial paper. The Company investments are limited to investment-grade securities with strong credit ratings with the objective of maintaining safety and liquidity. The Company also maintains deposits in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accredited financial institutions in excess of federally insured limits. Bank accounts in the United States are insured by the Federal Deposit Insurance Corporation (the “FDIC”) up to $250,000. As of December 31, 2022 and 2021, the Company’s primary operating accounts significantly exceeded the FDIC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167"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color w:val="auto"/>
        </w:rPr>
        <w:t>The Company is dependent on third-party manufacturers to supply materials for research and development activities of its programs, including preclinical and clinical testing. In particular, the Company relies, and expects to continue to rely, on a small number of third-party manufacturers to produce and process its current and potential product candidates and to manufacture supply of its current and potential product candidates for preclinical and clinical activities. These programs could be adversely affected by a significant interruption in the supply of the necessary materials. The Company is also dependent on third parties who provide license rights used in the development of certain programs. The Company could experience delays in the development of its programs if any of these license agreements are terminated, if the Company fails to meet the obligations required under its arrangements, or if the Company is unable to successfully secure new strategic alliances or licensing agreements.</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Risk</w:t>
      </w:r>
    </w:p>
    <w:p>
      <w:pPr>
        <w:spacing w:after="0" w:line="119" w:lineRule="exact"/>
        <w:rPr>
          <w:sz w:val="20"/>
          <w:szCs w:val="20"/>
          <w:color w:val="auto"/>
        </w:rPr>
      </w:pPr>
    </w:p>
    <w:p>
      <w:pPr>
        <w:ind w:right="280" w:firstLine="433"/>
        <w:spacing w:after="0" w:line="300" w:lineRule="auto"/>
        <w:rPr>
          <w:sz w:val="20"/>
          <w:szCs w:val="20"/>
          <w:color w:val="auto"/>
        </w:rPr>
      </w:pPr>
      <w:r>
        <w:rPr>
          <w:rFonts w:ascii="Arial" w:cs="Arial" w:eastAsia="Arial" w:hAnsi="Arial"/>
          <w:sz w:val="17"/>
          <w:szCs w:val="17"/>
          <w:color w:val="auto"/>
        </w:rPr>
        <w:t>As of December 31, 2022 and 2021, the Company had no off-balance sheet risk such as foreign exchange contracts, option contracts or other hedging arrangements.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19"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Certain assets and liabilities of the Company are carried at fair value under GAAP. The fair values of the Company’s financial assets and liabilities reflects the Company’s estimate of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16" w:lineRule="exact"/>
        <w:rPr>
          <w:sz w:val="20"/>
          <w:szCs w:val="20"/>
          <w:color w:val="auto"/>
        </w:rPr>
      </w:pPr>
    </w:p>
    <w:p>
      <w:pPr>
        <w:ind w:left="780" w:hanging="303"/>
        <w:spacing w:after="0"/>
        <w:tabs>
          <w:tab w:leader="none" w:pos="7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w:t>
      </w:r>
    </w:p>
    <w:p>
      <w:pPr>
        <w:spacing w:after="0" w:line="171" w:lineRule="exact"/>
        <w:rPr>
          <w:rFonts w:ascii="Arial" w:cs="Arial" w:eastAsia="Arial" w:hAnsi="Arial"/>
          <w:sz w:val="17"/>
          <w:szCs w:val="17"/>
          <w:color w:val="auto"/>
        </w:rPr>
      </w:pPr>
    </w:p>
    <w:p>
      <w:pPr>
        <w:ind w:left="800" w:right="240" w:hanging="323"/>
        <w:spacing w:after="0" w:line="278" w:lineRule="auto"/>
        <w:tabs>
          <w:tab w:leader="none" w:pos="795" w:val="left"/>
        </w:tabs>
        <w:numPr>
          <w:ilvl w:val="0"/>
          <w:numId w:val="58"/>
        </w:numPr>
        <w:rPr>
          <w:rFonts w:ascii="Arial" w:cs="Arial" w:eastAsia="Arial" w:hAnsi="Arial"/>
          <w:sz w:val="17"/>
          <w:szCs w:val="17"/>
          <w:color w:val="auto"/>
        </w:rPr>
      </w:pPr>
      <w:r>
        <w:rPr>
          <w:rFonts w:ascii="Arial" w:cs="Arial" w:eastAsia="Arial" w:hAnsi="Arial"/>
          <w:sz w:val="17"/>
          <w:szCs w:val="17"/>
          <w:color w:val="auto"/>
        </w:rPr>
        <w:t>Level 2: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07" w:lineRule="exact"/>
        <w:rPr>
          <w:rFonts w:ascii="Arial" w:cs="Arial" w:eastAsia="Arial" w:hAnsi="Arial"/>
          <w:sz w:val="17"/>
          <w:szCs w:val="17"/>
          <w:color w:val="auto"/>
        </w:rPr>
      </w:pPr>
    </w:p>
    <w:p>
      <w:pPr>
        <w:ind w:left="800" w:right="360" w:hanging="323"/>
        <w:spacing w:after="0" w:line="300" w:lineRule="auto"/>
        <w:tabs>
          <w:tab w:leader="none" w:pos="795" w:val="left"/>
        </w:tabs>
        <w:numPr>
          <w:ilvl w:val="0"/>
          <w:numId w:val="58"/>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that are significant to determining the fair value of the assets or liabilities, including pricing models, discounted cash flow methodologies and similar techniques.</w:t>
      </w:r>
    </w:p>
    <w:p>
      <w:pPr>
        <w:spacing w:after="0" w:line="141" w:lineRule="exact"/>
        <w:rPr>
          <w:sz w:val="20"/>
          <w:szCs w:val="20"/>
          <w:color w:val="auto"/>
        </w:rPr>
      </w:pPr>
    </w:p>
    <w:p>
      <w:pPr>
        <w:ind w:right="300" w:firstLine="433"/>
        <w:spacing w:after="0" w:line="271" w:lineRule="auto"/>
        <w:rPr>
          <w:sz w:val="20"/>
          <w:szCs w:val="20"/>
          <w:color w:val="auto"/>
        </w:rPr>
      </w:pPr>
      <w:r>
        <w:rPr>
          <w:rFonts w:ascii="Arial" w:cs="Arial" w:eastAsia="Arial" w:hAnsi="Arial"/>
          <w:sz w:val="17"/>
          <w:szCs w:val="17"/>
          <w:color w:val="auto"/>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6" w:lineRule="exact"/>
        <w:rPr>
          <w:sz w:val="20"/>
          <w:szCs w:val="20"/>
          <w:color w:val="auto"/>
        </w:rPr>
      </w:pPr>
    </w:p>
    <w:p>
      <w:pPr>
        <w:ind w:right="220" w:firstLine="433"/>
        <w:spacing w:after="0" w:line="300" w:lineRule="auto"/>
        <w:rPr>
          <w:sz w:val="20"/>
          <w:szCs w:val="20"/>
          <w:color w:val="auto"/>
        </w:rPr>
      </w:pPr>
      <w:r>
        <w:rPr>
          <w:rFonts w:ascii="Arial" w:cs="Arial" w:eastAsia="Arial" w:hAnsi="Arial"/>
          <w:sz w:val="17"/>
          <w:szCs w:val="17"/>
          <w:color w:val="auto"/>
        </w:rPr>
        <w:t>An entity may choose to measure many financial instruments and certain other items at fair value at specified election dates. Subsequent unrealized gains and losses on items for which the fair value option has been elected will be reported in earnings.</w:t>
      </w:r>
    </w:p>
    <w:p>
      <w:pPr>
        <w:spacing w:after="0" w:line="141" w:lineRule="exact"/>
        <w:rPr>
          <w:sz w:val="20"/>
          <w:szCs w:val="20"/>
          <w:color w:val="auto"/>
        </w:rPr>
      </w:pPr>
    </w:p>
    <w:p>
      <w:pPr>
        <w:ind w:right="360" w:firstLine="433"/>
        <w:spacing w:after="0" w:line="278" w:lineRule="auto"/>
        <w:rPr>
          <w:sz w:val="20"/>
          <w:szCs w:val="20"/>
          <w:color w:val="auto"/>
        </w:rPr>
      </w:pPr>
      <w:r>
        <w:rPr>
          <w:rFonts w:ascii="Arial" w:cs="Arial" w:eastAsia="Arial" w:hAnsi="Arial"/>
          <w:sz w:val="17"/>
          <w:szCs w:val="17"/>
          <w:color w:val="auto"/>
        </w:rPr>
        <w:t>Items measured at fair value on a recurring basis include cash equivalents and marketable securities (Note 4 and Note 5). The carrying amounts reflected in the consolidated balance sheets for cash, prepaid expenses and other current assets, accounts payable and accrued expenses approximate their fair values due to the short-term nature of these assets and liabilities.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19" w:lineRule="exact"/>
        <w:rPr>
          <w:sz w:val="20"/>
          <w:szCs w:val="20"/>
          <w:color w:val="auto"/>
        </w:rPr>
      </w:pPr>
    </w:p>
    <w:p>
      <w:pPr>
        <w:ind w:right="180" w:firstLine="433"/>
        <w:spacing w:after="0" w:line="300" w:lineRule="auto"/>
        <w:rPr>
          <w:sz w:val="20"/>
          <w:szCs w:val="20"/>
          <w:color w:val="auto"/>
        </w:rPr>
      </w:pPr>
      <w:r>
        <w:rPr>
          <w:rFonts w:ascii="Arial" w:cs="Arial" w:eastAsia="Arial" w:hAnsi="Arial"/>
          <w:sz w:val="17"/>
          <w:szCs w:val="17"/>
          <w:color w:val="auto"/>
        </w:rPr>
        <w:t>Property and equipment are recorded at cost. Depreciation is calculated using the straight-line method over the following estimated useful lives of the assets: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00" w:type="dxa"/>
            <w:vAlign w:val="bottom"/>
            <w:tcBorders>
              <w:bottom w:val="single" w:sz="8" w:color="CCEEFF"/>
            </w:tcBorders>
          </w:tcPr>
          <w:p>
            <w:pPr>
              <w:spacing w:after="0"/>
              <w:rPr>
                <w:sz w:val="18"/>
                <w:szCs w:val="18"/>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Estimated Useful Life</w:t>
            </w:r>
          </w:p>
        </w:tc>
      </w:tr>
      <w:tr>
        <w:trPr>
          <w:trHeight w:val="203"/>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 furniture and equipment</w:t>
            </w:r>
          </w:p>
        </w:tc>
        <w:tc>
          <w:tcPr>
            <w:tcW w:w="2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 years</w:t>
            </w:r>
          </w:p>
        </w:tc>
      </w:tr>
      <w:tr>
        <w:trPr>
          <w:trHeight w:val="209"/>
        </w:trPr>
        <w:tc>
          <w:tcPr>
            <w:tcW w:w="8800" w:type="dxa"/>
            <w:vAlign w:val="bottom"/>
          </w:tcPr>
          <w:p>
            <w:pPr>
              <w:ind w:left="20"/>
              <w:spacing w:after="0"/>
              <w:rPr>
                <w:sz w:val="20"/>
                <w:szCs w:val="20"/>
                <w:color w:val="auto"/>
              </w:rPr>
            </w:pPr>
            <w:r>
              <w:rPr>
                <w:rFonts w:ascii="Arial" w:cs="Arial" w:eastAsia="Arial" w:hAnsi="Arial"/>
                <w:sz w:val="16"/>
                <w:szCs w:val="16"/>
                <w:color w:val="auto"/>
              </w:rPr>
              <w:t>Laboratory equipment</w:t>
            </w:r>
          </w:p>
        </w:tc>
        <w:tc>
          <w:tcPr>
            <w:tcW w:w="2440" w:type="dxa"/>
            <w:vAlign w:val="bottom"/>
          </w:tcPr>
          <w:p>
            <w:pPr>
              <w:jc w:val="center"/>
              <w:spacing w:after="0"/>
              <w:rPr>
                <w:sz w:val="20"/>
                <w:szCs w:val="20"/>
                <w:color w:val="auto"/>
              </w:rPr>
            </w:pPr>
            <w:r>
              <w:rPr>
                <w:rFonts w:ascii="Arial" w:cs="Arial" w:eastAsia="Arial" w:hAnsi="Arial"/>
                <w:sz w:val="16"/>
                <w:szCs w:val="16"/>
                <w:color w:val="auto"/>
                <w:w w:val="99"/>
              </w:rPr>
              <w:t>3 years</w:t>
            </w:r>
          </w:p>
        </w:tc>
      </w:tr>
      <w:tr>
        <w:trPr>
          <w:trHeight w:val="211"/>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2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r>
    </w:tbl>
    <w:p>
      <w:pPr>
        <w:spacing w:after="0" w:line="272" w:lineRule="exact"/>
        <w:rPr>
          <w:sz w:val="20"/>
          <w:szCs w:val="20"/>
          <w:color w:val="auto"/>
        </w:rPr>
      </w:pPr>
    </w:p>
    <w:p>
      <w:pPr>
        <w:jc w:val="both"/>
        <w:ind w:right="40" w:firstLine="433"/>
        <w:spacing w:after="0" w:line="278" w:lineRule="auto"/>
        <w:rPr>
          <w:sz w:val="20"/>
          <w:szCs w:val="20"/>
          <w:color w:val="auto"/>
        </w:rPr>
      </w:pPr>
      <w:r>
        <w:rPr>
          <w:rFonts w:ascii="Arial" w:cs="Arial" w:eastAsia="Arial" w:hAnsi="Arial"/>
          <w:sz w:val="17"/>
          <w:szCs w:val="17"/>
          <w:color w:val="auto"/>
        </w:rPr>
        <w:t>Upon disposal, retirement or sale, the cost of assets disposed of and the related accumulated depreciation are removed from the accounts and any resulting gain or loss is included in the results of operations. Expenditures for repairs and maintenance that do not improve or extend the lives of the respective assets are charged to expense as incurred.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19"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2022 and 2021.</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19"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The Company accounts for leases in accordance with ASC 842. The Company determines if an arrangement is a lease at contract inception. Operating lease right-of-use assets represent the Company’s right to use an underlying asset for the lease term and operating lease liabilities represent its obligation to make lease payments arising from the lease. Operating right-of-use assets and liabilities are recognized at the commencement date of the lease based upon the present value of lease payments over the lease term. When determining the lease term, the Company includes options to extend or terminate the lease when it is reasonably certain that the option will be exercised.</w:t>
      </w:r>
    </w:p>
    <w:p>
      <w:pPr>
        <w:spacing w:after="0" w:line="167" w:lineRule="exact"/>
        <w:rPr>
          <w:sz w:val="20"/>
          <w:szCs w:val="20"/>
          <w:color w:val="auto"/>
        </w:rPr>
      </w:pPr>
    </w:p>
    <w:p>
      <w:pPr>
        <w:ind w:right="160" w:firstLine="433"/>
        <w:spacing w:after="0" w:line="278" w:lineRule="auto"/>
        <w:rPr>
          <w:sz w:val="20"/>
          <w:szCs w:val="20"/>
          <w:color w:val="auto"/>
        </w:rPr>
      </w:pPr>
      <w:r>
        <w:rPr>
          <w:rFonts w:ascii="Arial" w:cs="Arial" w:eastAsia="Arial" w:hAnsi="Arial"/>
          <w:sz w:val="17"/>
          <w:szCs w:val="17"/>
          <w:color w:val="auto"/>
        </w:rPr>
        <w:t>The Company uses the implicit rate when readily determinable and uses its incremental borrowing rate when the implicit rate is not readily determinable, based upon the information available at the commencement date in determining the present value of the lease payments. The incremental borrowing rate is determined using a secured borrowing rate for the same currency and term as the associated lease.</w:t>
      </w:r>
    </w:p>
    <w:p>
      <w:pPr>
        <w:spacing w:after="0" w:line="160" w:lineRule="exact"/>
        <w:rPr>
          <w:sz w:val="20"/>
          <w:szCs w:val="20"/>
          <w:color w:val="auto"/>
        </w:rPr>
      </w:pPr>
    </w:p>
    <w:p>
      <w:pPr>
        <w:ind w:right="40" w:firstLine="433"/>
        <w:spacing w:after="0" w:line="278" w:lineRule="auto"/>
        <w:rPr>
          <w:sz w:val="20"/>
          <w:szCs w:val="20"/>
          <w:color w:val="auto"/>
        </w:rPr>
      </w:pPr>
      <w:r>
        <w:rPr>
          <w:rFonts w:ascii="Arial" w:cs="Arial" w:eastAsia="Arial" w:hAnsi="Arial"/>
          <w:sz w:val="17"/>
          <w:szCs w:val="17"/>
          <w:color w:val="auto"/>
        </w:rPr>
        <w:t>The lease payments used to determine operating lease right-of-use assets may include lease incentives and stated rent increases. The Company’s lease agreements may include both lease and non-lease components, which the Company accounts for as a single lease component when the payments are fixed, for all classes of underlying assets. Variable payments included in the lease agreement are expensed as incurred.</w:t>
      </w:r>
    </w:p>
    <w:p>
      <w:pPr>
        <w:spacing w:after="0" w:line="160"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The Company’s operating leases are reflected in operating lease right-of-use assets and in current operating lease liabilities and long-term operating lease liabilities in its consolidated balance sheets. The Company’s operating lease right-of-use asset as of December 31, 2022 and 2021 did not include any lease incentives. Lease expense for future lease payments is recognized on a straight-line basis over the lease term.</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 Agreements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The Company analyzes its collaboration arrangements to assess whether they are within the scope of ASC Topic 808, </w:t>
      </w:r>
      <w:r>
        <w:rPr>
          <w:rFonts w:ascii="Arial" w:cs="Arial" w:eastAsia="Arial" w:hAnsi="Arial"/>
          <w:sz w:val="17"/>
          <w:szCs w:val="17"/>
          <w:i w:val="1"/>
          <w:iCs w:val="1"/>
          <w:color w:val="auto"/>
        </w:rPr>
        <w:t>Collaborative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Arrangements ("</w:t>
      </w:r>
      <w:r>
        <w:rPr>
          <w:rFonts w:ascii="Arial" w:cs="Arial" w:eastAsia="Arial" w:hAnsi="Arial"/>
          <w:sz w:val="17"/>
          <w:szCs w:val="17"/>
          <w:color w:val="auto"/>
        </w:rPr>
        <w:t>ASC 808"), to determine whether such arrangements involve joint operating activities performed by parties that are both active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participants in the activities and exposed to significant risks and rewards that are dependent on the commercial success of such activities. To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extent the arrangement is within the scope of ASC 808, the Company assesses whether aspects of the arrangement between the Company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its collaboration partner are within the scope of other accounting literature, including ASC Topic 606, </w:t>
      </w:r>
      <w:r>
        <w:rPr>
          <w:rFonts w:ascii="Arial" w:cs="Arial" w:eastAsia="Arial" w:hAnsi="Arial"/>
          <w:sz w:val="17"/>
          <w:szCs w:val="17"/>
          <w:i w:val="1"/>
          <w:iCs w:val="1"/>
          <w:color w:val="auto"/>
        </w:rPr>
        <w:t>Revenue from Contracts with Customers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color w:val="auto"/>
        </w:rPr>
        <w:t>ASC 606"). If it is concluded that some or all aspects of the arrangement represent a transaction with a customer, the Company will account for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those aspects of the arrangement within the scope of ASC 606.</w:t>
      </w:r>
    </w:p>
    <w:p>
      <w:pPr>
        <w:spacing w:after="0" w:line="208"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ASC 808 provides guidance for the presentation and disclosure of transactions in collaborative arrangements, but it does not provide recognition or measurement guidance. Therefore, if the Company concludes a counterparty to a transaction is not a customer or otherwise not within the scope of ASC 606, the Company considers the guidance in other accounting literature as applicable or by analogy to account for such transaction. The classification of transactions under the Company’s arrangements is determined based on the nature and contractual terms of the arrangement along with the nature of the operations of the participants.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9" w:lineRule="exact"/>
        <w:rPr>
          <w:sz w:val="20"/>
          <w:szCs w:val="20"/>
          <w:color w:val="auto"/>
        </w:rPr>
      </w:pPr>
    </w:p>
    <w:p>
      <w:pPr>
        <w:ind w:right="320" w:firstLine="433"/>
        <w:spacing w:after="0" w:line="271" w:lineRule="auto"/>
        <w:rPr>
          <w:sz w:val="20"/>
          <w:szCs w:val="20"/>
          <w:color w:val="auto"/>
        </w:rPr>
      </w:pPr>
      <w:r>
        <w:rPr>
          <w:rFonts w:ascii="Arial" w:cs="Arial" w:eastAsia="Arial" w:hAnsi="Arial"/>
          <w:sz w:val="17"/>
          <w:szCs w:val="17"/>
          <w:color w:val="auto"/>
        </w:rPr>
        <w:t>The Company enters into collaboration agreements which are within the scope of ASC 606 under which the Company may license or provide options to license certain development or product candidates and, in certain cases, may perform research and development services. The terms of these agreements may include payment of non-refundable, upfront fees, option exercise fees, development and commercial milestone payments and royalties on net sales of licensed products.</w:t>
      </w:r>
    </w:p>
    <w:p>
      <w:pPr>
        <w:spacing w:after="0" w:line="166"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color w:val="auto"/>
        </w:rPr>
        <w:t>Under ASC 606, the Company recognizes revenue when its customer obtains control of promised goods or services in an amount that reflects the consideration which the Company expects to receive in exchange for those goods or services. To determine the appropriate amount of revenue to be recognized for agreements determined to be within the scope of ASC 606, the Company performs the following five steps: (1) identify the contract with a customer; (2) identify the performance obligations in the contract; (3) determine the transaction price; (4) allocate the transaction price to the performance obligations in the contract; and (5) recognize revenue when or as the Company satisfies each performance obligation. The Company only applies the five-step model to contracts when it is probable that the Company will collect consideration it is entitled to in exchange for the goods or services it transfers to the customer.</w:t>
      </w:r>
    </w:p>
    <w:p>
      <w:pPr>
        <w:spacing w:after="0" w:line="173" w:lineRule="exact"/>
        <w:rPr>
          <w:sz w:val="20"/>
          <w:szCs w:val="20"/>
          <w:color w:val="auto"/>
        </w:rPr>
      </w:pPr>
    </w:p>
    <w:p>
      <w:pPr>
        <w:ind w:right="160" w:firstLine="433"/>
        <w:spacing w:after="0" w:line="271" w:lineRule="auto"/>
        <w:rPr>
          <w:sz w:val="20"/>
          <w:szCs w:val="20"/>
          <w:color w:val="auto"/>
        </w:rPr>
      </w:pPr>
      <w:r>
        <w:rPr>
          <w:rFonts w:ascii="Arial" w:cs="Arial" w:eastAsia="Arial" w:hAnsi="Arial"/>
          <w:sz w:val="17"/>
          <w:szCs w:val="17"/>
          <w:color w:val="auto"/>
        </w:rPr>
        <w:t>At contract inception, once the contract is determined to be within the scope of ASC 606, the Company assesses the goods or services promised within each contract and determines those that are performance obligations. The Company then assesses whether each promised good or service is distinct. When the Company offers options for additional goods or services, such as an option to obtain a license, it evaluates whether such options are material rights that should be treated as separate performance obligations.</w:t>
      </w:r>
    </w:p>
    <w:p>
      <w:pPr>
        <w:spacing w:after="0" w:line="166" w:lineRule="exact"/>
        <w:rPr>
          <w:sz w:val="20"/>
          <w:szCs w:val="20"/>
          <w:color w:val="auto"/>
        </w:rPr>
      </w:pPr>
    </w:p>
    <w:p>
      <w:pPr>
        <w:ind w:right="20" w:firstLine="433"/>
        <w:spacing w:after="0" w:line="267" w:lineRule="auto"/>
        <w:rPr>
          <w:sz w:val="20"/>
          <w:szCs w:val="20"/>
          <w:color w:val="auto"/>
        </w:rPr>
      </w:pPr>
      <w:r>
        <w:rPr>
          <w:rFonts w:ascii="Arial" w:cs="Arial" w:eastAsia="Arial" w:hAnsi="Arial"/>
          <w:sz w:val="17"/>
          <w:szCs w:val="17"/>
          <w:color w:val="auto"/>
        </w:rPr>
        <w:t>The Company estimates the transaction price based on the amount expected to be received for transferring the promised goods or services in the contract. The consideration may include fixed consideration or variable consideration. At the inception of each agreement that includes variable consideration, the Company evaluates the amount of potential payments and the likelihood that the payments will be received to estimate the amount expected to be received. The amount of variable consideration included in the transaction price may be constrained and is included in the transaction price only to the extent that it is probable that a significant reversal of the cumulative revenue recognized will not occur in a future period.</w:t>
      </w:r>
    </w:p>
    <w:p>
      <w:pPr>
        <w:spacing w:after="0" w:line="381" w:lineRule="exact"/>
        <w:rPr>
          <w:sz w:val="20"/>
          <w:szCs w:val="20"/>
          <w:color w:val="auto"/>
        </w:rPr>
      </w:pPr>
    </w:p>
    <w:p>
      <w:pPr>
        <w:jc w:val="both"/>
        <w:ind w:right="20" w:firstLine="433"/>
        <w:spacing w:after="0" w:line="266" w:lineRule="auto"/>
        <w:rPr>
          <w:sz w:val="20"/>
          <w:szCs w:val="20"/>
          <w:color w:val="auto"/>
        </w:rPr>
      </w:pPr>
      <w:r>
        <w:rPr>
          <w:rFonts w:ascii="Arial" w:cs="Arial" w:eastAsia="Arial" w:hAnsi="Arial"/>
          <w:sz w:val="17"/>
          <w:szCs w:val="17"/>
          <w:color w:val="auto"/>
        </w:rPr>
        <w:t>The Company recognizes as revenue the amount of the transaction price that it allocated to the respective performance obligation when or as each performance obligation is satisfied, either at a point in time or over time. If the performance obligation is satisfied over time, the Company recognizes revenue based on the use of an output or input method. The Company evaluates the measure of progress each reporting period and, if necessary, adjusts the measure of performance and related revenue recognition. For example, for research and development services that are recognized over time, the Company measures its progress using an input method. The input methods used are based on the effort the Company expends or costs it incurs toward the satisfaction of its performance obligation.</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estimates the amount of effort it expends, including the time it estimates it will take to complete the activities, or costs it incurs in a given period, relative to the estimated total effort or costs to satisfy the performance obligation. This results in a percentage that is multiplied by the transaction price to determine the amount of revenue recognized each period. If the estimates or judgements change over the course of the collaboration, they may affect the timing and amount of revenue that is recognized in the current and future periods.</w:t>
      </w:r>
    </w:p>
    <w:p>
      <w:pPr>
        <w:spacing w:after="0" w:line="166" w:lineRule="exact"/>
        <w:rPr>
          <w:sz w:val="20"/>
          <w:szCs w:val="20"/>
          <w:color w:val="auto"/>
        </w:rPr>
      </w:pPr>
    </w:p>
    <w:p>
      <w:pPr>
        <w:ind w:right="320" w:firstLine="433"/>
        <w:spacing w:after="0" w:line="278" w:lineRule="auto"/>
        <w:rPr>
          <w:sz w:val="20"/>
          <w:szCs w:val="20"/>
          <w:color w:val="auto"/>
        </w:rPr>
      </w:pPr>
      <w:r>
        <w:rPr>
          <w:rFonts w:ascii="Arial" w:cs="Arial" w:eastAsia="Arial" w:hAnsi="Arial"/>
          <w:sz w:val="17"/>
          <w:szCs w:val="17"/>
          <w:color w:val="auto"/>
        </w:rPr>
        <w:t>Upfront payments are recorded as contract liabilities within deferred revenue on the consolidated balance sheets until the Company performs its obligations under these agreements. Amounts are recorded as accounts receivable when the Company’s right to consideration is unconditional.</w:t>
      </w:r>
    </w:p>
    <w:p>
      <w:pPr>
        <w:spacing w:after="0" w:line="160" w:lineRule="exact"/>
        <w:rPr>
          <w:sz w:val="20"/>
          <w:szCs w:val="20"/>
          <w:color w:val="auto"/>
        </w:rPr>
      </w:pPr>
    </w:p>
    <w:p>
      <w:pPr>
        <w:ind w:right="60" w:firstLine="433"/>
        <w:spacing w:after="0" w:line="278" w:lineRule="auto"/>
        <w:rPr>
          <w:sz w:val="20"/>
          <w:szCs w:val="20"/>
          <w:color w:val="auto"/>
        </w:rPr>
      </w:pPr>
      <w:r>
        <w:rPr>
          <w:rFonts w:ascii="Arial" w:cs="Arial" w:eastAsia="Arial" w:hAnsi="Arial"/>
          <w:sz w:val="17"/>
          <w:szCs w:val="17"/>
          <w:color w:val="auto"/>
        </w:rPr>
        <w:t>As of December 31, 2022, the Company had one collaboration, option and license agreement with UCB Biopharma SRL ("UCB"), which it entered into in December 2022. The accounting accounting related to the collaboration agreement is outlined in Note 9, UCB Option and License Agreement.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19"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 Costs incurred to obtain licenses are recognized as research and development expense as incurred if the technology licensed has no alternative future uses.</w:t>
      </w:r>
    </w:p>
    <w:p>
      <w:pPr>
        <w:spacing w:after="0" w:line="173"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color w:val="auto"/>
        </w:rPr>
        <w:t>The Company has entered into various research and development related contracts with parties both inside and outside of the United States. These agreements are cancellable, and related fees are recorded as research and development expenses as incurred. The Company records accrued liabilities and prepaid expenses for estimated ongoing research costs. When evaluating the adequacy of the accrued liabilities and prepaid expenses, the Company analyzes progress of the studies or clinical trials, including the phase or completion of events, invoices received and contracted costs. Significant judgments and estimates are made in determining the accrued and prepaid balances at the end of any reporting period. Actual results could differ from the Company’s estimates. The Company’s historical estimates have not been materially different from the actual costs.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Patent-Related Costs</w:t>
      </w:r>
    </w:p>
    <w:p>
      <w:pPr>
        <w:spacing w:after="0" w:line="119" w:lineRule="exact"/>
        <w:rPr>
          <w:sz w:val="20"/>
          <w:szCs w:val="20"/>
          <w:color w:val="auto"/>
        </w:rPr>
      </w:pPr>
    </w:p>
    <w:p>
      <w:pPr>
        <w:ind w:right="180" w:firstLine="433"/>
        <w:spacing w:after="0" w:line="291" w:lineRule="auto"/>
        <w:rPr>
          <w:sz w:val="20"/>
          <w:szCs w:val="20"/>
          <w:color w:val="auto"/>
        </w:rPr>
      </w:pPr>
      <w:r>
        <w:rPr>
          <w:rFonts w:ascii="Arial" w:cs="Arial" w:eastAsia="Arial" w:hAnsi="Arial"/>
          <w:sz w:val="17"/>
          <w:szCs w:val="17"/>
          <w:color w:val="auto"/>
        </w:rPr>
        <w:t>Patent-related costs incurred in connection with patent applications are expensed as incurred due to the uncertainty about the recovery of the expenditure. Amounts incurred are classified as general and administrative expenses in the accompanying consolidated statement of operations.</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 xml:space="preserve">The Company accounts for all stock-based awards granted to employees and non-employees as stock-based compensation expense at fair value in accordance with FASB ASC Topic 718, </w:t>
      </w:r>
      <w:r>
        <w:rPr>
          <w:rFonts w:ascii="Arial" w:cs="Arial" w:eastAsia="Arial" w:hAnsi="Arial"/>
          <w:sz w:val="17"/>
          <w:szCs w:val="17"/>
          <w:i w:val="1"/>
          <w:iCs w:val="1"/>
          <w:color w:val="auto"/>
        </w:rPr>
        <w:t>Compensation—Stock Compensation ("</w:t>
      </w:r>
      <w:r>
        <w:rPr>
          <w:rFonts w:ascii="Arial" w:cs="Arial" w:eastAsia="Arial" w:hAnsi="Arial"/>
          <w:sz w:val="17"/>
          <w:szCs w:val="17"/>
          <w:color w:val="auto"/>
        </w:rPr>
        <w:t>ASC 718"). For stock-based awards issued to employees, non-employees and members of the Company’s board of directors (the “Board”) for their services on the Board, the Company measures the estimated fair value of the stock-based award on the date of the grant. The Company recognizes compensation expense for those awards granted to employees and members of the Board over the requisite service period, which is generally the vesting period of the respective award. For non-employee awards, compensation expense is recognized as the services are provided, which is generally ratably over the vesting period. The Company issues stock-based awards with service-based vesting conditions and records the expense for these awards on a straight-line basis over the vesting period. To date, the Company has not issued any stock-based awards with performance or market-based vesting conditions. The Company accounts for forfeitures as they occur.</w:t>
      </w:r>
    </w:p>
    <w:p>
      <w:pPr>
        <w:spacing w:after="0" w:line="178" w:lineRule="exact"/>
        <w:rPr>
          <w:sz w:val="20"/>
          <w:szCs w:val="20"/>
          <w:color w:val="auto"/>
        </w:rPr>
      </w:pPr>
    </w:p>
    <w:p>
      <w:pPr>
        <w:ind w:right="240" w:firstLine="433"/>
        <w:spacing w:after="0" w:line="300" w:lineRule="auto"/>
        <w:rPr>
          <w:sz w:val="20"/>
          <w:szCs w:val="20"/>
          <w:color w:val="auto"/>
        </w:rPr>
      </w:pPr>
      <w:r>
        <w:rPr>
          <w:rFonts w:ascii="Arial" w:cs="Arial" w:eastAsia="Arial" w:hAnsi="Arial"/>
          <w:sz w:val="17"/>
          <w:szCs w:val="17"/>
          <w:color w:val="auto"/>
        </w:rPr>
        <w:t>The Company classifies stock-based compensation expense in its consolidated statement of operations in the same manner in which the award recipient’s salary or service payments are classified.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which requires inputs of subjective assumptions, including: (i) the expected volatility of the Company’s stock; (ii) the expected term of the award; (iii) the risk-free interest rate; (iv) expected dividends; and (v) the fair value of common stock. Due to the lack of Company-specific historical and implied volatility data, the Company determines the volatility for awards granted based on an analysis of reported data for a group of guideline publicly-traded companies that issued options with substantially similar terms. For this analysis, the Company selects companies with comparable characteristics including enterprise value, risk profiles, and with historical share price information sufficient to meet the expected life of the stock-based awards. The Company determines expected volatility using a weighted average of the historical volatilities of the guideline group of companies. The Company expects to continue to apply this process until such time as it has adequate historical data regarding the volatility of its own traded stock price. As permitted under ASC 718, the Company has elected to use the contractual term as the expected term for certain non-employee awards, on an award-by-award basis. For all other awards, the expected term of the Company’s stock options has been determined utilizing the “simplified” method whereby the expected term equals the average of the vesting term and the original contractual term of the option, on a weighted basis based on the vesting of each tranche. The Company utilizes this method as it has insufficient historical exercise data to provide a reasonable basis upon which to estimate the expected term. The risk-free interest rate is determined by reference to the U.S. Treasury yield curve in effect at the time of grant of the award for instruments with a term commensurate with the expected term assumption. The expected dividend yield is assumed to be zero as the Company has never paid dividends, and does not have current plans to pay any dividends on its common stock. Subsequent to the IPO, the fair value of the common stock underlying the Company's stock-based awards is the closing price of the Company's common stock on the date of grant.</w:t>
      </w:r>
    </w:p>
    <w:p>
      <w:pPr>
        <w:spacing w:after="0" w:line="388" w:lineRule="exact"/>
        <w:rPr>
          <w:sz w:val="20"/>
          <w:szCs w:val="20"/>
          <w:color w:val="auto"/>
        </w:rPr>
      </w:pPr>
    </w:p>
    <w:p>
      <w:pPr>
        <w:ind w:right="300" w:firstLine="433"/>
        <w:spacing w:after="0" w:line="300" w:lineRule="auto"/>
        <w:rPr>
          <w:sz w:val="20"/>
          <w:szCs w:val="20"/>
          <w:color w:val="auto"/>
        </w:rPr>
      </w:pPr>
      <w:r>
        <w:rPr>
          <w:rFonts w:ascii="Arial" w:cs="Arial" w:eastAsia="Arial" w:hAnsi="Arial"/>
          <w:sz w:val="17"/>
          <w:szCs w:val="17"/>
          <w:color w:val="auto"/>
        </w:rPr>
        <w:t>The grant date fair value of restricted stock units is estimated based on the fair value of the Company's underlying common stock on the date of grant.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19"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The functional currency of the Company’s wholly owned foreign subsidiary in Australia is the U.S. dollar. Monetary assets and liabilities resulting from transactions denominated in currencies other than the functional currency are remeasured into the functional currency at exchange rates prevailing at the balance sheet date. Non-monetary assets and liabilities denominated in foreign currencies are measured using historical exchange rates prevailing at the date of the transaction and are not subsequently remeasured. Exchange gains or losses arising from foreign currency transactions are included in the determination of net loss. There were no material foreign currency gains or losses for the years ended December 31, 2022 and 2021.</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9"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that it believes based upon the weight of available evidence it is more likely than not that all or a portion of the deferred tax assets will not be realized, a valuation allowance is established.</w:t>
      </w:r>
    </w:p>
    <w:p>
      <w:pPr>
        <w:spacing w:after="0" w:line="167"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19" w:lineRule="exact"/>
        <w:rPr>
          <w:sz w:val="20"/>
          <w:szCs w:val="20"/>
          <w:color w:val="auto"/>
        </w:rPr>
      </w:pPr>
    </w:p>
    <w:p>
      <w:pPr>
        <w:ind w:right="380" w:firstLine="433"/>
        <w:spacing w:after="0" w:line="300" w:lineRule="auto"/>
        <w:rPr>
          <w:sz w:val="20"/>
          <w:szCs w:val="20"/>
          <w:color w:val="auto"/>
        </w:rPr>
      </w:pPr>
      <w:r>
        <w:rPr>
          <w:rFonts w:ascii="Arial" w:cs="Arial" w:eastAsia="Arial" w:hAnsi="Arial"/>
          <w:sz w:val="17"/>
          <w:szCs w:val="17"/>
          <w:color w:val="auto"/>
        </w:rPr>
        <w:t>Comprehensive loss includes net loss and certain changes in stockholders’ equity that are excluded from net loss. For the years ended December 31, 2022 and 2021,comprehensive loss consists of net loss and changes in unrealized losses on marketable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right="140" w:firstLine="433"/>
        <w:spacing w:after="0" w:line="264" w:lineRule="auto"/>
        <w:rPr>
          <w:sz w:val="20"/>
          <w:szCs w:val="20"/>
          <w:color w:val="auto"/>
        </w:rPr>
      </w:pPr>
      <w:r>
        <w:rPr>
          <w:rFonts w:ascii="Arial" w:cs="Arial" w:eastAsia="Arial" w:hAnsi="Arial"/>
          <w:sz w:val="17"/>
          <w:szCs w:val="17"/>
          <w:color w:val="auto"/>
        </w:rPr>
        <w:t>Basic net loss per share is computed by dividing net loss by the weighted average number of common shares outstanding for the period, which excludes shares of restricted common stock that are not vested. Diluted net loss per share is computed by dividing net loss by the weighted average number of common shares outstanding for the period, after giving consideration to the dilutive effect of potentially dilutive common shares. For purposes of this calculation, outstanding options to purchase shares of common stock, unvested restricted common stock and potential shares issuable under the employee stock purchase plan are considered potentially dilutive common shares. The Company has generated a net loss in all periods presented so the basic and diluted net loss per share are the same as the inclusion of the potentially dilutive securities would be anti-dilutive.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19" w:lineRule="exact"/>
        <w:rPr>
          <w:sz w:val="20"/>
          <w:szCs w:val="20"/>
          <w:color w:val="auto"/>
        </w:rPr>
      </w:pPr>
    </w:p>
    <w:p>
      <w:pPr>
        <w:ind w:right="180" w:firstLine="433"/>
        <w:spacing w:after="0" w:line="266"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740)—Simplifying the Accounting for Income Taxes</w:t>
      </w:r>
      <w:r>
        <w:rPr>
          <w:rFonts w:ascii="Arial" w:cs="Arial" w:eastAsia="Arial" w:hAnsi="Arial"/>
          <w:sz w:val="17"/>
          <w:szCs w:val="17"/>
          <w:color w:val="auto"/>
        </w:rPr>
        <w:t xml:space="preserve"> ("ASU 2019-12"). The ASU simplifies the accounting for income taxes by eliminating certain exceptions to the guidance in ASC 740, Income Taxes, related to the approach for allocating income tax expense or benefit for the year to continuing operations, discontinued operations, other comprehensive income, and other charges or credits recorded directly to shareholders’ equity; the methodology for calculating income taxes in an interim period; and the recognition of deferred tax liabilities for outside basis differences. On January 1, 2021, the Company early adopted ASU 2019-12 on a prospective basis, with no material impact on its consolidated financial statements and related disclosures.</w:t>
      </w:r>
    </w:p>
    <w:p>
      <w:pPr>
        <w:spacing w:after="0" w:line="169" w:lineRule="exact"/>
        <w:rPr>
          <w:sz w:val="20"/>
          <w:szCs w:val="20"/>
          <w:color w:val="auto"/>
        </w:rPr>
      </w:pPr>
    </w:p>
    <w:p>
      <w:pPr>
        <w:ind w:right="200" w:firstLine="433"/>
        <w:spacing w:after="0" w:line="264"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which has been subsequently amended by ASU No. 2018-19, ASU No. 2019-04, ASU No. 2019-05, ASU No. 2019-10,</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2019-11 and ASU No. 2020-03 (“ASU 2016-13”). The provisions of ASU 2016-13 modify the impairment model to utilize an expected loss methodology in place of the currently used incurred loss methodology and require a consideration of a broader range of reasonable and supportable information to inform credit loss estimates. On October 1, 2021, the Company early adopted ASU 2016-13 and its related amendments using a modified retrospective approach. Given the composition of the Company's investment portfolio, there was no material impact on the Company's consolidated financial statements and related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Restricted Cash</w:t>
      </w:r>
    </w:p>
    <w:p>
      <w:pPr>
        <w:spacing w:after="0" w:line="121"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As of December 31, 2022 and 2021 the Company had restricted cash of $0.4 million and $1.0 million, respectively, held as letters of credit for the benefit of its current and former landlords. The Company's Boston, Massachusetts sublease expires on January 31, 2026, and the related letter of credit of $0.4 million was classified within other non-current assets on the consolidated balance sheet as of December 31, 2022 and 2021. The Company's Cambridge, Massachusetts sublease expired on December 31, 2021, and the related letter of credit of $0.6 million was classified within prepaid expenses and other current assets on the consolidated balance sheet as of December 31, 2021.</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Marketable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summary of the Company's investment portfolio as of December 31, 2022 and 2021 (in thousands):</w:t>
      </w: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As of December 31, 2022</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2"/>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6"/>
          </w:tcPr>
          <w:p>
            <w:pPr>
              <w:ind w:left="320"/>
              <w:spacing w:after="0"/>
              <w:rPr>
                <w:sz w:val="20"/>
                <w:szCs w:val="20"/>
                <w:color w:val="auto"/>
              </w:rPr>
            </w:pPr>
            <w:r>
              <w:rPr>
                <w:rFonts w:ascii="Arial" w:cs="Arial" w:eastAsia="Arial" w:hAnsi="Arial"/>
                <w:sz w:val="16"/>
                <w:szCs w:val="16"/>
                <w:b w:val="1"/>
                <w:bCs w:val="1"/>
                <w:color w:val="auto"/>
              </w:rPr>
              <w:t>Gross Unrealized</w:t>
            </w:r>
          </w:p>
        </w:tc>
        <w:tc>
          <w:tcPr>
            <w:tcW w:w="260" w:type="dxa"/>
            <w:vAlign w:val="bottom"/>
          </w:tcPr>
          <w:p>
            <w:pPr>
              <w:spacing w:after="0"/>
              <w:rPr>
                <w:sz w:val="17"/>
                <w:szCs w:val="17"/>
                <w:color w:val="auto"/>
              </w:rPr>
            </w:pPr>
          </w:p>
        </w:tc>
        <w:tc>
          <w:tcPr>
            <w:tcW w:w="1300" w:type="dxa"/>
            <w:vAlign w:val="bottom"/>
          </w:tcPr>
          <w:p>
            <w:pPr>
              <w:jc w:val="right"/>
              <w:ind w:right="321"/>
              <w:spacing w:after="0"/>
              <w:rPr>
                <w:sz w:val="20"/>
                <w:szCs w:val="20"/>
                <w:color w:val="auto"/>
              </w:rPr>
            </w:pPr>
            <w:r>
              <w:rPr>
                <w:rFonts w:ascii="Arial" w:cs="Arial" w:eastAsia="Arial" w:hAnsi="Arial"/>
                <w:sz w:val="16"/>
                <w:szCs w:val="16"/>
                <w:b w:val="1"/>
                <w:bCs w:val="1"/>
                <w:color w:val="auto"/>
              </w:rPr>
              <w:t>Estimated</w:t>
            </w:r>
          </w:p>
        </w:tc>
      </w:tr>
      <w:tr>
        <w:trPr>
          <w:trHeight w:val="211"/>
        </w:trPr>
        <w:tc>
          <w:tcPr>
            <w:tcW w:w="5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Cost</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w w:val="94"/>
              </w:rPr>
              <w:t>Gains</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w w:val="97"/>
              </w:rPr>
              <w:t>Losses</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Fair Value</w:t>
            </w:r>
          </w:p>
        </w:tc>
      </w:tr>
      <w:tr>
        <w:trPr>
          <w:trHeight w:val="20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9"/>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Corporate debt securities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98"/>
              </w:rPr>
              <w:t>35,042</w:t>
            </w:r>
          </w:p>
        </w:tc>
        <w:tc>
          <w:tcPr>
            <w:tcW w:w="8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(163)</w:t>
            </w:r>
          </w:p>
        </w:tc>
        <w:tc>
          <w:tcPr>
            <w:tcW w:w="8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34,879</w:t>
            </w:r>
          </w:p>
        </w:tc>
      </w:tr>
      <w:tr>
        <w:trPr>
          <w:trHeight w:val="211"/>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Debt securities issued by U.S. government agencies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4,005</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3,995</w:t>
            </w:r>
          </w:p>
        </w:tc>
      </w:tr>
      <w:tr>
        <w:trPr>
          <w:trHeight w:val="202"/>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Total securities with a maturity of one year or less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98"/>
              </w:rPr>
              <w:t>39,047</w:t>
            </w:r>
          </w:p>
        </w:tc>
        <w:tc>
          <w:tcPr>
            <w:tcW w:w="8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38,874</w:t>
            </w:r>
          </w:p>
        </w:tc>
      </w:tr>
      <w:tr>
        <w:trPr>
          <w:trHeight w:val="243"/>
        </w:trPr>
        <w:tc>
          <w:tcPr>
            <w:tcW w:w="59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3"/>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Total available-for-sale securities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98"/>
              </w:rPr>
              <w:t>39,047</w:t>
            </w:r>
          </w:p>
        </w:tc>
        <w:tc>
          <w:tcPr>
            <w:tcW w:w="8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38,874</w:t>
            </w: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As of December 31, 2021</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2"/>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ind w:left="140"/>
              <w:spacing w:after="0"/>
              <w:rPr>
                <w:sz w:val="20"/>
                <w:szCs w:val="20"/>
                <w:color w:val="auto"/>
              </w:rPr>
            </w:pPr>
            <w:r>
              <w:rPr>
                <w:rFonts w:ascii="Arial" w:cs="Arial" w:eastAsia="Arial" w:hAnsi="Arial"/>
                <w:sz w:val="16"/>
                <w:szCs w:val="16"/>
                <w:b w:val="1"/>
                <w:bCs w:val="1"/>
                <w:color w:val="auto"/>
              </w:rPr>
              <w:t>Gross Unrealized</w:t>
            </w:r>
          </w:p>
        </w:tc>
        <w:tc>
          <w:tcPr>
            <w:tcW w:w="260" w:type="dxa"/>
            <w:vAlign w:val="bottom"/>
          </w:tcPr>
          <w:p>
            <w:pPr>
              <w:spacing w:after="0"/>
              <w:rPr>
                <w:sz w:val="17"/>
                <w:szCs w:val="17"/>
                <w:color w:val="auto"/>
              </w:rPr>
            </w:pPr>
          </w:p>
        </w:tc>
        <w:tc>
          <w:tcPr>
            <w:tcW w:w="1300" w:type="dxa"/>
            <w:vAlign w:val="bottom"/>
          </w:tcPr>
          <w:p>
            <w:pPr>
              <w:jc w:val="right"/>
              <w:ind w:right="321"/>
              <w:spacing w:after="0"/>
              <w:rPr>
                <w:sz w:val="20"/>
                <w:szCs w:val="20"/>
                <w:color w:val="auto"/>
              </w:rPr>
            </w:pPr>
            <w:r>
              <w:rPr>
                <w:rFonts w:ascii="Arial" w:cs="Arial" w:eastAsia="Arial" w:hAnsi="Arial"/>
                <w:sz w:val="16"/>
                <w:szCs w:val="16"/>
                <w:b w:val="1"/>
                <w:bCs w:val="1"/>
                <w:color w:val="auto"/>
              </w:rPr>
              <w:t>Estimated</w:t>
            </w:r>
          </w:p>
        </w:tc>
      </w:tr>
      <w:tr>
        <w:trPr>
          <w:trHeight w:val="211"/>
        </w:trPr>
        <w:tc>
          <w:tcPr>
            <w:tcW w:w="5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Cost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Gains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w w:val="97"/>
              </w:rPr>
              <w:t>Losses</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Fair Value</w:t>
            </w:r>
          </w:p>
        </w:tc>
      </w:tr>
      <w:tr>
        <w:trPr>
          <w:trHeight w:val="20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9"/>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52,214</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52,183</w:t>
            </w:r>
          </w:p>
        </w:tc>
      </w:tr>
      <w:tr>
        <w:trPr>
          <w:trHeight w:val="211"/>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34,993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34,993</w:t>
            </w:r>
          </w:p>
        </w:tc>
      </w:tr>
      <w:tr>
        <w:trPr>
          <w:trHeight w:val="209"/>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12,111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12,103</w:t>
            </w:r>
          </w:p>
        </w:tc>
      </w:tr>
      <w:tr>
        <w:trPr>
          <w:trHeight w:val="211"/>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debt securities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6,399</w:t>
            </w:r>
          </w:p>
        </w:tc>
      </w:tr>
      <w:tr>
        <w:trPr>
          <w:trHeight w:val="202"/>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securities with a maturity of one year or less</w:t>
            </w: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105,716</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105,678</w:t>
            </w:r>
          </w:p>
        </w:tc>
      </w:tr>
      <w:tr>
        <w:trPr>
          <w:trHeight w:val="243"/>
        </w:trPr>
        <w:tc>
          <w:tcPr>
            <w:tcW w:w="5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09"/>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debt securities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31,667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31,529</w:t>
            </w:r>
          </w:p>
        </w:tc>
      </w:tr>
      <w:tr>
        <w:trPr>
          <w:trHeight w:val="20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securities with a maturity of one to two years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31,667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31,529</w:t>
            </w:r>
          </w:p>
        </w:tc>
      </w:tr>
      <w:tr>
        <w:trPr>
          <w:trHeight w:val="204"/>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Total available-for-sale securities</w:t>
            </w: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137,383</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137,207</w:t>
            </w: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As of December 31, 2022, the Company had 7 securities with a total fair market value of $38.9 million in an unrealized loss position. The Company believes that any unrealized losses associated with the decline in value of its securities is temporary and is primarily related to the change in market interest rates since purchase, and believes that it is more likely than not that it will be able to hold its debt securities to maturity. Therefore, the Company anticipates a full recovery of the amortized cost basis of its debt securities at maturity and an allowance for credit losses was not recognized.</w:t>
      </w:r>
    </w:p>
    <w:p>
      <w:pPr>
        <w:spacing w:after="0" w:line="167" w:lineRule="exact"/>
        <w:rPr>
          <w:sz w:val="20"/>
          <w:szCs w:val="20"/>
          <w:color w:val="auto"/>
        </w:rPr>
      </w:pPr>
    </w:p>
    <w:p>
      <w:pPr>
        <w:ind w:right="480" w:firstLine="433"/>
        <w:spacing w:after="0" w:line="300" w:lineRule="auto"/>
        <w:rPr>
          <w:sz w:val="20"/>
          <w:szCs w:val="20"/>
          <w:color w:val="auto"/>
        </w:rPr>
      </w:pPr>
      <w:r>
        <w:rPr>
          <w:rFonts w:ascii="Arial" w:cs="Arial" w:eastAsia="Arial" w:hAnsi="Arial"/>
          <w:sz w:val="17"/>
          <w:szCs w:val="17"/>
          <w:color w:val="auto"/>
        </w:rPr>
        <w:t>Securities are evaluated for impairment at the end of each reporting period. The Company did not record any impairment related to its available-for-sale securities during the years ended December 31, 2022 and 2021.</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of Financial Assets</w:t>
      </w:r>
    </w:p>
    <w:p>
      <w:pPr>
        <w:spacing w:after="0" w:line="121" w:lineRule="exact"/>
        <w:rPr>
          <w:sz w:val="20"/>
          <w:szCs w:val="20"/>
          <w:color w:val="auto"/>
        </w:rPr>
      </w:pPr>
    </w:p>
    <w:p>
      <w:pPr>
        <w:ind w:right="40" w:firstLine="433"/>
        <w:spacing w:after="0" w:line="300" w:lineRule="auto"/>
        <w:rPr>
          <w:sz w:val="20"/>
          <w:szCs w:val="20"/>
          <w:color w:val="auto"/>
        </w:rPr>
      </w:pPr>
      <w:r>
        <w:rPr>
          <w:rFonts w:ascii="Arial" w:cs="Arial" w:eastAsia="Arial" w:hAnsi="Arial"/>
          <w:sz w:val="17"/>
          <w:szCs w:val="17"/>
          <w:color w:val="auto"/>
        </w:rPr>
        <w:t>The following tables present information about the Company’s financial assets measured at fair value on a recurring basis and indicates the level of the fair value hierarchy utilized to determine such fair values as of December 31, 2022 and 2021 (in thousands):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6"/>
                <w:szCs w:val="16"/>
                <w:b w:val="1"/>
                <w:bCs w:val="1"/>
                <w:color w:val="auto"/>
              </w:rPr>
              <w:t>As of December 31, 2022</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3"/>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41"/>
              <w:spacing w:after="0"/>
              <w:rPr>
                <w:sz w:val="20"/>
                <w:szCs w:val="20"/>
                <w:color w:val="auto"/>
              </w:rPr>
            </w:pPr>
            <w:r>
              <w:rPr>
                <w:rFonts w:ascii="Arial" w:cs="Arial" w:eastAsia="Arial" w:hAnsi="Arial"/>
                <w:sz w:val="16"/>
                <w:szCs w:val="16"/>
                <w:b w:val="1"/>
                <w:bCs w:val="1"/>
                <w:color w:val="auto"/>
              </w:rPr>
              <w:t>Total</w:t>
            </w:r>
          </w:p>
        </w:tc>
      </w:tr>
      <w:tr>
        <w:trPr>
          <w:trHeight w:val="19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09"/>
        </w:trPr>
        <w:tc>
          <w:tcPr>
            <w:tcW w:w="526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1"/>
        </w:trPr>
        <w:tc>
          <w:tcPr>
            <w:tcW w:w="52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Money market funds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34,181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34,181</w:t>
            </w:r>
          </w:p>
        </w:tc>
      </w:tr>
      <w:tr>
        <w:trPr>
          <w:trHeight w:val="209"/>
        </w:trPr>
        <w:tc>
          <w:tcPr>
            <w:tcW w:w="526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1"/>
        </w:trPr>
        <w:tc>
          <w:tcPr>
            <w:tcW w:w="52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34,879</w:t>
            </w:r>
          </w:p>
        </w:tc>
      </w:tr>
      <w:tr>
        <w:trPr>
          <w:trHeight w:val="209"/>
        </w:trPr>
        <w:tc>
          <w:tcPr>
            <w:tcW w:w="52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3,995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3,995</w:t>
            </w:r>
          </w:p>
        </w:tc>
      </w:tr>
      <w:tr>
        <w:trPr>
          <w:trHeight w:val="223"/>
        </w:trPr>
        <w:tc>
          <w:tcPr>
            <w:tcW w:w="5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73,055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6"/>
                <w:szCs w:val="16"/>
                <w:b w:val="1"/>
                <w:bCs w:val="1"/>
                <w:color w:val="auto"/>
              </w:rPr>
              <w:t>As of December 31, 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3"/>
        </w:trPr>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Level 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61"/>
              <w:spacing w:after="0"/>
              <w:rPr>
                <w:sz w:val="20"/>
                <w:szCs w:val="20"/>
                <w:color w:val="auto"/>
              </w:rPr>
            </w:pPr>
            <w:r>
              <w:rPr>
                <w:rFonts w:ascii="Arial" w:cs="Arial" w:eastAsia="Arial" w:hAnsi="Arial"/>
                <w:sz w:val="16"/>
                <w:szCs w:val="16"/>
                <w:b w:val="1"/>
                <w:bCs w:val="1"/>
                <w:color w:val="auto"/>
              </w:rPr>
              <w:t>Total</w:t>
            </w:r>
          </w:p>
        </w:tc>
      </w:tr>
      <w:tr>
        <w:trPr>
          <w:trHeight w:val="190"/>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1"/>
        </w:trPr>
        <w:tc>
          <w:tcPr>
            <w:tcW w:w="52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131,372</w:t>
            </w:r>
          </w:p>
        </w:tc>
      </w:tr>
      <w:tr>
        <w:trPr>
          <w:trHeight w:val="209"/>
        </w:trPr>
        <w:tc>
          <w:tcPr>
            <w:tcW w:w="52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1"/>
        </w:trPr>
        <w:tc>
          <w:tcPr>
            <w:tcW w:w="52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Corporate debt securities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83,712</w:t>
            </w:r>
          </w:p>
        </w:tc>
      </w:tr>
      <w:tr>
        <w:trPr>
          <w:trHeight w:val="209"/>
        </w:trPr>
        <w:tc>
          <w:tcPr>
            <w:tcW w:w="5240" w:type="dxa"/>
            <w:vAlign w:val="bottom"/>
          </w:tcPr>
          <w:p>
            <w:pPr>
              <w:ind w:left="440"/>
              <w:spacing w:after="0"/>
              <w:rPr>
                <w:sz w:val="20"/>
                <w:szCs w:val="20"/>
                <w:color w:val="auto"/>
              </w:rPr>
            </w:pPr>
            <w:r>
              <w:rPr>
                <w:rFonts w:ascii="Arial" w:cs="Arial" w:eastAsia="Arial" w:hAnsi="Arial"/>
                <w:sz w:val="16"/>
                <w:szCs w:val="16"/>
                <w:color w:val="auto"/>
              </w:rPr>
              <w:t>Commercial paper</w:t>
            </w: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34,993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34,993</w:t>
            </w:r>
          </w:p>
        </w:tc>
      </w:tr>
      <w:tr>
        <w:trPr>
          <w:trHeight w:val="211"/>
        </w:trPr>
        <w:tc>
          <w:tcPr>
            <w:tcW w:w="52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Debt securities issued by U.S. government agencies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12,103</w:t>
            </w:r>
          </w:p>
        </w:tc>
      </w:tr>
      <w:tr>
        <w:trPr>
          <w:trHeight w:val="209"/>
        </w:trPr>
        <w:tc>
          <w:tcPr>
            <w:tcW w:w="52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Other debt securities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6,399</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6,399</w:t>
            </w:r>
          </w:p>
        </w:tc>
      </w:tr>
      <w:tr>
        <w:trPr>
          <w:trHeight w:val="223"/>
        </w:trPr>
        <w:tc>
          <w:tcPr>
            <w:tcW w:w="5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125,104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268,579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The Company estimates the fair value of its marketable securities classified as Level 2 by taking into consideration valuations obtained from third-party pricing sources. These pricing sources utilize industry standard valuation models, including both income and market-based approaches, for which all significant inputs are observable, either directly or indirectly, to estimate fair value. These inputs include market pricing based on real-time trade data for the same or similar securities, issuer credit spreads, benchmark yields, and other observable inputs. The Company validates the prices provided by its third-party pricing sources by understanding the models used, obtaining market values from other pricing sources and analyzing pricing data in certain instances.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Property and Equipment, Net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Property and equipment, net consisted of the following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Office furniture and equipment</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545</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Laboratory equipment</w:t>
            </w: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Total property and equipment</w:t>
            </w: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1,543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1,366</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w:t>
            </w:r>
          </w:p>
        </w:tc>
      </w:tr>
      <w:tr>
        <w:trPr>
          <w:trHeight w:val="21"/>
        </w:trPr>
        <w:tc>
          <w:tcPr>
            <w:tcW w:w="8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Depreciation expense was $0.4 million and $0.2 million for the years ended December 31, 2022 and 2021, respectively.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Accrued Expenses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Accrued expenses consisted of the following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17,763</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Accrued personnel-related expenses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2,803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7,180</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 expenses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Total accrued expenses</w:t>
            </w: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15,850</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26,844</w:t>
            </w:r>
          </w:p>
        </w:tc>
      </w:tr>
      <w:tr>
        <w:trPr>
          <w:trHeight w:val="21"/>
        </w:trPr>
        <w:tc>
          <w:tcPr>
            <w:tcW w:w="8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ind w:right="8260" w:firstLine="5"/>
        <w:spacing w:after="0" w:line="387" w:lineRule="auto"/>
        <w:tabs>
          <w:tab w:leader="none" w:pos="194"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Leases</w:t>
      </w:r>
    </w:p>
    <w:p>
      <w:pPr>
        <w:spacing w:after="0" w:line="1"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In May 2021, the Company entered into a sublease agreement for office space located in Boston, Massachusetts. The sublease expires on January 31, 2026, with no option to renew or terminate early. The base rent increases by approximately 2% annually. The Company issued a letter of credit to the landlord related to the security deposit, secured by restricted cash (Note 3). This lease qualifies as an operating lease. At inception, the Company recorded an operating lease right-of-use asset and operating lease liability of $4.1 million.</w:t>
      </w:r>
    </w:p>
    <w:p>
      <w:pPr>
        <w:spacing w:after="0" w:line="166" w:lineRule="exact"/>
        <w:rPr>
          <w:sz w:val="20"/>
          <w:szCs w:val="20"/>
          <w:color w:val="auto"/>
        </w:rPr>
      </w:pPr>
    </w:p>
    <w:p>
      <w:pPr>
        <w:jc w:val="both"/>
        <w:ind w:right="100" w:firstLine="433"/>
        <w:spacing w:after="0" w:line="278" w:lineRule="auto"/>
        <w:rPr>
          <w:sz w:val="20"/>
          <w:szCs w:val="20"/>
          <w:color w:val="auto"/>
        </w:rPr>
      </w:pPr>
      <w:r>
        <w:rPr>
          <w:rFonts w:ascii="Arial" w:cs="Arial" w:eastAsia="Arial" w:hAnsi="Arial"/>
          <w:sz w:val="17"/>
          <w:szCs w:val="17"/>
          <w:color w:val="auto"/>
        </w:rPr>
        <w:t>In October 2018, the Company entered into a sublease agreement for office space located in Cambridge, Massachusetts which expired on December 31, 2021. The base rent increased by approximately 1% annually. The Company issued a letter of credit to the landlord related to the security deposit, secured by restricted cash (Note 3). This lease qualified as an operating lease.</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presentation of the operating leases in the Company’s consolidated balance sheets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6"/>
                <w:szCs w:val="16"/>
                <w:b w:val="1"/>
                <w:bCs w:val="1"/>
                <w:color w:val="auto"/>
              </w:rPr>
              <w:t>As of December 31,</w:t>
            </w:r>
          </w:p>
        </w:tc>
        <w:tc>
          <w:tcPr>
            <w:tcW w:w="52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2,901</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3,653</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76"/>
        </w:trPr>
        <w:tc>
          <w:tcPr>
            <w:tcW w:w="806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Liabilities:</w:t>
            </w: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209"/>
        </w:trPr>
        <w:tc>
          <w:tcPr>
            <w:tcW w:w="8060" w:type="dxa"/>
            <w:vAlign w:val="bottom"/>
          </w:tcPr>
          <w:p>
            <w:pPr>
              <w:ind w:left="340"/>
              <w:spacing w:after="0"/>
              <w:rPr>
                <w:sz w:val="20"/>
                <w:szCs w:val="20"/>
                <w:color w:val="auto"/>
              </w:rPr>
            </w:pPr>
            <w:r>
              <w:rPr>
                <w:rFonts w:ascii="Arial" w:cs="Arial" w:eastAsia="Arial" w:hAnsi="Arial"/>
                <w:sz w:val="16"/>
                <w:szCs w:val="16"/>
                <w:color w:val="auto"/>
              </w:rPr>
              <w:t>Current operating lease liabilities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18"/>
                <w:szCs w:val="18"/>
                <w:color w:val="auto"/>
              </w:rPr>
            </w:pP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810</w:t>
            </w:r>
          </w:p>
        </w:tc>
      </w:tr>
      <w:tr>
        <w:trPr>
          <w:trHeight w:val="211"/>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 portion of operating lease liabilities</w:t>
            </w: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3,501</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Total lease liabilities</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4,311</w:t>
            </w:r>
          </w:p>
        </w:tc>
      </w:tr>
      <w:tr>
        <w:trPr>
          <w:trHeight w:val="21"/>
        </w:trPr>
        <w:tc>
          <w:tcPr>
            <w:tcW w:w="8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total lease costs recognized in the Company’s consolidated statements of operations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820" w:type="dxa"/>
            <w:vAlign w:val="bottom"/>
          </w:tcPr>
          <w:p>
            <w:pPr>
              <w:spacing w:after="0"/>
              <w:rPr>
                <w:sz w:val="18"/>
                <w:szCs w:val="18"/>
                <w:color w:val="auto"/>
              </w:rPr>
            </w:pPr>
          </w:p>
        </w:tc>
        <w:tc>
          <w:tcPr>
            <w:tcW w:w="3260" w:type="dxa"/>
            <w:vAlign w:val="bottom"/>
            <w:tcBorders>
              <w:bottom w:val="single" w:sz="8" w:color="auto"/>
            </w:tcBorders>
            <w:gridSpan w:val="5"/>
          </w:tcPr>
          <w:p>
            <w:pPr>
              <w:jc w:val="right"/>
              <w:ind w:right="301"/>
              <w:spacing w:after="0"/>
              <w:rPr>
                <w:sz w:val="20"/>
                <w:szCs w:val="20"/>
                <w:color w:val="auto"/>
              </w:rPr>
            </w:pPr>
            <w:r>
              <w:rPr>
                <w:rFonts w:ascii="Arial" w:cs="Arial" w:eastAsia="Arial" w:hAnsi="Arial"/>
                <w:sz w:val="16"/>
                <w:szCs w:val="16"/>
                <w:b w:val="1"/>
                <w:bCs w:val="1"/>
                <w:color w:val="auto"/>
              </w:rPr>
              <w:t>For the year ended December 31,</w:t>
            </w:r>
          </w:p>
        </w:tc>
      </w:tr>
      <w:tr>
        <w:trPr>
          <w:trHeight w:val="203"/>
        </w:trPr>
        <w:tc>
          <w:tcPr>
            <w:tcW w:w="78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2021</w:t>
            </w:r>
          </w:p>
        </w:tc>
      </w:t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w:t>
            </w:r>
          </w:p>
        </w:tc>
      </w:tr>
      <w:tr>
        <w:trPr>
          <w:trHeight w:val="20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Variable lease costs</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2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costs</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right="200" w:firstLine="433"/>
        <w:spacing w:after="0" w:line="271" w:lineRule="auto"/>
        <w:rPr>
          <w:sz w:val="20"/>
          <w:szCs w:val="20"/>
          <w:color w:val="auto"/>
        </w:rPr>
      </w:pPr>
      <w:r>
        <w:rPr>
          <w:rFonts w:ascii="Arial" w:cs="Arial" w:eastAsia="Arial" w:hAnsi="Arial"/>
          <w:sz w:val="17"/>
          <w:szCs w:val="17"/>
          <w:color w:val="auto"/>
        </w:rPr>
        <w:t>Variable lease costs were primarily related to operating expenses, taxes and insurance associated with the operating leases, which were assessed based on the Company’s proportionate share of such costs for the leased premises. As these costs are generally variable in nature, they were not included in the measurement of the operating lease right-of-use asset and related lease liability. Total lease costs are included as operating expenses in the Company’s consolidated statements of operations and comprehensive loss.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Future lease payments under non-cancelable lease agreements as of December 31, 2022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6"/>
                <w:szCs w:val="16"/>
                <w:color w:val="auto"/>
              </w:rPr>
            </w:pPr>
          </w:p>
        </w:tc>
        <w:tc>
          <w:tcPr>
            <w:tcW w:w="1340" w:type="dxa"/>
            <w:vAlign w:val="bottom"/>
          </w:tcPr>
          <w:p>
            <w:pPr>
              <w:jc w:val="right"/>
              <w:ind w:right="201"/>
              <w:spacing w:after="0"/>
              <w:rPr>
                <w:sz w:val="20"/>
                <w:szCs w:val="20"/>
                <w:color w:val="auto"/>
              </w:rPr>
            </w:pPr>
            <w:r>
              <w:rPr>
                <w:rFonts w:ascii="Arial" w:cs="Arial" w:eastAsia="Arial" w:hAnsi="Arial"/>
                <w:sz w:val="16"/>
                <w:szCs w:val="16"/>
                <w:b w:val="1"/>
                <w:bCs w:val="1"/>
                <w:color w:val="auto"/>
              </w:rPr>
              <w:t>Future Lease</w:t>
            </w:r>
          </w:p>
        </w:tc>
        <w:tc>
          <w:tcPr>
            <w:tcW w:w="0" w:type="dxa"/>
            <w:vAlign w:val="bottom"/>
          </w:tcPr>
          <w:p>
            <w:pPr>
              <w:spacing w:after="0"/>
              <w:rPr>
                <w:sz w:val="1"/>
                <w:szCs w:val="1"/>
                <w:color w:val="auto"/>
              </w:rPr>
            </w:pPr>
          </w:p>
        </w:tc>
      </w:tr>
      <w:tr>
        <w:trPr>
          <w:trHeight w:val="210"/>
        </w:trPr>
        <w:tc>
          <w:tcPr>
            <w:tcW w:w="97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Payments</w:t>
            </w:r>
          </w:p>
        </w:tc>
        <w:tc>
          <w:tcPr>
            <w:tcW w:w="0" w:type="dxa"/>
            <w:vAlign w:val="bottom"/>
          </w:tcPr>
          <w:p>
            <w:pPr>
              <w:spacing w:after="0"/>
              <w:rPr>
                <w:sz w:val="1"/>
                <w:szCs w:val="1"/>
                <w:color w:val="auto"/>
              </w:rPr>
            </w:pPr>
          </w:p>
        </w:tc>
      </w:tr>
      <w:tr>
        <w:trPr>
          <w:trHeight w:val="203"/>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09"/>
        </w:trPr>
        <w:tc>
          <w:tcPr>
            <w:tcW w:w="970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11"/>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09"/>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2026</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4"/>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lease payments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209"/>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28"/>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right="200" w:firstLine="433"/>
        <w:spacing w:after="0" w:line="348" w:lineRule="auto"/>
        <w:rPr>
          <w:sz w:val="20"/>
          <w:szCs w:val="20"/>
          <w:color w:val="auto"/>
        </w:rPr>
      </w:pPr>
      <w:r>
        <w:rPr>
          <w:rFonts w:ascii="Arial" w:cs="Arial" w:eastAsia="Arial" w:hAnsi="Arial"/>
          <w:sz w:val="17"/>
          <w:szCs w:val="17"/>
          <w:color w:val="auto"/>
        </w:rPr>
        <w:t>The weighted average remaining lease term and weighted average incremental borrowing rate of the Company’s operating lease were as follows:</w:t>
      </w:r>
    </w:p>
    <w:p>
      <w:pPr>
        <w:spacing w:after="0" w:line="26"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2021</w:t>
            </w:r>
          </w:p>
        </w:tc>
      </w:tr>
      <w:tr>
        <w:trPr>
          <w:trHeight w:val="203"/>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7"/>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Weighted average incremental borrowing rate</w:t>
            </w:r>
          </w:p>
        </w:tc>
        <w:tc>
          <w:tcPr>
            <w:tcW w:w="540" w:type="dxa"/>
            <w:vAlign w:val="bottom"/>
          </w:tcPr>
          <w:p>
            <w:pPr>
              <w:jc w:val="right"/>
              <w:spacing w:after="0"/>
              <w:rPr>
                <w:sz w:val="20"/>
                <w:szCs w:val="20"/>
                <w:color w:val="auto"/>
              </w:rPr>
            </w:pPr>
            <w:r>
              <w:rPr>
                <w:rFonts w:ascii="Arial" w:cs="Arial" w:eastAsia="Arial" w:hAnsi="Arial"/>
                <w:sz w:val="16"/>
                <w:szCs w:val="16"/>
                <w:color w:val="auto"/>
              </w:rPr>
              <w:t>9.0 %</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9.0 %</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19"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The Company, from time to time, may be party to litigation arising in the ordinary course of business. The Company was not subject to any material legal proceedings during the years ended December 31, 2022 and 2021, and no material legal proceedings are currently pending or threatened.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Orders</w:t>
      </w:r>
    </w:p>
    <w:p>
      <w:pPr>
        <w:spacing w:after="0" w:line="119"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The Company has agreements with third parties for various services, including services related to research, preclinical and clinical operations and support, for which the Company is not contractually able to terminate for convenience to avoid future obligations to the vendors. Certain agreements provide for termination rights subject to termination fees or wind down costs. Under such agreements, the Company is contractually obligated to make certain payments to vendors, primarily to reimburse them for their unrecoverable outlays incurred prior to cancellation. The actual amounts the Company could pay in the future to the vendors under such agreements may differ from the purchase order amounts due to cancellation provisions.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119"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The Company enters into indemnification agreements and agreements containing indemnification provisions in the ordinary course of business. Pursuant to these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 party with respect to the Company’s products. The term of these indemnification agreements is generally perpetual upon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Agreements</w:t>
      </w:r>
    </w:p>
    <w:p>
      <w:pPr>
        <w:spacing w:after="0" w:line="119" w:lineRule="exact"/>
        <w:rPr>
          <w:sz w:val="20"/>
          <w:szCs w:val="20"/>
          <w:color w:val="auto"/>
        </w:rPr>
      </w:pPr>
    </w:p>
    <w:p>
      <w:pPr>
        <w:ind w:right="120" w:firstLine="433"/>
        <w:spacing w:after="0" w:line="271" w:lineRule="auto"/>
        <w:rPr>
          <w:sz w:val="20"/>
          <w:szCs w:val="20"/>
          <w:color w:val="auto"/>
        </w:rPr>
      </w:pPr>
      <w:r>
        <w:rPr>
          <w:rFonts w:ascii="Arial" w:cs="Arial" w:eastAsia="Arial" w:hAnsi="Arial"/>
          <w:sz w:val="17"/>
          <w:szCs w:val="17"/>
          <w:color w:val="auto"/>
        </w:rPr>
        <w:t>The Company has entered into multiple agreements with third parties under which it may be obligated to make future development, regulatory and commercial milestone payments and royalty payments on future sales of specified product candidates. Payments under these agreements generally become due and payable upon achievement of such milestones and sales. When the achievement of these milestones or sales have not occurred, such contingencies are not recorded in the Company's financial statements.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UCB Option and License Agreement</w:t>
      </w:r>
    </w:p>
    <w:p>
      <w:pPr>
        <w:spacing w:after="0" w:line="121"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In December 2022, the Company entered into an Option and License Agreement (“the Collaboration Agreement”) with UCB for the discovery of small molecule therapeutics as potential treatments of KCNT1 related epilepsies. Under the terms of the Collaboration Agreement, the Company has agreed to perform general biology-related research services as part of a mutually agreed upon research plan in exchange for a $5.0 million upfront payment. In addition, the Company provided UCB an exclusive option to in-license global development and commercialization rights to any resulting KCNT1 small molecule development candidate identified as part of the research plan. If UCB exercises its option to in-license global development and commercialization rights, the Collaboration Agreement stipulates that UCB will assume research, development, manufacturing and commercialization responsibilities and costs. Under the terms of the Collaboration Agreement, the Company will be eligible to receive an option fee and future success-based development and commercialization milestone payments, totaling up to $98.5 million, in addition to tiered royalties on net sales of any resulting products from the Collaboration Agreement.</w:t>
      </w:r>
    </w:p>
    <w:p>
      <w:pPr>
        <w:spacing w:after="0" w:line="178" w:lineRule="exact"/>
        <w:rPr>
          <w:sz w:val="20"/>
          <w:szCs w:val="20"/>
          <w:color w:val="auto"/>
        </w:rPr>
      </w:pPr>
    </w:p>
    <w:p>
      <w:pPr>
        <w:ind w:right="140" w:firstLine="433"/>
        <w:spacing w:after="0" w:line="278" w:lineRule="auto"/>
        <w:rPr>
          <w:sz w:val="20"/>
          <w:szCs w:val="20"/>
          <w:color w:val="auto"/>
        </w:rPr>
      </w:pPr>
      <w:r>
        <w:rPr>
          <w:rFonts w:ascii="Arial" w:cs="Arial" w:eastAsia="Arial" w:hAnsi="Arial"/>
          <w:sz w:val="17"/>
          <w:szCs w:val="17"/>
          <w:color w:val="auto"/>
        </w:rPr>
        <w:t>At the commencement of the Collaboration Agreement, the Company identified one performance obligation, which was to perform the research services for UCB. The Company determined the transaction price to be $5.0 million, comprised of the upfront payment it received. The option provided to UCB was determined not to be a material right.</w:t>
      </w:r>
    </w:p>
    <w:p>
      <w:pPr>
        <w:spacing w:after="0" w:line="160" w:lineRule="exact"/>
        <w:rPr>
          <w:sz w:val="20"/>
          <w:szCs w:val="20"/>
          <w:color w:val="auto"/>
        </w:rPr>
      </w:pPr>
    </w:p>
    <w:p>
      <w:pPr>
        <w:ind w:right="120" w:firstLine="433"/>
        <w:spacing w:after="0" w:line="271" w:lineRule="auto"/>
        <w:rPr>
          <w:sz w:val="20"/>
          <w:szCs w:val="20"/>
          <w:color w:val="auto"/>
        </w:rPr>
      </w:pPr>
      <w:r>
        <w:rPr>
          <w:rFonts w:ascii="Arial" w:cs="Arial" w:eastAsia="Arial" w:hAnsi="Arial"/>
          <w:sz w:val="17"/>
          <w:szCs w:val="17"/>
          <w:color w:val="auto"/>
        </w:rPr>
        <w:t>The Company will recognize revenue for its research services performance obligation over time using an input method over the duration of the research services. During the year ended December 31, 2022, the Company did not recognize any collaboration revenue related to the Collaboration Agreement as no services had been provided. As of December 31, 2022, the $5.0 million upfront payment is included in deferred revenue in the consolidated balance sheet.</w:t>
      </w:r>
    </w:p>
    <w:p>
      <w:pPr>
        <w:spacing w:after="0" w:line="269" w:lineRule="exact"/>
        <w:rPr>
          <w:sz w:val="20"/>
          <w:szCs w:val="20"/>
          <w:color w:val="auto"/>
        </w:rPr>
      </w:pPr>
    </w:p>
    <w:p>
      <w:pPr>
        <w:ind w:right="7960" w:firstLine="5"/>
        <w:spacing w:after="0" w:line="387" w:lineRule="auto"/>
        <w:tabs>
          <w:tab w:leader="none" w:pos="291"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Common Stock and Preferred Stock </w:t>
      </w:r>
      <w:r>
        <w:rPr>
          <w:rFonts w:ascii="Arial" w:cs="Arial" w:eastAsia="Arial" w:hAnsi="Arial"/>
          <w:sz w:val="17"/>
          <w:szCs w:val="17"/>
          <w:b w:val="1"/>
          <w:bCs w:val="1"/>
          <w:i w:val="1"/>
          <w:iCs w:val="1"/>
          <w:color w:val="auto"/>
        </w:rPr>
        <w:t>Common Stock</w:t>
      </w:r>
    </w:p>
    <w:p>
      <w:pPr>
        <w:spacing w:after="0" w:line="1" w:lineRule="exact"/>
        <w:rPr>
          <w:sz w:val="20"/>
          <w:szCs w:val="20"/>
          <w:color w:val="auto"/>
        </w:rPr>
      </w:pPr>
    </w:p>
    <w:p>
      <w:pPr>
        <w:ind w:right="80" w:firstLine="433"/>
        <w:spacing w:after="0" w:line="270" w:lineRule="auto"/>
        <w:rPr>
          <w:sz w:val="20"/>
          <w:szCs w:val="20"/>
          <w:color w:val="auto"/>
        </w:rPr>
      </w:pPr>
      <w:r>
        <w:rPr>
          <w:rFonts w:ascii="Arial" w:cs="Arial" w:eastAsia="Arial" w:hAnsi="Arial"/>
          <w:sz w:val="17"/>
          <w:szCs w:val="17"/>
          <w:color w:val="auto"/>
        </w:rPr>
        <w:t>On May 18, 2021, the Company completed a follow-on public offering in which the Company issued and sold 5,750,000 shares of its common stock at a public offering price of $ 18.25 per share, including 750,000 shares of common stock issued and sold pursuant to the underwriters' exercise, in full, of their option to purchase additional shares of common stock, for aggregate gross proceeds of $ 104.9 million. The Company received approximately $98.4 million in net proceeds after deducting discounts, commissions and offering expenses payable by the Company.</w:t>
      </w:r>
    </w:p>
    <w:p>
      <w:pPr>
        <w:spacing w:after="0" w:line="37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On November 3, 2021, the Company filed an automatic shelf registration with the Securities and Exchange Commission, which was automatically declared effective on November 3, 2021 in relation to the registration of common stock, preferred stock, debt securities, warrants and units or any combination thereof. The Company also simultaneously entered into the Sales Agreement with Jefferies LLC ("Jefferies"), to provide for the offering, issuance and sale of up to an aggregate amount of $125.0 million of common stock from time to time in at-the-market offerings under the shelf registration and subject to the limitations thereof. Jefferies is entitled to compensation at a commission rate of 3% of the gross sales price of common stock sold under the Sales Agreement. During the year ended December 31, 2022, the Company issued and sold 3,595,273 shares under the Sales Agreement for aggregate net proceeds of $9.6 million after deducting commissions and offering expenses payable by the Company. As of December 31, 2022, the Company issued and sold a total of 3,987,270 shares under the Sales Agreement for net proceeds of $16.6 million after deducting commissions and offering expenses payable by the Company.</w:t>
      </w:r>
    </w:p>
    <w:p>
      <w:pPr>
        <w:spacing w:after="0" w:line="178"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As of December 31, 2022 and 2021, the authorized capital stock of the Company included 150,000,000 shares of common stock, $0.0001 par value, pursuant to the Amended and Restated Certificate of Incorporation effective upon the completion of the IPO. Holders of such shares of common stock have the exclusive right to vote for the election of the Company's directors and are entitled to one vote per share. In the event of the voluntary or involuntary liquidation, dissolution or winding up of the Company, the holders of common stock are entitled to a pro</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rata distribution of the Company's net assets. Dividends may be declared and paid to such holders only when, as, and if declared by the Board or an authorized committee thereof.</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2022, the Company did not hold any treasury shares.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Reserved for Future Issuance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had reserved the following shares of common stock for future issuance: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16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03"/>
        </w:trPr>
        <w:tc>
          <w:tcPr>
            <w:tcW w:w="3520" w:type="dxa"/>
            <w:vAlign w:val="bottom"/>
            <w:tcBorders>
              <w:bottom w:val="single" w:sz="8" w:color="CCEEFF"/>
            </w:tcBorders>
          </w:tcPr>
          <w:p>
            <w:pPr>
              <w:spacing w:after="0"/>
              <w:rPr>
                <w:sz w:val="17"/>
                <w:szCs w:val="17"/>
                <w:color w:val="auto"/>
              </w:rPr>
            </w:pPr>
          </w:p>
        </w:tc>
        <w:tc>
          <w:tcPr>
            <w:tcW w:w="456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2021</w:t>
            </w:r>
          </w:p>
        </w:tc>
      </w:tr>
      <w:tr>
        <w:trPr>
          <w:trHeight w:val="20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8,838,028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6,468,501</w:t>
            </w:r>
          </w:p>
        </w:tc>
      </w:tr>
      <w:tr>
        <w:trPr>
          <w:trHeight w:val="209"/>
        </w:trPr>
        <w:tc>
          <w:tcPr>
            <w:tcW w:w="3520" w:type="dxa"/>
            <w:vAlign w:val="bottom"/>
          </w:tcPr>
          <w:p>
            <w:pPr>
              <w:ind w:left="20"/>
              <w:spacing w:after="0"/>
              <w:rPr>
                <w:sz w:val="20"/>
                <w:szCs w:val="20"/>
                <w:color w:val="auto"/>
              </w:rPr>
            </w:pPr>
            <w:r>
              <w:rPr>
                <w:rFonts w:ascii="Arial" w:cs="Arial" w:eastAsia="Arial" w:hAnsi="Arial"/>
                <w:sz w:val="16"/>
                <w:szCs w:val="16"/>
                <w:color w:val="auto"/>
                <w:w w:val="98"/>
              </w:rPr>
              <w:t>Shares reserved for future awards under the 2020</w:t>
            </w:r>
          </w:p>
        </w:tc>
        <w:tc>
          <w:tcPr>
            <w:tcW w:w="4560" w:type="dxa"/>
            <w:vAlign w:val="bottom"/>
          </w:tcPr>
          <w:p>
            <w:pPr>
              <w:ind w:left="20"/>
              <w:spacing w:after="0"/>
              <w:rPr>
                <w:sz w:val="20"/>
                <w:szCs w:val="20"/>
                <w:color w:val="auto"/>
              </w:rPr>
            </w:pPr>
            <w:r>
              <w:rPr>
                <w:rFonts w:ascii="Arial" w:cs="Arial" w:eastAsia="Arial" w:hAnsi="Arial"/>
                <w:sz w:val="16"/>
                <w:szCs w:val="16"/>
                <w:color w:val="auto"/>
              </w:rPr>
              <w:t>Stock Option and Incentive Plan</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1,650,955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2,667,780</w:t>
            </w:r>
          </w:p>
        </w:tc>
      </w:tr>
      <w:tr>
        <w:trPr>
          <w:trHeight w:val="211"/>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Shares reserved for future awards under the 2020</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839,922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654,204</w:t>
            </w:r>
          </w:p>
        </w:tc>
      </w:tr>
      <w:tr>
        <w:trPr>
          <w:trHeight w:val="209"/>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743,950</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440,079</w:t>
            </w:r>
          </w:p>
        </w:tc>
      </w:tr>
      <w:tr>
        <w:trPr>
          <w:trHeight w:val="229"/>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12,072,855</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10,230,564</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19"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As of December 31, 2022 and 2021, the Company was authorized to issue 10,000,000 shares of undesignated preferred stock, $0.0001 par value, in one or more series, and is authorized to fix the powers, designations, preferences and relative participating option or other rights thereof, including dividend rights, conversion rights, voting rights, redemption rights, liquidation preferences and the number of shares constituting any series, without any further vote or action by the Company's shareholders. As of December 31, 2022 and 2021, the Company had no shares of undesignated preferred stock issued or outstanding.</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Stock-Based Compensation</w:t>
      </w:r>
    </w:p>
    <w:p>
      <w:pPr>
        <w:spacing w:after="0" w:line="121"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The total number of shares of common stock authorized for issuance under the 2020 Stock Option and Incentive Plan (the "2020 Plan") as of December 31, 2022 and December 31, 2021 was 7,449,480 shares and 5,184,455 shares, respectively. The total number of shares of common stock authorized for issuance under the 2017 Stock Inventive Plan (the "2017 Plan") as of December 31, 2022 and 2021 was 5,937,763 shares. Any authorization to issue new options under the 2017 Plan was cancelled upon the effectiveness of the 2020 Plan and no further awards will be granted under the 2017 Plan.</w:t>
      </w:r>
    </w:p>
    <w:p>
      <w:pPr>
        <w:spacing w:after="0" w:line="167" w:lineRule="exact"/>
        <w:rPr>
          <w:sz w:val="20"/>
          <w:szCs w:val="20"/>
          <w:color w:val="auto"/>
        </w:rPr>
      </w:pPr>
    </w:p>
    <w:p>
      <w:pPr>
        <w:ind w:right="140" w:firstLine="433"/>
        <w:spacing w:after="0" w:line="271" w:lineRule="auto"/>
        <w:rPr>
          <w:sz w:val="20"/>
          <w:szCs w:val="20"/>
          <w:color w:val="auto"/>
        </w:rPr>
      </w:pPr>
      <w:r>
        <w:rPr>
          <w:rFonts w:ascii="Arial" w:cs="Arial" w:eastAsia="Arial" w:hAnsi="Arial"/>
          <w:sz w:val="17"/>
          <w:szCs w:val="17"/>
          <w:color w:val="auto"/>
        </w:rPr>
        <w:t>Stock options issued under the 2020 Plan and 2017 Plan expire ten years from the date of grant. Shares that expire, are terminated, surrendered or canceled under the 2020 Plan and 2017 Plan without having been fully exercised will be available for future awards. In addition, shares of common stock that are tendered to the Company by a participant to exercise an award are added to the number of shares of common stock available for future awards. Upon stock option exercise, the Company issues new shares and delivers them to the participant.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119" w:lineRule="exact"/>
        <w:rPr>
          <w:sz w:val="20"/>
          <w:szCs w:val="20"/>
          <w:color w:val="auto"/>
        </w:rPr>
      </w:pPr>
    </w:p>
    <w:p>
      <w:pPr>
        <w:ind w:right="140" w:firstLine="433"/>
        <w:spacing w:after="0" w:line="278" w:lineRule="auto"/>
        <w:rPr>
          <w:sz w:val="20"/>
          <w:szCs w:val="20"/>
          <w:color w:val="auto"/>
        </w:rPr>
      </w:pPr>
      <w:r>
        <w:rPr>
          <w:rFonts w:ascii="Arial" w:cs="Arial" w:eastAsia="Arial" w:hAnsi="Arial"/>
          <w:sz w:val="17"/>
          <w:szCs w:val="17"/>
          <w:color w:val="auto"/>
        </w:rPr>
        <w:t>The total shares authorized for issuance under the 2020 Employee Stock Purchase Plan (the "2020 ESPP") as of December 31, 2022 and 2021 was 981,306 shares and 654,204 shares, respectively. During the year ended December 31, 2022, the Company issued 141,384 shares under the 2020 ESPP. The Company did not issue any shares under the 2020 ESPP during the year ended December 31, 2021.</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Company’s restricted stock unit activity:</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61"/>
              <w:spacing w:after="0"/>
              <w:rPr>
                <w:sz w:val="20"/>
                <w:szCs w:val="20"/>
                <w:color w:val="auto"/>
              </w:rPr>
            </w:pPr>
            <w:r>
              <w:rPr>
                <w:rFonts w:ascii="Arial" w:cs="Arial" w:eastAsia="Arial" w:hAnsi="Arial"/>
                <w:sz w:val="16"/>
                <w:szCs w:val="16"/>
                <w:b w:val="1"/>
                <w:bCs w:val="1"/>
                <w:color w:val="auto"/>
                <w:w w:val="97"/>
              </w:rPr>
              <w:t>Weighted</w:t>
            </w:r>
          </w:p>
        </w:tc>
        <w:tc>
          <w:tcPr>
            <w:tcW w:w="0" w:type="dxa"/>
            <w:vAlign w:val="bottom"/>
          </w:tcPr>
          <w:p>
            <w:pPr>
              <w:spacing w:after="0"/>
              <w:rPr>
                <w:sz w:val="1"/>
                <w:szCs w:val="1"/>
                <w:color w:val="auto"/>
              </w:rPr>
            </w:pPr>
          </w:p>
        </w:tc>
      </w:tr>
      <w:tr>
        <w:trPr>
          <w:trHeight w:val="157"/>
        </w:trPr>
        <w:tc>
          <w:tcPr>
            <w:tcW w:w="80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61"/>
              <w:spacing w:after="0" w:line="158"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57"/>
        </w:trPr>
        <w:tc>
          <w:tcPr>
            <w:tcW w:w="8040" w:type="dxa"/>
            <w:vAlign w:val="bottom"/>
          </w:tcPr>
          <w:p>
            <w:pPr>
              <w:spacing w:after="0"/>
              <w:rPr>
                <w:sz w:val="13"/>
                <w:szCs w:val="13"/>
                <w:color w:val="auto"/>
              </w:rPr>
            </w:pPr>
          </w:p>
        </w:tc>
        <w:tc>
          <w:tcPr>
            <w:tcW w:w="16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3"/>
                <w:szCs w:val="13"/>
                <w:color w:val="auto"/>
              </w:rPr>
            </w:pPr>
          </w:p>
        </w:tc>
        <w:tc>
          <w:tcPr>
            <w:tcW w:w="1300" w:type="dxa"/>
            <w:vAlign w:val="bottom"/>
          </w:tcPr>
          <w:p>
            <w:pPr>
              <w:jc w:val="center"/>
              <w:ind w:right="141"/>
              <w:spacing w:after="0" w:line="158" w:lineRule="exact"/>
              <w:rPr>
                <w:sz w:val="20"/>
                <w:szCs w:val="20"/>
                <w:color w:val="auto"/>
              </w:rPr>
            </w:pPr>
            <w:r>
              <w:rPr>
                <w:rFonts w:ascii="Arial" w:cs="Arial" w:eastAsia="Arial" w:hAnsi="Arial"/>
                <w:sz w:val="16"/>
                <w:szCs w:val="16"/>
                <w:b w:val="1"/>
                <w:bCs w:val="1"/>
                <w:color w:val="auto"/>
                <w:w w:val="97"/>
              </w:rPr>
              <w:t>Grant Date</w:t>
            </w:r>
          </w:p>
        </w:tc>
        <w:tc>
          <w:tcPr>
            <w:tcW w:w="0" w:type="dxa"/>
            <w:vAlign w:val="bottom"/>
          </w:tcPr>
          <w:p>
            <w:pPr>
              <w:spacing w:after="0"/>
              <w:rPr>
                <w:sz w:val="1"/>
                <w:szCs w:val="1"/>
                <w:color w:val="auto"/>
              </w:rPr>
            </w:pPr>
          </w:p>
        </w:tc>
      </w:tr>
      <w:tr>
        <w:trPr>
          <w:trHeight w:val="210"/>
        </w:trPr>
        <w:tc>
          <w:tcPr>
            <w:tcW w:w="80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61"/>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03"/>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2021</w:t>
            </w:r>
          </w:p>
        </w:tc>
        <w:tc>
          <w:tcPr>
            <w:tcW w:w="1540" w:type="dxa"/>
            <w:vAlign w:val="bottom"/>
            <w:tcBorders>
              <w:top w:val="single" w:sz="8" w:color="auto"/>
            </w:tcBorders>
            <w:shd w:val="clear" w:color="auto" w:fill="CCEEFF"/>
          </w:tcPr>
          <w:p>
            <w:pPr>
              <w:jc w:val="center"/>
              <w:ind w:left="741"/>
              <w:spacing w:after="0"/>
              <w:rPr>
                <w:sz w:val="20"/>
                <w:szCs w:val="20"/>
                <w:color w:val="auto"/>
              </w:rPr>
            </w:pPr>
            <w:r>
              <w:rPr>
                <w:rFonts w:ascii="Arial" w:cs="Arial" w:eastAsia="Arial" w:hAnsi="Arial"/>
                <w:sz w:val="16"/>
                <w:szCs w:val="16"/>
                <w:color w:val="auto"/>
                <w:w w:val="96"/>
              </w:rPr>
              <w:t>440,079</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0" w:type="dxa"/>
            <w:vAlign w:val="bottom"/>
          </w:tcPr>
          <w:p>
            <w:pPr>
              <w:spacing w:after="0"/>
              <w:rPr>
                <w:sz w:val="1"/>
                <w:szCs w:val="1"/>
                <w:color w:val="auto"/>
              </w:rPr>
            </w:pPr>
          </w:p>
        </w:tc>
      </w:tr>
      <w:tr>
        <w:trPr>
          <w:trHeight w:val="209"/>
        </w:trPr>
        <w:tc>
          <w:tcPr>
            <w:tcW w:w="8040" w:type="dxa"/>
            <w:vAlign w:val="bottom"/>
          </w:tcPr>
          <w:p>
            <w:pPr>
              <w:ind w:left="220"/>
              <w:spacing w:after="0"/>
              <w:rPr>
                <w:sz w:val="20"/>
                <w:szCs w:val="20"/>
                <w:color w:val="auto"/>
              </w:rPr>
            </w:pPr>
            <w:r>
              <w:rPr>
                <w:rFonts w:ascii="Arial" w:cs="Arial" w:eastAsia="Arial" w:hAnsi="Arial"/>
                <w:sz w:val="16"/>
                <w:szCs w:val="16"/>
                <w:color w:val="auto"/>
              </w:rPr>
              <w:t>Issued</w:t>
            </w:r>
          </w:p>
        </w:tc>
        <w:tc>
          <w:tcPr>
            <w:tcW w:w="1540" w:type="dxa"/>
            <w:vAlign w:val="bottom"/>
          </w:tcPr>
          <w:p>
            <w:pPr>
              <w:jc w:val="center"/>
              <w:ind w:left="741"/>
              <w:spacing w:after="0"/>
              <w:rPr>
                <w:sz w:val="20"/>
                <w:szCs w:val="20"/>
                <w:color w:val="auto"/>
              </w:rPr>
            </w:pPr>
            <w:r>
              <w:rPr>
                <w:rFonts w:ascii="Arial" w:cs="Arial" w:eastAsia="Arial" w:hAnsi="Arial"/>
                <w:sz w:val="16"/>
                <w:szCs w:val="16"/>
                <w:color w:val="auto"/>
                <w:w w:val="96"/>
              </w:rPr>
              <w:t>676,828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14.54</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center"/>
              <w:ind w:left="721"/>
              <w:spacing w:after="0"/>
              <w:rPr>
                <w:sz w:val="20"/>
                <w:szCs w:val="20"/>
                <w:color w:val="auto"/>
              </w:rPr>
            </w:pPr>
            <w:r>
              <w:rPr>
                <w:rFonts w:ascii="Arial" w:cs="Arial" w:eastAsia="Arial" w:hAnsi="Arial"/>
                <w:sz w:val="16"/>
                <w:szCs w:val="16"/>
                <w:color w:val="auto"/>
                <w:w w:val="96"/>
              </w:rPr>
              <w:t>(104,803)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w:t>
            </w:r>
          </w:p>
        </w:tc>
        <w:tc>
          <w:tcPr>
            <w:tcW w:w="0" w:type="dxa"/>
            <w:vAlign w:val="bottom"/>
          </w:tcPr>
          <w:p>
            <w:pPr>
              <w:spacing w:after="0"/>
              <w:rPr>
                <w:sz w:val="1"/>
                <w:szCs w:val="1"/>
                <w:color w:val="auto"/>
              </w:rPr>
            </w:pPr>
          </w:p>
        </w:tc>
      </w:tr>
      <w:tr>
        <w:trPr>
          <w:trHeight w:val="209"/>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center"/>
              <w:ind w:left="721"/>
              <w:spacing w:after="0"/>
              <w:rPr>
                <w:sz w:val="20"/>
                <w:szCs w:val="20"/>
                <w:color w:val="auto"/>
              </w:rPr>
            </w:pPr>
            <w:r>
              <w:rPr>
                <w:rFonts w:ascii="Arial" w:cs="Arial" w:eastAsia="Arial" w:hAnsi="Arial"/>
                <w:sz w:val="16"/>
                <w:szCs w:val="16"/>
                <w:color w:val="auto"/>
                <w:w w:val="96"/>
              </w:rPr>
              <w:t>(268,154)</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22.08</w:t>
            </w:r>
          </w:p>
        </w:tc>
        <w:tc>
          <w:tcPr>
            <w:tcW w:w="0" w:type="dxa"/>
            <w:vAlign w:val="bottom"/>
          </w:tcPr>
          <w:p>
            <w:pPr>
              <w:spacing w:after="0"/>
              <w:rPr>
                <w:sz w:val="1"/>
                <w:szCs w:val="1"/>
                <w:color w:val="auto"/>
              </w:rPr>
            </w:pPr>
          </w:p>
        </w:tc>
      </w:tr>
      <w:tr>
        <w:trPr>
          <w:trHeight w:val="22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2022</w:t>
            </w:r>
          </w:p>
        </w:tc>
        <w:tc>
          <w:tcPr>
            <w:tcW w:w="1540" w:type="dxa"/>
            <w:vAlign w:val="bottom"/>
            <w:tcBorders>
              <w:bottom w:val="single" w:sz="8" w:color="auto"/>
            </w:tcBorders>
            <w:shd w:val="clear" w:color="auto" w:fill="CCEEFF"/>
          </w:tcPr>
          <w:p>
            <w:pPr>
              <w:jc w:val="center"/>
              <w:ind w:left="741"/>
              <w:spacing w:after="0"/>
              <w:rPr>
                <w:sz w:val="20"/>
                <w:szCs w:val="20"/>
                <w:color w:val="auto"/>
              </w:rPr>
            </w:pPr>
            <w:r>
              <w:rPr>
                <w:rFonts w:ascii="Arial" w:cs="Arial" w:eastAsia="Arial" w:hAnsi="Arial"/>
                <w:sz w:val="16"/>
                <w:szCs w:val="16"/>
                <w:color w:val="auto"/>
                <w:w w:val="96"/>
              </w:rPr>
              <w:t>743,950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right="500" w:firstLine="433"/>
        <w:spacing w:after="0" w:line="300" w:lineRule="auto"/>
        <w:rPr>
          <w:sz w:val="20"/>
          <w:szCs w:val="20"/>
          <w:color w:val="auto"/>
        </w:rPr>
      </w:pPr>
      <w:r>
        <w:rPr>
          <w:rFonts w:ascii="Arial" w:cs="Arial" w:eastAsia="Arial" w:hAnsi="Arial"/>
          <w:sz w:val="17"/>
          <w:szCs w:val="17"/>
          <w:color w:val="auto"/>
        </w:rPr>
        <w:t>As of December 31, 2022, total unrecognized compensation cost related to unvested restricted stock units was $12.4 million, which is expected to be recognized over a weighted-average period of 2.65 years.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Company’s stock option activity: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center"/>
              <w:ind w:right="81"/>
              <w:spacing w:after="0"/>
              <w:rPr>
                <w:sz w:val="20"/>
                <w:szCs w:val="20"/>
                <w:color w:val="auto"/>
              </w:rPr>
            </w:pPr>
            <w:r>
              <w:rPr>
                <w:rFonts w:ascii="Arial" w:cs="Arial" w:eastAsia="Arial" w:hAnsi="Arial"/>
                <w:sz w:val="16"/>
                <w:szCs w:val="16"/>
                <w:b w:val="1"/>
                <w:bCs w:val="1"/>
                <w:color w:val="auto"/>
                <w:w w:val="97"/>
              </w:rPr>
              <w:t>Weighted</w:t>
            </w:r>
          </w:p>
        </w:tc>
        <w:tc>
          <w:tcPr>
            <w:tcW w:w="8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Weighted</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8"/>
              </w:rPr>
              <w:t>Average</w:t>
            </w: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2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13"/>
                <w:szCs w:val="13"/>
                <w:color w:val="auto"/>
              </w:rPr>
            </w:pPr>
          </w:p>
        </w:tc>
        <w:tc>
          <w:tcPr>
            <w:tcW w:w="1380" w:type="dxa"/>
            <w:vAlign w:val="bottom"/>
          </w:tcPr>
          <w:p>
            <w:pPr>
              <w:jc w:val="center"/>
              <w:ind w:right="81"/>
              <w:spacing w:after="0" w:line="158" w:lineRule="exact"/>
              <w:rPr>
                <w:sz w:val="20"/>
                <w:szCs w:val="20"/>
                <w:color w:val="auto"/>
              </w:rPr>
            </w:pPr>
            <w:r>
              <w:rPr>
                <w:rFonts w:ascii="Arial" w:cs="Arial" w:eastAsia="Arial" w:hAnsi="Arial"/>
                <w:sz w:val="16"/>
                <w:szCs w:val="16"/>
                <w:b w:val="1"/>
                <w:bCs w:val="1"/>
                <w:color w:val="auto"/>
                <w:w w:val="98"/>
              </w:rPr>
              <w:t>Average</w:t>
            </w:r>
          </w:p>
        </w:tc>
        <w:tc>
          <w:tcPr>
            <w:tcW w:w="80" w:type="dxa"/>
            <w:vAlign w:val="bottom"/>
          </w:tcPr>
          <w:p>
            <w:pPr>
              <w:spacing w:after="0"/>
              <w:rPr>
                <w:sz w:val="13"/>
                <w:szCs w:val="13"/>
                <w:color w:val="auto"/>
              </w:rPr>
            </w:pPr>
          </w:p>
        </w:tc>
        <w:tc>
          <w:tcPr>
            <w:tcW w:w="164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7"/>
              </w:rPr>
              <w:t>Remaining</w:t>
            </w:r>
          </w:p>
        </w:tc>
        <w:tc>
          <w:tcPr>
            <w:tcW w:w="160" w:type="dxa"/>
            <w:vAlign w:val="bottom"/>
          </w:tcPr>
          <w:p>
            <w:pPr>
              <w:spacing w:after="0"/>
              <w:rPr>
                <w:sz w:val="13"/>
                <w:szCs w:val="13"/>
                <w:color w:val="auto"/>
              </w:rPr>
            </w:pPr>
          </w:p>
        </w:tc>
        <w:tc>
          <w:tcPr>
            <w:tcW w:w="1380" w:type="dxa"/>
            <w:vAlign w:val="bottom"/>
            <w:vMerge w:val="restart"/>
          </w:tcPr>
          <w:p>
            <w:pPr>
              <w:jc w:val="center"/>
              <w:ind w:right="81"/>
              <w:spacing w:after="0"/>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right="101"/>
              <w:spacing w:after="0" w:line="158" w:lineRule="exact"/>
              <w:rPr>
                <w:sz w:val="20"/>
                <w:szCs w:val="20"/>
                <w:color w:val="auto"/>
              </w:rPr>
            </w:pPr>
            <w:r>
              <w:rPr>
                <w:rFonts w:ascii="Arial" w:cs="Arial" w:eastAsia="Arial" w:hAnsi="Arial"/>
                <w:sz w:val="16"/>
                <w:szCs w:val="16"/>
                <w:b w:val="1"/>
                <w:bCs w:val="1"/>
                <w:color w:val="auto"/>
                <w:w w:val="98"/>
              </w:rPr>
              <w:t>Exercise Price</w:t>
            </w:r>
          </w:p>
        </w:tc>
        <w:tc>
          <w:tcPr>
            <w:tcW w:w="80" w:type="dxa"/>
            <w:vAlign w:val="bottom"/>
          </w:tcPr>
          <w:p>
            <w:pPr>
              <w:spacing w:after="0"/>
              <w:rPr>
                <w:sz w:val="13"/>
                <w:szCs w:val="13"/>
                <w:color w:val="auto"/>
              </w:rPr>
            </w:pPr>
          </w:p>
        </w:tc>
        <w:tc>
          <w:tcPr>
            <w:tcW w:w="164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8"/>
              </w:rPr>
              <w:t>Contractual</w:t>
            </w:r>
          </w:p>
        </w:tc>
        <w:tc>
          <w:tcPr>
            <w:tcW w:w="16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Shares</w:t>
            </w:r>
          </w:p>
        </w:tc>
        <w:tc>
          <w:tcPr>
            <w:tcW w:w="160" w:type="dxa"/>
            <w:vAlign w:val="bottom"/>
          </w:tcPr>
          <w:p>
            <w:pPr>
              <w:spacing w:after="0"/>
              <w:rPr>
                <w:sz w:val="18"/>
                <w:szCs w:val="18"/>
                <w:color w:val="auto"/>
              </w:rPr>
            </w:pPr>
          </w:p>
        </w:tc>
        <w:tc>
          <w:tcPr>
            <w:tcW w:w="1380" w:type="dxa"/>
            <w:vAlign w:val="bottom"/>
          </w:tcPr>
          <w:p>
            <w:pPr>
              <w:jc w:val="center"/>
              <w:ind w:right="101"/>
              <w:spacing w:after="0"/>
              <w:rPr>
                <w:sz w:val="20"/>
                <w:szCs w:val="20"/>
                <w:color w:val="auto"/>
              </w:rPr>
            </w:pPr>
            <w:r>
              <w:rPr>
                <w:rFonts w:ascii="Arial" w:cs="Arial" w:eastAsia="Arial" w:hAnsi="Arial"/>
                <w:sz w:val="16"/>
                <w:szCs w:val="16"/>
                <w:b w:val="1"/>
                <w:bCs w:val="1"/>
                <w:color w:val="auto"/>
                <w:w w:val="97"/>
              </w:rPr>
              <w:t>per Share</w:t>
            </w:r>
          </w:p>
        </w:tc>
        <w:tc>
          <w:tcPr>
            <w:tcW w:w="80" w:type="dxa"/>
            <w:vAlign w:val="bottom"/>
          </w:tcPr>
          <w:p>
            <w:pPr>
              <w:spacing w:after="0"/>
              <w:rPr>
                <w:sz w:val="18"/>
                <w:szCs w:val="18"/>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Term</w:t>
            </w:r>
          </w:p>
        </w:tc>
        <w:tc>
          <w:tcPr>
            <w:tcW w:w="160" w:type="dxa"/>
            <w:vAlign w:val="bottom"/>
          </w:tcPr>
          <w:p>
            <w:pPr>
              <w:spacing w:after="0"/>
              <w:rPr>
                <w:sz w:val="18"/>
                <w:szCs w:val="18"/>
                <w:color w:val="auto"/>
              </w:rPr>
            </w:pPr>
          </w:p>
        </w:tc>
        <w:tc>
          <w:tcPr>
            <w:tcW w:w="1380" w:type="dxa"/>
            <w:vAlign w:val="bottom"/>
          </w:tcPr>
          <w:p>
            <w:pPr>
              <w:jc w:val="center"/>
              <w:ind w:right="81"/>
              <w:spacing w:after="0"/>
              <w:rPr>
                <w:sz w:val="20"/>
                <w:szCs w:val="20"/>
                <w:color w:val="auto"/>
              </w:rPr>
            </w:pPr>
            <w:r>
              <w:rPr>
                <w:rFonts w:ascii="Arial" w:cs="Arial" w:eastAsia="Arial" w:hAnsi="Arial"/>
                <w:sz w:val="16"/>
                <w:szCs w:val="16"/>
                <w:b w:val="1"/>
                <w:bCs w:val="1"/>
                <w:color w:val="auto"/>
                <w:w w:val="96"/>
              </w:rPr>
              <w:t>Intrinsic Value</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99"/>
              </w:rPr>
              <w:t>(In thousands)</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2021</w:t>
            </w:r>
          </w:p>
        </w:tc>
        <w:tc>
          <w:tcPr>
            <w:tcW w:w="1520" w:type="dxa"/>
            <w:vAlign w:val="bottom"/>
            <w:shd w:val="clear" w:color="auto" w:fill="CCEEFF"/>
          </w:tcPr>
          <w:p>
            <w:pPr>
              <w:jc w:val="center"/>
              <w:ind w:left="581"/>
              <w:spacing w:after="0"/>
              <w:rPr>
                <w:sz w:val="20"/>
                <w:szCs w:val="20"/>
                <w:color w:val="auto"/>
              </w:rPr>
            </w:pPr>
            <w:r>
              <w:rPr>
                <w:rFonts w:ascii="Arial" w:cs="Arial" w:eastAsia="Arial" w:hAnsi="Arial"/>
                <w:sz w:val="16"/>
                <w:szCs w:val="16"/>
                <w:color w:val="auto"/>
                <w:w w:val="98"/>
              </w:rPr>
              <w:t>6,468,501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16.92</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20" w:type="dxa"/>
            <w:vAlign w:val="bottom"/>
          </w:tcPr>
          <w:p>
            <w:pPr>
              <w:jc w:val="center"/>
              <w:ind w:left="581"/>
              <w:spacing w:after="0"/>
              <w:rPr>
                <w:sz w:val="20"/>
                <w:szCs w:val="20"/>
                <w:color w:val="auto"/>
              </w:rPr>
            </w:pPr>
            <w:r>
              <w:rPr>
                <w:rFonts w:ascii="Arial" w:cs="Arial" w:eastAsia="Arial" w:hAnsi="Arial"/>
                <w:sz w:val="16"/>
                <w:szCs w:val="16"/>
                <w:color w:val="auto"/>
                <w:w w:val="98"/>
              </w:rPr>
              <w:t>3,969,302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9.23</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3.04</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20" w:type="dxa"/>
            <w:vAlign w:val="bottom"/>
            <w:tcBorders>
              <w:bottom w:val="single" w:sz="8" w:color="auto"/>
            </w:tcBorders>
          </w:tcPr>
          <w:p>
            <w:pPr>
              <w:jc w:val="center"/>
              <w:ind w:left="601"/>
              <w:spacing w:after="0"/>
              <w:rPr>
                <w:sz w:val="20"/>
                <w:szCs w:val="20"/>
                <w:color w:val="auto"/>
              </w:rPr>
            </w:pPr>
            <w:r>
              <w:rPr>
                <w:rFonts w:ascii="Arial" w:cs="Arial" w:eastAsia="Arial" w:hAnsi="Arial"/>
                <w:sz w:val="16"/>
                <w:szCs w:val="16"/>
                <w:color w:val="auto"/>
                <w:w w:val="97"/>
              </w:rPr>
              <w:t>(1,334,113)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16.64</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2022</w:t>
            </w:r>
          </w:p>
        </w:tc>
        <w:tc>
          <w:tcPr>
            <w:tcW w:w="1520" w:type="dxa"/>
            <w:vAlign w:val="bottom"/>
            <w:tcBorders>
              <w:bottom w:val="single" w:sz="8" w:color="auto"/>
            </w:tcBorders>
            <w:shd w:val="clear" w:color="auto" w:fill="CCEEFF"/>
          </w:tcPr>
          <w:p>
            <w:pPr>
              <w:jc w:val="center"/>
              <w:ind w:left="581"/>
              <w:spacing w:after="0"/>
              <w:rPr>
                <w:sz w:val="20"/>
                <w:szCs w:val="20"/>
                <w:color w:val="auto"/>
              </w:rPr>
            </w:pPr>
            <w:r>
              <w:rPr>
                <w:rFonts w:ascii="Arial" w:cs="Arial" w:eastAsia="Arial" w:hAnsi="Arial"/>
                <w:sz w:val="16"/>
                <w:szCs w:val="16"/>
                <w:color w:val="auto"/>
                <w:w w:val="98"/>
              </w:rPr>
              <w:t>8,838,028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13.93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December 31, 2022</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line="20" w:lineRule="exact"/>
              <w:rPr>
                <w:sz w:val="1"/>
                <w:szCs w:val="1"/>
                <w:color w:val="auto"/>
              </w:rPr>
            </w:pPr>
          </w:p>
        </w:tc>
      </w:tr>
      <w:tr>
        <w:trPr>
          <w:trHeight w:val="181"/>
        </w:trPr>
        <w:tc>
          <w:tcPr>
            <w:tcW w:w="4820" w:type="dxa"/>
            <w:vAlign w:val="bottom"/>
            <w:vMerge w:val="continue"/>
          </w:tcPr>
          <w:p>
            <w:pPr>
              <w:spacing w:after="0"/>
              <w:rPr>
                <w:sz w:val="15"/>
                <w:szCs w:val="15"/>
                <w:color w:val="auto"/>
              </w:rPr>
            </w:pPr>
          </w:p>
        </w:tc>
        <w:tc>
          <w:tcPr>
            <w:tcW w:w="1520" w:type="dxa"/>
            <w:vAlign w:val="bottom"/>
          </w:tcPr>
          <w:p>
            <w:pPr>
              <w:jc w:val="center"/>
              <w:ind w:left="581"/>
              <w:spacing w:after="0" w:line="181" w:lineRule="exact"/>
              <w:rPr>
                <w:sz w:val="20"/>
                <w:szCs w:val="20"/>
                <w:color w:val="auto"/>
              </w:rPr>
            </w:pPr>
            <w:r>
              <w:rPr>
                <w:rFonts w:ascii="Arial" w:cs="Arial" w:eastAsia="Arial" w:hAnsi="Arial"/>
                <w:sz w:val="16"/>
                <w:szCs w:val="16"/>
                <w:color w:val="auto"/>
                <w:w w:val="98"/>
              </w:rPr>
              <w:t>3,315,240</w:t>
            </w:r>
          </w:p>
        </w:tc>
        <w:tc>
          <w:tcPr>
            <w:tcW w:w="100" w:type="dxa"/>
            <w:vAlign w:val="bottom"/>
          </w:tcPr>
          <w:p>
            <w:pPr>
              <w:spacing w:after="0"/>
              <w:rPr>
                <w:sz w:val="15"/>
                <w:szCs w:val="15"/>
                <w:color w:val="auto"/>
              </w:rPr>
            </w:pPr>
          </w:p>
        </w:tc>
        <w:tc>
          <w:tcPr>
            <w:tcW w:w="16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
              <w:spacing w:after="0" w:line="181" w:lineRule="exact"/>
              <w:rPr>
                <w:sz w:val="20"/>
                <w:szCs w:val="20"/>
                <w:color w:val="auto"/>
              </w:rPr>
            </w:pPr>
            <w:r>
              <w:rPr>
                <w:rFonts w:ascii="Arial" w:cs="Arial" w:eastAsia="Arial" w:hAnsi="Arial"/>
                <w:sz w:val="16"/>
                <w:szCs w:val="16"/>
                <w:color w:val="auto"/>
              </w:rPr>
              <w:t>14.86</w:t>
            </w:r>
          </w:p>
        </w:tc>
        <w:tc>
          <w:tcPr>
            <w:tcW w:w="1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December 31, 2022</w:t>
            </w:r>
          </w:p>
        </w:tc>
        <w:tc>
          <w:tcPr>
            <w:tcW w:w="1520" w:type="dxa"/>
            <w:vAlign w:val="bottom"/>
            <w:shd w:val="clear" w:color="auto" w:fill="CCEEFF"/>
          </w:tcPr>
          <w:p>
            <w:pPr>
              <w:jc w:val="center"/>
              <w:ind w:left="581"/>
              <w:spacing w:after="0"/>
              <w:rPr>
                <w:sz w:val="20"/>
                <w:szCs w:val="20"/>
                <w:color w:val="auto"/>
              </w:rPr>
            </w:pPr>
            <w:r>
              <w:rPr>
                <w:rFonts w:ascii="Arial" w:cs="Arial" w:eastAsia="Arial" w:hAnsi="Arial"/>
                <w:sz w:val="16"/>
                <w:szCs w:val="16"/>
                <w:color w:val="auto"/>
                <w:w w:val="98"/>
              </w:rPr>
              <w:t>8,635,022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right="40" w:firstLine="433"/>
        <w:spacing w:after="0" w:line="265" w:lineRule="auto"/>
        <w:rPr>
          <w:sz w:val="20"/>
          <w:szCs w:val="20"/>
          <w:color w:val="auto"/>
        </w:rPr>
      </w:pPr>
      <w:r>
        <w:rPr>
          <w:rFonts w:ascii="Arial" w:cs="Arial" w:eastAsia="Arial" w:hAnsi="Arial"/>
          <w:sz w:val="17"/>
          <w:szCs w:val="17"/>
          <w:color w:val="auto"/>
        </w:rPr>
        <w:t>The aggregate intrinsic value of stock options exercised for the year ended December 31, 2021 was $19.7 million. The aggregate intrinsic value of stock options outstanding, exercisable, and vested and expected to vest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2022. The aggregate intrinsic value of stock options exercised is calculated as the difference between the exercise price of the underlying stock options and the estimated fair value of the Company’s common stock on the date of exercise for those stock options that had exercise prices lower than the fair value of the Company’s common stock on the exercise date.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Stock Options</w:t>
      </w:r>
    </w:p>
    <w:p>
      <w:pPr>
        <w:spacing w:after="0" w:line="119" w:lineRule="exact"/>
        <w:rPr>
          <w:sz w:val="20"/>
          <w:szCs w:val="20"/>
          <w:color w:val="auto"/>
        </w:rPr>
      </w:pPr>
    </w:p>
    <w:p>
      <w:pPr>
        <w:ind w:right="20" w:firstLine="433"/>
        <w:spacing w:after="0" w:line="278" w:lineRule="auto"/>
        <w:rPr>
          <w:sz w:val="20"/>
          <w:szCs w:val="20"/>
          <w:color w:val="auto"/>
        </w:rPr>
      </w:pPr>
      <w:r>
        <w:rPr>
          <w:rFonts w:ascii="Arial" w:cs="Arial" w:eastAsia="Arial" w:hAnsi="Arial"/>
          <w:sz w:val="17"/>
          <w:szCs w:val="17"/>
          <w:color w:val="auto"/>
        </w:rPr>
        <w:t>The weighted-average assumptions that the Company used in the Black-Scholes option pricing model to determine the grant-date fair value of stock options granted to employees, members of the Board, and non-employees on the date of grant were as follows for the for the years ended December 31, 2022 and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84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Borders>
              <w:bottom w:val="single" w:sz="8" w:color="auto"/>
            </w:tcBorders>
          </w:tcPr>
          <w:p>
            <w:pPr>
              <w:spacing w:after="0"/>
              <w:rPr>
                <w:sz w:val="18"/>
                <w:szCs w:val="18"/>
                <w:color w:val="auto"/>
              </w:rPr>
            </w:pPr>
          </w:p>
        </w:tc>
      </w:tr>
      <w:tr>
        <w:trPr>
          <w:trHeight w:val="203"/>
        </w:trPr>
        <w:tc>
          <w:tcPr>
            <w:tcW w:w="78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7"/>
                <w:szCs w:val="17"/>
                <w:color w:val="auto"/>
              </w:rPr>
            </w:pPr>
          </w:p>
        </w:tc>
      </w:tr>
      <w:tr>
        <w:trPr>
          <w:trHeight w:val="203"/>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Risk-free interest rate</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2.52 %</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0.86 %</w:t>
            </w:r>
          </w:p>
        </w:tc>
      </w:tr>
      <w:tr>
        <w:trPr>
          <w:trHeight w:val="209"/>
        </w:trPr>
        <w:tc>
          <w:tcPr>
            <w:tcW w:w="7840" w:type="dxa"/>
            <w:vAlign w:val="bottom"/>
          </w:tcPr>
          <w:p>
            <w:pPr>
              <w:ind w:left="240"/>
              <w:spacing w:after="0"/>
              <w:rPr>
                <w:sz w:val="20"/>
                <w:szCs w:val="20"/>
                <w:color w:val="auto"/>
              </w:rPr>
            </w:pPr>
            <w:r>
              <w:rPr>
                <w:rFonts w:ascii="Arial" w:cs="Arial" w:eastAsia="Arial" w:hAnsi="Arial"/>
                <w:sz w:val="16"/>
                <w:szCs w:val="16"/>
                <w:color w:val="auto"/>
              </w:rPr>
              <w:t>Expected term (in years)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6.08</w:t>
            </w:r>
          </w:p>
        </w:tc>
      </w:tr>
      <w:tr>
        <w:trPr>
          <w:trHeight w:val="211"/>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Expected volatility</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89.20 %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85.52 %</w:t>
            </w:r>
          </w:p>
        </w:tc>
      </w:tr>
      <w:tr>
        <w:trPr>
          <w:trHeight w:val="209"/>
        </w:trPr>
        <w:tc>
          <w:tcPr>
            <w:tcW w:w="7840" w:type="dxa"/>
            <w:vAlign w:val="bottom"/>
          </w:tcPr>
          <w:p>
            <w:pPr>
              <w:ind w:left="240"/>
              <w:spacing w:after="0"/>
              <w:rPr>
                <w:sz w:val="20"/>
                <w:szCs w:val="20"/>
                <w:color w:val="auto"/>
              </w:rPr>
            </w:pPr>
            <w:r>
              <w:rPr>
                <w:rFonts w:ascii="Arial" w:cs="Arial" w:eastAsia="Arial" w:hAnsi="Arial"/>
                <w:sz w:val="16"/>
                <w:szCs w:val="16"/>
                <w:color w:val="auto"/>
              </w:rPr>
              <w:t>Expected dividend yield</w:t>
            </w:r>
          </w:p>
        </w:tc>
        <w:tc>
          <w:tcPr>
            <w:tcW w:w="10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1"/>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Weighted average grant-date fair value per share</w:t>
            </w:r>
          </w:p>
        </w:tc>
        <w:tc>
          <w:tcPr>
            <w:tcW w:w="104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6.65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99"/>
              </w:rPr>
              <w:t>27.58</w:t>
            </w:r>
          </w:p>
        </w:tc>
      </w:tr>
    </w:tbl>
    <w:p>
      <w:pPr>
        <w:spacing w:after="0" w:line="272" w:lineRule="exact"/>
        <w:rPr>
          <w:sz w:val="20"/>
          <w:szCs w:val="20"/>
          <w:color w:val="auto"/>
        </w:rPr>
      </w:pPr>
    </w:p>
    <w:p>
      <w:pPr>
        <w:ind w:right="120" w:firstLine="433"/>
        <w:spacing w:after="0" w:line="300" w:lineRule="auto"/>
        <w:rPr>
          <w:sz w:val="20"/>
          <w:szCs w:val="20"/>
          <w:color w:val="auto"/>
        </w:rPr>
      </w:pPr>
      <w:r>
        <w:rPr>
          <w:rFonts w:ascii="Arial" w:cs="Arial" w:eastAsia="Arial" w:hAnsi="Arial"/>
          <w:sz w:val="17"/>
          <w:szCs w:val="17"/>
          <w:color w:val="auto"/>
        </w:rPr>
        <w:t>As of December 31, 2022, total unrecognized compensation cost related to unvested stock options was $45.9 million, which is expected to be recognized over a weighted-average period of 2.17 years.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Stock-based compensation expense was allocated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7"/>
                <w:szCs w:val="17"/>
                <w:color w:val="auto"/>
              </w:rPr>
            </w:pP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9,972</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9,350</w:t>
            </w: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18,621</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13,343</w:t>
            </w:r>
          </w:p>
        </w:tc>
      </w:tr>
      <w:tr>
        <w:trPr>
          <w:trHeight w:val="228"/>
        </w:trPr>
        <w:tc>
          <w:tcPr>
            <w:tcW w:w="8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28,593</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22,693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jc w:val="center"/>
        <w:ind w:right="8680" w:firstLine="5"/>
        <w:spacing w:after="0" w:line="387" w:lineRule="auto"/>
        <w:tabs>
          <w:tab w:leader="none" w:pos="291"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Agreements </w:t>
      </w:r>
      <w:r>
        <w:rPr>
          <w:rFonts w:ascii="Arial" w:cs="Arial" w:eastAsia="Arial" w:hAnsi="Arial"/>
          <w:sz w:val="17"/>
          <w:szCs w:val="17"/>
          <w:b w:val="1"/>
          <w:bCs w:val="1"/>
          <w:i w:val="1"/>
          <w:iCs w:val="1"/>
          <w:color w:val="auto"/>
        </w:rPr>
        <w:t>RogCon and Ionis Agreements</w:t>
      </w:r>
    </w:p>
    <w:p>
      <w:pPr>
        <w:spacing w:after="0" w:line="1" w:lineRule="exact"/>
        <w:rPr>
          <w:sz w:val="20"/>
          <w:szCs w:val="20"/>
          <w:color w:val="auto"/>
        </w:rPr>
      </w:pPr>
    </w:p>
    <w:p>
      <w:pPr>
        <w:ind w:right="240" w:firstLine="433"/>
        <w:spacing w:after="0" w:line="275" w:lineRule="auto"/>
        <w:rPr>
          <w:sz w:val="20"/>
          <w:szCs w:val="20"/>
          <w:color w:val="auto"/>
        </w:rPr>
      </w:pPr>
      <w:r>
        <w:rPr>
          <w:rFonts w:ascii="Arial" w:cs="Arial" w:eastAsia="Arial" w:hAnsi="Arial"/>
          <w:sz w:val="17"/>
          <w:szCs w:val="17"/>
          <w:color w:val="auto"/>
        </w:rPr>
        <w:t>On September 11, 2019, the Company entered into both a Cooperation and License Agreement (the “License Agreement”) with RogCon, Inc. ("RogCon"), and a Research, Collaboration, Option and License Agreement (the “Ionis Collaboration Agreement”) with Ionis Pharmaceuticals, Inc. ("Ionis"). The agreements were entered into contemporaneously to enable the parties to advance their collective efforts related to SCN2A.</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RogCon Agreement</w:t>
      </w:r>
    </w:p>
    <w:p>
      <w:pPr>
        <w:spacing w:after="0" w:line="11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Under the License Agreement, the Company will conduct, at its own cost and expense, the research and development activities assigned to it under the research plan. In addition, the Company is responsible for reimbursing RogCon for any costs associated with research and development activities RogCon performs at the request of the Company. As part of the agreement, the Company agreed to provide up-front consideration of $2.1 million.</w:t>
      </w:r>
    </w:p>
    <w:p>
      <w:pPr>
        <w:spacing w:after="0" w:line="169"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Subsequent to September 11, 2019, the Company will reimburse RogCon for its out-of-pocket costs incurred for activities performed under the License Agreement. The Company expenses these costs as incurred as research and development. Expenses incurred for all periods presented were not material.</w:t>
      </w:r>
    </w:p>
    <w:p>
      <w:pPr>
        <w:spacing w:after="0" w:line="160" w:lineRule="exact"/>
        <w:rPr>
          <w:sz w:val="20"/>
          <w:szCs w:val="20"/>
          <w:color w:val="auto"/>
        </w:rPr>
      </w:pPr>
    </w:p>
    <w:p>
      <w:pPr>
        <w:ind w:right="60" w:firstLine="433"/>
        <w:spacing w:after="0" w:line="270" w:lineRule="auto"/>
        <w:rPr>
          <w:sz w:val="20"/>
          <w:szCs w:val="20"/>
          <w:color w:val="auto"/>
        </w:rPr>
      </w:pPr>
      <w:r>
        <w:rPr>
          <w:rFonts w:ascii="Arial" w:cs="Arial" w:eastAsia="Arial" w:hAnsi="Arial"/>
          <w:sz w:val="17"/>
          <w:szCs w:val="17"/>
          <w:color w:val="auto"/>
        </w:rPr>
        <w:t>Additionally, the Company may pay RogCon a milestone payment of $3.0 million and profit share payments. The $3.0 million milestone payment will become due when the first profit share payment has become due and certain contingent payments have become payable to Ionis under the Ionis Collaboration Agreement, which are subject to the Company exercising its option to obtain license rights to a development candidate, as well as other contingent events. The profit share payments will be based on a low-double-digit percentage of net profits, depending on sales volume.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License Agreement, unless earlier terminated, will continue until the latest of: (i) expiration of all patent rights within RogCon patents,</w:t>
      </w:r>
    </w:p>
    <w:p>
      <w:pPr>
        <w:spacing w:after="0" w:line="30" w:lineRule="exact"/>
        <w:rPr>
          <w:sz w:val="20"/>
          <w:szCs w:val="20"/>
          <w:color w:val="auto"/>
        </w:rPr>
      </w:pPr>
    </w:p>
    <w:p>
      <w:pPr>
        <w:ind w:right="120" w:firstLine="5"/>
        <w:spacing w:after="0" w:line="263" w:lineRule="auto"/>
        <w:tabs>
          <w:tab w:leader="none" w:pos="243"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Company and its affiliates certify they have abandoned the research, development and commercialization of product with no intention to re-establish such activities, and (iii) no third party is obligated to pay the Company or its affiliates any amounts that comprise net sublicense revenue. Either party may terminate the License Agreement for material breach or insolvency of the other party. Additionally, the Company may terminate for convenience with prior written notice to RogCon. Upon termination by either party, all rights and licenses granted by RogCon to the Company will revert back to RogCon.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Ionis Collaboration Agreement</w:t>
      </w:r>
    </w:p>
    <w:p>
      <w:pPr>
        <w:spacing w:after="0" w:line="119" w:lineRule="exact"/>
        <w:rPr>
          <w:sz w:val="20"/>
          <w:szCs w:val="20"/>
          <w:color w:val="auto"/>
        </w:rPr>
      </w:pPr>
    </w:p>
    <w:p>
      <w:pPr>
        <w:ind w:right="140" w:firstLine="433"/>
        <w:spacing w:after="0" w:line="264" w:lineRule="auto"/>
        <w:rPr>
          <w:sz w:val="20"/>
          <w:szCs w:val="20"/>
          <w:color w:val="auto"/>
        </w:rPr>
      </w:pPr>
      <w:r>
        <w:rPr>
          <w:rFonts w:ascii="Arial" w:cs="Arial" w:eastAsia="Arial" w:hAnsi="Arial"/>
          <w:sz w:val="17"/>
          <w:szCs w:val="17"/>
          <w:color w:val="auto"/>
        </w:rPr>
        <w:t>Under the Ionis Collaboration Agreement, both parties participated in research activities related to the downregulation of SCN2A gene products associated with the treatment of any and all forms of epilepsy and/or neurodevelopmental disorders in each case caused by any mutation of the SCN2A gene, other than one severe type of epilepsy. Ionis was also responsible for identifying a development candidate and conducting an IND-enabling toxicology study. The Company reimbursed Ionis for out-of-pocket costs incurred related to the research activities, identification of a development candidate and conducting an IND-enabling toxicology study. The reimbursement of out-of-pocket costs was recognized as research and development expense as incurred. The Company expensed a total of $0.7 million and $1.9 million, as research and development expense under the Ionis Collaboration Agreement for the years ended December 31, 2022 and 2021, respectively.</w:t>
      </w:r>
    </w:p>
    <w:p>
      <w:pPr>
        <w:spacing w:after="0" w:line="173" w:lineRule="exact"/>
        <w:rPr>
          <w:sz w:val="20"/>
          <w:szCs w:val="20"/>
          <w:color w:val="auto"/>
        </w:rPr>
      </w:pPr>
    </w:p>
    <w:p>
      <w:pPr>
        <w:ind w:right="80" w:firstLine="433"/>
        <w:spacing w:after="0" w:line="267" w:lineRule="auto"/>
        <w:rPr>
          <w:sz w:val="20"/>
          <w:szCs w:val="20"/>
          <w:color w:val="auto"/>
        </w:rPr>
      </w:pPr>
      <w:r>
        <w:rPr>
          <w:rFonts w:ascii="Arial" w:cs="Arial" w:eastAsia="Arial" w:hAnsi="Arial"/>
          <w:sz w:val="17"/>
          <w:szCs w:val="17"/>
          <w:color w:val="auto"/>
        </w:rPr>
        <w:t>Ionis granted the Company an exclusive option to obtain the rights and license to further develop and commercialize a development candidate in the field of epilepsy and neurodevelopmental disorders, other than Dravet Syndrome, following the results of the investigational new drug application-enabling toxicology study. The Company exercised this exclusive option in January 2022, paid a $2.0 million license fee and recognized the license fee in research and development expenses in the consolidated statement of operations during the year ended December 31, 2022. After option exercise, the Company is responsible for clinical development and commercialization of the development candidate.</w:t>
      </w:r>
    </w:p>
    <w:p>
      <w:pPr>
        <w:spacing w:after="0" w:line="3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Ionis may be entitled to additional development milestone payments, additional milestone payments, and sales royalties or sublicense fees.</w:t>
      </w:r>
    </w:p>
    <w:p>
      <w:pPr>
        <w:spacing w:after="0" w:line="224" w:lineRule="exact"/>
        <w:rPr>
          <w:sz w:val="20"/>
          <w:szCs w:val="20"/>
          <w:color w:val="auto"/>
        </w:rPr>
      </w:pPr>
    </w:p>
    <w:p>
      <w:pPr>
        <w:ind w:firstLine="433"/>
        <w:spacing w:after="0" w:line="270" w:lineRule="auto"/>
        <w:rPr>
          <w:sz w:val="20"/>
          <w:szCs w:val="20"/>
          <w:color w:val="auto"/>
        </w:rPr>
      </w:pPr>
      <w:r>
        <w:rPr>
          <w:rFonts w:ascii="Arial" w:cs="Arial" w:eastAsia="Arial" w:hAnsi="Arial"/>
          <w:sz w:val="17"/>
          <w:szCs w:val="17"/>
          <w:color w:val="auto"/>
        </w:rPr>
        <w:t>The Ionis Collaboration Agreement will continue until the expiration of all payment obligations to Ionis, unless earlier terminated. Either party may terminate the Ionis Collaboration Agreement upon material breach or insolvency of the other party. Ionis may terminate if the Company fails to achieve a performance milestone. The Company may terminate for convenience with prior written notice to Ionis. Upon termination by the Company for convenience, the Company will stop selling all products, subject to certain wind-down provisions, and all products will revert back to Ionis.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Net Loss per Share</w:t>
      </w:r>
    </w:p>
    <w:p>
      <w:pPr>
        <w:spacing w:after="0" w:line="226" w:lineRule="exact"/>
        <w:rPr>
          <w:sz w:val="20"/>
          <w:szCs w:val="20"/>
          <w:color w:val="auto"/>
        </w:rPr>
      </w:pPr>
    </w:p>
    <w:p>
      <w:pPr>
        <w:ind w:right="80" w:firstLine="433"/>
        <w:spacing w:after="0" w:line="300" w:lineRule="auto"/>
        <w:rPr>
          <w:sz w:val="20"/>
          <w:szCs w:val="20"/>
          <w:color w:val="auto"/>
        </w:rPr>
      </w:pPr>
      <w:r>
        <w:rPr>
          <w:rFonts w:ascii="Arial" w:cs="Arial" w:eastAsia="Arial" w:hAnsi="Arial"/>
          <w:sz w:val="17"/>
          <w:szCs w:val="17"/>
          <w:color w:val="auto"/>
        </w:rPr>
        <w:t>The following potential common shares, presented based on amounts outstanding at each period end, were excluded from the calculation of diluted net loss per share attributable to common stockholders for the periods indicated because including them would have been anti-dilutive:</w:t>
      </w:r>
    </w:p>
    <w:p>
      <w:pPr>
        <w:spacing w:after="0" w:line="65"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Year Ended December 31,</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040" w:type="dxa"/>
            <w:vAlign w:val="bottom"/>
            <w:tcBorders>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r>
      <w:tr>
        <w:trPr>
          <w:trHeight w:val="20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8,838,028</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6,468,501</w:t>
            </w: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540" w:type="dxa"/>
            <w:vAlign w:val="bottom"/>
          </w:tcPr>
          <w:p>
            <w:pPr>
              <w:jc w:val="right"/>
              <w:spacing w:after="0"/>
              <w:rPr>
                <w:sz w:val="20"/>
                <w:szCs w:val="20"/>
                <w:color w:val="auto"/>
              </w:rPr>
            </w:pPr>
            <w:r>
              <w:rPr>
                <w:rFonts w:ascii="Arial" w:cs="Arial" w:eastAsia="Arial" w:hAnsi="Arial"/>
                <w:sz w:val="16"/>
                <w:szCs w:val="16"/>
                <w:color w:val="auto"/>
              </w:rPr>
              <w:t>743,950</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440,079</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ESPP</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283,861</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33,425</w:t>
            </w:r>
          </w:p>
        </w:tc>
      </w:tr>
      <w:tr>
        <w:trPr>
          <w:trHeight w:val="203"/>
        </w:trPr>
        <w:tc>
          <w:tcPr>
            <w:tcW w:w="804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9,865,839</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6,942,005</w:t>
            </w:r>
          </w:p>
        </w:tc>
      </w:tr>
      <w:tr>
        <w:trPr>
          <w:trHeight w:val="21"/>
        </w:trPr>
        <w:tc>
          <w:tcPr>
            <w:tcW w:w="80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121" w:lineRule="exact"/>
        <w:rPr>
          <w:sz w:val="20"/>
          <w:szCs w:val="20"/>
          <w:color w:val="auto"/>
        </w:rPr>
      </w:pPr>
    </w:p>
    <w:p>
      <w:pPr>
        <w:ind w:right="200" w:firstLine="433"/>
        <w:spacing w:after="0" w:line="300" w:lineRule="auto"/>
        <w:rPr>
          <w:sz w:val="20"/>
          <w:szCs w:val="20"/>
          <w:color w:val="auto"/>
        </w:rPr>
      </w:pPr>
      <w:r>
        <w:rPr>
          <w:rFonts w:ascii="Arial" w:cs="Arial" w:eastAsia="Arial" w:hAnsi="Arial"/>
          <w:sz w:val="17"/>
          <w:szCs w:val="17"/>
          <w:color w:val="auto"/>
        </w:rPr>
        <w:t>The Company maintains a full valuation allowance on its U.S. net deferred tax assets due to the uncertainty of future taxable income. The Company did not recognize an income tax benefit in the years ended December 31,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2022 or 2021 related to its U.S. operations due to the uncertainty regarding future taxable income. In the years ended December 31, 2022 and 2021, the difference between the statutory tax rate in the U.S. and the Company’s effective tax rate was due primarily to the valuation allowance recorded to offset any potential tax benefit. The income tax benefit (provision) recognized for the years ended December 31, 2022 and 2021 was not material.</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reconciliation of the U.S. statutory income tax rate to the Company’s effective tax rate is as follows:</w:t>
      </w:r>
    </w:p>
    <w:p>
      <w:pPr>
        <w:spacing w:after="0" w:line="135"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2021</w:t>
            </w:r>
          </w:p>
        </w:tc>
      </w:tr>
      <w:tr>
        <w:trPr>
          <w:trHeight w:val="203"/>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statutory income tax rate</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09"/>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Federal and state research and development credits</w:t>
            </w:r>
          </w:p>
        </w:tc>
        <w:tc>
          <w:tcPr>
            <w:tcW w:w="620" w:type="dxa"/>
            <w:vAlign w:val="bottom"/>
          </w:tcPr>
          <w:p>
            <w:pPr>
              <w:jc w:val="right"/>
              <w:spacing w:after="0"/>
              <w:rPr>
                <w:sz w:val="20"/>
                <w:szCs w:val="20"/>
                <w:color w:val="auto"/>
              </w:rPr>
            </w:pPr>
            <w:r>
              <w:rPr>
                <w:rFonts w:ascii="Arial" w:cs="Arial" w:eastAsia="Arial" w:hAnsi="Arial"/>
                <w:sz w:val="16"/>
                <w:szCs w:val="16"/>
                <w:color w:val="auto"/>
              </w:rPr>
              <w:t>3.7 %</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211"/>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State taxes, net of federal benefit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r>
      <w:tr>
        <w:trPr>
          <w:trHeight w:val="209"/>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Non-deductible items</w:t>
            </w:r>
          </w:p>
        </w:tc>
        <w:tc>
          <w:tcPr>
            <w:tcW w:w="62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1"/>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09"/>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Change in valuation allowance</w:t>
            </w:r>
          </w:p>
        </w:tc>
        <w:tc>
          <w:tcPr>
            <w:tcW w:w="620" w:type="dxa"/>
            <w:vAlign w:val="bottom"/>
          </w:tcPr>
          <w:p>
            <w:pPr>
              <w:jc w:val="right"/>
              <w:spacing w:after="0"/>
              <w:rPr>
                <w:sz w:val="20"/>
                <w:szCs w:val="20"/>
                <w:color w:val="auto"/>
              </w:rPr>
            </w:pPr>
            <w:r>
              <w:rPr>
                <w:rFonts w:ascii="Arial" w:cs="Arial" w:eastAsia="Arial" w:hAnsi="Arial"/>
                <w:sz w:val="16"/>
                <w:szCs w:val="16"/>
                <w:color w:val="auto"/>
              </w:rPr>
              <w:t>(27.2)%</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11"/>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8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2"/>
        </w:trPr>
        <w:tc>
          <w:tcPr>
            <w:tcW w:w="788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0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6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
        </w:trPr>
        <w:tc>
          <w:tcPr>
            <w:tcW w:w="78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deferred tax assets consisted of the following (in thousands):</w:t>
      </w:r>
    </w:p>
    <w:p>
      <w:pPr>
        <w:spacing w:after="0" w:line="148"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9"/>
        </w:trPr>
        <w:tc>
          <w:tcPr>
            <w:tcW w:w="8060" w:type="dxa"/>
            <w:vAlign w:val="bottom"/>
          </w:tcPr>
          <w:p>
            <w:pPr>
              <w:ind w:left="340"/>
              <w:spacing w:after="0"/>
              <w:rPr>
                <w:sz w:val="20"/>
                <w:szCs w:val="20"/>
                <w:color w:val="auto"/>
              </w:rPr>
            </w:pPr>
            <w:r>
              <w:rPr>
                <w:rFonts w:ascii="Arial" w:cs="Arial" w:eastAsia="Arial" w:hAnsi="Arial"/>
                <w:sz w:val="16"/>
                <w:szCs w:val="16"/>
                <w:color w:val="auto"/>
              </w:rPr>
              <w:t>Net operating loss carryforwards</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60,047</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56,482</w:t>
            </w:r>
          </w:p>
        </w:tc>
      </w:tr>
      <w:tr>
        <w:trPr>
          <w:trHeight w:val="211"/>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Capitalized research expenditures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060" w:type="dxa"/>
            <w:vAlign w:val="bottom"/>
          </w:tcPr>
          <w:p>
            <w:pPr>
              <w:ind w:left="340"/>
              <w:spacing w:after="0"/>
              <w:rPr>
                <w:sz w:val="20"/>
                <w:szCs w:val="20"/>
                <w:color w:val="auto"/>
              </w:rPr>
            </w:pPr>
            <w:r>
              <w:rPr>
                <w:rFonts w:ascii="Arial" w:cs="Arial" w:eastAsia="Arial" w:hAnsi="Arial"/>
                <w:sz w:val="16"/>
                <w:szCs w:val="16"/>
                <w:color w:val="auto"/>
              </w:rPr>
              <w:t>Amortization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24,262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14,295</w:t>
            </w:r>
          </w:p>
        </w:tc>
      </w:tr>
      <w:tr>
        <w:trPr>
          <w:trHeight w:val="211"/>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 credits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9,296</w:t>
            </w:r>
          </w:p>
        </w:tc>
      </w:tr>
      <w:tr>
        <w:trPr>
          <w:trHeight w:val="209"/>
        </w:trPr>
        <w:tc>
          <w:tcPr>
            <w:tcW w:w="80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3,759</w:t>
            </w:r>
          </w:p>
        </w:tc>
      </w:tr>
      <w:tr>
        <w:trPr>
          <w:trHeight w:val="211"/>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r>
      <w:tr>
        <w:trPr>
          <w:trHeight w:val="209"/>
        </w:trPr>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Accrued expenses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w:t>
            </w:r>
          </w:p>
        </w:tc>
      </w:tr>
      <w:tr>
        <w:trPr>
          <w:trHeight w:val="20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deferred tax assets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86,916</w:t>
            </w: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Valuation allowance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(85,957)</w:t>
            </w:r>
          </w:p>
        </w:tc>
      </w:tr>
      <w:tr>
        <w:trPr>
          <w:trHeight w:val="204"/>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deferred tax assets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Arial" w:cs="Arial" w:eastAsia="Arial" w:hAnsi="Arial"/>
          <w:sz w:val="16"/>
          <w:szCs w:val="16"/>
          <w:color w:val="auto"/>
        </w:rPr>
        <w:t>Deferred tax liabilities: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5"/>
          <w:szCs w:val="15"/>
          <w:color w:val="auto"/>
        </w:rPr>
        <w:t>Operating lease right-of-use asset</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gross deferred tax liabilities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deferred tax assets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2760" w:hanging="1629"/>
        <w:spacing w:after="0"/>
        <w:tabs>
          <w:tab w:leader="none" w:pos="2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-5126990</wp:posOffset>
            </wp:positionH>
            <wp:positionV relativeFrom="paragraph">
              <wp:posOffset>-116840</wp:posOffset>
            </wp:positionV>
            <wp:extent cx="7136130" cy="141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9" w:lineRule="exact"/>
        <w:rPr>
          <w:sz w:val="20"/>
          <w:szCs w:val="20"/>
          <w:color w:val="auto"/>
        </w:rPr>
      </w:pPr>
    </w:p>
    <w:p>
      <w:pPr>
        <w:ind w:left="2760" w:hanging="1629"/>
        <w:spacing w:after="0"/>
        <w:tabs>
          <w:tab w:leader="none" w:pos="2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-5126990</wp:posOffset>
            </wp:positionH>
            <wp:positionV relativeFrom="paragraph">
              <wp:posOffset>15875</wp:posOffset>
            </wp:positionV>
            <wp:extent cx="7136130" cy="1581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6130" cy="158115"/>
                    </a:xfrm>
                    <a:prstGeom prst="rect">
                      <a:avLst/>
                    </a:prstGeom>
                    <a:noFill/>
                  </pic:spPr>
                </pic:pic>
              </a:graphicData>
            </a:graphic>
          </wp:anchor>
        </w:drawing>
      </w:r>
    </w:p>
    <w:p>
      <w:pPr>
        <w:spacing w:after="0" w:line="19" w:lineRule="exact"/>
        <w:rPr>
          <w:sz w:val="20"/>
          <w:szCs w:val="20"/>
          <w:color w:val="auto"/>
        </w:rPr>
      </w:pPr>
    </w:p>
    <w:p>
      <w:pPr>
        <w:spacing w:after="0"/>
        <w:tabs>
          <w:tab w:leader="none" w:pos="1280" w:val="left"/>
          <w:tab w:leader="none" w:pos="1620" w:val="left"/>
          <w:tab w:leader="none" w:pos="2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40640</wp:posOffset>
            </wp:positionV>
            <wp:extent cx="20237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237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60" w:space="720"/>
            <w:col w:w="3160"/>
          </w:cols>
          <w:pgMar w:left="320" w:top="118" w:right="339" w:bottom="1440" w:gutter="0" w:footer="0" w:header="0"/>
          <w:type w:val="continuous"/>
        </w:sectPr>
      </w:pPr>
    </w:p>
    <w:p>
      <w:pPr>
        <w:spacing w:after="0" w:line="149"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As of December 31, 2022 and 2021, the Company had U.S. federal net operating loss carryforwards which may be able to offset future income tax liabilities of approximately $226.3 million and $212.3 million, respectively. Federal net operating loss carryforwards of $7.7 million will expire at various dates from 2035 through 2037 and approximately $218.6 million may be carried forward indefinitely. As of December 31, 2022 and 2021, the Company also had state net operating loss carryforwards of approximately $197.4 million and $187.6 million, respectively, which may be available to offset future income tax liabilities and expire at various dates from 2036 through 2042.</w:t>
      </w:r>
    </w:p>
    <w:p>
      <w:pPr>
        <w:spacing w:after="0" w:line="167"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As of December 31, 2022 and 2021, the Company had federal research and development tax credit carryforwards of approximately $14.4 million and $7.3 million, respectively, available to reduce future tax liabilities which expire at various dates from 2039 through 2042. As of December 31, 2022 and 2021, the Company had state research and development tax credit carryforwards of approximately $3.5 million and $2.5 million, respectively, available to reduce future tax liabilities which expire at various dates from 2031 through 2037. The Company has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generated research credits but has not conducted a study to document the qualified activity.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pacing w:after="0" w:line="167"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by the Company and any limitation is known, no amounts are being presented as an uncertain tax position.</w:t>
      </w:r>
    </w:p>
    <w:p>
      <w:pPr>
        <w:spacing w:after="0" w:line="183"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ASC 740 requires a valuation allowance to reduce the deferred tax assets reported if, based on the weight of the evidence, it is more likely than not that some portion or all of the deferred tax assets will not be realized. After consideration of all of the evidence, both positive and negative, the Company has recorded a valuation allowance against its deferred tax assets at December 31, 2022 and 2021 because management has determined that it is more likely than not that the Company will not recognize the benefits of its federal and state deferred tax assets, primarily due to its history of cumulative net losses incurred since inception and its lack of commercialization of any products or generation of any revenue from product sales since inception. As a result, a valuation allowance of $143.9 million and $86.0 million has been established at December 31, 2022 and 2021, respectively. Management reevaluates the positive and negative evidence at each reporting period. The valuation allowance increased by approximately $58.0 million and $49.1 million during the years ended December 31, 2022 and 2021, respectively, due primarily to the generation of net operating losses.</w:t>
      </w:r>
    </w:p>
    <w:p>
      <w:pPr>
        <w:spacing w:after="0" w:line="178" w:lineRule="exact"/>
        <w:rPr>
          <w:sz w:val="20"/>
          <w:szCs w:val="20"/>
          <w:color w:val="auto"/>
        </w:rPr>
      </w:pPr>
    </w:p>
    <w:p>
      <w:pPr>
        <w:ind w:right="20" w:firstLine="433"/>
        <w:spacing w:after="0" w:line="265" w:lineRule="auto"/>
        <w:rPr>
          <w:sz w:val="20"/>
          <w:szCs w:val="20"/>
          <w:color w:val="auto"/>
        </w:rPr>
      </w:pPr>
      <w:r>
        <w:rPr>
          <w:rFonts w:ascii="Arial" w:cs="Arial" w:eastAsia="Arial" w:hAnsi="Arial"/>
          <w:sz w:val="17"/>
          <w:szCs w:val="17"/>
          <w:color w:val="auto"/>
        </w:rPr>
        <w:t>The Company has not recorded any amounts for unrecognized tax benefits as of December 31, 2022 and 2021. The Company’s policy is to record interest and penalties related to uncertain tax positions as part of its income tax provision. As of December 31, 2022 and 2021, the Company had no accrued interest or penalties related to uncertain tax positions and no such amounts have been recognized in the Company’s consolidated statement of operations for either year ended December 31, 2022 or 2021. The statute of limitations for federal and state tax authorities is open for tax years ended December 31, 2019 through December 31, 2022. Since the Company is in a net loss carryforward position, the Company is generally subject to examination by the U.S. federal, state and local income tax authorities for all tax years in which a loss carryforward is available.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Related Party Transactions</w:t>
      </w:r>
    </w:p>
    <w:p>
      <w:pPr>
        <w:spacing w:after="0" w:line="121" w:lineRule="exact"/>
        <w:rPr>
          <w:sz w:val="20"/>
          <w:szCs w:val="20"/>
          <w:color w:val="auto"/>
        </w:rPr>
      </w:pPr>
    </w:p>
    <w:p>
      <w:pPr>
        <w:ind w:right="200" w:firstLine="433"/>
        <w:spacing w:after="0" w:line="300" w:lineRule="auto"/>
        <w:rPr>
          <w:sz w:val="20"/>
          <w:szCs w:val="20"/>
          <w:color w:val="auto"/>
        </w:rPr>
      </w:pPr>
      <w:r>
        <w:rPr>
          <w:rFonts w:ascii="Arial" w:cs="Arial" w:eastAsia="Arial" w:hAnsi="Arial"/>
          <w:sz w:val="17"/>
          <w:szCs w:val="17"/>
          <w:color w:val="auto"/>
        </w:rPr>
        <w:t>One of the founders of RogCon is the Company's General Counsel. During the years ended December 31, 2022 and 2021, the Company reimbursed RogCon for its out-of-pocket costs incurred for activities performed under the License Agreement (Note 12).</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Employee Benefit Plan</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The Company has a defined contribution savings plan under Section 401(k) of the Internal Revenue Code for eligible employees. The plan covers substantially all employees who meet a minimum age requirement and allows participants to defer a portion of their annual compensation on a pre-tax basis. Under the plan, the Company is not obligated to match any participant contributions. The Company made contributions of $1.5 million and $1.0 million during the years ended December 31, 2022 and 2021, respectively</w:t>
      </w:r>
      <w:r>
        <w:rPr>
          <w:rFonts w:ascii="Times New Roman" w:cs="Times New Roman" w:eastAsia="Times New Roman" w:hAnsi="Times New Roman"/>
          <w:sz w:val="17"/>
          <w:szCs w:val="17"/>
          <w:color w:val="auto"/>
        </w:rPr>
        <w:t>.</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Restructuring</w:t>
      </w:r>
    </w:p>
    <w:p>
      <w:pPr>
        <w:spacing w:after="0" w:line="121" w:lineRule="exact"/>
        <w:rPr>
          <w:sz w:val="20"/>
          <w:szCs w:val="20"/>
          <w:color w:val="auto"/>
        </w:rPr>
      </w:pPr>
    </w:p>
    <w:p>
      <w:pPr>
        <w:ind w:right="140" w:firstLine="433"/>
        <w:spacing w:after="0" w:line="278" w:lineRule="auto"/>
        <w:rPr>
          <w:sz w:val="20"/>
          <w:szCs w:val="20"/>
          <w:color w:val="auto"/>
        </w:rPr>
      </w:pPr>
      <w:r>
        <w:rPr>
          <w:rFonts w:ascii="Arial" w:cs="Arial" w:eastAsia="Arial" w:hAnsi="Arial"/>
          <w:sz w:val="17"/>
          <w:szCs w:val="17"/>
          <w:color w:val="auto"/>
        </w:rPr>
        <w:t>In June 2022, the Company began a strategic realignment to focus resources on its ulixacaltamide, PRAX-562, PRAX-222 and PRAX-628 product candidates, as well as its preclinical programs across our Cerebrum™ and Solidus™ platforms, which resulted in a reduction of the Company’s workforce.</w:t>
      </w:r>
    </w:p>
    <w:p>
      <w:pPr>
        <w:spacing w:after="0" w:line="160"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The Company incurred $1.0 million of costs related to the realignment, of which $0.6 million has been recognized in research and development expenses and $0.4 million has been recognized in general and administrative expenses in the consolidated statement of operations during the year ended December 31, 2022. These costs relate to employee severance, benefits and related costs. The Company does not expect to incur any additional significant costs related to the strategic realignment.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2022, all costs related to the strategic realignment have been paid.</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Subsequent Events</w:t>
      </w:r>
    </w:p>
    <w:p>
      <w:pPr>
        <w:spacing w:after="0" w:line="121" w:lineRule="exact"/>
        <w:rPr>
          <w:sz w:val="20"/>
          <w:szCs w:val="20"/>
          <w:color w:val="auto"/>
        </w:rPr>
      </w:pPr>
    </w:p>
    <w:p>
      <w:pPr>
        <w:ind w:right="20" w:firstLine="433"/>
        <w:spacing w:after="0" w:line="300" w:lineRule="auto"/>
        <w:rPr>
          <w:sz w:val="20"/>
          <w:szCs w:val="20"/>
          <w:color w:val="auto"/>
        </w:rPr>
      </w:pPr>
      <w:r>
        <w:rPr>
          <w:rFonts w:ascii="Arial" w:cs="Arial" w:eastAsia="Arial" w:hAnsi="Arial"/>
          <w:sz w:val="17"/>
          <w:szCs w:val="17"/>
          <w:color w:val="auto"/>
        </w:rPr>
        <w:t>Subsequent to December 31, 2022, the Company issued and sold a total of 2,942,083 shares under the Sales Agreement for aggregate net proceeds of $11.2 million after deducting commissions and offering expenses payable by the Company.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on Effectiveness of Controls and Procedures</w:t>
      </w:r>
    </w:p>
    <w:p>
      <w:pPr>
        <w:spacing w:after="0" w:line="119"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19"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or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173"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Our management, with the participation of our Chief Executive Officer (our principal executive officer) and Chief Financial Officer (our principal financial officer), evaluated the effectiveness of our disclosure controls and procedures as of December 31, 2022. 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19" w:lineRule="exact"/>
        <w:rPr>
          <w:sz w:val="20"/>
          <w:szCs w:val="20"/>
          <w:color w:val="auto"/>
        </w:rPr>
      </w:pPr>
    </w:p>
    <w:p>
      <w:pPr>
        <w:ind w:right="40" w:firstLine="433"/>
        <w:spacing w:after="0" w:line="300" w:lineRule="auto"/>
        <w:rPr>
          <w:sz w:val="20"/>
          <w:szCs w:val="20"/>
          <w:color w:val="auto"/>
        </w:rPr>
      </w:pPr>
      <w:r>
        <w:rPr>
          <w:rFonts w:ascii="Arial" w:cs="Arial" w:eastAsia="Arial" w:hAnsi="Arial"/>
          <w:sz w:val="17"/>
          <w:szCs w:val="17"/>
          <w:color w:val="auto"/>
        </w:rPr>
        <w:t>There were no changes in our internal control over financial reporting that occurred during the three months ended December 31, 2022 that have materially affected, or are reasonably likely to materially affect, our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Annual Report on Internal Control over Financial Reporting</w:t>
      </w:r>
    </w:p>
    <w:p>
      <w:pPr>
        <w:spacing w:after="0" w:line="119"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Exchange Act Rules 13a-15(f),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2022. Management based its assessment on criteria established in "Internal Control - Integrated Framework (2013)" issued by the Committee of Sponsoring Organizations of the Treadway Commission (COSO). Based on that assessment, our management concluded that our internal control over financial reporting was effective as of December 31, 2022.</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name, age, and position of each of our current executive officers and directors as of February 3,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gridSpan w:val="2"/>
          </w:tcPr>
          <w:p>
            <w:pPr>
              <w:ind w:left="20"/>
              <w:spacing w:after="0"/>
              <w:rPr>
                <w:sz w:val="20"/>
                <w:szCs w:val="20"/>
                <w:color w:val="auto"/>
              </w:rPr>
            </w:pPr>
            <w:r>
              <w:rPr>
                <w:rFonts w:ascii="Arial" w:cs="Arial" w:eastAsia="Arial" w:hAnsi="Arial"/>
                <w:sz w:val="17"/>
                <w:szCs w:val="17"/>
                <w:b w:val="1"/>
                <w:bCs w:val="1"/>
                <w:color w:val="auto"/>
              </w:rPr>
              <w:t>Name</w:t>
            </w:r>
          </w:p>
        </w:tc>
        <w:tc>
          <w:tcPr>
            <w:tcW w:w="1140" w:type="dxa"/>
            <w:vAlign w:val="bottom"/>
            <w:gridSpan w:val="2"/>
          </w:tcPr>
          <w:p>
            <w:pPr>
              <w:ind w:left="260"/>
              <w:spacing w:after="0"/>
              <w:rPr>
                <w:sz w:val="20"/>
                <w:szCs w:val="20"/>
                <w:color w:val="auto"/>
              </w:rPr>
            </w:pPr>
            <w:r>
              <w:rPr>
                <w:rFonts w:ascii="Arial" w:cs="Arial" w:eastAsia="Arial" w:hAnsi="Arial"/>
                <w:sz w:val="17"/>
                <w:szCs w:val="17"/>
                <w:b w:val="1"/>
                <w:bCs w:val="1"/>
                <w:color w:val="auto"/>
              </w:rPr>
              <w:t>Age</w:t>
            </w:r>
          </w:p>
        </w:tc>
        <w:tc>
          <w:tcPr>
            <w:tcW w:w="5000" w:type="dxa"/>
            <w:vAlign w:val="bottom"/>
          </w:tcPr>
          <w:p>
            <w:pPr>
              <w:ind w:left="2160"/>
              <w:spacing w:after="0"/>
              <w:rPr>
                <w:sz w:val="20"/>
                <w:szCs w:val="20"/>
                <w:color w:val="auto"/>
              </w:rPr>
            </w:pPr>
            <w:r>
              <w:rPr>
                <w:rFonts w:ascii="Arial" w:cs="Arial" w:eastAsia="Arial" w:hAnsi="Arial"/>
                <w:sz w:val="17"/>
                <w:szCs w:val="17"/>
                <w:b w:val="1"/>
                <w:bCs w:val="1"/>
                <w:color w:val="auto"/>
              </w:rPr>
              <w:t>Position</w:t>
            </w:r>
          </w:p>
        </w:tc>
      </w:tr>
      <w:tr>
        <w:trPr>
          <w:trHeight w:val="216"/>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Executive Officers:</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0" w:type="dxa"/>
            <w:vAlign w:val="bottom"/>
            <w:tcBorders>
              <w:top w:val="single" w:sz="8" w:color="auto"/>
            </w:tcBorders>
            <w:shd w:val="clear" w:color="auto" w:fill="CCEEFF"/>
          </w:tcPr>
          <w:p>
            <w:pPr>
              <w:spacing w:after="0"/>
              <w:rPr>
                <w:sz w:val="18"/>
                <w:szCs w:val="18"/>
                <w:color w:val="auto"/>
              </w:rPr>
            </w:pP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Marcio Souza</w:t>
            </w:r>
          </w:p>
        </w:tc>
        <w:tc>
          <w:tcPr>
            <w:tcW w:w="1040" w:type="dxa"/>
            <w:vAlign w:val="bottom"/>
          </w:tcPr>
          <w:p>
            <w:pPr>
              <w:jc w:val="right"/>
              <w:ind w:right="333"/>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President, Chief Executive Officer, Director</w:t>
            </w: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Timothy Kelly</w:t>
            </w: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Financial Officer</w:t>
            </w: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Alex Nemiroff, J.D.</w:t>
            </w:r>
          </w:p>
        </w:tc>
        <w:tc>
          <w:tcPr>
            <w:tcW w:w="1040" w:type="dxa"/>
            <w:vAlign w:val="bottom"/>
          </w:tcPr>
          <w:p>
            <w:pPr>
              <w:jc w:val="right"/>
              <w:ind w:right="333"/>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General Counsel, Corporate Secretary</w:t>
            </w: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Nicole Sweeny</w:t>
            </w: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Commercial Officer</w:t>
            </w: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b w:val="1"/>
                <w:bCs w:val="1"/>
                <w:color w:val="auto"/>
              </w:rPr>
              <w:t>Non-Employee Directors: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0" w:type="dxa"/>
            <w:vAlign w:val="bottom"/>
          </w:tcPr>
          <w:p>
            <w:pPr>
              <w:spacing w:after="0"/>
              <w:rPr>
                <w:sz w:val="19"/>
                <w:szCs w:val="19"/>
                <w:color w:val="auto"/>
              </w:rPr>
            </w:pP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Dean Mitchell(2)(4)</w:t>
            </w: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Chairman, Director</w:t>
            </w: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Jeffrey Chodakewitz, M.D.(3)(4)</w:t>
            </w:r>
          </w:p>
        </w:tc>
        <w:tc>
          <w:tcPr>
            <w:tcW w:w="1040" w:type="dxa"/>
            <w:vAlign w:val="bottom"/>
          </w:tcPr>
          <w:p>
            <w:pPr>
              <w:jc w:val="right"/>
              <w:ind w:right="333"/>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Merit Cudkowicz, M.D.(2)(4)</w:t>
            </w: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Jill DeSimone(1)(2)(3)</w:t>
            </w:r>
          </w:p>
        </w:tc>
        <w:tc>
          <w:tcPr>
            <w:tcW w:w="1040" w:type="dxa"/>
            <w:vAlign w:val="bottom"/>
          </w:tcPr>
          <w:p>
            <w:pPr>
              <w:jc w:val="right"/>
              <w:ind w:right="333"/>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Gregory Norden(1)(2)</w:t>
            </w: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William Young(1)(2)(3)</w:t>
            </w:r>
          </w:p>
        </w:tc>
        <w:tc>
          <w:tcPr>
            <w:tcW w:w="1040" w:type="dxa"/>
            <w:vAlign w:val="bottom"/>
          </w:tcPr>
          <w:p>
            <w:pPr>
              <w:jc w:val="right"/>
              <w:ind w:right="333"/>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Director</w:t>
            </w: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32" w:lineRule="exact"/>
        <w:rPr>
          <w:sz w:val="20"/>
          <w:szCs w:val="20"/>
          <w:color w:val="auto"/>
        </w:rPr>
      </w:pPr>
    </w:p>
    <w:p>
      <w:pPr>
        <w:ind w:left="320" w:hanging="315"/>
        <w:spacing w:after="0"/>
        <w:tabs>
          <w:tab w:leader="none" w:pos="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103" w:lineRule="exact"/>
        <w:rPr>
          <w:rFonts w:ascii="Arial" w:cs="Arial" w:eastAsia="Arial" w:hAnsi="Arial"/>
          <w:sz w:val="17"/>
          <w:szCs w:val="17"/>
          <w:color w:val="auto"/>
        </w:rPr>
      </w:pPr>
    </w:p>
    <w:p>
      <w:pPr>
        <w:ind w:left="320" w:hanging="315"/>
        <w:spacing w:after="0"/>
        <w:tabs>
          <w:tab w:leader="none" w:pos="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119" w:lineRule="exact"/>
        <w:rPr>
          <w:rFonts w:ascii="Arial" w:cs="Arial" w:eastAsia="Arial" w:hAnsi="Arial"/>
          <w:sz w:val="17"/>
          <w:szCs w:val="17"/>
          <w:color w:val="auto"/>
        </w:rPr>
      </w:pPr>
    </w:p>
    <w:p>
      <w:pPr>
        <w:ind w:left="320" w:hanging="315"/>
        <w:spacing w:after="0"/>
        <w:tabs>
          <w:tab w:leader="none" w:pos="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119" w:lineRule="exact"/>
        <w:rPr>
          <w:rFonts w:ascii="Arial" w:cs="Arial" w:eastAsia="Arial" w:hAnsi="Arial"/>
          <w:sz w:val="17"/>
          <w:szCs w:val="17"/>
          <w:color w:val="auto"/>
        </w:rPr>
      </w:pPr>
    </w:p>
    <w:p>
      <w:pPr>
        <w:ind w:left="320" w:hanging="315"/>
        <w:spacing w:after="0"/>
        <w:tabs>
          <w:tab w:leader="none" w:pos="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Member of the Science and Technology Committee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121" w:lineRule="exact"/>
        <w:rPr>
          <w:sz w:val="20"/>
          <w:szCs w:val="20"/>
          <w:color w:val="auto"/>
        </w:rPr>
      </w:pPr>
    </w:p>
    <w:p>
      <w:pPr>
        <w:ind w:firstLine="315"/>
        <w:spacing w:after="0" w:line="262" w:lineRule="auto"/>
        <w:rPr>
          <w:sz w:val="20"/>
          <w:szCs w:val="20"/>
          <w:color w:val="auto"/>
        </w:rPr>
      </w:pPr>
      <w:r>
        <w:rPr>
          <w:rFonts w:ascii="Arial" w:cs="Arial" w:eastAsia="Arial" w:hAnsi="Arial"/>
          <w:sz w:val="17"/>
          <w:szCs w:val="17"/>
          <w:b w:val="1"/>
          <w:bCs w:val="1"/>
          <w:i w:val="1"/>
          <w:iCs w:val="1"/>
          <w:color w:val="auto"/>
        </w:rPr>
        <w:t xml:space="preserve">Marcio Souza </w:t>
      </w:r>
      <w:r>
        <w:rPr>
          <w:rFonts w:ascii="Arial" w:cs="Arial" w:eastAsia="Arial" w:hAnsi="Arial"/>
          <w:sz w:val="17"/>
          <w:szCs w:val="17"/>
          <w:color w:val="auto"/>
        </w:rPr>
        <w:t>has served as a member of our Board of Directors and our President and Chief Executive Officer since April 2020.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joining us, Mr. Souza was at PTC Therapeutics, Inc., or PTC, where he served as its Chief Operating Officer from May 2017 to April 2020 and its Senior Vice President and Head of Product Strategy from July 2016 to May 2017. Prior to joining PTC, Mr. Souza served in positions of increasing responsibility at NPS Pharmaceuticals, Inc., Shire Human Genetic Therapies Inc. and Sanofi Genzyme Corporation. Mr. Souza has served on the board of directors of Aeglea BioTherapeutics, Inc. (NASDAQ: AGLE) since June 2021. From May 2019 to May 2020, Mr. Souza also served on the board of directors of Clearpoint Neuro, Inc. (NASDAQ: CLPT) (previously MRI Interventions, Inc.). Mr. Souza received a degree in pharmacy and biochemistry with a specialization in toxicology and clinical analysis from the University of São Paulo and an M.B.A. from Fundação Dom Cabral. We believe Mr. Souza is qualified to serve on our Board of Directors because of his business and leadership experience in the life sciences industry and his scientific background.</w:t>
      </w:r>
    </w:p>
    <w:p>
      <w:pPr>
        <w:spacing w:after="0" w:line="73" w:lineRule="exact"/>
        <w:rPr>
          <w:sz w:val="20"/>
          <w:szCs w:val="20"/>
          <w:color w:val="auto"/>
        </w:rPr>
      </w:pPr>
    </w:p>
    <w:p>
      <w:pPr>
        <w:ind w:right="20" w:firstLine="315"/>
        <w:spacing w:after="0" w:line="263" w:lineRule="auto"/>
        <w:rPr>
          <w:sz w:val="20"/>
          <w:szCs w:val="20"/>
          <w:color w:val="auto"/>
        </w:rPr>
      </w:pPr>
      <w:r>
        <w:rPr>
          <w:rFonts w:ascii="Arial" w:cs="Arial" w:eastAsia="Arial" w:hAnsi="Arial"/>
          <w:sz w:val="17"/>
          <w:szCs w:val="17"/>
          <w:b w:val="1"/>
          <w:bCs w:val="1"/>
          <w:i w:val="1"/>
          <w:iCs w:val="1"/>
          <w:color w:val="auto"/>
        </w:rPr>
        <w:t xml:space="preserve">Timothy Kelly </w:t>
      </w:r>
      <w:r>
        <w:rPr>
          <w:rFonts w:ascii="Arial" w:cs="Arial" w:eastAsia="Arial" w:hAnsi="Arial"/>
          <w:sz w:val="17"/>
          <w:szCs w:val="17"/>
          <w:color w:val="auto"/>
        </w:rPr>
        <w:t>has served as our Chief Financial Officer since May 2021. Prior to his role as Chief Financial Officer, Mr. Kelly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of Foundation Medicine, Inc. from 2019 to April 2021. In this position, he led the finance and corporate management teams, providing strategic leadership and oversight for the corporate functions, which included accounting and tax, billing and reimbursement, procurement, corporate development, project management and financial planning and analysis. Prior to his time at Foundation Medicine, Mr. Kelly served in several finance roles of increasing responsibility at the F. Hoffman-La Roche AG, or Roche, and Genentech (before being acquired by Roche in 2009) from 2003 to 2019, including finance and corporate services director for Roche Pharma in the United Kingdom from 2017 to 2019 and head of group strategic planning for the Roche Group in Switzerland from 2013 to 2017. Mr. Kelly holds a B.A. in economics from the College of William and Mary and an M.B.A. from the Columbia Business School.</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firstLine="315"/>
        <w:spacing w:after="0" w:line="266" w:lineRule="auto"/>
        <w:rPr>
          <w:sz w:val="20"/>
          <w:szCs w:val="20"/>
          <w:color w:val="auto"/>
        </w:rPr>
      </w:pPr>
      <w:r>
        <w:rPr>
          <w:rFonts w:ascii="Arial" w:cs="Arial" w:eastAsia="Arial" w:hAnsi="Arial"/>
          <w:sz w:val="17"/>
          <w:szCs w:val="17"/>
          <w:b w:val="1"/>
          <w:bCs w:val="1"/>
          <w:i w:val="1"/>
          <w:iCs w:val="1"/>
          <w:color w:val="auto"/>
        </w:rPr>
        <w:t xml:space="preserve">Alex Nemiroff, J.D., </w:t>
      </w:r>
      <w:r>
        <w:rPr>
          <w:rFonts w:ascii="Arial" w:cs="Arial" w:eastAsia="Arial" w:hAnsi="Arial"/>
          <w:sz w:val="17"/>
          <w:szCs w:val="17"/>
          <w:color w:val="auto"/>
        </w:rPr>
        <w:t>has served as our General Counsel since June 2020. Prior to his role as General Counsel, Mr. Nemiroff served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of Legal from January 2020 to June 2020. Mr. Nemiroff was also a co-founder of RogCon, Inc. and RogCon U.R., Inc., and he has served as both entities’ Chief Executive Officer since inception in November 2015. Mr. Nemiroff has experience working in commercial and securities litigation while at Greenberg Traurig LLP, and served as law clerk to the Honorable Paul C. Huck of the United States District Court for the Southern District of Florida. Mr. Nemiroff received a B.B.A from the University of Michigan’s Ross School of Business, and a J.D. from Northwestern University School of Law.</w:t>
      </w:r>
    </w:p>
    <w:p>
      <w:pPr>
        <w:spacing w:after="0" w:line="64" w:lineRule="exact"/>
        <w:rPr>
          <w:sz w:val="20"/>
          <w:szCs w:val="20"/>
          <w:color w:val="auto"/>
        </w:rPr>
      </w:pPr>
    </w:p>
    <w:p>
      <w:pPr>
        <w:ind w:firstLine="315"/>
        <w:spacing w:after="0" w:line="266" w:lineRule="auto"/>
        <w:rPr>
          <w:sz w:val="20"/>
          <w:szCs w:val="20"/>
          <w:color w:val="auto"/>
        </w:rPr>
      </w:pPr>
      <w:r>
        <w:rPr>
          <w:rFonts w:ascii="Arial" w:cs="Arial" w:eastAsia="Arial" w:hAnsi="Arial"/>
          <w:sz w:val="17"/>
          <w:szCs w:val="17"/>
          <w:b w:val="1"/>
          <w:bCs w:val="1"/>
          <w:i w:val="1"/>
          <w:iCs w:val="1"/>
          <w:color w:val="auto"/>
        </w:rPr>
        <w:t xml:space="preserve">Nicole Sweeny </w:t>
      </w:r>
      <w:r>
        <w:rPr>
          <w:rFonts w:ascii="Arial" w:cs="Arial" w:eastAsia="Arial" w:hAnsi="Arial"/>
          <w:sz w:val="17"/>
          <w:szCs w:val="17"/>
          <w:color w:val="auto"/>
        </w:rPr>
        <w:t>has served as our Chief Commercial Officer since August 2020. Prior to joining us, Ms. Sweeny was at Takeda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Pharmaceutical Co. Ltd., or Takeda, where she served as Vice President, Franchise Head, Rare Diseases from February 2019 to July 2020. Prior to Takeda, Ms. Sweeny served in several roles at Shire plc, a biopharmaceutical company acquired by Takeda, from August 2010 to January 2019, including Vice President, Head of US Marketing from September 2017 to January 2019 and Vice President, Global Product Strategy Lead from December 2016 to August 2017. Prior to joining Shire, Ms. Sweeny served in commercial positions of increasing responsibility at AMAG Pharmaceuticals, Inc. and Sanofi Genzyme Corporation. Ms. Sweeny received her B.S. from Boston College.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Directors</w:t>
      </w:r>
    </w:p>
    <w:p>
      <w:pPr>
        <w:spacing w:after="0" w:line="121" w:lineRule="exact"/>
        <w:rPr>
          <w:sz w:val="20"/>
          <w:szCs w:val="20"/>
          <w:color w:val="auto"/>
        </w:rPr>
      </w:pPr>
    </w:p>
    <w:p>
      <w:pPr>
        <w:ind w:right="40" w:firstLine="315"/>
        <w:spacing w:after="0" w:line="260" w:lineRule="auto"/>
        <w:rPr>
          <w:sz w:val="20"/>
          <w:szCs w:val="20"/>
          <w:color w:val="auto"/>
        </w:rPr>
      </w:pPr>
      <w:r>
        <w:rPr>
          <w:rFonts w:ascii="Arial" w:cs="Arial" w:eastAsia="Arial" w:hAnsi="Arial"/>
          <w:sz w:val="17"/>
          <w:szCs w:val="17"/>
          <w:b w:val="1"/>
          <w:bCs w:val="1"/>
          <w:i w:val="1"/>
          <w:iCs w:val="1"/>
          <w:color w:val="auto"/>
        </w:rPr>
        <w:t xml:space="preserve">Dean Mitchell </w:t>
      </w:r>
      <w:r>
        <w:rPr>
          <w:rFonts w:ascii="Arial" w:cs="Arial" w:eastAsia="Arial" w:hAnsi="Arial"/>
          <w:sz w:val="17"/>
          <w:szCs w:val="17"/>
          <w:color w:val="auto"/>
        </w:rPr>
        <w:t>has served as chairman of our Board of Directors since September 2020. He served as executive chairman of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Covis Pharma Holdings S.à.r.l., a specialty pharmaceutical company, from August 2013 until its sale in March 2020 and was chairman of PaxVax Corporation, a biotechnology company from January 2016 until its sale in October 2018. Mr. Mitchell served as President and Chief Executive Officer of Lux Biosciences, Inc., a biotechnology company focusing on the treatment of ophthalmic diseases, from July 2010 to August 2013. Prior to Lux Biosciences, he served as President and Chief Executive Officer of both Alpharma, Inc., a publicly traded specialty pharmaceutical company, from 2006 until its acquisition by King Pharmaceuticals, Inc. in 2008, and Guilford Pharmaceuticals, Inc., a publicly traded pharmaceutical company focused in oncology and acute care, from 2004 until its acquisition by MGI Pharma Inc. in 2005. From 2001 to 2004, he served in various senior executive capacities in the worldwide medicines group of Bristol-Myers Squibb Company. Prior to Bristol-Myers Squibb Company, he spent 14 years at GlaxoSmithKline plc, in assignments of increasing responsibility spanning sales, marketing, general management, commercial strategy and clinical development and product strategy. Mr. Mitchell currently serves on the boards of directors of Theravance Biopharma, Inc. (NASDAQ: TBPH), ImmunoGen Inc. (NASDAQ: IMGN), Precigen Inc. (formerly Intrexon Inc.) (NASDAQ: PGEN) and Kinnate Biopharma Inc. (NASDAQ: KNTE). Mr. Mitchell holds an M.B.A. from City University London and a B.Sc. in Biology from Coventry University. We believe Mr. Mitchell is qualified to serve on our Board of Directors because of his management experience in the pharmaceutical and biotherapeutics industries and his experience as a president, chief executive officer and board member of multiple biotechnology companies.</w:t>
      </w:r>
    </w:p>
    <w:p>
      <w:pPr>
        <w:spacing w:after="0" w:line="78" w:lineRule="exact"/>
        <w:rPr>
          <w:sz w:val="20"/>
          <w:szCs w:val="20"/>
          <w:color w:val="auto"/>
        </w:rPr>
      </w:pPr>
    </w:p>
    <w:p>
      <w:pPr>
        <w:ind w:right="20" w:firstLine="315"/>
        <w:spacing w:after="0" w:line="261" w:lineRule="auto"/>
        <w:rPr>
          <w:sz w:val="20"/>
          <w:szCs w:val="20"/>
          <w:color w:val="auto"/>
        </w:rPr>
      </w:pPr>
      <w:r>
        <w:rPr>
          <w:rFonts w:ascii="Arial" w:cs="Arial" w:eastAsia="Arial" w:hAnsi="Arial"/>
          <w:sz w:val="17"/>
          <w:szCs w:val="17"/>
          <w:b w:val="1"/>
          <w:bCs w:val="1"/>
          <w:i w:val="1"/>
          <w:iCs w:val="1"/>
          <w:color w:val="auto"/>
        </w:rPr>
        <w:t xml:space="preserve">Jeffrey Chodakewitz, M.D., </w:t>
      </w:r>
      <w:r>
        <w:rPr>
          <w:rFonts w:ascii="Arial" w:cs="Arial" w:eastAsia="Arial" w:hAnsi="Arial"/>
          <w:sz w:val="17"/>
          <w:szCs w:val="17"/>
          <w:color w:val="auto"/>
        </w:rPr>
        <w:t>has served as a member of our Board of Directors since April 2021. Dr. Chodakewitz has served as an external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advisor for Ascenta Capital, a life sciences investment firm, since December 2022. He previously served as a senior advisor to Blackstone Life Sciences, a life sciences private equity firm from March 2019 to January 2022. From April 2018 through March 2019, he served as Executive Vice President, Clinical Medicine and External Innovation, at Vertex Pharmaceuticals, Inc., or Vertex. Prior to that role, Dr. Chodakewitz held the roles of Chief Medical Officer and Executive Vice President, Global Medicines Development and Medical Affairs at Vertex from January 2014 to April 2018 and was a member of the Vertex Executive Committee. Prior to Vertex, Dr. Chodakewitz spent over 20 years at Merck &amp; Co. serving in several positions, including leadership roles as Head of Infectious Diseases and Vaccines Global Development, Senior Vice President of Global Scientific Strategy (infectious disease, respiratory &amp; immunology), Vice President of Early-Stage Development and Senior Vice President of Late-Stage Development. Dr. Chodakewitz currently serves on the boards of directors of Adicet Bio, Inc. (NASDAQ: ACET), Freeline Therapeutics Holdings plc (NASDAQ: FRLN) and Schrödinger, Inc. (NASDAQ:SDGR). Dr. Chodakewitz received a B.S. in Biochemistry cum laude from Yale University and an M.D. from the Yale University School of Medicine. We believe Dr. Chodakewitz is qualified to serve on our Board of Directors because of his extensive business and leadership experience working in the biotechnology industry.</w:t>
      </w:r>
    </w:p>
    <w:p>
      <w:pPr>
        <w:spacing w:after="0" w:line="72" w:lineRule="exact"/>
        <w:rPr>
          <w:sz w:val="20"/>
          <w:szCs w:val="20"/>
          <w:color w:val="auto"/>
        </w:rPr>
      </w:pPr>
    </w:p>
    <w:p>
      <w:pPr>
        <w:ind w:right="60" w:firstLine="315"/>
        <w:spacing w:after="0" w:line="268" w:lineRule="auto"/>
        <w:rPr>
          <w:sz w:val="20"/>
          <w:szCs w:val="20"/>
          <w:color w:val="auto"/>
        </w:rPr>
      </w:pPr>
      <w:r>
        <w:rPr>
          <w:rFonts w:ascii="Arial" w:cs="Arial" w:eastAsia="Arial" w:hAnsi="Arial"/>
          <w:sz w:val="17"/>
          <w:szCs w:val="17"/>
          <w:b w:val="1"/>
          <w:bCs w:val="1"/>
          <w:i w:val="1"/>
          <w:iCs w:val="1"/>
          <w:color w:val="auto"/>
        </w:rPr>
        <w:t xml:space="preserve">Merit Cudkowicz, M.D., </w:t>
      </w:r>
      <w:r>
        <w:rPr>
          <w:rFonts w:ascii="Arial" w:cs="Arial" w:eastAsia="Arial" w:hAnsi="Arial"/>
          <w:sz w:val="17"/>
          <w:szCs w:val="17"/>
          <w:color w:val="auto"/>
        </w:rPr>
        <w:t>has served as a member of our Board of Directors since April 2021. Dr. Cudkowicz has served as the Chief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Neurology at Massachusetts General Hospital since 2012 and is the Director of the Sean M. Healey &amp; AMG Center for ALS and Director and the Julieanne Dorn Professor of Neurology at Harvard Medical School. A member of the National Academy of Medicine, she has led innovations to accelerate the development of treatments for people with neurological disorders such as ALS, including the first platform trial in ALS, and serving in a senior role in the research and development of the first antisense oligonucleotide treatment for a neurological</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disorder. Dr. Cudkowicz is also the principal investigator of the Clinical Coordination Center for the National Institute of Neurological Disorders and Stroke’s Neurology Network of Excellence in Clinical Trials, or NeuroNEX. Dr. Cudkowicz received a B.S. in Chemical Engineering from Massachusetts Institute of Technology, an M.D. from Harvard Medical School and a MSc. in Clinical Epidemiology from Harvard School of Public Health. We believe Dr. Cudkowicz is qualified to serve on our Board of Directors because of her extensive medical background and experience.</w:t>
      </w:r>
    </w:p>
    <w:p>
      <w:pPr>
        <w:spacing w:after="0" w:line="61" w:lineRule="exact"/>
        <w:rPr>
          <w:sz w:val="20"/>
          <w:szCs w:val="20"/>
          <w:color w:val="auto"/>
        </w:rPr>
      </w:pPr>
    </w:p>
    <w:p>
      <w:pPr>
        <w:ind w:right="20" w:firstLine="315"/>
        <w:spacing w:after="0" w:line="261" w:lineRule="auto"/>
        <w:rPr>
          <w:sz w:val="20"/>
          <w:szCs w:val="20"/>
          <w:color w:val="auto"/>
        </w:rPr>
      </w:pPr>
      <w:r>
        <w:rPr>
          <w:rFonts w:ascii="Arial" w:cs="Arial" w:eastAsia="Arial" w:hAnsi="Arial"/>
          <w:sz w:val="17"/>
          <w:szCs w:val="17"/>
          <w:b w:val="1"/>
          <w:bCs w:val="1"/>
          <w:i w:val="1"/>
          <w:iCs w:val="1"/>
          <w:color w:val="auto"/>
        </w:rPr>
        <w:t xml:space="preserve">Jill DeSimone </w:t>
      </w:r>
      <w:r>
        <w:rPr>
          <w:rFonts w:ascii="Arial" w:cs="Arial" w:eastAsia="Arial" w:hAnsi="Arial"/>
          <w:sz w:val="17"/>
          <w:szCs w:val="17"/>
          <w:color w:val="auto"/>
        </w:rPr>
        <w:t>has served as a member of our Board of Directors since May 2022. Ms. DeSimone served as President of U.S. Oncology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Merck &amp; Co., Inc., or Merck, from 2014 to May 2022. During her time at Merck, Ms. DeSimone also temporarily served as Interim President of U.S. Pharma to help navigate the business through the COVID-19 pandemic. Prior to joining Merck, she served as Senior Vice President of Global Women’s Health at Teva Pharmaceutical Industries Ltd, or Teva, from 2012 to 2014. Prior to her time at Teva, Ms. DeSimone served in several roles of increasing responsibility at Bristol Myers Squibb from 1980 to 2012, including Senior Vice President of Oncology and Senior Vice President of Commercial Operations. Ms. DeSimone serves on the board of directors of Oncternal Therapeutics (NASDAQ: ONCT), Kinnate Biopharma Inc. (NASDAQ: KNTE), effective March 1, 2023, and Affini-T Therapeutics, Inc., a private company. She also serves as a board member for the Florida Cancer Specialists Foundation, a nonprofit organization that helps individuals with their essential living expenses while they undergo treatment for cancer. Ms. DeSimone received a B.S. in pharmacy from Northeastern University and completed a fellowship with the Wharton School of the University of Pennsylvania. We believe Ms. DeSimone is qualified to serve on the Board because of her leadership and extensive business experience in the pharmaceutical industry.</w:t>
      </w:r>
    </w:p>
    <w:p>
      <w:pPr>
        <w:spacing w:after="0" w:line="75"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b w:val="1"/>
          <w:bCs w:val="1"/>
          <w:i w:val="1"/>
          <w:iCs w:val="1"/>
          <w:color w:val="auto"/>
        </w:rPr>
        <w:t xml:space="preserve">Gregory Norden </w:t>
      </w:r>
      <w:r>
        <w:rPr>
          <w:rFonts w:ascii="Arial" w:cs="Arial" w:eastAsia="Arial" w:hAnsi="Arial"/>
          <w:sz w:val="17"/>
          <w:szCs w:val="17"/>
          <w:color w:val="auto"/>
        </w:rPr>
        <w:t>has served as a member of our Board of Directors since March 2019. Mr. Norden is the former Chief Financial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Wyeth Pharmaceuticals Inc. and has served as the Managing Director of G9 Capital Group LLC, which invests in early stage ventures and provides corporate advisory services, since 2010. Mr. Norden currently serves on the boards of directors of Zoetis Inc. (NYSE: ZTS), NanoString Technologies, Inc. (NASDAQ: NSTG) and Royalty Pharma plc (NASDAQ: RPRX). Mr. Norden is a former director of Human Genome Sciences, Univision and Welch Allyn. Mr. Norden received a B.S. in Management and Economics from the State University of New York at Plattsburgh and an M.S. in Accounting from LIU Post. We believe Mr. Norden is qualified to serve on our Board of Directors because of his background in finance and experience as a senior executive in the global healthcare and pharmaceutical industries, as well as his public company board experience.</w:t>
      </w:r>
    </w:p>
    <w:p>
      <w:pPr>
        <w:spacing w:after="0" w:line="68" w:lineRule="exact"/>
        <w:rPr>
          <w:sz w:val="20"/>
          <w:szCs w:val="20"/>
          <w:color w:val="auto"/>
        </w:rPr>
      </w:pPr>
    </w:p>
    <w:p>
      <w:pPr>
        <w:ind w:right="40" w:firstLine="315"/>
        <w:spacing w:after="0" w:line="260" w:lineRule="auto"/>
        <w:rPr>
          <w:sz w:val="20"/>
          <w:szCs w:val="20"/>
          <w:color w:val="auto"/>
        </w:rPr>
      </w:pPr>
      <w:r>
        <w:rPr>
          <w:rFonts w:ascii="Arial" w:cs="Arial" w:eastAsia="Arial" w:hAnsi="Arial"/>
          <w:sz w:val="17"/>
          <w:szCs w:val="17"/>
          <w:b w:val="1"/>
          <w:bCs w:val="1"/>
          <w:i w:val="1"/>
          <w:iCs w:val="1"/>
          <w:color w:val="auto"/>
        </w:rPr>
        <w:t xml:space="preserve">William Young </w:t>
      </w:r>
      <w:r>
        <w:rPr>
          <w:rFonts w:ascii="Arial" w:cs="Arial" w:eastAsia="Arial" w:hAnsi="Arial"/>
          <w:sz w:val="17"/>
          <w:szCs w:val="17"/>
          <w:color w:val="auto"/>
        </w:rPr>
        <w:t>has served as a member of our Board of Directors since December 2016. Mr. Young is a Senior Advisor with Blackstone Life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Sciences, which he joined in November 2018. Prior to its acquisition by Blackstone, Mr. Young joined Clarus Ventures LLC in March 2010 and held various roles, including Venture Partner, Senior Advisor and portfolio company board member. Prior to joining Clarus, Mr. Young was chairman of the board of directors and Chief Executive Officer of Monogram Biosciences Inc. from 2000 until its acquisition by Laboratory Corporation of America Holdings in 2009. Previously, Mr. Young spent 20 years at Genentech, Inc. in roles of increasing responsibility, culminating as Chief Operating Officer from 1997 to 1999. Mr. Young currently serves as the chairman of the board of directors of NanoString Technologies, Inc. (NASDAQ: NSTG), and as a member of the board of directors of Theravance BioPharma, Inc. (NASDAQ: TBPH) and Autolus Therapeutics plc (NASDAQ: AUTL). Mr. Young also served as the chairman of the board of directors of Annexon, Inc. (NASDAQ: ANNX) from March 2017 to February 2021, and as a member of the boards of directors of Vertex Pharmaceuticals Inc. (NASDAQ: VRTX) from May 2015 to June 2020 and BioMarin Pharmaceutical Inc. (NASDAQ: BMRN) from September 2010 to November 2015. Mr. Young was elected to the National Academy of Engineering in 1993 for his contributions to biotechnology. Mr. Young received a B.S. in Chemical Engineering from Purdue University and an M.B.A. from Indiana University in Marketing and Finance and holds an honorary doctorate in Engineering from Purdue University. We believe Mr. Young is qualified to serve on our Board of Directors because of his scientific background, business experience and his service on the board of directors of other life sciences companies.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Relationships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are no family relationships among any of our executive officers or directors.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121" w:lineRule="exact"/>
        <w:rPr>
          <w:sz w:val="20"/>
          <w:szCs w:val="20"/>
          <w:color w:val="auto"/>
        </w:rPr>
      </w:pPr>
    </w:p>
    <w:p>
      <w:pPr>
        <w:ind w:firstLine="315"/>
        <w:spacing w:after="0" w:line="271" w:lineRule="auto"/>
        <w:rPr>
          <w:sz w:val="20"/>
          <w:szCs w:val="20"/>
          <w:color w:val="auto"/>
        </w:rPr>
      </w:pPr>
      <w:r>
        <w:rPr>
          <w:rFonts w:ascii="Arial" w:cs="Arial" w:eastAsia="Arial" w:hAnsi="Arial"/>
          <w:sz w:val="17"/>
          <w:szCs w:val="17"/>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corporate governance section of our website, which is located at https://investors.praxismedicines.com/corporate-governance/governance-overview.</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If we make any substantive amendments to, or grant any waivers from, the code of business conduct and ethics for any officer or director, we will disclose the nature of such amendment or waiver on our website or in a Form 8-K.</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Director Nominees by Stockholders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have been no material changes to the procedures by which our stockholders may recommend nominees to the board of directors.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121" w:lineRule="exact"/>
        <w:rPr>
          <w:sz w:val="20"/>
          <w:szCs w:val="20"/>
          <w:color w:val="auto"/>
        </w:rPr>
      </w:pPr>
    </w:p>
    <w:p>
      <w:pPr>
        <w:ind w:right="40" w:firstLine="315"/>
        <w:spacing w:after="0" w:line="268" w:lineRule="auto"/>
        <w:rPr>
          <w:sz w:val="20"/>
          <w:szCs w:val="20"/>
          <w:color w:val="auto"/>
        </w:rPr>
      </w:pPr>
      <w:r>
        <w:rPr>
          <w:rFonts w:ascii="Arial" w:cs="Arial" w:eastAsia="Arial" w:hAnsi="Arial"/>
          <w:sz w:val="17"/>
          <w:szCs w:val="17"/>
          <w:color w:val="auto"/>
        </w:rPr>
        <w:t>Gregory Norden, Jill DeSimone and William Young serve on the Audit Committee, which is chaired by Gregory Norden. Our Board of Directors has determined that Gregory Norden, Jill DeSimone and William Young are “independent” for audit committee purposes as that term is defined in the rules of the SEC and the applicable Nasdaq rules, and each has sufficient knowledge in financial and auditing matters to serve on the audit committee. Our Board of Directors has designated Gregory Norden as an “audit committee financial expert,” as defined under the applicable rules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compensation programs are designed to:</w:t>
      </w:r>
    </w:p>
    <w:p>
      <w:pPr>
        <w:spacing w:after="0" w:line="93" w:lineRule="exact"/>
        <w:rPr>
          <w:sz w:val="20"/>
          <w:szCs w:val="20"/>
          <w:color w:val="auto"/>
        </w:rPr>
      </w:pPr>
    </w:p>
    <w:p>
      <w:pPr>
        <w:ind w:left="780" w:hanging="303"/>
        <w:spacing w:after="0"/>
        <w:tabs>
          <w:tab w:leader="none" w:pos="7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provide a fair, flexible and market-based total compensation package;</w:t>
      </w:r>
    </w:p>
    <w:p>
      <w:pPr>
        <w:spacing w:after="0" w:line="30" w:lineRule="exact"/>
        <w:rPr>
          <w:rFonts w:ascii="Arial" w:cs="Arial" w:eastAsia="Arial" w:hAnsi="Arial"/>
          <w:sz w:val="17"/>
          <w:szCs w:val="17"/>
          <w:color w:val="auto"/>
        </w:rPr>
      </w:pPr>
    </w:p>
    <w:p>
      <w:pPr>
        <w:ind w:left="780" w:hanging="303"/>
        <w:spacing w:after="0"/>
        <w:tabs>
          <w:tab w:leader="none" w:pos="7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attract, motivate, incentivize and retain key management personnel who contribute to our short and long-term success;</w:t>
      </w:r>
    </w:p>
    <w:p>
      <w:pPr>
        <w:spacing w:after="0" w:line="63" w:lineRule="exact"/>
        <w:rPr>
          <w:rFonts w:ascii="Arial" w:cs="Arial" w:eastAsia="Arial" w:hAnsi="Arial"/>
          <w:sz w:val="17"/>
          <w:szCs w:val="17"/>
          <w:color w:val="auto"/>
        </w:rPr>
      </w:pPr>
    </w:p>
    <w:p>
      <w:pPr>
        <w:ind w:left="800" w:right="640" w:hanging="323"/>
        <w:spacing w:after="0" w:line="297" w:lineRule="auto"/>
        <w:tabs>
          <w:tab w:leader="none" w:pos="795" w:val="left"/>
        </w:tabs>
        <w:numPr>
          <w:ilvl w:val="0"/>
          <w:numId w:val="66"/>
        </w:numPr>
        <w:rPr>
          <w:rFonts w:ascii="Arial" w:cs="Arial" w:eastAsia="Arial" w:hAnsi="Arial"/>
          <w:sz w:val="17"/>
          <w:szCs w:val="17"/>
          <w:color w:val="auto"/>
        </w:rPr>
      </w:pPr>
      <w:r>
        <w:rPr>
          <w:rFonts w:ascii="Arial" w:cs="Arial" w:eastAsia="Arial" w:hAnsi="Arial"/>
          <w:sz w:val="17"/>
          <w:szCs w:val="17"/>
          <w:color w:val="auto"/>
        </w:rPr>
        <w:t>emphasize performance-based total compensation that is aligned with the external market and rewards the achievement of our business objectives and key results; and</w:t>
      </w:r>
    </w:p>
    <w:p>
      <w:pPr>
        <w:spacing w:after="0" w:line="1" w:lineRule="exact"/>
        <w:rPr>
          <w:rFonts w:ascii="Arial" w:cs="Arial" w:eastAsia="Arial" w:hAnsi="Arial"/>
          <w:sz w:val="17"/>
          <w:szCs w:val="17"/>
          <w:color w:val="auto"/>
        </w:rPr>
      </w:pPr>
    </w:p>
    <w:p>
      <w:pPr>
        <w:ind w:left="800" w:right="140" w:hanging="323"/>
        <w:spacing w:after="0" w:line="300" w:lineRule="auto"/>
        <w:tabs>
          <w:tab w:leader="none" w:pos="795" w:val="left"/>
        </w:tabs>
        <w:numPr>
          <w:ilvl w:val="0"/>
          <w:numId w:val="66"/>
        </w:numPr>
        <w:rPr>
          <w:rFonts w:ascii="Arial" w:cs="Arial" w:eastAsia="Arial" w:hAnsi="Arial"/>
          <w:sz w:val="17"/>
          <w:szCs w:val="17"/>
          <w:color w:val="auto"/>
        </w:rPr>
      </w:pPr>
      <w:r>
        <w:rPr>
          <w:rFonts w:ascii="Arial" w:cs="Arial" w:eastAsia="Arial" w:hAnsi="Arial"/>
          <w:sz w:val="17"/>
          <w:szCs w:val="17"/>
          <w:color w:val="auto"/>
        </w:rPr>
        <w:t>effectively align the interests of our executives with those of our stockholders by focusing on long-term equity incentives that correlate to the growth of sustainable long-term value for our stockholders.</w:t>
      </w:r>
    </w:p>
    <w:p>
      <w:pPr>
        <w:spacing w:after="0" w:line="36" w:lineRule="exact"/>
        <w:rPr>
          <w:sz w:val="20"/>
          <w:szCs w:val="20"/>
          <w:color w:val="auto"/>
        </w:rPr>
      </w:pPr>
    </w:p>
    <w:p>
      <w:pPr>
        <w:ind w:right="100" w:firstLine="315"/>
        <w:spacing w:after="0" w:line="266" w:lineRule="auto"/>
        <w:rPr>
          <w:sz w:val="20"/>
          <w:szCs w:val="20"/>
          <w:color w:val="auto"/>
        </w:rPr>
      </w:pPr>
      <w:r>
        <w:rPr>
          <w:rFonts w:ascii="Arial" w:cs="Arial" w:eastAsia="Arial" w:hAnsi="Arial"/>
          <w:sz w:val="17"/>
          <w:szCs w:val="17"/>
          <w:color w:val="auto"/>
        </w:rPr>
        <w:t>The Compensation Committee of our Board of Directors, which is comprised entirely of independent directors, is responsible for discharging our Board of Directors’ responsibilities relating to compensation of our executive officers, overall compensation structure, policies and programs, and our processes and procedures for the consideration and determination of executive compensation. The Chief People Officer and Chief Executive Officer develop preliminary recommendations regarding compensation matters with respect to all executive officers, other than the Chief Executive Officer, and provide these recommendations to the Compensation Committee. The Compensation Committee reviews management’s preliminary recommendations and makes final compensation decisions.</w:t>
      </w:r>
    </w:p>
    <w:p>
      <w:pPr>
        <w:spacing w:after="0" w:line="64" w:lineRule="exact"/>
        <w:rPr>
          <w:sz w:val="20"/>
          <w:szCs w:val="20"/>
          <w:color w:val="auto"/>
        </w:rPr>
      </w:pPr>
    </w:p>
    <w:p>
      <w:pPr>
        <w:ind w:firstLine="315"/>
        <w:spacing w:after="0" w:line="264" w:lineRule="auto"/>
        <w:rPr>
          <w:sz w:val="20"/>
          <w:szCs w:val="20"/>
          <w:color w:val="auto"/>
        </w:rPr>
      </w:pPr>
      <w:r>
        <w:rPr>
          <w:rFonts w:ascii="Arial" w:cs="Arial" w:eastAsia="Arial" w:hAnsi="Arial"/>
          <w:sz w:val="17"/>
          <w:szCs w:val="17"/>
          <w:color w:val="auto"/>
        </w:rPr>
        <w:t>Our Compensation Committee is authorized to retain the services of one or more executive compensation advisors, as it sees fit, in connection with the establishment of our executive compensation programs and related policies. The Compensation Committee engaged Frederic W. Cook &amp; Co., Inc., or FW Cook, as its independent compensation consultant to provide objective analysis, advice and recommendations on executive officer pay in connection with the Compensation Committee’s decision-making process for 2022. During 2022, FW Cook did not provide services to us other than the services to our Compensation Committee described herein. Our Compensation Committee performs an annual assessment of its compensation consultants’ independence to determine whether the consultants are independent. Based on its evaluation, the Compensation Committee has determined that FW Cook is independent and that its work has not raised any conflicts of interest.</w:t>
      </w:r>
    </w:p>
    <w:p>
      <w:pPr>
        <w:spacing w:after="0" w:line="278" w:lineRule="exact"/>
        <w:rPr>
          <w:sz w:val="20"/>
          <w:szCs w:val="20"/>
          <w:color w:val="auto"/>
        </w:rPr>
      </w:pPr>
    </w:p>
    <w:p>
      <w:pPr>
        <w:ind w:right="20" w:firstLine="315"/>
        <w:spacing w:after="0" w:line="278" w:lineRule="auto"/>
        <w:rPr>
          <w:sz w:val="20"/>
          <w:szCs w:val="20"/>
          <w:color w:val="auto"/>
        </w:rPr>
      </w:pPr>
      <w:r>
        <w:rPr>
          <w:rFonts w:ascii="Arial" w:cs="Arial" w:eastAsia="Arial" w:hAnsi="Arial"/>
          <w:sz w:val="17"/>
          <w:szCs w:val="17"/>
          <w:color w:val="auto"/>
        </w:rPr>
        <w:t>The compensation provided to our named executive officers for the fiscal year ended December 31, 2022 is detailed in the 2022 Summary Compensation Table and accompanying footnotes and narrative that follow. Our named executive officers for the fiscal year ended December 31, 2022 were:</w:t>
      </w:r>
    </w:p>
    <w:p>
      <w:pPr>
        <w:spacing w:after="0" w:line="55" w:lineRule="exact"/>
        <w:rPr>
          <w:sz w:val="20"/>
          <w:szCs w:val="20"/>
          <w:color w:val="auto"/>
        </w:rPr>
      </w:pPr>
    </w:p>
    <w:p>
      <w:pPr>
        <w:ind w:left="780" w:hanging="303"/>
        <w:spacing w:after="0"/>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Marcio Souza, our President and Chief Executive Officer;</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Timothy Kelly, our Chief Financial Officer;</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Nicole Sweeny, our Chief Commercial Officer; and</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Bernard Ravina, M.D., our former Chief Medical Officer</w:t>
      </w:r>
    </w:p>
    <w:p>
      <w:pPr>
        <w:spacing w:after="0" w:line="119" w:lineRule="exact"/>
        <w:rPr>
          <w:sz w:val="20"/>
          <w:szCs w:val="20"/>
          <w:color w:val="auto"/>
        </w:rPr>
      </w:pPr>
    </w:p>
    <w:p>
      <w:pPr>
        <w:ind w:right="180" w:firstLine="315"/>
        <w:spacing w:after="0" w:line="300" w:lineRule="auto"/>
        <w:rPr>
          <w:sz w:val="20"/>
          <w:szCs w:val="20"/>
          <w:color w:val="auto"/>
        </w:rPr>
      </w:pPr>
      <w:r>
        <w:rPr>
          <w:rFonts w:ascii="Arial" w:cs="Arial" w:eastAsia="Arial" w:hAnsi="Arial"/>
          <w:sz w:val="17"/>
          <w:szCs w:val="17"/>
          <w:color w:val="auto"/>
        </w:rPr>
        <w:t>We are a “smaller reporting company” as that term is used under the rules promulgated under the Securities Act of 1933, as amended, and as such have used the reduced compensation disclosure requirements applicable to smaller reporting companies consistent with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 Summary Compensation Table</w:t>
      </w:r>
    </w:p>
    <w:p>
      <w:pPr>
        <w:spacing w:after="0" w:line="121" w:lineRule="exact"/>
        <w:rPr>
          <w:sz w:val="20"/>
          <w:szCs w:val="20"/>
          <w:color w:val="auto"/>
        </w:rPr>
      </w:pPr>
    </w:p>
    <w:p>
      <w:pPr>
        <w:ind w:right="60" w:firstLine="315"/>
        <w:spacing w:after="0" w:line="300" w:lineRule="auto"/>
        <w:rPr>
          <w:sz w:val="20"/>
          <w:szCs w:val="20"/>
          <w:color w:val="auto"/>
        </w:rPr>
      </w:pPr>
      <w:r>
        <w:rPr>
          <w:rFonts w:ascii="Arial" w:cs="Arial" w:eastAsia="Arial" w:hAnsi="Arial"/>
          <w:sz w:val="17"/>
          <w:szCs w:val="17"/>
          <w:color w:val="auto"/>
        </w:rPr>
        <w:t>The following table sets forth information regarding compensation awarded to, earned by or paid to our named executive officers for services rendered to us in all capacities during the fiscal years indicated.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Non-Equity</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4"/>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Stock</w:t>
            </w:r>
          </w:p>
        </w:tc>
        <w:tc>
          <w:tcPr>
            <w:tcW w:w="10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Option</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Incentive Plan</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All Other</w:t>
            </w:r>
          </w:p>
        </w:tc>
        <w:tc>
          <w:tcPr>
            <w:tcW w:w="1060" w:type="dxa"/>
            <w:vAlign w:val="bottom"/>
          </w:tcPr>
          <w:p>
            <w:pPr>
              <w:spacing w:after="0"/>
              <w:rPr>
                <w:sz w:val="15"/>
                <w:szCs w:val="15"/>
                <w:color w:val="auto"/>
              </w:rPr>
            </w:pPr>
          </w:p>
        </w:tc>
      </w:tr>
      <w:tr>
        <w:trPr>
          <w:trHeight w:val="197"/>
        </w:trPr>
        <w:tc>
          <w:tcPr>
            <w:tcW w:w="2000" w:type="dxa"/>
            <w:vAlign w:val="bottom"/>
            <w:gridSpan w:val="2"/>
          </w:tcPr>
          <w:p>
            <w:pPr>
              <w:ind w:left="220"/>
              <w:spacing w:after="0"/>
              <w:rPr>
                <w:sz w:val="20"/>
                <w:szCs w:val="20"/>
                <w:color w:val="auto"/>
              </w:rPr>
            </w:pPr>
            <w:r>
              <w:rPr>
                <w:rFonts w:ascii="Arial" w:cs="Arial" w:eastAsia="Arial" w:hAnsi="Arial"/>
                <w:sz w:val="16"/>
                <w:szCs w:val="16"/>
                <w:b w:val="1"/>
                <w:bCs w:val="1"/>
                <w:color w:val="auto"/>
              </w:rPr>
              <w:t>Name and Principal</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300"/>
              <w:spacing w:after="0"/>
              <w:rPr>
                <w:sz w:val="20"/>
                <w:szCs w:val="20"/>
                <w:color w:val="auto"/>
              </w:rPr>
            </w:pPr>
            <w:r>
              <w:rPr>
                <w:rFonts w:ascii="Arial" w:cs="Arial" w:eastAsia="Arial" w:hAnsi="Arial"/>
                <w:sz w:val="16"/>
                <w:szCs w:val="16"/>
                <w:b w:val="1"/>
                <w:bCs w:val="1"/>
                <w:color w:val="auto"/>
              </w:rPr>
              <w:t>Bonus</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Awards</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Awards</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Compensation</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Compensation</w:t>
            </w:r>
          </w:p>
        </w:tc>
        <w:tc>
          <w:tcPr>
            <w:tcW w:w="1060" w:type="dxa"/>
            <w:vAlign w:val="bottom"/>
          </w:tcPr>
          <w:p>
            <w:pPr>
              <w:spacing w:after="0"/>
              <w:rPr>
                <w:sz w:val="17"/>
                <w:szCs w:val="17"/>
                <w:color w:val="auto"/>
              </w:rPr>
            </w:pPr>
          </w:p>
        </w:tc>
      </w:tr>
      <w:tr>
        <w:trPr>
          <w:trHeight w:val="233"/>
        </w:trPr>
        <w:tc>
          <w:tcPr>
            <w:tcW w:w="192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rPr>
              <w:t>Position</w:t>
            </w: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Year</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Salary ($)</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($)(2)</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Total ($)</w:t>
            </w:r>
          </w:p>
        </w:tc>
      </w:tr>
      <w:tr>
        <w:trPr>
          <w:trHeight w:val="195"/>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Marcio Souza</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4"/>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President and Chief</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5"/>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Executive Officer</w:t>
            </w:r>
          </w:p>
        </w:tc>
        <w:tc>
          <w:tcPr>
            <w:tcW w:w="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625,000</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1,340,140</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3,649,420</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375,000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38,518</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6,028,078</w:t>
            </w:r>
          </w:p>
        </w:tc>
      </w:tr>
      <w:tr>
        <w:trPr>
          <w:trHeight w:val="228"/>
        </w:trPr>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570,834</w:t>
            </w:r>
          </w:p>
        </w:tc>
        <w:tc>
          <w:tcPr>
            <w:tcW w:w="100" w:type="dxa"/>
            <w:vAlign w:val="bottom"/>
          </w:tcPr>
          <w:p>
            <w:pPr>
              <w:spacing w:after="0"/>
              <w:rPr>
                <w:sz w:val="19"/>
                <w:szCs w:val="19"/>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8"/>
              </w:rPr>
              <w:t>2,773,584</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8"/>
              </w:rPr>
              <w:t>6,883,800</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646,875</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8"/>
              </w:rPr>
              <w:t>30,727</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10,905,820</w:t>
            </w:r>
          </w:p>
        </w:tc>
      </w:tr>
      <w:tr>
        <w:trPr>
          <w:trHeight w:val="205"/>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Timothy Kelly</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5"/>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465,000</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434,640</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1,235,085</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148,800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19,688</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2,303,213</w:t>
            </w:r>
          </w:p>
        </w:tc>
      </w:tr>
      <w:tr>
        <w:trPr>
          <w:trHeight w:val="198"/>
        </w:trPr>
        <w:tc>
          <w:tcPr>
            <w:tcW w:w="2000" w:type="dxa"/>
            <w:vAlign w:val="bottom"/>
            <w:gridSpan w:val="2"/>
          </w:tcPr>
          <w:p>
            <w:pPr>
              <w:ind w:left="20"/>
              <w:spacing w:after="0"/>
              <w:rPr>
                <w:sz w:val="20"/>
                <w:szCs w:val="20"/>
                <w:color w:val="auto"/>
              </w:rPr>
            </w:pPr>
            <w:r>
              <w:rPr>
                <w:rFonts w:ascii="Arial" w:cs="Arial" w:eastAsia="Arial" w:hAnsi="Arial"/>
                <w:sz w:val="16"/>
                <w:szCs w:val="16"/>
                <w:color w:val="auto"/>
              </w:rPr>
              <w:t>Nicole Sweeny</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4"/>
        </w:trPr>
        <w:tc>
          <w:tcPr>
            <w:tcW w:w="2000" w:type="dxa"/>
            <w:vAlign w:val="bottom"/>
            <w:gridSpan w:val="2"/>
          </w:tcPr>
          <w:p>
            <w:pPr>
              <w:ind w:left="20"/>
              <w:spacing w:after="0"/>
              <w:rPr>
                <w:sz w:val="20"/>
                <w:szCs w:val="20"/>
                <w:color w:val="auto"/>
              </w:rPr>
            </w:pPr>
            <w:r>
              <w:rPr>
                <w:rFonts w:ascii="Arial" w:cs="Arial" w:eastAsia="Arial" w:hAnsi="Arial"/>
                <w:sz w:val="16"/>
                <w:szCs w:val="16"/>
                <w:i w:val="1"/>
                <w:iCs w:val="1"/>
                <w:color w:val="auto"/>
              </w:rPr>
              <w:t>Chief Commercial Officer</w:t>
            </w:r>
          </w:p>
        </w:tc>
        <w:tc>
          <w:tcPr>
            <w:tcW w:w="580" w:type="dxa"/>
            <w:vAlign w:val="bottom"/>
          </w:tcPr>
          <w:p>
            <w:pPr>
              <w:ind w:left="12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450,000</w:t>
            </w:r>
          </w:p>
        </w:tc>
        <w:tc>
          <w:tcPr>
            <w:tcW w:w="10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96"/>
              </w:rPr>
              <w:t>434,640</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8"/>
              </w:rPr>
              <w:t>1,235,085</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144,000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8"/>
              </w:rPr>
              <w:t>20,031</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2,283,756</w:t>
            </w:r>
          </w:p>
        </w:tc>
      </w:tr>
      <w:tr>
        <w:trPr>
          <w:trHeight w:val="237"/>
        </w:trPr>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393,334</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882,504</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2,193,280</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240,000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18,738</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3,727,856</w:t>
            </w:r>
          </w:p>
        </w:tc>
      </w:tr>
      <w:tr>
        <w:trPr>
          <w:trHeight w:val="198"/>
        </w:trPr>
        <w:tc>
          <w:tcPr>
            <w:tcW w:w="2000" w:type="dxa"/>
            <w:vAlign w:val="bottom"/>
            <w:gridSpan w:val="2"/>
          </w:tcPr>
          <w:p>
            <w:pPr>
              <w:ind w:left="20"/>
              <w:spacing w:after="0"/>
              <w:rPr>
                <w:sz w:val="20"/>
                <w:szCs w:val="20"/>
                <w:color w:val="auto"/>
              </w:rPr>
            </w:pPr>
            <w:r>
              <w:rPr>
                <w:rFonts w:ascii="Arial" w:cs="Arial" w:eastAsia="Arial" w:hAnsi="Arial"/>
                <w:sz w:val="16"/>
                <w:szCs w:val="16"/>
                <w:color w:val="auto"/>
              </w:rPr>
              <w:t>Bernard Ravina, M.D.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4"/>
        </w:trPr>
        <w:tc>
          <w:tcPr>
            <w:tcW w:w="2000" w:type="dxa"/>
            <w:vAlign w:val="bottom"/>
            <w:gridSpan w:val="2"/>
          </w:tcPr>
          <w:p>
            <w:pPr>
              <w:ind w:left="20"/>
              <w:spacing w:after="0"/>
              <w:rPr>
                <w:sz w:val="20"/>
                <w:szCs w:val="20"/>
                <w:color w:val="auto"/>
              </w:rPr>
            </w:pPr>
            <w:r>
              <w:rPr>
                <w:rFonts w:ascii="Arial" w:cs="Arial" w:eastAsia="Arial" w:hAnsi="Arial"/>
                <w:sz w:val="16"/>
                <w:szCs w:val="16"/>
                <w:i w:val="1"/>
                <w:iCs w:val="1"/>
                <w:color w:val="auto"/>
              </w:rPr>
              <w:t>Former Chief Medical</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4"/>
        </w:trPr>
        <w:tc>
          <w:tcPr>
            <w:tcW w:w="2000" w:type="dxa"/>
            <w:vAlign w:val="bottom"/>
            <w:gridSpan w:val="2"/>
          </w:tcPr>
          <w:p>
            <w:pPr>
              <w:ind w:left="20"/>
              <w:spacing w:after="0"/>
              <w:rPr>
                <w:sz w:val="20"/>
                <w:szCs w:val="20"/>
                <w:color w:val="auto"/>
              </w:rPr>
            </w:pPr>
            <w:r>
              <w:rPr>
                <w:rFonts w:ascii="Arial" w:cs="Arial" w:eastAsia="Arial" w:hAnsi="Arial"/>
                <w:sz w:val="16"/>
                <w:szCs w:val="16"/>
                <w:i w:val="1"/>
                <w:iCs w:val="1"/>
                <w:color w:val="auto"/>
              </w:rPr>
              <w:t>Officer(4)</w:t>
            </w:r>
          </w:p>
        </w:tc>
        <w:tc>
          <w:tcPr>
            <w:tcW w:w="580" w:type="dxa"/>
            <w:vAlign w:val="bottom"/>
          </w:tcPr>
          <w:p>
            <w:pPr>
              <w:ind w:left="12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287,249</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8"/>
              </w:rPr>
              <w:t>416,667(5)</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6"/>
              </w:rPr>
              <w:t>431,366</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8"/>
              </w:rPr>
              <w:t>1,226,158</w:t>
            </w:r>
          </w:p>
        </w:tc>
        <w:tc>
          <w:tcPr>
            <w:tcW w:w="8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6"/>
              </w:rPr>
              <w:t>402,314</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2,763,754</w:t>
            </w:r>
          </w:p>
        </w:tc>
      </w:tr>
      <w:tr>
        <w:trPr>
          <w:trHeight w:val="237"/>
        </w:trPr>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466,667</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1,287,616</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2,451,050</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285,000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18,838</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4,509,171</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30" w:lineRule="exact"/>
        <w:rPr>
          <w:sz w:val="20"/>
          <w:szCs w:val="20"/>
          <w:color w:val="auto"/>
        </w:rPr>
      </w:pPr>
    </w:p>
    <w:p>
      <w:pPr>
        <w:ind w:left="320" w:right="20" w:hanging="315"/>
        <w:spacing w:after="0" w:line="257" w:lineRule="auto"/>
        <w:tabs>
          <w:tab w:leader="none" w:pos="311"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amounts reported represent the aggregate grant date fair value of the stock options and restricted stock units awarded to the named executive officers during the year indicated, calculated in accordance with Financial Accounting Standards Board, or FASB, Accounting Standards Codification, ASC, Topic 718. Such grant date fair values do not take into account any estimated forfeitures. The assumptions used in calculating the grant date fair value of the stock options reported in this column are set forth in Note 11 to our consolidated financial statements in this Annual Report. The amounts reported in this column reflect the accounting cost for these awards and do not correspond to the actual economic value that may be received by the named executive officers upon the exercise of the stock options, vesting or settlement of restricted stock units or any sale of the underlying shares of common stock. For Dr. Ravina, the 2022 amount reported also includes $32,946 in the Stock Awards column and $85,433 in the Option Awards column, representing the incremental fair value attributable to modifications made to his equity awards in 2022.</w:t>
      </w:r>
    </w:p>
    <w:p>
      <w:pPr>
        <w:spacing w:after="0" w:line="4" w:lineRule="exact"/>
        <w:rPr>
          <w:rFonts w:ascii="Arial" w:cs="Arial" w:eastAsia="Arial" w:hAnsi="Arial"/>
          <w:sz w:val="17"/>
          <w:szCs w:val="17"/>
          <w:color w:val="auto"/>
        </w:rPr>
      </w:pPr>
    </w:p>
    <w:p>
      <w:pPr>
        <w:ind w:left="320" w:right="40" w:hanging="315"/>
        <w:spacing w:after="0" w:line="257" w:lineRule="auto"/>
        <w:tabs>
          <w:tab w:leader="none" w:pos="311"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amounts reported represent actual bonuses earned for performance during the applicable year by our named executive officers based upon the achievement of our corporate objectives for such year, as described under “Narrative to Summary Compensation Table — Annual Bonus.” For 2022, the Board of Directors elected to offer the named executive officers the ability to receive up to 100% of their 2022 annual bonuses in the form of fully vested options to purchase shares of our common stock issued under our 2020 Stock Option and Incentive Plan. Mr. Souza elected to receive 100% of his 2022 annual bonus in the form of options and was issued an option to purchase 213,975 shares on January 12, 2023. Mr. Kelly elected to receive 50% of his 2022 annual bonus in the form of options and was issued an option to purchase 42,455 shares on January 12, 2023. Ms. Sweeny elected to receive 50% of her 2022 annual bonus in the form of options and was issued an option to purchase 41,085 shares on January 12, 2023.</w:t>
      </w:r>
    </w:p>
    <w:p>
      <w:pPr>
        <w:spacing w:after="0" w:line="3" w:lineRule="exact"/>
        <w:rPr>
          <w:rFonts w:ascii="Arial" w:cs="Arial" w:eastAsia="Arial" w:hAnsi="Arial"/>
          <w:sz w:val="17"/>
          <w:szCs w:val="17"/>
          <w:color w:val="auto"/>
        </w:rPr>
      </w:pPr>
    </w:p>
    <w:p>
      <w:pPr>
        <w:ind w:left="320" w:right="280" w:hanging="315"/>
        <w:spacing w:after="0" w:line="257" w:lineRule="auto"/>
        <w:tabs>
          <w:tab w:leader="none" w:pos="311" w:val="left"/>
        </w:tabs>
        <w:numPr>
          <w:ilvl w:val="0"/>
          <w:numId w:val="68"/>
        </w:numPr>
        <w:rPr>
          <w:rFonts w:ascii="Arial" w:cs="Arial" w:eastAsia="Arial" w:hAnsi="Arial"/>
          <w:sz w:val="17"/>
          <w:szCs w:val="17"/>
          <w:color w:val="auto"/>
        </w:rPr>
      </w:pPr>
      <w:r>
        <w:rPr>
          <w:rFonts w:ascii="Arial" w:cs="Arial" w:eastAsia="Arial" w:hAnsi="Arial"/>
          <w:sz w:val="17"/>
          <w:szCs w:val="17"/>
          <w:color w:val="auto"/>
        </w:rPr>
        <w:t>Amounts reported for 2022 include cell phone reimbursement, tax gross ups on taxable long-term disability and tax gross up for wellness benefit, as well as discretionary matching company contributions under our 401(k) plan. For Mr. Souza, the amounts reported also include reimbursement for premiums and a tax gross up on a supplemental long-term disability and life insurance policy owned by him. For Dr.</w:t>
      </w:r>
    </w:p>
    <w:p>
      <w:pPr>
        <w:spacing w:after="0" w:line="1" w:lineRule="exact"/>
        <w:rPr>
          <w:rFonts w:ascii="Arial" w:cs="Arial" w:eastAsia="Arial" w:hAnsi="Arial"/>
          <w:sz w:val="17"/>
          <w:szCs w:val="17"/>
          <w:color w:val="auto"/>
        </w:rPr>
      </w:pPr>
    </w:p>
    <w:p>
      <w:pPr>
        <w:ind w:left="320" w:right="40"/>
        <w:spacing w:after="0" w:line="257" w:lineRule="auto"/>
        <w:rPr>
          <w:rFonts w:ascii="Arial" w:cs="Arial" w:eastAsia="Arial" w:hAnsi="Arial"/>
          <w:sz w:val="17"/>
          <w:szCs w:val="17"/>
          <w:color w:val="auto"/>
        </w:rPr>
      </w:pPr>
      <w:r>
        <w:rPr>
          <w:rFonts w:ascii="Arial" w:cs="Arial" w:eastAsia="Arial" w:hAnsi="Arial"/>
          <w:sz w:val="17"/>
          <w:szCs w:val="17"/>
          <w:color w:val="auto"/>
        </w:rPr>
        <w:t>Ravina, the 2022 amount reported also includes the Company paid portion of his premiums for continued participation in the Company's group health plans following his resignation and a cash payment equal to nine months of base salary in accordance with his transition agreement with the Company, as described under "Narrative to Summary Compensation Table - Employment Arrangements with our Named Executive Officers."</w:t>
      </w:r>
    </w:p>
    <w:p>
      <w:pPr>
        <w:spacing w:after="0" w:line="1" w:lineRule="exact"/>
        <w:rPr>
          <w:rFonts w:ascii="Arial" w:cs="Arial" w:eastAsia="Arial" w:hAnsi="Arial"/>
          <w:sz w:val="17"/>
          <w:szCs w:val="17"/>
          <w:color w:val="auto"/>
        </w:rPr>
      </w:pPr>
    </w:p>
    <w:p>
      <w:pPr>
        <w:ind w:left="320" w:hanging="315"/>
        <w:spacing w:after="0" w:line="280" w:lineRule="auto"/>
        <w:tabs>
          <w:tab w:leader="none" w:pos="311" w:val="left"/>
        </w:tabs>
        <w:numPr>
          <w:ilvl w:val="0"/>
          <w:numId w:val="68"/>
        </w:numPr>
        <w:rPr>
          <w:rFonts w:ascii="Arial" w:cs="Arial" w:eastAsia="Arial" w:hAnsi="Arial"/>
          <w:sz w:val="17"/>
          <w:szCs w:val="17"/>
          <w:color w:val="auto"/>
        </w:rPr>
      </w:pPr>
      <w:r>
        <w:rPr>
          <w:rFonts w:ascii="Arial" w:cs="Arial" w:eastAsia="Arial" w:hAnsi="Arial"/>
          <w:sz w:val="17"/>
          <w:szCs w:val="17"/>
          <w:color w:val="auto"/>
        </w:rPr>
        <w:t>Dr. Ravina resigned as our Chief Medical Officer effective August 1, 2022. The amount reported in the salary column for 2022 is comprised of $287,249 in base salary earned by Dr. Ravina prior to his resignation.</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320" w:right="280" w:hanging="315"/>
        <w:spacing w:after="0" w:line="300" w:lineRule="auto"/>
        <w:tabs>
          <w:tab w:leader="none" w:pos="311" w:val="left"/>
        </w:tabs>
        <w:numPr>
          <w:ilvl w:val="0"/>
          <w:numId w:val="69"/>
        </w:numPr>
        <w:rPr>
          <w:rFonts w:ascii="Arial" w:cs="Arial" w:eastAsia="Arial" w:hAnsi="Arial"/>
          <w:sz w:val="17"/>
          <w:szCs w:val="17"/>
          <w:color w:val="auto"/>
        </w:rPr>
      </w:pPr>
      <w:r>
        <w:rPr>
          <w:rFonts w:ascii="Arial" w:cs="Arial" w:eastAsia="Arial" w:hAnsi="Arial"/>
          <w:sz w:val="17"/>
          <w:szCs w:val="17"/>
          <w:color w:val="auto"/>
        </w:rPr>
        <w:t>Dr. Ravina received a retention bonus pursuant to a retention incentive award letter agreement, as described under "Narrative to the 2022 Summary Compensation Table."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to the 2022 Summary Compensation Table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Base Salaries</w:t>
      </w:r>
    </w:p>
    <w:p>
      <w:pPr>
        <w:spacing w:after="0" w:line="119"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Each named executive officer’s base salary is a fixed component of annual compensation for performing specific duties and functions, and has been established by our Board of Directors or Compensation Committee taking into account each individual’s role, responsibilities, skills and expertise. Base salaries are reviewed annually, typically in connection with our annual performance review process, approved by our Compensation Committee or our Board of Directors and adjusted from time to time to realign salaries with market levels after taking into account individual responsibilities, performance and experience. Effective January 1, 2022, the annual base salaries for Mr. Souza, Mr. Kelly, Ms. Sweeny and Dr. Ravina were $625,000 (increased from $575,000), $465,000 (increased from $425,000), $450,000 (increased from $400,000), and $489,250 (increased from $475,000),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Bonus</w:t>
      </w:r>
    </w:p>
    <w:p>
      <w:pPr>
        <w:spacing w:after="0" w:line="119" w:lineRule="exact"/>
        <w:rPr>
          <w:sz w:val="20"/>
          <w:szCs w:val="20"/>
          <w:color w:val="auto"/>
        </w:rPr>
      </w:pPr>
    </w:p>
    <w:p>
      <w:pPr>
        <w:ind w:right="240" w:firstLine="315"/>
        <w:spacing w:after="0" w:line="266" w:lineRule="auto"/>
        <w:rPr>
          <w:sz w:val="20"/>
          <w:szCs w:val="20"/>
          <w:color w:val="auto"/>
        </w:rPr>
      </w:pPr>
      <w:r>
        <w:rPr>
          <w:rFonts w:ascii="Arial" w:cs="Arial" w:eastAsia="Arial" w:hAnsi="Arial"/>
          <w:sz w:val="17"/>
          <w:szCs w:val="17"/>
          <w:color w:val="auto"/>
        </w:rPr>
        <w:t>For the fiscal year ended December 31, 2022, each of our named executive officers was eligible to earn an annual bonus based on the achievement of certain pre-determined corporate performance objectives and individual performance. For the 2022 annual bonus program, corporate performance objectives generally related to delivering on financial and compliance performance milestones, establishing a leading central nervous system portfolio, generating a neurology pipeline anchored on human genetics and continuing our transformation as a best-in-class biotechnology company, as well as incorporating individual objectives associated with an executive’s area of primary responsibility within our organization.</w:t>
      </w:r>
    </w:p>
    <w:p>
      <w:pPr>
        <w:spacing w:after="0" w:line="64" w:lineRule="exact"/>
        <w:rPr>
          <w:sz w:val="20"/>
          <w:szCs w:val="20"/>
          <w:color w:val="auto"/>
        </w:rPr>
      </w:pPr>
    </w:p>
    <w:p>
      <w:pPr>
        <w:ind w:right="200" w:firstLine="315"/>
        <w:spacing w:after="0" w:line="271" w:lineRule="auto"/>
        <w:rPr>
          <w:sz w:val="20"/>
          <w:szCs w:val="20"/>
          <w:color w:val="auto"/>
        </w:rPr>
      </w:pPr>
      <w:r>
        <w:rPr>
          <w:rFonts w:ascii="Arial" w:cs="Arial" w:eastAsia="Arial" w:hAnsi="Arial"/>
          <w:sz w:val="17"/>
          <w:szCs w:val="17"/>
          <w:color w:val="auto"/>
        </w:rPr>
        <w:t>During 2022, the target annual bonuses for Mr. Souza, Mr. Kelly, Ms. Sweeny and Dr. Ravina were 75%, 40%, 40% and 40% of their base salary, respectively. The annual bonus earned by each named executive officer with respect to the fiscal year ended December 31, 2022 is reported under the “Non-Equity Incentive Plan Compensation” column in the “2022 Summary Compensation Table” above and was determined based upon achievement of the corporate performance objectives at 80% of target and achievement of individual performance objectives.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119" w:lineRule="exact"/>
        <w:rPr>
          <w:sz w:val="20"/>
          <w:szCs w:val="20"/>
          <w:color w:val="auto"/>
        </w:rPr>
      </w:pPr>
    </w:p>
    <w:p>
      <w:pPr>
        <w:ind w:firstLine="315"/>
        <w:spacing w:after="0" w:line="264" w:lineRule="auto"/>
        <w:rPr>
          <w:sz w:val="20"/>
          <w:szCs w:val="20"/>
          <w:color w:val="auto"/>
        </w:rPr>
      </w:pPr>
      <w:r>
        <w:rPr>
          <w:rFonts w:ascii="Arial" w:cs="Arial" w:eastAsia="Arial" w:hAnsi="Arial"/>
          <w:sz w:val="17"/>
          <w:szCs w:val="17"/>
          <w:color w:val="auto"/>
        </w:rPr>
        <w:t>We believe that equity grants provide our executives with a strong link to our long-term performance, bolster an ownership culture and help to align the interests of our executives and our stockholders. In addition, we believe that equity grants promote executive retention because they incentivize our executive officers to remain in our employment during the vesting period. Accordingly, our Compensation Committee or Board of Directors periodically reviews the equity incentive compensation of our named executive officers and considers equity awards to be a key component of the annual compensation program, representing long-term alignment with stockholders. Our named executive officers have been granted certain options to purchase shares of our common stock and restricted stock units relating to our common stock, as described in more detail in the “Outstanding Equity Awards at 2022 Fiscal Year-End” table below.</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Arrangements with our Named Executive Officers</w:t>
      </w:r>
    </w:p>
    <w:p>
      <w:pPr>
        <w:spacing w:after="0" w:line="119" w:lineRule="exact"/>
        <w:rPr>
          <w:sz w:val="20"/>
          <w:szCs w:val="20"/>
          <w:color w:val="auto"/>
        </w:rPr>
      </w:pPr>
    </w:p>
    <w:p>
      <w:pPr>
        <w:ind w:right="160" w:firstLine="315"/>
        <w:spacing w:after="0" w:line="278" w:lineRule="auto"/>
        <w:rPr>
          <w:sz w:val="20"/>
          <w:szCs w:val="20"/>
          <w:color w:val="auto"/>
        </w:rPr>
      </w:pPr>
      <w:r>
        <w:rPr>
          <w:rFonts w:ascii="Arial" w:cs="Arial" w:eastAsia="Arial" w:hAnsi="Arial"/>
          <w:sz w:val="17"/>
          <w:szCs w:val="17"/>
          <w:color w:val="auto"/>
        </w:rPr>
        <w:t>We have employment agreements with Mr. Souza, Mr. Kelly and Ms. Sweeny, which we refer to as the Employment Agreements. The Employment Agreements provide for specified payments and benefits in connection with a termination of employment in certain circumstances. The material terms of the Employment Agreements with Mr. Souza, Mr. Kelly and Ms. Sweeny are summarized below.</w:t>
      </w:r>
    </w:p>
    <w:p>
      <w:pPr>
        <w:spacing w:after="0" w:line="55" w:lineRule="exact"/>
        <w:rPr>
          <w:sz w:val="20"/>
          <w:szCs w:val="20"/>
          <w:color w:val="auto"/>
        </w:rPr>
      </w:pPr>
    </w:p>
    <w:p>
      <w:pPr>
        <w:ind w:right="240" w:firstLine="315"/>
        <w:spacing w:after="0" w:line="271" w:lineRule="auto"/>
        <w:rPr>
          <w:sz w:val="20"/>
          <w:szCs w:val="20"/>
          <w:color w:val="auto"/>
        </w:rPr>
      </w:pPr>
      <w:r>
        <w:rPr>
          <w:rFonts w:ascii="Arial" w:cs="Arial" w:eastAsia="Arial" w:hAnsi="Arial"/>
          <w:sz w:val="17"/>
          <w:szCs w:val="17"/>
          <w:i w:val="1"/>
          <w:iCs w:val="1"/>
          <w:color w:val="auto"/>
        </w:rPr>
        <w:t xml:space="preserve">Marcio Souza. </w:t>
      </w:r>
      <w:r>
        <w:rPr>
          <w:rFonts w:ascii="Arial" w:cs="Arial" w:eastAsia="Arial" w:hAnsi="Arial"/>
          <w:sz w:val="17"/>
          <w:szCs w:val="17"/>
          <w:color w:val="auto"/>
        </w:rPr>
        <w:t>Under the Employment Agreement with Mr. Souza, Mr. Souza has continued to serve as our President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on an at-will basis. Mr. Souza’s current annual base salary is $625,000, which is subject to annual review, and he is eligible to earn an annual bonus with a target amount equal to 75% of his base salary. Mr. Souza is also eligible to participate in the employee benefit plans available to our employees, subject to the terms of those plans.</w:t>
      </w:r>
    </w:p>
    <w:p>
      <w:pPr>
        <w:spacing w:after="0" w:line="61" w:lineRule="exact"/>
        <w:rPr>
          <w:sz w:val="20"/>
          <w:szCs w:val="20"/>
          <w:color w:val="auto"/>
        </w:rPr>
      </w:pPr>
    </w:p>
    <w:p>
      <w:pPr>
        <w:ind w:right="220" w:firstLine="315"/>
        <w:spacing w:after="0" w:line="271" w:lineRule="auto"/>
        <w:rPr>
          <w:sz w:val="20"/>
          <w:szCs w:val="20"/>
          <w:color w:val="auto"/>
        </w:rPr>
      </w:pPr>
      <w:r>
        <w:rPr>
          <w:rFonts w:ascii="Arial" w:cs="Arial" w:eastAsia="Arial" w:hAnsi="Arial"/>
          <w:sz w:val="17"/>
          <w:szCs w:val="17"/>
          <w:i w:val="1"/>
          <w:iCs w:val="1"/>
          <w:color w:val="auto"/>
        </w:rPr>
        <w:t>Tim Kelly</w:t>
      </w:r>
      <w:r>
        <w:rPr>
          <w:rFonts w:ascii="Arial" w:cs="Arial" w:eastAsia="Arial" w:hAnsi="Arial"/>
          <w:sz w:val="17"/>
          <w:szCs w:val="17"/>
          <w:color w:val="auto"/>
        </w:rPr>
        <w:t>. Under the Employment Agreement with Mr. Kelly, Mr. Kelly has continued to serve as our Chief Financial Officer on an at-will</w:t>
      </w:r>
      <w:r>
        <w:rPr>
          <w:rFonts w:ascii="Arial" w:cs="Arial" w:eastAsia="Arial" w:hAnsi="Arial"/>
          <w:sz w:val="17"/>
          <w:szCs w:val="17"/>
          <w:i w:val="1"/>
          <w:iCs w:val="1"/>
          <w:color w:val="auto"/>
        </w:rPr>
        <w:t xml:space="preserve"> </w:t>
      </w:r>
      <w:r>
        <w:rPr>
          <w:rFonts w:ascii="Arial" w:cs="Arial" w:eastAsia="Arial" w:hAnsi="Arial"/>
          <w:sz w:val="17"/>
          <w:szCs w:val="17"/>
          <w:color w:val="auto"/>
        </w:rPr>
        <w:t>basis. Mr. Kelly’s current annual base salary is $465,000, which is subject to annual review, and he is eligible to earn an annual bonus with a target amount equal to 40% of his base salary. Mr. Kelly is also eligible to participate in the employee benefit plans available to our employees, subject to the terms of those plans.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firstLine="315"/>
        <w:spacing w:after="0" w:line="271" w:lineRule="auto"/>
        <w:rPr>
          <w:sz w:val="20"/>
          <w:szCs w:val="20"/>
          <w:color w:val="auto"/>
        </w:rPr>
      </w:pPr>
      <w:r>
        <w:rPr>
          <w:rFonts w:ascii="Arial" w:cs="Arial" w:eastAsia="Arial" w:hAnsi="Arial"/>
          <w:sz w:val="17"/>
          <w:szCs w:val="17"/>
          <w:i w:val="1"/>
          <w:iCs w:val="1"/>
          <w:color w:val="auto"/>
        </w:rPr>
        <w:t xml:space="preserve">Nicole Sweeny. </w:t>
      </w:r>
      <w:r>
        <w:rPr>
          <w:rFonts w:ascii="Arial" w:cs="Arial" w:eastAsia="Arial" w:hAnsi="Arial"/>
          <w:sz w:val="17"/>
          <w:szCs w:val="17"/>
          <w:color w:val="auto"/>
        </w:rPr>
        <w:t>Under the Employment Agreement with Ms. Sweeny, Ms. Sweeny has continued to serve as our Chief Commercial Officer on</w:t>
      </w:r>
      <w:r>
        <w:rPr>
          <w:rFonts w:ascii="Arial" w:cs="Arial" w:eastAsia="Arial" w:hAnsi="Arial"/>
          <w:sz w:val="17"/>
          <w:szCs w:val="17"/>
          <w:i w:val="1"/>
          <w:iCs w:val="1"/>
          <w:color w:val="auto"/>
        </w:rPr>
        <w:t xml:space="preserve"> </w:t>
      </w:r>
      <w:r>
        <w:rPr>
          <w:rFonts w:ascii="Arial" w:cs="Arial" w:eastAsia="Arial" w:hAnsi="Arial"/>
          <w:sz w:val="17"/>
          <w:szCs w:val="17"/>
          <w:color w:val="auto"/>
        </w:rPr>
        <w:t>an at-will basis. Ms. Sweeny’s current annual base salary is $450,000, which is subject to annual review, and she is eligible to earn an annual bonus with a target amount equal to 40% of her base salary. Ms. Sweeny is also eligible to participate in the employee benefit plans available to our employees, subject to the terms of those plans.</w:t>
      </w:r>
    </w:p>
    <w:p>
      <w:pPr>
        <w:spacing w:after="0" w:line="61" w:lineRule="exact"/>
        <w:rPr>
          <w:sz w:val="20"/>
          <w:szCs w:val="20"/>
          <w:color w:val="auto"/>
        </w:rPr>
      </w:pPr>
    </w:p>
    <w:p>
      <w:pPr>
        <w:ind w:right="100" w:firstLine="315"/>
        <w:spacing w:after="0" w:line="260" w:lineRule="auto"/>
        <w:rPr>
          <w:sz w:val="20"/>
          <w:szCs w:val="20"/>
          <w:color w:val="auto"/>
        </w:rPr>
      </w:pPr>
      <w:r>
        <w:rPr>
          <w:rFonts w:ascii="Arial" w:cs="Arial" w:eastAsia="Arial" w:hAnsi="Arial"/>
          <w:sz w:val="17"/>
          <w:szCs w:val="17"/>
          <w:color w:val="auto"/>
        </w:rPr>
        <w:t>Pursuant to the Employment Agreements, in the event that Mr. Souza’s, Mr. Kelly's or Ms. Sweeny’s employment is terminated by us without “cause” or Mr. Souza, Mr. Kelly or Ms. Sweeny resigns for “good reason” (as defined in the Employment Agreements), subject to the execution and effectiveness of a separation agreement, including a general release of claims in our favor, Mr. Souza, Mr. Kelly or Ms. Sweeny, as applicable, (i) will be entitled to receive base salary continuation for nine months (12 months for Mr. Souza) following termination, and (ii) subject to the executive’s co-payment of premium amounts at the applicable active employees’ rate and proper election to continue COBRA health coverage, we will cover the portion of the premium amount equal to the amount that we would have paid to provide health insurance to the executive had such executive remained employed with us until the earliest of (A) nine months (12 months for Mr. Souza) following termination,</w:t>
      </w:r>
    </w:p>
    <w:p>
      <w:pPr>
        <w:spacing w:after="0" w:line="2" w:lineRule="exact"/>
        <w:rPr>
          <w:sz w:val="20"/>
          <w:szCs w:val="20"/>
          <w:color w:val="auto"/>
        </w:rPr>
      </w:pPr>
    </w:p>
    <w:p>
      <w:pPr>
        <w:ind w:right="440" w:firstLine="5"/>
        <w:spacing w:after="0" w:line="280" w:lineRule="auto"/>
        <w:tabs>
          <w:tab w:leader="none" w:pos="281"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executive’s eligibility for group medical plan benefits under any other employer’s group medical plan or (C) the end of the executive’s COBRA health continuation period.</w:t>
      </w:r>
    </w:p>
    <w:p>
      <w:pPr>
        <w:spacing w:after="0" w:line="52" w:lineRule="exact"/>
        <w:rPr>
          <w:sz w:val="20"/>
          <w:szCs w:val="20"/>
          <w:color w:val="auto"/>
        </w:rPr>
      </w:pPr>
    </w:p>
    <w:p>
      <w:pPr>
        <w:ind w:right="20" w:firstLine="315"/>
        <w:spacing w:after="0" w:line="261" w:lineRule="auto"/>
        <w:rPr>
          <w:sz w:val="20"/>
          <w:szCs w:val="20"/>
          <w:color w:val="auto"/>
        </w:rPr>
      </w:pPr>
      <w:r>
        <w:rPr>
          <w:rFonts w:ascii="Arial" w:cs="Arial" w:eastAsia="Arial" w:hAnsi="Arial"/>
          <w:sz w:val="17"/>
          <w:szCs w:val="17"/>
          <w:color w:val="auto"/>
        </w:rPr>
        <w:t>In lieu of the payments and benefits described in the preceding sentence, in the event Mr. Souza’s, Mr. Kelly's or Ms. Sweeny’s employment is terminated by us without cause or Mr. Souza, Mr. Kelly or Ms. Sweeny resigns for good reason, in either case on or within 12 months following a “change of control” (as defined in the Employment Agreements), subject to the execution and effectiveness of a separation agreement, including a general release of claims in our favor, (i) the executive will be entitled to receive a lump sum in cash equal to one times (1.5 times for Mr. Souza) the sum of (A) the executive’s then-current annual base salary (or the executive’s annual base salary in effect immediately prior to the change of control, if higher) plus (B) the executive’s target annual cash incentive compensation for the year of termination (or the executive’s target annual cash incentive compensation in effect immediately prior to the change of control, if higher), (ii) subject to the executive’s co-payment of premium amounts at the applicable active employees’ rate and proper election to continue COBRA health coverage, we will cover the portion of the premium amount equal to the amount that we would have paid to provide health insurance to the executive had such executive remained employed with us until the earliest of (A) 12 months (18 months for Mr. Souza) following termination, (B) the executive’s eligibility for group medical plan benefits under any other employer’s group medical plan or (C) the end of the executive’s COBRA health continuation period, and (iii) the vesting of 100% of all stock options and other stock-based awards subject solely to time-based vesting held by the executive shall be accelerated.</w:t>
      </w:r>
    </w:p>
    <w:p>
      <w:pPr>
        <w:spacing w:after="0" w:line="282" w:lineRule="exact"/>
        <w:rPr>
          <w:sz w:val="20"/>
          <w:szCs w:val="20"/>
          <w:color w:val="auto"/>
        </w:rPr>
      </w:pPr>
    </w:p>
    <w:p>
      <w:pPr>
        <w:ind w:right="40" w:firstLine="315"/>
        <w:spacing w:after="0" w:line="268" w:lineRule="auto"/>
        <w:rPr>
          <w:sz w:val="20"/>
          <w:szCs w:val="20"/>
          <w:color w:val="auto"/>
        </w:rPr>
      </w:pPr>
      <w:r>
        <w:rPr>
          <w:rFonts w:ascii="Arial" w:cs="Arial" w:eastAsia="Arial" w:hAnsi="Arial"/>
          <w:sz w:val="17"/>
          <w:szCs w:val="17"/>
          <w:color w:val="auto"/>
        </w:rPr>
        <w:t>The payments and benefits provided to each of the executives in connection with a change of control may not be eligible for a federal income tax deduction for the company pursuant to Section 280G of the Code and may subject the executive to an excise tax under Section 4999 of the Code. If the payments or benefits payable to the executive in connection with a change of control would be subject to the excise tax on golden parachutes imposed under Section 4999 of the Code, then those payments or benefits will be reduced if such reduction would result in a higher net after-tax benefit to the executive.</w:t>
      </w:r>
    </w:p>
    <w:p>
      <w:pPr>
        <w:spacing w:after="0" w:line="63" w:lineRule="exact"/>
        <w:rPr>
          <w:sz w:val="20"/>
          <w:szCs w:val="20"/>
          <w:color w:val="auto"/>
        </w:rPr>
      </w:pPr>
    </w:p>
    <w:p>
      <w:pPr>
        <w:ind w:firstLine="315"/>
        <w:spacing w:after="0" w:line="263" w:lineRule="auto"/>
        <w:rPr>
          <w:sz w:val="20"/>
          <w:szCs w:val="20"/>
          <w:color w:val="auto"/>
        </w:rPr>
      </w:pPr>
      <w:r>
        <w:rPr>
          <w:rFonts w:ascii="Arial" w:cs="Arial" w:eastAsia="Arial" w:hAnsi="Arial"/>
          <w:sz w:val="17"/>
          <w:szCs w:val="17"/>
          <w:i w:val="1"/>
          <w:iCs w:val="1"/>
          <w:color w:val="auto"/>
        </w:rPr>
        <w:t xml:space="preserve">Bernard Ravina, M.D. </w:t>
      </w:r>
      <w:r>
        <w:rPr>
          <w:rFonts w:ascii="Arial" w:cs="Arial" w:eastAsia="Arial" w:hAnsi="Arial"/>
          <w:sz w:val="17"/>
          <w:szCs w:val="17"/>
          <w:color w:val="auto"/>
        </w:rPr>
        <w:t>Under the Employment Agreement with Dr. Ravina, Dr. Ravina was entitled to the same severance and change of</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benefits as Mr. Kelly and Ms. Sweeny described above. Dr. Ravina resigned as our Chief Medical Officer effective August 1, 2022 and transitioned to a role as strategic advisor to the Company. In connection with his resignation, and subject to the Company’s receipt of a general release of claims and pursuant to the terms of a transition agreement, Dr. Ravina is entitled to receive (i) a cash payment equal to nine months of his base salary, to be paid in equal installments over the nine-month period ending May 1, 2023; (ii) continued time-based vesting of the unvested portions of Dr. Ravina’s outstanding equity awards during the period in which Dr. Ravina provides advisory services to the Company; and (iii) continued health insurance coverage (to the extent permitted under applicable law and the terms of the Company’s health insurance plan) during the period in which Dr. Ravina provides advisory services to the Company at the same cost as immediately before his resignation.</w:t>
      </w:r>
    </w:p>
    <w:p>
      <w:pPr>
        <w:spacing w:after="0" w:line="70" w:lineRule="exact"/>
        <w:rPr>
          <w:sz w:val="20"/>
          <w:szCs w:val="20"/>
          <w:color w:val="auto"/>
        </w:rPr>
      </w:pPr>
    </w:p>
    <w:p>
      <w:pPr>
        <w:ind w:right="60" w:firstLine="315"/>
        <w:spacing w:after="0" w:line="271" w:lineRule="auto"/>
        <w:rPr>
          <w:sz w:val="20"/>
          <w:szCs w:val="20"/>
          <w:color w:val="auto"/>
        </w:rPr>
      </w:pPr>
      <w:r>
        <w:rPr>
          <w:rFonts w:ascii="Arial" w:cs="Arial" w:eastAsia="Arial" w:hAnsi="Arial"/>
          <w:sz w:val="17"/>
          <w:szCs w:val="17"/>
          <w:color w:val="auto"/>
        </w:rPr>
        <w:t>On August 30, 2021, we entered into a retention incentive award letter agreement with Dr. Ravina pursuant to which Dr. Ravina was entitled to receive a retention bonus, subject to Dr. Ravina’s continued employment with the Company, among other specified conditions. Pursuant to the agreement, Dr. Ravina received a lump sum payment of $333,333 in April 2022 and $ 27,778 per month for each of the three months thereafter that he was employed by us. Dr. Ravina forfeited his rights to any unearned portion of the retention bonus when he resigned in August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2022 Fiscal Year-End</w:t>
      </w:r>
    </w:p>
    <w:p>
      <w:pPr>
        <w:spacing w:after="0" w:line="121" w:lineRule="exact"/>
        <w:rPr>
          <w:sz w:val="20"/>
          <w:szCs w:val="20"/>
          <w:color w:val="auto"/>
        </w:rPr>
      </w:pPr>
    </w:p>
    <w:p>
      <w:pPr>
        <w:ind w:right="200" w:firstLine="315"/>
        <w:spacing w:after="0" w:line="291" w:lineRule="auto"/>
        <w:rPr>
          <w:sz w:val="20"/>
          <w:szCs w:val="20"/>
          <w:color w:val="auto"/>
        </w:rPr>
      </w:pPr>
      <w:r>
        <w:rPr>
          <w:rFonts w:ascii="Arial" w:cs="Arial" w:eastAsia="Arial" w:hAnsi="Arial"/>
          <w:sz w:val="17"/>
          <w:szCs w:val="17"/>
          <w:color w:val="auto"/>
        </w:rPr>
        <w:t>The following table sets forth information regarding outstanding equity awards held by our named executive officers as of December 31, 2022. Each of the awards set forth in the table below was granted under our 2017 Stock Incentive Plan or our 2020 Stock Option and Incentive Plan.</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ind w:left="640"/>
              <w:spacing w:after="0"/>
              <w:rPr>
                <w:sz w:val="20"/>
                <w:szCs w:val="20"/>
                <w:color w:val="auto"/>
              </w:rPr>
            </w:pPr>
            <w:r>
              <w:rPr>
                <w:rFonts w:ascii="Arial" w:cs="Arial" w:eastAsia="Arial" w:hAnsi="Arial"/>
                <w:sz w:val="16"/>
                <w:szCs w:val="16"/>
                <w:b w:val="1"/>
                <w:bCs w:val="1"/>
                <w:color w:val="auto"/>
              </w:rPr>
              <w:t>Option Awards</w:t>
            </w:r>
          </w:p>
        </w:tc>
        <w:tc>
          <w:tcPr>
            <w:tcW w:w="1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Stock Awards</w:t>
            </w:r>
          </w:p>
        </w:tc>
      </w:tr>
      <w:tr>
        <w:trPr>
          <w:trHeight w:val="193"/>
        </w:trPr>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Number of</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Number of</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7"/>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Securities</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Securities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Number of</w:t>
            </w:r>
          </w:p>
        </w:tc>
        <w:tc>
          <w:tcPr>
            <w:tcW w:w="1060" w:type="dxa"/>
            <w:vAlign w:val="bottom"/>
          </w:tcPr>
          <w:p>
            <w:pPr>
              <w:spacing w:after="0"/>
              <w:rPr>
                <w:sz w:val="17"/>
                <w:szCs w:val="17"/>
                <w:color w:val="auto"/>
              </w:rPr>
            </w:pPr>
          </w:p>
        </w:tc>
      </w:tr>
      <w:tr>
        <w:trPr>
          <w:trHeight w:val="184"/>
        </w:trPr>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Underlying</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Underlying</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shares or</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7"/>
              </w:rPr>
              <w:t>Market Value</w:t>
            </w:r>
          </w:p>
        </w:tc>
      </w:tr>
      <w:tr>
        <w:trPr>
          <w:trHeight w:val="197"/>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Unexercised</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Unexercised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units of</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9"/>
              </w:rPr>
              <w:t>of shares of</w:t>
            </w:r>
          </w:p>
        </w:tc>
      </w:tr>
      <w:tr>
        <w:trPr>
          <w:trHeight w:val="184"/>
        </w:trPr>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Vesting</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Options (#)</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Options (#)</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Option</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Option</w:t>
            </w: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stock that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8"/>
              </w:rPr>
              <w:t>units of stock</w:t>
            </w:r>
          </w:p>
        </w:tc>
      </w:tr>
      <w:tr>
        <w:trPr>
          <w:trHeight w:val="184"/>
        </w:trPr>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Commencement</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Exercisable</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Unexercisable</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Exercise</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Expiration</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have not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8"/>
              </w:rPr>
              <w:t>that have not</w:t>
            </w:r>
          </w:p>
        </w:tc>
      </w:tr>
      <w:tr>
        <w:trPr>
          <w:trHeight w:val="233"/>
        </w:trPr>
        <w:tc>
          <w:tcPr>
            <w:tcW w:w="19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(1)</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Price ($)</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vested (#)(2)</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vested ($)</w:t>
            </w:r>
          </w:p>
        </w:tc>
      </w:tr>
      <w:tr>
        <w:trPr>
          <w:trHeight w:val="233"/>
        </w:trPr>
        <w:tc>
          <w:tcPr>
            <w:tcW w:w="2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Marcio Souza</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04/20/2020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636,897</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318,452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06/04/2030</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28"/>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09/08/2020</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578,264</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449,773</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09/13/2030</w:t>
            </w:r>
          </w:p>
        </w:tc>
        <w:tc>
          <w:tcPr>
            <w:tcW w:w="8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4"/>
        </w:trPr>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02/12/2021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84,700</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100,100</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52.53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02/12/2031</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39,600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94,248</w:t>
            </w:r>
          </w:p>
        </w:tc>
      </w:tr>
      <w:tr>
        <w:trPr>
          <w:trHeight w:val="228"/>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01/07/2022</w:t>
            </w:r>
          </w:p>
        </w:tc>
        <w:tc>
          <w:tcPr>
            <w:tcW w:w="10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259,000</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18.11</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01/07/2032</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74,000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176,120</w:t>
            </w:r>
          </w:p>
        </w:tc>
      </w:tr>
      <w:tr>
        <w:trPr>
          <w:trHeight w:val="244"/>
        </w:trPr>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06/22/2022</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06/22/2032</w:t>
            </w: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28"/>
        </w:trPr>
        <w:tc>
          <w:tcPr>
            <w:tcW w:w="2020" w:type="dxa"/>
            <w:vAlign w:val="bottom"/>
            <w:gridSpan w:val="2"/>
          </w:tcPr>
          <w:p>
            <w:pPr>
              <w:spacing w:after="0"/>
              <w:rPr>
                <w:sz w:val="20"/>
                <w:szCs w:val="20"/>
                <w:color w:val="auto"/>
              </w:rPr>
            </w:pPr>
            <w:r>
              <w:rPr>
                <w:rFonts w:ascii="Arial" w:cs="Arial" w:eastAsia="Arial" w:hAnsi="Arial"/>
                <w:sz w:val="16"/>
                <w:szCs w:val="16"/>
                <w:color w:val="auto"/>
              </w:rPr>
              <w:t>Tim Kelly</w:t>
            </w: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05/25/2021</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79,166</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120,834</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19.46</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05/25/2031</w:t>
            </w:r>
          </w:p>
        </w:tc>
        <w:tc>
          <w:tcPr>
            <w:tcW w:w="8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4"/>
        </w:trPr>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01/07/2022</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84,000</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18.11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01/07/2032</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24,000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57,120</w:t>
            </w:r>
          </w:p>
        </w:tc>
      </w:tr>
      <w:tr>
        <w:trPr>
          <w:trHeight w:val="228"/>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06/22/2022</w:t>
            </w:r>
          </w:p>
        </w:tc>
        <w:tc>
          <w:tcPr>
            <w:tcW w:w="10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65,000</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06/22/2032</w:t>
            </w:r>
          </w:p>
        </w:tc>
        <w:tc>
          <w:tcPr>
            <w:tcW w:w="8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4"/>
        </w:trPr>
        <w:tc>
          <w:tcPr>
            <w:tcW w:w="2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Nicole Sweeny</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08/10/2020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133,618</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95,447</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8.27</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08/18/2030</w:t>
            </w: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28"/>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02/12/2021</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26,986</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31,894</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52.53</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02/12/2031</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12,600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29,988</w:t>
            </w:r>
          </w:p>
        </w:tc>
      </w:tr>
      <w:tr>
        <w:trPr>
          <w:trHeight w:val="244"/>
        </w:trPr>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01/07/2022</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84,000</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18.11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01/07/2032</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24,000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57,120</w:t>
            </w:r>
          </w:p>
        </w:tc>
      </w:tr>
      <w:tr>
        <w:trPr>
          <w:trHeight w:val="228"/>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06/22/2022</w:t>
            </w:r>
          </w:p>
        </w:tc>
        <w:tc>
          <w:tcPr>
            <w:tcW w:w="10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65,000</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06/22/2032</w:t>
            </w:r>
          </w:p>
        </w:tc>
        <w:tc>
          <w:tcPr>
            <w:tcW w:w="8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4"/>
        </w:trPr>
        <w:tc>
          <w:tcPr>
            <w:tcW w:w="2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Bernard Ravina, M.D.</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08/21/2018</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44,644</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10/16/2028</w:t>
            </w: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28"/>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05/28/2020</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51,990</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28,517</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06/03/2030</w:t>
            </w:r>
          </w:p>
        </w:tc>
        <w:tc>
          <w:tcPr>
            <w:tcW w:w="8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4"/>
        </w:trPr>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09/08/2020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52,569</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40,888</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09/12/2030</w:t>
            </w: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28"/>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02/12/2021</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30,158</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35,642</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52.53</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02/12/2031</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14,100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33,558</w:t>
            </w:r>
          </w:p>
        </w:tc>
      </w:tr>
      <w:tr>
        <w:trPr>
          <w:trHeight w:val="244"/>
        </w:trPr>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01/07/2022</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77,000</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18.11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01/07/2032</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22,000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52,360</w:t>
            </w:r>
          </w:p>
        </w:tc>
      </w:tr>
      <w:tr>
        <w:trPr>
          <w:trHeight w:val="220"/>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06/22/2022</w:t>
            </w:r>
          </w:p>
        </w:tc>
        <w:tc>
          <w:tcPr>
            <w:tcW w:w="10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65,000</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06/22/2032</w:t>
            </w:r>
          </w:p>
        </w:tc>
        <w:tc>
          <w:tcPr>
            <w:tcW w:w="8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30" w:lineRule="exact"/>
        <w:rPr>
          <w:sz w:val="20"/>
          <w:szCs w:val="20"/>
          <w:color w:val="auto"/>
        </w:rPr>
      </w:pPr>
    </w:p>
    <w:p>
      <w:pPr>
        <w:ind w:left="320" w:right="180" w:hanging="315"/>
        <w:spacing w:after="0" w:line="257" w:lineRule="auto"/>
        <w:tabs>
          <w:tab w:leader="none" w:pos="311"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stock options vest over four years, with 25% of the total shares vesting on the first anniversary of the vesting commencement date and the remainder vesting in 36 approximately equal monthly installments.</w:t>
      </w:r>
    </w:p>
    <w:p>
      <w:pPr>
        <w:ind w:left="320" w:right="160" w:hanging="315"/>
        <w:spacing w:after="0" w:line="280" w:lineRule="auto"/>
        <w:tabs>
          <w:tab w:leader="none" w:pos="311"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Represents restricted stock units that vest in equal annual installments on each of the first four anniversaries of the vesting commencement date.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 Versus Performance</w:t>
      </w:r>
    </w:p>
    <w:p>
      <w:pPr>
        <w:spacing w:after="0" w:line="121" w:lineRule="exact"/>
        <w:rPr>
          <w:sz w:val="20"/>
          <w:szCs w:val="20"/>
          <w:color w:val="auto"/>
        </w:rPr>
      </w:pPr>
    </w:p>
    <w:p>
      <w:pPr>
        <w:ind w:right="40" w:firstLine="315"/>
        <w:spacing w:after="0" w:line="278" w:lineRule="auto"/>
        <w:rPr>
          <w:sz w:val="20"/>
          <w:szCs w:val="20"/>
          <w:color w:val="auto"/>
        </w:rPr>
      </w:pPr>
      <w:r>
        <w:rPr>
          <w:rFonts w:ascii="Arial" w:cs="Arial" w:eastAsia="Arial" w:hAnsi="Arial"/>
          <w:sz w:val="17"/>
          <w:szCs w:val="17"/>
          <w:color w:val="auto"/>
        </w:rPr>
        <w:t>In accordance with the SEC’s disclosure requirements regarding pay versus performance, or PVP, this section presents the SEC-defined “Compensation Actually Paid,” or CAP. Also required by the SEC, this section compares CAP to various measures used to gauge performance at Praxis.</w:t>
      </w:r>
    </w:p>
    <w:p>
      <w:pPr>
        <w:spacing w:after="0" w:line="55" w:lineRule="exact"/>
        <w:rPr>
          <w:sz w:val="20"/>
          <w:szCs w:val="20"/>
          <w:color w:val="auto"/>
        </w:rPr>
      </w:pPr>
    </w:p>
    <w:p>
      <w:pPr>
        <w:ind w:right="140" w:firstLine="315"/>
        <w:spacing w:after="0" w:line="278" w:lineRule="auto"/>
        <w:rPr>
          <w:sz w:val="20"/>
          <w:szCs w:val="20"/>
          <w:color w:val="auto"/>
        </w:rPr>
      </w:pPr>
      <w:r>
        <w:rPr>
          <w:rFonts w:ascii="Arial" w:cs="Arial" w:eastAsia="Arial" w:hAnsi="Arial"/>
          <w:sz w:val="17"/>
          <w:szCs w:val="17"/>
          <w:color w:val="auto"/>
        </w:rPr>
        <w:t>Compensation decisions at Praxis are made independently of disclosure requirements. CAP is a supplemental measure to be viewed alongside performance measures as an addition to the philosophy and strategy of compensation-setting discussed elsewhere in the overview of the executive compensation program, not in replacement.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 versus Performance Table - Compensation Definitions</w:t>
      </w:r>
    </w:p>
    <w:p>
      <w:pPr>
        <w:spacing w:after="0" w:line="119" w:lineRule="exact"/>
        <w:rPr>
          <w:sz w:val="20"/>
          <w:szCs w:val="20"/>
          <w:color w:val="auto"/>
        </w:rPr>
      </w:pPr>
    </w:p>
    <w:p>
      <w:pPr>
        <w:ind w:right="100" w:firstLine="315"/>
        <w:spacing w:after="0" w:line="278" w:lineRule="auto"/>
        <w:rPr>
          <w:sz w:val="20"/>
          <w:szCs w:val="20"/>
          <w:color w:val="auto"/>
        </w:rPr>
      </w:pPr>
      <w:r>
        <w:rPr>
          <w:rFonts w:ascii="Arial" w:cs="Arial" w:eastAsia="Arial" w:hAnsi="Arial"/>
          <w:sz w:val="17"/>
          <w:szCs w:val="17"/>
          <w:color w:val="auto"/>
        </w:rPr>
        <w:t>Salary, Bonus, Non-Equity Incentive Plan Compensation, and All Other Compensation are each calculated in the same manner for purposes of both CAP and SCT, or Summary Compensation Table, values. The primary difference between the calculation of CAP and SCT total compensation is “Stock Awards” and “Option Awards.”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80" w:type="dxa"/>
            <w:vAlign w:val="bottom"/>
            <w:tcBorders>
              <w:bottom w:val="single" w:sz="8" w:color="CCEEFF"/>
            </w:tcBorders>
          </w:tcPr>
          <w:p>
            <w:pPr>
              <w:spacing w:after="0"/>
              <w:rPr>
                <w:sz w:val="19"/>
                <w:szCs w:val="19"/>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SCT Total</w:t>
            </w:r>
          </w:p>
        </w:tc>
        <w:tc>
          <w:tcPr>
            <w:tcW w:w="360" w:type="dxa"/>
            <w:vAlign w:val="bottom"/>
            <w:tcBorders>
              <w:bottom w:val="single" w:sz="8" w:color="CCEEFF"/>
            </w:tcBorders>
          </w:tcPr>
          <w:p>
            <w:pPr>
              <w:spacing w:after="0"/>
              <w:rPr>
                <w:sz w:val="19"/>
                <w:szCs w:val="19"/>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CAP</w:t>
            </w:r>
          </w:p>
        </w:tc>
      </w:tr>
      <w:tr>
        <w:trPr>
          <w:trHeight w:val="168"/>
        </w:trPr>
        <w:tc>
          <w:tcPr>
            <w:tcW w:w="2380" w:type="dxa"/>
            <w:vAlign w:val="bottom"/>
            <w:shd w:val="clear" w:color="auto" w:fill="CCEEFF"/>
          </w:tcPr>
          <w:p>
            <w:pPr>
              <w:ind w:left="60"/>
              <w:spacing w:after="0" w:line="168" w:lineRule="exact"/>
              <w:rPr>
                <w:sz w:val="20"/>
                <w:szCs w:val="20"/>
                <w:color w:val="auto"/>
              </w:rPr>
            </w:pPr>
            <w:r>
              <w:rPr>
                <w:rFonts w:ascii="Arial" w:cs="Arial" w:eastAsia="Arial" w:hAnsi="Arial"/>
                <w:sz w:val="16"/>
                <w:szCs w:val="16"/>
                <w:b w:val="1"/>
                <w:bCs w:val="1"/>
                <w:color w:val="auto"/>
              </w:rPr>
              <w:t>Stock and Option Awards</w:t>
            </w:r>
          </w:p>
        </w:tc>
        <w:tc>
          <w:tcPr>
            <w:tcW w:w="4600" w:type="dxa"/>
            <w:vAlign w:val="bottom"/>
            <w:gridSpan w:val="2"/>
            <w:shd w:val="clear" w:color="auto" w:fill="CCEEFF"/>
          </w:tcPr>
          <w:p>
            <w:pPr>
              <w:jc w:val="center"/>
              <w:ind w:right="360"/>
              <w:spacing w:after="0" w:line="168" w:lineRule="exact"/>
              <w:rPr>
                <w:sz w:val="20"/>
                <w:szCs w:val="20"/>
                <w:color w:val="auto"/>
              </w:rPr>
            </w:pPr>
            <w:r>
              <w:rPr>
                <w:rFonts w:ascii="Arial" w:cs="Arial" w:eastAsia="Arial" w:hAnsi="Arial"/>
                <w:sz w:val="16"/>
                <w:szCs w:val="16"/>
                <w:color w:val="auto"/>
                <w:w w:val="98"/>
              </w:rPr>
              <w:t>Grant date fair value of stock and option awards granted</w:t>
            </w:r>
          </w:p>
        </w:tc>
        <w:tc>
          <w:tcPr>
            <w:tcW w:w="42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8"/>
              </w:rPr>
              <w:t>Year over year change in the fair value of stock and option</w:t>
            </w:r>
          </w:p>
        </w:tc>
      </w:tr>
      <w:tr>
        <w:trPr>
          <w:trHeight w:val="184"/>
        </w:trPr>
        <w:tc>
          <w:tcPr>
            <w:tcW w:w="2380" w:type="dxa"/>
            <w:vAlign w:val="bottom"/>
            <w:shd w:val="clear" w:color="auto" w:fill="CCEEFF"/>
          </w:tcPr>
          <w:p>
            <w:pPr>
              <w:spacing w:after="0"/>
              <w:rPr>
                <w:sz w:val="15"/>
                <w:szCs w:val="15"/>
                <w:color w:val="auto"/>
              </w:rPr>
            </w:pPr>
          </w:p>
        </w:tc>
        <w:tc>
          <w:tcPr>
            <w:tcW w:w="4600" w:type="dxa"/>
            <w:vAlign w:val="bottom"/>
            <w:gridSpan w:val="2"/>
            <w:shd w:val="clear" w:color="auto" w:fill="CCEEFF"/>
          </w:tcPr>
          <w:p>
            <w:pPr>
              <w:jc w:val="center"/>
              <w:ind w:right="360"/>
              <w:spacing w:after="0"/>
              <w:rPr>
                <w:sz w:val="20"/>
                <w:szCs w:val="20"/>
                <w:color w:val="auto"/>
              </w:rPr>
            </w:pPr>
            <w:r>
              <w:rPr>
                <w:rFonts w:ascii="Arial" w:cs="Arial" w:eastAsia="Arial" w:hAnsi="Arial"/>
                <w:sz w:val="16"/>
                <w:szCs w:val="16"/>
                <w:color w:val="auto"/>
                <w:w w:val="97"/>
              </w:rPr>
              <w:t>during the year</w:t>
            </w:r>
          </w:p>
        </w:tc>
        <w:tc>
          <w:tcPr>
            <w:tcW w:w="4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awards that are unvested as of the end of the year, or</w:t>
            </w:r>
          </w:p>
        </w:tc>
      </w:tr>
      <w:tr>
        <w:trPr>
          <w:trHeight w:val="222"/>
        </w:trPr>
        <w:tc>
          <w:tcPr>
            <w:tcW w:w="238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vested or were forfeited during the year</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 Versus Performance Table</w:t>
      </w:r>
    </w:p>
    <w:p>
      <w:pPr>
        <w:spacing w:after="0" w:line="119" w:lineRule="exact"/>
        <w:rPr>
          <w:sz w:val="20"/>
          <w:szCs w:val="20"/>
          <w:color w:val="auto"/>
        </w:rPr>
      </w:pPr>
    </w:p>
    <w:p>
      <w:pPr>
        <w:ind w:right="60" w:firstLine="315"/>
        <w:spacing w:after="0" w:line="300" w:lineRule="auto"/>
        <w:rPr>
          <w:sz w:val="20"/>
          <w:szCs w:val="20"/>
          <w:color w:val="auto"/>
        </w:rPr>
      </w:pPr>
      <w:r>
        <w:rPr>
          <w:rFonts w:ascii="Arial" w:cs="Arial" w:eastAsia="Arial" w:hAnsi="Arial"/>
          <w:sz w:val="17"/>
          <w:szCs w:val="17"/>
          <w:color w:val="auto"/>
        </w:rPr>
        <w:t>In accordance with the SEC’s new PVP rules, the following table sets forth information concerning the compensation of our NEOs for each of the fiscal years ended December 31, 2021 and 2022, and our financial performance for each such fiscal year:</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 Summary</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Value of Initial Fixed</w:t>
            </w:r>
          </w:p>
        </w:tc>
        <w:tc>
          <w:tcPr>
            <w:tcW w:w="1040" w:type="dxa"/>
            <w:vAlign w:val="bottom"/>
          </w:tcPr>
          <w:p>
            <w:pPr>
              <w:spacing w:after="0"/>
              <w:rPr>
                <w:sz w:val="16"/>
                <w:szCs w:val="16"/>
                <w:color w:val="auto"/>
              </w:rPr>
            </w:pPr>
          </w:p>
        </w:tc>
      </w:tr>
      <w:tr>
        <w:trPr>
          <w:trHeight w:val="184"/>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Summary</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Compensation</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Compensation Table</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Compensation</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$100 Investment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GAAP</w:t>
            </w:r>
          </w:p>
        </w:tc>
      </w:tr>
      <w:tr>
        <w:trPr>
          <w:trHeight w:val="170"/>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140"/>
              <w:spacing w:after="0" w:line="171" w:lineRule="exact"/>
              <w:rPr>
                <w:sz w:val="20"/>
                <w:szCs w:val="20"/>
                <w:color w:val="auto"/>
              </w:rPr>
            </w:pPr>
            <w:r>
              <w:rPr>
                <w:rFonts w:ascii="Arial" w:cs="Arial" w:eastAsia="Arial" w:hAnsi="Arial"/>
                <w:sz w:val="16"/>
                <w:szCs w:val="16"/>
                <w:b w:val="1"/>
                <w:bCs w:val="1"/>
                <w:color w:val="auto"/>
                <w:w w:val="97"/>
              </w:rPr>
              <w:t>Compensation Table</w:t>
            </w:r>
          </w:p>
        </w:tc>
        <w:tc>
          <w:tcPr>
            <w:tcW w:w="1840" w:type="dxa"/>
            <w:vAlign w:val="bottom"/>
            <w:gridSpan w:val="2"/>
          </w:tcPr>
          <w:p>
            <w:pPr>
              <w:jc w:val="center"/>
              <w:ind w:right="120"/>
              <w:spacing w:after="0" w:line="171" w:lineRule="exact"/>
              <w:rPr>
                <w:sz w:val="20"/>
                <w:szCs w:val="20"/>
                <w:color w:val="auto"/>
              </w:rPr>
            </w:pPr>
            <w:r>
              <w:rPr>
                <w:rFonts w:ascii="Arial" w:cs="Arial" w:eastAsia="Arial" w:hAnsi="Arial"/>
                <w:sz w:val="16"/>
                <w:szCs w:val="16"/>
                <w:b w:val="1"/>
                <w:bCs w:val="1"/>
                <w:color w:val="auto"/>
                <w:w w:val="98"/>
              </w:rPr>
              <w:t>Actually Paid to PEO</w:t>
            </w:r>
          </w:p>
        </w:tc>
        <w:tc>
          <w:tcPr>
            <w:tcW w:w="1860" w:type="dxa"/>
            <w:vAlign w:val="bottom"/>
            <w:gridSpan w:val="2"/>
          </w:tcPr>
          <w:p>
            <w:pPr>
              <w:jc w:val="center"/>
              <w:ind w:right="120"/>
              <w:spacing w:after="0" w:line="171" w:lineRule="exact"/>
              <w:rPr>
                <w:sz w:val="20"/>
                <w:szCs w:val="20"/>
                <w:color w:val="auto"/>
              </w:rPr>
            </w:pPr>
            <w:r>
              <w:rPr>
                <w:rFonts w:ascii="Arial" w:cs="Arial" w:eastAsia="Arial" w:hAnsi="Arial"/>
                <w:sz w:val="16"/>
                <w:szCs w:val="16"/>
                <w:b w:val="1"/>
                <w:bCs w:val="1"/>
                <w:color w:val="auto"/>
                <w:w w:val="96"/>
              </w:rPr>
              <w:t>Total for Non-PEO</w:t>
            </w:r>
          </w:p>
        </w:tc>
        <w:tc>
          <w:tcPr>
            <w:tcW w:w="1860" w:type="dxa"/>
            <w:vAlign w:val="bottom"/>
            <w:gridSpan w:val="2"/>
          </w:tcPr>
          <w:p>
            <w:pPr>
              <w:jc w:val="center"/>
              <w:ind w:right="120"/>
              <w:spacing w:after="0" w:line="171" w:lineRule="exact"/>
              <w:rPr>
                <w:sz w:val="20"/>
                <w:szCs w:val="20"/>
                <w:color w:val="auto"/>
              </w:rPr>
            </w:pPr>
            <w:r>
              <w:rPr>
                <w:rFonts w:ascii="Arial" w:cs="Arial" w:eastAsia="Arial" w:hAnsi="Arial"/>
                <w:sz w:val="16"/>
                <w:szCs w:val="16"/>
                <w:b w:val="1"/>
                <w:bCs w:val="1"/>
                <w:color w:val="auto"/>
                <w:w w:val="98"/>
              </w:rPr>
              <w:t>Actually Paid to Non-</w:t>
            </w:r>
          </w:p>
        </w:tc>
        <w:tc>
          <w:tcPr>
            <w:tcW w:w="1860" w:type="dxa"/>
            <w:vAlign w:val="bottom"/>
            <w:gridSpan w:val="2"/>
          </w:tcPr>
          <w:p>
            <w:pPr>
              <w:jc w:val="center"/>
              <w:ind w:right="100"/>
              <w:spacing w:after="0" w:line="171" w:lineRule="exact"/>
              <w:rPr>
                <w:sz w:val="20"/>
                <w:szCs w:val="20"/>
                <w:color w:val="auto"/>
              </w:rPr>
            </w:pPr>
            <w:r>
              <w:rPr>
                <w:rFonts w:ascii="Arial" w:cs="Arial" w:eastAsia="Arial" w:hAnsi="Arial"/>
                <w:sz w:val="16"/>
                <w:szCs w:val="16"/>
                <w:b w:val="1"/>
                <w:bCs w:val="1"/>
                <w:color w:val="auto"/>
                <w:w w:val="96"/>
              </w:rPr>
              <w:t>Based on: Total</w:t>
            </w:r>
          </w:p>
        </w:tc>
        <w:tc>
          <w:tcPr>
            <w:tcW w:w="104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7"/>
              </w:rPr>
              <w:t>Net Income</w:t>
            </w:r>
          </w:p>
        </w:tc>
      </w:tr>
      <w:tr>
        <w:trPr>
          <w:trHeight w:val="233"/>
        </w:trPr>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Year (1)</w:t>
            </w:r>
          </w:p>
        </w:tc>
        <w:tc>
          <w:tcPr>
            <w:tcW w:w="1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Total for PEO ($)</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8"/>
              </w:rPr>
              <w:t>($)(2)(3)</w:t>
            </w: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NEOs ($)</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PEO NEOs ($)(2)(3)</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Shareholder Return ($)</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7"/>
              </w:rPr>
              <w:t>($)(4)</w:t>
            </w:r>
          </w:p>
        </w:tc>
      </w:tr>
      <w:tr>
        <w:trPr>
          <w:trHeight w:val="220"/>
        </w:trPr>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2022</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rPr>
              <w:t>6,028,078</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-17,643,206</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2,450,241</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-1,595,040</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621"/>
              <w:spacing w:after="0"/>
              <w:rPr>
                <w:sz w:val="20"/>
                <w:szCs w:val="20"/>
                <w:color w:val="auto"/>
              </w:rPr>
            </w:pPr>
            <w:r>
              <w:rPr>
                <w:rFonts w:ascii="Arial" w:cs="Arial" w:eastAsia="Arial" w:hAnsi="Arial"/>
                <w:sz w:val="16"/>
                <w:szCs w:val="16"/>
                <w:color w:val="auto"/>
              </w:rPr>
              <w:t>4.33</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-214</w:t>
            </w:r>
          </w:p>
        </w:tc>
      </w:tr>
      <w:tr>
        <w:trPr>
          <w:trHeight w:val="207"/>
        </w:trPr>
        <w:tc>
          <w:tcPr>
            <w:tcW w:w="820" w:type="dxa"/>
            <w:vAlign w:val="bottom"/>
          </w:tcPr>
          <w:p>
            <w:pPr>
              <w:jc w:val="center"/>
              <w:spacing w:after="0"/>
              <w:rPr>
                <w:sz w:val="20"/>
                <w:szCs w:val="20"/>
                <w:color w:val="auto"/>
              </w:rPr>
            </w:pPr>
            <w:r>
              <w:rPr>
                <w:rFonts w:ascii="Arial" w:cs="Arial" w:eastAsia="Arial" w:hAnsi="Arial"/>
                <w:sz w:val="16"/>
                <w:szCs w:val="16"/>
                <w:color w:val="auto"/>
                <w:w w:val="95"/>
              </w:rPr>
              <w:t>2021</w:t>
            </w:r>
          </w:p>
        </w:tc>
        <w:tc>
          <w:tcPr>
            <w:tcW w:w="120" w:type="dxa"/>
            <w:vAlign w:val="bottom"/>
          </w:tcPr>
          <w:p>
            <w:pPr>
              <w:spacing w:after="0"/>
              <w:rPr>
                <w:sz w:val="18"/>
                <w:szCs w:val="18"/>
                <w:color w:val="auto"/>
              </w:rPr>
            </w:pPr>
          </w:p>
        </w:tc>
        <w:tc>
          <w:tcPr>
            <w:tcW w:w="1720" w:type="dxa"/>
            <w:vAlign w:val="bottom"/>
          </w:tcPr>
          <w:p>
            <w:pPr>
              <w:jc w:val="right"/>
              <w:ind w:right="401"/>
              <w:spacing w:after="0"/>
              <w:rPr>
                <w:sz w:val="20"/>
                <w:szCs w:val="20"/>
                <w:color w:val="auto"/>
              </w:rPr>
            </w:pPr>
            <w:r>
              <w:rPr>
                <w:rFonts w:ascii="Arial" w:cs="Arial" w:eastAsia="Arial" w:hAnsi="Arial"/>
                <w:sz w:val="16"/>
                <w:szCs w:val="16"/>
                <w:color w:val="auto"/>
              </w:rPr>
              <w:t>10,905,820</w:t>
            </w:r>
          </w:p>
        </w:tc>
        <w:tc>
          <w:tcPr>
            <w:tcW w:w="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8"/>
              </w:rPr>
              <w:t>-62,152,872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8"/>
              </w:rPr>
              <w:t>4,118,514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-6,315,773</w:t>
            </w:r>
          </w:p>
        </w:tc>
        <w:tc>
          <w:tcPr>
            <w:tcW w:w="120" w:type="dxa"/>
            <w:vAlign w:val="bottom"/>
          </w:tcPr>
          <w:p>
            <w:pPr>
              <w:spacing w:after="0"/>
              <w:rPr>
                <w:sz w:val="18"/>
                <w:szCs w:val="18"/>
                <w:color w:val="auto"/>
              </w:rPr>
            </w:pPr>
          </w:p>
        </w:tc>
        <w:tc>
          <w:tcPr>
            <w:tcW w:w="1740" w:type="dxa"/>
            <w:vAlign w:val="bottom"/>
          </w:tcPr>
          <w:p>
            <w:pPr>
              <w:jc w:val="right"/>
              <w:ind w:right="581"/>
              <w:spacing w:after="0"/>
              <w:rPr>
                <w:sz w:val="20"/>
                <w:szCs w:val="20"/>
                <w:color w:val="auto"/>
              </w:rPr>
            </w:pPr>
            <w:r>
              <w:rPr>
                <w:rFonts w:ascii="Arial" w:cs="Arial" w:eastAsia="Arial" w:hAnsi="Arial"/>
                <w:sz w:val="16"/>
                <w:szCs w:val="16"/>
                <w:color w:val="auto"/>
              </w:rPr>
              <w:t>35.81</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-167</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32" w:lineRule="exact"/>
        <w:rPr>
          <w:sz w:val="20"/>
          <w:szCs w:val="20"/>
          <w:color w:val="auto"/>
        </w:rPr>
      </w:pPr>
    </w:p>
    <w:p>
      <w:pPr>
        <w:ind w:left="640" w:right="220" w:hanging="320"/>
        <w:spacing w:after="0" w:line="280" w:lineRule="auto"/>
        <w:tabs>
          <w:tab w:leader="none" w:pos="631"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PEO (CEO) in both reporting years is Marcio Souza. The non-PEO NEOs in the 2022 reporting year are Tim Kelly, Nicole Sweeny, and Bernard Ravina. The non-PEO NEOs in the 2021 reporting year are Nicole Sweeny and Bernard Ravina.</w:t>
      </w:r>
    </w:p>
    <w:p>
      <w:pPr>
        <w:spacing w:after="0" w:line="52" w:lineRule="exact"/>
        <w:rPr>
          <w:rFonts w:ascii="Arial" w:cs="Arial" w:eastAsia="Arial" w:hAnsi="Arial"/>
          <w:sz w:val="17"/>
          <w:szCs w:val="17"/>
          <w:color w:val="auto"/>
        </w:rPr>
      </w:pPr>
    </w:p>
    <w:p>
      <w:pPr>
        <w:ind w:left="640" w:right="200" w:hanging="320"/>
        <w:spacing w:after="0" w:line="283" w:lineRule="auto"/>
        <w:tabs>
          <w:tab w:leader="none" w:pos="631"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CAP was calculated beginning with the PEO’s SCT total. Thee following amounts were deducted from and added to the applicable SCT total compensation:</w:t>
      </w:r>
    </w:p>
    <w:tbl>
      <w:tblPr>
        <w:tblLayout w:type="fixed"/>
        <w:tblInd w:w="0" w:type="dxa"/>
        <w:tblCellMar>
          <w:top w:w="0" w:type="dxa"/>
          <w:left w:w="0" w:type="dxa"/>
          <w:bottom w:w="0" w:type="dxa"/>
          <w:right w:w="0" w:type="dxa"/>
        </w:tblCellMar>
      </w:tblPr>
      <w:tr>
        <w:trPr>
          <w:trHeight w:val="184"/>
        </w:trPr>
        <w:tc>
          <w:tcPr>
            <w:tcW w:w="1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Stock Awards</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8"/>
              </w:rPr>
              <w:t>Stock Awards</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Stock Option</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Stock Option</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SCT Total</w:t>
            </w:r>
          </w:p>
        </w:tc>
        <w:tc>
          <w:tcPr>
            <w:tcW w:w="1540" w:type="dxa"/>
            <w:vAlign w:val="bottom"/>
            <w:gridSpan w:val="2"/>
          </w:tcPr>
          <w:p>
            <w:pPr>
              <w:jc w:val="center"/>
              <w:ind w:right="100"/>
              <w:spacing w:after="0" w:line="171" w:lineRule="exact"/>
              <w:rPr>
                <w:sz w:val="20"/>
                <w:szCs w:val="20"/>
                <w:color w:val="auto"/>
              </w:rPr>
            </w:pPr>
            <w:r>
              <w:rPr>
                <w:rFonts w:ascii="Arial" w:cs="Arial" w:eastAsia="Arial" w:hAnsi="Arial"/>
                <w:sz w:val="16"/>
                <w:szCs w:val="16"/>
                <w:b w:val="1"/>
                <w:bCs w:val="1"/>
                <w:color w:val="auto"/>
                <w:w w:val="99"/>
              </w:rPr>
              <w:t>Deducted from</w:t>
            </w:r>
          </w:p>
        </w:tc>
        <w:tc>
          <w:tcPr>
            <w:tcW w:w="1560" w:type="dxa"/>
            <w:vAlign w:val="bottom"/>
            <w:gridSpan w:val="2"/>
            <w:vMerge w:val="continue"/>
          </w:tcPr>
          <w:p>
            <w:pPr>
              <w:spacing w:after="0"/>
              <w:rPr>
                <w:sz w:val="14"/>
                <w:szCs w:val="14"/>
                <w:color w:val="auto"/>
              </w:rPr>
            </w:pPr>
          </w:p>
        </w:tc>
        <w:tc>
          <w:tcPr>
            <w:tcW w:w="1560" w:type="dxa"/>
            <w:vAlign w:val="bottom"/>
            <w:gridSpan w:val="2"/>
          </w:tcPr>
          <w:p>
            <w:pPr>
              <w:jc w:val="center"/>
              <w:ind w:right="100"/>
              <w:spacing w:after="0" w:line="171" w:lineRule="exact"/>
              <w:rPr>
                <w:sz w:val="20"/>
                <w:szCs w:val="20"/>
                <w:color w:val="auto"/>
              </w:rPr>
            </w:pPr>
            <w:r>
              <w:rPr>
                <w:rFonts w:ascii="Arial" w:cs="Arial" w:eastAsia="Arial" w:hAnsi="Arial"/>
                <w:sz w:val="16"/>
                <w:szCs w:val="16"/>
                <w:b w:val="1"/>
                <w:bCs w:val="1"/>
                <w:color w:val="auto"/>
                <w:w w:val="99"/>
              </w:rPr>
              <w:t>Awards Deducted</w:t>
            </w:r>
          </w:p>
        </w:tc>
        <w:tc>
          <w:tcPr>
            <w:tcW w:w="1560" w:type="dxa"/>
            <w:vAlign w:val="bottom"/>
            <w:gridSpan w:val="2"/>
          </w:tcPr>
          <w:p>
            <w:pPr>
              <w:jc w:val="center"/>
              <w:ind w:right="100"/>
              <w:spacing w:after="0" w:line="171" w:lineRule="exact"/>
              <w:rPr>
                <w:sz w:val="20"/>
                <w:szCs w:val="20"/>
                <w:color w:val="auto"/>
              </w:rPr>
            </w:pPr>
            <w:r>
              <w:rPr>
                <w:rFonts w:ascii="Arial" w:cs="Arial" w:eastAsia="Arial" w:hAnsi="Arial"/>
                <w:sz w:val="16"/>
                <w:szCs w:val="16"/>
                <w:b w:val="1"/>
                <w:bCs w:val="1"/>
                <w:color w:val="auto"/>
                <w:w w:val="98"/>
              </w:rPr>
              <w:t>Awards Added to</w:t>
            </w: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Total CAP</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SCT</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Added to CAP</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from SCT</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CAP</w:t>
            </w: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A</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C</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D</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97"/>
              </w:rPr>
              <w:t>A - (B + D) + (C + E)</w:t>
            </w:r>
          </w:p>
        </w:tc>
        <w:tc>
          <w:tcPr>
            <w:tcW w:w="0" w:type="dxa"/>
            <w:vAlign w:val="bottom"/>
          </w:tcPr>
          <w:p>
            <w:pPr>
              <w:spacing w:after="0"/>
              <w:rPr>
                <w:sz w:val="1"/>
                <w:szCs w:val="1"/>
                <w:color w:val="auto"/>
              </w:rPr>
            </w:pPr>
          </w:p>
        </w:tc>
      </w:tr>
      <w:tr>
        <w:trPr>
          <w:trHeight w:val="206"/>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PEO</w:t>
            </w:r>
          </w:p>
        </w:tc>
        <w:tc>
          <w:tcPr>
            <w:tcW w:w="14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32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6,028,078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1,340,140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-600,172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3,649,420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-18,081,552</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-17,643,206</w:t>
            </w:r>
          </w:p>
        </w:tc>
        <w:tc>
          <w:tcPr>
            <w:tcW w:w="0" w:type="dxa"/>
            <w:vAlign w:val="bottom"/>
          </w:tcPr>
          <w:p>
            <w:pPr>
              <w:spacing w:after="0"/>
              <w:rPr>
                <w:sz w:val="1"/>
                <w:szCs w:val="1"/>
                <w:color w:val="auto"/>
              </w:rPr>
            </w:pPr>
          </w:p>
        </w:tc>
      </w:tr>
      <w:tr>
        <w:trPr>
          <w:trHeight w:val="207"/>
        </w:trPr>
        <w:tc>
          <w:tcPr>
            <w:tcW w:w="1320" w:type="dxa"/>
            <w:vAlign w:val="bottom"/>
          </w:tcPr>
          <w:p>
            <w:pPr>
              <w:jc w:val="right"/>
              <w:ind w:right="461"/>
              <w:spacing w:after="0"/>
              <w:rPr>
                <w:sz w:val="20"/>
                <w:szCs w:val="20"/>
                <w:color w:val="auto"/>
              </w:rPr>
            </w:pPr>
            <w:r>
              <w:rPr>
                <w:rFonts w:ascii="Arial" w:cs="Arial" w:eastAsia="Arial" w:hAnsi="Arial"/>
                <w:sz w:val="16"/>
                <w:szCs w:val="16"/>
                <w:color w:val="auto"/>
              </w:rPr>
              <w:t>2021</w:t>
            </w:r>
          </w:p>
        </w:tc>
        <w:tc>
          <w:tcPr>
            <w:tcW w:w="1460" w:type="dxa"/>
            <w:vAlign w:val="bottom"/>
          </w:tcPr>
          <w:p>
            <w:pPr>
              <w:jc w:val="center"/>
              <w:spacing w:after="0"/>
              <w:rPr>
                <w:sz w:val="20"/>
                <w:szCs w:val="20"/>
                <w:color w:val="auto"/>
              </w:rPr>
            </w:pPr>
            <w:r>
              <w:rPr>
                <w:rFonts w:ascii="Arial" w:cs="Arial" w:eastAsia="Arial" w:hAnsi="Arial"/>
                <w:sz w:val="16"/>
                <w:szCs w:val="16"/>
                <w:color w:val="auto"/>
                <w:w w:val="97"/>
              </w:rPr>
              <w:t>10,905,820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8"/>
              </w:rPr>
              <w:t>2,773,584</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1,040,160</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6,883,800</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-64,441,468</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8"/>
              </w:rPr>
              <w:t>-62,152,872</w:t>
            </w:r>
          </w:p>
        </w:tc>
        <w:tc>
          <w:tcPr>
            <w:tcW w:w="0" w:type="dxa"/>
            <w:vAlign w:val="bottom"/>
          </w:tcPr>
          <w:p>
            <w:pPr>
              <w:spacing w:after="0"/>
              <w:rPr>
                <w:sz w:val="1"/>
                <w:szCs w:val="1"/>
                <w:color w:val="auto"/>
              </w:rPr>
            </w:pPr>
          </w:p>
        </w:tc>
      </w:tr>
      <w:tr>
        <w:trPr>
          <w:trHeight w:val="212"/>
        </w:trPr>
        <w:tc>
          <w:tcPr>
            <w:tcW w:w="278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i w:val="1"/>
                <w:iCs w:val="1"/>
                <w:color w:val="auto"/>
              </w:rPr>
              <w:t>Average Non-PEO NEO</w:t>
            </w: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2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2,450,241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433,549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-131,979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1,232,109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-2,247,645</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-1,595,040</w:t>
            </w:r>
          </w:p>
        </w:tc>
        <w:tc>
          <w:tcPr>
            <w:tcW w:w="0" w:type="dxa"/>
            <w:vAlign w:val="bottom"/>
          </w:tcPr>
          <w:p>
            <w:pPr>
              <w:spacing w:after="0"/>
              <w:rPr>
                <w:sz w:val="1"/>
                <w:szCs w:val="1"/>
                <w:color w:val="auto"/>
              </w:rPr>
            </w:pPr>
          </w:p>
        </w:tc>
      </w:tr>
      <w:tr>
        <w:trPr>
          <w:trHeight w:val="207"/>
        </w:trPr>
        <w:tc>
          <w:tcPr>
            <w:tcW w:w="1320" w:type="dxa"/>
            <w:vAlign w:val="bottom"/>
          </w:tcPr>
          <w:p>
            <w:pPr>
              <w:jc w:val="right"/>
              <w:ind w:right="461"/>
              <w:spacing w:after="0"/>
              <w:rPr>
                <w:sz w:val="20"/>
                <w:szCs w:val="20"/>
                <w:color w:val="auto"/>
              </w:rPr>
            </w:pPr>
            <w:r>
              <w:rPr>
                <w:rFonts w:ascii="Arial" w:cs="Arial" w:eastAsia="Arial" w:hAnsi="Arial"/>
                <w:sz w:val="16"/>
                <w:szCs w:val="16"/>
                <w:color w:val="auto"/>
              </w:rPr>
              <w:t>2021</w:t>
            </w: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4,118,514</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8"/>
              </w:rPr>
              <w:t>1,085,060</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406,923</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2,322,165</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6"/>
              </w:rPr>
              <w:t>-7,433,985</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9"/>
              </w:rPr>
              <w:t>-6,315,773</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640" w:hanging="320"/>
        <w:spacing w:after="0" w:line="271" w:lineRule="auto"/>
        <w:tabs>
          <w:tab w:leader="none" w:pos="631"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fair value of stock options reported for CAP purposes in columns (C) and (E) is estimated using a Black-Scholes option pricing model for the purposes of this PVP calculation in accordance with the SEC rules. This model uses both historical data and current market data to estimate the fair value of options and requires several assumptions. The assumptions used in estimating fair value for awards granted during 2021-2022 are as follows: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Grant Year</w:t>
            </w:r>
          </w:p>
        </w:tc>
        <w:tc>
          <w:tcPr>
            <w:tcW w:w="80" w:type="dxa"/>
            <w:vAlign w:val="bottom"/>
            <w:tcBorders>
              <w:bottom w:val="single" w:sz="8" w:color="CCEEFF"/>
            </w:tcBorders>
          </w:tcPr>
          <w:p>
            <w:pPr>
              <w:spacing w:after="0"/>
              <w:rPr>
                <w:sz w:val="19"/>
                <w:szCs w:val="19"/>
                <w:color w:val="auto"/>
              </w:rPr>
            </w:pPr>
          </w:p>
        </w:tc>
        <w:tc>
          <w:tcPr>
            <w:tcW w:w="2860" w:type="dxa"/>
            <w:vAlign w:val="bottom"/>
            <w:tcBorders>
              <w:bottom w:val="single" w:sz="8" w:color="auto"/>
            </w:tcBorders>
            <w:gridSpan w:val="2"/>
          </w:tcPr>
          <w:p>
            <w:pPr>
              <w:jc w:val="right"/>
              <w:ind w:right="118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9"/>
                <w:szCs w:val="19"/>
                <w:color w:val="auto"/>
              </w:rPr>
            </w:pPr>
          </w:p>
        </w:tc>
        <w:tc>
          <w:tcPr>
            <w:tcW w:w="2860" w:type="dxa"/>
            <w:vAlign w:val="bottom"/>
            <w:tcBorders>
              <w:bottom w:val="single" w:sz="8" w:color="auto"/>
            </w:tcBorders>
            <w:gridSpan w:val="2"/>
          </w:tcPr>
          <w:p>
            <w:pPr>
              <w:jc w:val="right"/>
              <w:ind w:right="1181"/>
              <w:spacing w:after="0"/>
              <w:rPr>
                <w:sz w:val="20"/>
                <w:szCs w:val="20"/>
                <w:color w:val="auto"/>
              </w:rPr>
            </w:pPr>
            <w:r>
              <w:rPr>
                <w:rFonts w:ascii="Arial" w:cs="Arial" w:eastAsia="Arial" w:hAnsi="Arial"/>
                <w:sz w:val="16"/>
                <w:szCs w:val="16"/>
                <w:b w:val="1"/>
                <w:bCs w:val="1"/>
                <w:color w:val="auto"/>
              </w:rPr>
              <w:t>2021</w:t>
            </w:r>
          </w:p>
        </w:tc>
      </w:tr>
      <w:tr>
        <w:trPr>
          <w:trHeight w:val="22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86.34</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90.35%</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86.71</w:t>
            </w:r>
          </w:p>
        </w:tc>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92.49%</w:t>
            </w:r>
          </w:p>
        </w:tc>
      </w:tr>
      <w:tr>
        <w:trPr>
          <w:trHeight w:val="215"/>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Expected life (in years)</w:t>
            </w:r>
          </w:p>
        </w:tc>
        <w:tc>
          <w:tcPr>
            <w:tcW w:w="2940" w:type="dxa"/>
            <w:vAlign w:val="bottom"/>
            <w:gridSpan w:val="3"/>
          </w:tcPr>
          <w:p>
            <w:pPr>
              <w:ind w:left="820"/>
              <w:spacing w:after="0"/>
              <w:rPr>
                <w:sz w:val="20"/>
                <w:szCs w:val="20"/>
                <w:color w:val="auto"/>
              </w:rPr>
            </w:pPr>
            <w:r>
              <w:rPr>
                <w:rFonts w:ascii="Arial" w:cs="Arial" w:eastAsia="Arial" w:hAnsi="Arial"/>
                <w:sz w:val="16"/>
                <w:szCs w:val="16"/>
                <w:color w:val="auto"/>
              </w:rPr>
              <w:t>2.16 – 9.02 years</w:t>
            </w:r>
          </w:p>
        </w:tc>
        <w:tc>
          <w:tcPr>
            <w:tcW w:w="2860" w:type="dxa"/>
            <w:vAlign w:val="bottom"/>
            <w:gridSpan w:val="2"/>
          </w:tcPr>
          <w:p>
            <w:pPr>
              <w:ind w:left="820"/>
              <w:spacing w:after="0"/>
              <w:rPr>
                <w:sz w:val="20"/>
                <w:szCs w:val="20"/>
                <w:color w:val="auto"/>
              </w:rPr>
            </w:pPr>
            <w:r>
              <w:rPr>
                <w:rFonts w:ascii="Arial" w:cs="Arial" w:eastAsia="Arial" w:hAnsi="Arial"/>
                <w:sz w:val="16"/>
                <w:szCs w:val="16"/>
                <w:color w:val="auto"/>
              </w:rPr>
              <w:t>2.80 – 9.12 years</w:t>
            </w:r>
          </w:p>
        </w:tc>
      </w:tr>
      <w:tr>
        <w:trPr>
          <w:trHeight w:val="231"/>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2860" w:type="dxa"/>
            <w:vAlign w:val="bottom"/>
            <w:gridSpan w:val="2"/>
            <w:shd w:val="clear" w:color="auto" w:fill="CCEEFF"/>
          </w:tcPr>
          <w:p>
            <w:pPr>
              <w:jc w:val="right"/>
              <w:ind w:right="1121"/>
              <w:spacing w:after="0"/>
              <w:rPr>
                <w:sz w:val="20"/>
                <w:szCs w:val="20"/>
                <w:color w:val="auto"/>
              </w:rPr>
            </w:pPr>
            <w:r>
              <w:rPr>
                <w:rFonts w:ascii="Arial" w:cs="Arial" w:eastAsia="Arial" w:hAnsi="Arial"/>
                <w:sz w:val="16"/>
                <w:szCs w:val="16"/>
                <w:color w:val="auto"/>
              </w:rPr>
              <w:t>0.00%</w:t>
            </w:r>
          </w:p>
        </w:tc>
        <w:tc>
          <w:tcPr>
            <w:tcW w:w="8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jc w:val="right"/>
              <w:ind w:right="1121"/>
              <w:spacing w:after="0"/>
              <w:rPr>
                <w:sz w:val="20"/>
                <w:szCs w:val="20"/>
                <w:color w:val="auto"/>
              </w:rPr>
            </w:pPr>
            <w:r>
              <w:rPr>
                <w:rFonts w:ascii="Arial" w:cs="Arial" w:eastAsia="Arial" w:hAnsi="Arial"/>
                <w:sz w:val="16"/>
                <w:szCs w:val="16"/>
                <w:color w:val="auto"/>
              </w:rPr>
              <w:t>0.00%</w:t>
            </w:r>
          </w:p>
        </w:tc>
      </w:tr>
      <w:tr>
        <w:trPr>
          <w:trHeight w:val="207"/>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Risk-free rate</w:t>
            </w:r>
          </w:p>
        </w:tc>
        <w:tc>
          <w:tcPr>
            <w:tcW w:w="1300" w:type="dxa"/>
            <w:vAlign w:val="bottom"/>
          </w:tcPr>
          <w:p>
            <w:pPr>
              <w:jc w:val="right"/>
              <w:spacing w:after="0"/>
              <w:rPr>
                <w:sz w:val="20"/>
                <w:szCs w:val="20"/>
                <w:color w:val="auto"/>
              </w:rPr>
            </w:pPr>
            <w:r>
              <w:rPr>
                <w:rFonts w:ascii="Arial" w:cs="Arial" w:eastAsia="Arial" w:hAnsi="Arial"/>
                <w:sz w:val="16"/>
                <w:szCs w:val="16"/>
                <w:color w:val="auto"/>
              </w:rPr>
              <w:t>1.21</w:t>
            </w:r>
          </w:p>
        </w:tc>
        <w:tc>
          <w:tcPr>
            <w:tcW w:w="1640" w:type="dxa"/>
            <w:vAlign w:val="bottom"/>
            <w:gridSpan w:val="2"/>
          </w:tcPr>
          <w:p>
            <w:pPr>
              <w:ind w:left="20"/>
              <w:spacing w:after="0"/>
              <w:rPr>
                <w:sz w:val="20"/>
                <w:szCs w:val="20"/>
                <w:color w:val="auto"/>
              </w:rPr>
            </w:pPr>
            <w:r>
              <w:rPr>
                <w:rFonts w:ascii="Arial" w:cs="Arial" w:eastAsia="Arial" w:hAnsi="Arial"/>
                <w:sz w:val="16"/>
                <w:szCs w:val="16"/>
                <w:color w:val="auto"/>
              </w:rPr>
              <w:t>– 4.22%</w:t>
            </w:r>
          </w:p>
        </w:tc>
        <w:tc>
          <w:tcPr>
            <w:tcW w:w="1300" w:type="dxa"/>
            <w:vAlign w:val="bottom"/>
          </w:tcPr>
          <w:p>
            <w:pPr>
              <w:jc w:val="right"/>
              <w:spacing w:after="0"/>
              <w:rPr>
                <w:sz w:val="20"/>
                <w:szCs w:val="20"/>
                <w:color w:val="auto"/>
              </w:rPr>
            </w:pPr>
            <w:r>
              <w:rPr>
                <w:rFonts w:ascii="Arial" w:cs="Arial" w:eastAsia="Arial" w:hAnsi="Arial"/>
                <w:sz w:val="16"/>
                <w:szCs w:val="16"/>
                <w:color w:val="auto"/>
              </w:rPr>
              <w:t>0.29</w:t>
            </w:r>
          </w:p>
        </w:tc>
        <w:tc>
          <w:tcPr>
            <w:tcW w:w="1560" w:type="dxa"/>
            <w:vAlign w:val="bottom"/>
          </w:tcPr>
          <w:p>
            <w:pPr>
              <w:ind w:left="20"/>
              <w:spacing w:after="0"/>
              <w:rPr>
                <w:sz w:val="20"/>
                <w:szCs w:val="20"/>
                <w:color w:val="auto"/>
              </w:rPr>
            </w:pPr>
            <w:r>
              <w:rPr>
                <w:rFonts w:ascii="Arial" w:cs="Arial" w:eastAsia="Arial" w:hAnsi="Arial"/>
                <w:sz w:val="16"/>
                <w:szCs w:val="16"/>
                <w:color w:val="auto"/>
              </w:rPr>
              <w:t>– 1.50%</w:t>
            </w:r>
          </w:p>
        </w:tc>
      </w:tr>
    </w:tbl>
    <w:p>
      <w:pPr>
        <w:spacing w:after="0" w:line="1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(4) Values shown are in millions.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Narrative Disclosure to Pay Versus Performance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between Pay and TSR</w:t>
      </w:r>
    </w:p>
    <w:p>
      <w:pPr>
        <w:spacing w:after="0" w:line="121" w:lineRule="exact"/>
        <w:rPr>
          <w:sz w:val="20"/>
          <w:szCs w:val="20"/>
          <w:color w:val="auto"/>
        </w:rPr>
      </w:pPr>
    </w:p>
    <w:p>
      <w:pPr>
        <w:ind w:right="180" w:firstLine="315"/>
        <w:spacing w:after="0" w:line="300" w:lineRule="auto"/>
        <w:rPr>
          <w:sz w:val="20"/>
          <w:szCs w:val="20"/>
          <w:color w:val="auto"/>
        </w:rPr>
      </w:pPr>
      <w:r>
        <w:rPr>
          <w:rFonts w:ascii="Arial" w:cs="Arial" w:eastAsia="Arial" w:hAnsi="Arial"/>
          <w:sz w:val="17"/>
          <w:szCs w:val="17"/>
          <w:color w:val="auto"/>
        </w:rPr>
        <w:t>The graphs below reflect the relationship between the PEO and Average Non-PEO NEO CAP and the Company’s cumulative indexed Total Shareholder Return, or TSR, (assuming an initial fixed investment of $100) for the fiscal years ended December 31, 2021 and 2022:</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CEO Pay vs Performance: Total Shareholder Return (12/31/20 to 12/31/22)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86360</wp:posOffset>
            </wp:positionV>
            <wp:extent cx="4571365" cy="31559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7136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120"/>
        <w:spacing w:after="0"/>
        <w:rPr>
          <w:sz w:val="20"/>
          <w:szCs w:val="20"/>
          <w:color w:val="auto"/>
        </w:rPr>
      </w:pPr>
      <w:r>
        <w:rPr>
          <w:rFonts w:ascii="Arial" w:cs="Arial" w:eastAsia="Arial" w:hAnsi="Arial"/>
          <w:sz w:val="17"/>
          <w:szCs w:val="17"/>
          <w:b w:val="1"/>
          <w:bCs w:val="1"/>
          <w:i w:val="1"/>
          <w:iCs w:val="1"/>
          <w:color w:val="auto"/>
        </w:rPr>
        <w:t>Average Other NEO Pay vs Performance: Total Shareholder Return (12/31/20 to 12/31/22)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86360</wp:posOffset>
            </wp:positionV>
            <wp:extent cx="4571365" cy="31559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57136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between Pay and Net Income (GAAP)</w:t>
      </w:r>
    </w:p>
    <w:p>
      <w:pPr>
        <w:spacing w:after="0" w:line="108" w:lineRule="exact"/>
        <w:rPr>
          <w:sz w:val="20"/>
          <w:szCs w:val="20"/>
          <w:color w:val="auto"/>
        </w:rPr>
      </w:pPr>
    </w:p>
    <w:p>
      <w:pPr>
        <w:ind w:firstLine="315"/>
        <w:spacing w:after="0" w:line="300" w:lineRule="auto"/>
        <w:rPr>
          <w:sz w:val="20"/>
          <w:szCs w:val="20"/>
          <w:color w:val="auto"/>
        </w:rPr>
      </w:pPr>
      <w:r>
        <w:rPr>
          <w:rFonts w:ascii="Arial" w:cs="Arial" w:eastAsia="Arial" w:hAnsi="Arial"/>
          <w:sz w:val="17"/>
          <w:szCs w:val="17"/>
          <w:color w:val="auto"/>
        </w:rPr>
        <w:t>The graph below reflects the relationship between the PEO and Average Non-PEO NEO CAP and the Company’s GAAP Net Income for the applicable reporting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1285240</wp:posOffset>
            </wp:positionH>
            <wp:positionV relativeFrom="paragraph">
              <wp:posOffset>33655</wp:posOffset>
            </wp:positionV>
            <wp:extent cx="4571365" cy="28809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71365" cy="288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1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Director Compensation Policy</w:t>
      </w:r>
    </w:p>
    <w:p>
      <w:pPr>
        <w:spacing w:after="0" w:line="119" w:lineRule="exact"/>
        <w:rPr>
          <w:sz w:val="20"/>
          <w:szCs w:val="20"/>
          <w:color w:val="auto"/>
        </w:rPr>
      </w:pPr>
    </w:p>
    <w:p>
      <w:pPr>
        <w:ind w:right="560" w:firstLine="433"/>
        <w:spacing w:after="0" w:line="300" w:lineRule="auto"/>
        <w:rPr>
          <w:sz w:val="20"/>
          <w:szCs w:val="20"/>
          <w:color w:val="auto"/>
        </w:rPr>
      </w:pPr>
      <w:r>
        <w:rPr>
          <w:rFonts w:ascii="Arial" w:cs="Arial" w:eastAsia="Arial" w:hAnsi="Arial"/>
          <w:sz w:val="17"/>
          <w:szCs w:val="17"/>
          <w:color w:val="auto"/>
        </w:rPr>
        <w:t>Our non-employee director compensation policy enables us to attract and retain, on a long-term basis, highly qualified non-employee directors. Under the policy, each director who is not an employee is paid cash compensation as set forth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02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Annual Retainer</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Board of Directors:</w:t>
            </w:r>
          </w:p>
        </w:tc>
        <w:tc>
          <w:tcPr>
            <w:tcW w:w="2220" w:type="dxa"/>
            <w:vAlign w:val="bottom"/>
            <w:shd w:val="clear" w:color="auto" w:fill="CCEEFF"/>
          </w:tcPr>
          <w:p>
            <w:pPr>
              <w:spacing w:after="0"/>
              <w:rPr>
                <w:sz w:val="19"/>
                <w:szCs w:val="19"/>
                <w:color w:val="auto"/>
              </w:rPr>
            </w:pPr>
          </w:p>
        </w:tc>
      </w:tr>
      <w:tr>
        <w:trPr>
          <w:trHeight w:val="228"/>
        </w:trPr>
        <w:tc>
          <w:tcPr>
            <w:tcW w:w="9020" w:type="dxa"/>
            <w:vAlign w:val="bottom"/>
          </w:tcPr>
          <w:p>
            <w:pPr>
              <w:ind w:left="180"/>
              <w:spacing w:after="0"/>
              <w:rPr>
                <w:sz w:val="20"/>
                <w:szCs w:val="20"/>
                <w:color w:val="auto"/>
              </w:rPr>
            </w:pPr>
            <w:r>
              <w:rPr>
                <w:rFonts w:ascii="Arial" w:cs="Arial" w:eastAsia="Arial" w:hAnsi="Arial"/>
                <w:sz w:val="16"/>
                <w:szCs w:val="16"/>
                <w:color w:val="auto"/>
              </w:rPr>
              <w:t>Members</w:t>
            </w:r>
          </w:p>
        </w:tc>
        <w:tc>
          <w:tcPr>
            <w:tcW w:w="2220" w:type="dxa"/>
            <w:vAlign w:val="bottom"/>
          </w:tcPr>
          <w:p>
            <w:pPr>
              <w:jc w:val="center"/>
              <w:spacing w:after="0"/>
              <w:rPr>
                <w:sz w:val="20"/>
                <w:szCs w:val="20"/>
                <w:color w:val="auto"/>
              </w:rPr>
            </w:pPr>
            <w:r>
              <w:rPr>
                <w:rFonts w:ascii="Arial" w:cs="Arial" w:eastAsia="Arial" w:hAnsi="Arial"/>
                <w:sz w:val="16"/>
                <w:szCs w:val="16"/>
                <w:color w:val="auto"/>
              </w:rPr>
              <w:t>$40,000</w:t>
            </w:r>
          </w:p>
        </w:tc>
      </w:tr>
      <w:tr>
        <w:trPr>
          <w:trHeight w:val="244"/>
        </w:trPr>
        <w:tc>
          <w:tcPr>
            <w:tcW w:w="9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Additional retainer for non-executive chair</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$30,000</w:t>
            </w:r>
          </w:p>
        </w:tc>
      </w:tr>
      <w:tr>
        <w:trPr>
          <w:trHeight w:val="232"/>
        </w:trPr>
        <w:tc>
          <w:tcPr>
            <w:tcW w:w="9020" w:type="dxa"/>
            <w:vAlign w:val="bottom"/>
          </w:tcPr>
          <w:p>
            <w:pPr>
              <w:ind w:left="20"/>
              <w:spacing w:after="0"/>
              <w:rPr>
                <w:sz w:val="20"/>
                <w:szCs w:val="20"/>
                <w:color w:val="auto"/>
              </w:rPr>
            </w:pPr>
            <w:r>
              <w:rPr>
                <w:rFonts w:ascii="Arial" w:cs="Arial" w:eastAsia="Arial" w:hAnsi="Arial"/>
                <w:sz w:val="16"/>
                <w:szCs w:val="16"/>
                <w:b w:val="1"/>
                <w:bCs w:val="1"/>
                <w:color w:val="auto"/>
              </w:rPr>
              <w:t>Audit Committee:</w:t>
            </w:r>
          </w:p>
        </w:tc>
        <w:tc>
          <w:tcPr>
            <w:tcW w:w="2220" w:type="dxa"/>
            <w:vAlign w:val="bottom"/>
          </w:tcPr>
          <w:p>
            <w:pPr>
              <w:spacing w:after="0"/>
              <w:rPr>
                <w:sz w:val="20"/>
                <w:szCs w:val="20"/>
                <w:color w:val="auto"/>
              </w:rPr>
            </w:pPr>
          </w:p>
        </w:tc>
      </w:tr>
      <w:tr>
        <w:trPr>
          <w:trHeight w:val="240"/>
        </w:trPr>
        <w:tc>
          <w:tcPr>
            <w:tcW w:w="9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Members (other than chair)</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$8,000</w:t>
            </w:r>
          </w:p>
        </w:tc>
      </w:tr>
      <w:tr>
        <w:trPr>
          <w:trHeight w:val="228"/>
        </w:trPr>
        <w:tc>
          <w:tcPr>
            <w:tcW w:w="9020" w:type="dxa"/>
            <w:vAlign w:val="bottom"/>
          </w:tcPr>
          <w:p>
            <w:pPr>
              <w:ind w:left="180"/>
              <w:spacing w:after="0"/>
              <w:rPr>
                <w:sz w:val="20"/>
                <w:szCs w:val="20"/>
                <w:color w:val="auto"/>
              </w:rPr>
            </w:pPr>
            <w:r>
              <w:rPr>
                <w:rFonts w:ascii="Arial" w:cs="Arial" w:eastAsia="Arial" w:hAnsi="Arial"/>
                <w:sz w:val="16"/>
                <w:szCs w:val="16"/>
                <w:color w:val="auto"/>
              </w:rPr>
              <w:t>Retainer for chair</w:t>
            </w:r>
          </w:p>
        </w:tc>
        <w:tc>
          <w:tcPr>
            <w:tcW w:w="2220" w:type="dxa"/>
            <w:vAlign w:val="bottom"/>
          </w:tcPr>
          <w:p>
            <w:pPr>
              <w:jc w:val="center"/>
              <w:spacing w:after="0"/>
              <w:rPr>
                <w:sz w:val="20"/>
                <w:szCs w:val="20"/>
                <w:color w:val="auto"/>
              </w:rPr>
            </w:pPr>
            <w:r>
              <w:rPr>
                <w:rFonts w:ascii="Arial" w:cs="Arial" w:eastAsia="Arial" w:hAnsi="Arial"/>
                <w:sz w:val="16"/>
                <w:szCs w:val="16"/>
                <w:color w:val="auto"/>
              </w:rPr>
              <w:t>$16,000</w:t>
            </w:r>
          </w:p>
        </w:tc>
      </w:tr>
      <w:tr>
        <w:trPr>
          <w:trHeight w:val="244"/>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Compensation Committee:</w:t>
            </w:r>
          </w:p>
        </w:tc>
        <w:tc>
          <w:tcPr>
            <w:tcW w:w="2220" w:type="dxa"/>
            <w:vAlign w:val="bottom"/>
            <w:shd w:val="clear" w:color="auto" w:fill="CCEEFF"/>
          </w:tcPr>
          <w:p>
            <w:pPr>
              <w:spacing w:after="0"/>
              <w:rPr>
                <w:sz w:val="21"/>
                <w:szCs w:val="21"/>
                <w:color w:val="auto"/>
              </w:rPr>
            </w:pPr>
          </w:p>
        </w:tc>
      </w:tr>
      <w:tr>
        <w:trPr>
          <w:trHeight w:val="228"/>
        </w:trPr>
        <w:tc>
          <w:tcPr>
            <w:tcW w:w="9020" w:type="dxa"/>
            <w:vAlign w:val="bottom"/>
          </w:tcPr>
          <w:p>
            <w:pPr>
              <w:ind w:left="180"/>
              <w:spacing w:after="0"/>
              <w:rPr>
                <w:sz w:val="20"/>
                <w:szCs w:val="20"/>
                <w:color w:val="auto"/>
              </w:rPr>
            </w:pPr>
            <w:r>
              <w:rPr>
                <w:rFonts w:ascii="Arial" w:cs="Arial" w:eastAsia="Arial" w:hAnsi="Arial"/>
                <w:sz w:val="16"/>
                <w:szCs w:val="16"/>
                <w:color w:val="auto"/>
              </w:rPr>
              <w:t>Members (other than chair)</w:t>
            </w: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$6,000</w:t>
            </w:r>
          </w:p>
        </w:tc>
      </w:tr>
      <w:tr>
        <w:trPr>
          <w:trHeight w:val="244"/>
        </w:trPr>
        <w:tc>
          <w:tcPr>
            <w:tcW w:w="9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Retainer for chair</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$12,000</w:t>
            </w:r>
          </w:p>
        </w:tc>
      </w:tr>
      <w:tr>
        <w:trPr>
          <w:trHeight w:val="232"/>
        </w:trPr>
        <w:tc>
          <w:tcPr>
            <w:tcW w:w="9020" w:type="dxa"/>
            <w:vAlign w:val="bottom"/>
          </w:tcPr>
          <w:p>
            <w:pPr>
              <w:ind w:left="20"/>
              <w:spacing w:after="0"/>
              <w:rPr>
                <w:sz w:val="20"/>
                <w:szCs w:val="20"/>
                <w:color w:val="auto"/>
              </w:rPr>
            </w:pPr>
            <w:r>
              <w:rPr>
                <w:rFonts w:ascii="Arial" w:cs="Arial" w:eastAsia="Arial" w:hAnsi="Arial"/>
                <w:sz w:val="16"/>
                <w:szCs w:val="16"/>
                <w:b w:val="1"/>
                <w:bCs w:val="1"/>
                <w:color w:val="auto"/>
              </w:rPr>
              <w:t>Nominating and Corporate Governance Committee:</w:t>
            </w:r>
          </w:p>
        </w:tc>
        <w:tc>
          <w:tcPr>
            <w:tcW w:w="2220" w:type="dxa"/>
            <w:vAlign w:val="bottom"/>
          </w:tcPr>
          <w:p>
            <w:pPr>
              <w:spacing w:after="0"/>
              <w:rPr>
                <w:sz w:val="20"/>
                <w:szCs w:val="20"/>
                <w:color w:val="auto"/>
              </w:rPr>
            </w:pPr>
          </w:p>
        </w:tc>
      </w:tr>
      <w:tr>
        <w:trPr>
          <w:trHeight w:val="240"/>
        </w:trPr>
        <w:tc>
          <w:tcPr>
            <w:tcW w:w="9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Members (other than chair)</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$4,000</w:t>
            </w:r>
          </w:p>
        </w:tc>
      </w:tr>
      <w:tr>
        <w:trPr>
          <w:trHeight w:val="228"/>
        </w:trPr>
        <w:tc>
          <w:tcPr>
            <w:tcW w:w="9020" w:type="dxa"/>
            <w:vAlign w:val="bottom"/>
          </w:tcPr>
          <w:p>
            <w:pPr>
              <w:ind w:left="180"/>
              <w:spacing w:after="0"/>
              <w:rPr>
                <w:sz w:val="20"/>
                <w:szCs w:val="20"/>
                <w:color w:val="auto"/>
              </w:rPr>
            </w:pPr>
            <w:r>
              <w:rPr>
                <w:rFonts w:ascii="Arial" w:cs="Arial" w:eastAsia="Arial" w:hAnsi="Arial"/>
                <w:sz w:val="16"/>
                <w:szCs w:val="16"/>
                <w:color w:val="auto"/>
              </w:rPr>
              <w:t>Retainer for chair</w:t>
            </w: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$8,000</w:t>
            </w:r>
          </w:p>
        </w:tc>
      </w:tr>
      <w:tr>
        <w:trPr>
          <w:trHeight w:val="244"/>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Science &amp; Technology Committee:</w:t>
            </w:r>
          </w:p>
        </w:tc>
        <w:tc>
          <w:tcPr>
            <w:tcW w:w="2220" w:type="dxa"/>
            <w:vAlign w:val="bottom"/>
            <w:shd w:val="clear" w:color="auto" w:fill="CCEEFF"/>
          </w:tcPr>
          <w:p>
            <w:pPr>
              <w:spacing w:after="0"/>
              <w:rPr>
                <w:sz w:val="21"/>
                <w:szCs w:val="21"/>
                <w:color w:val="auto"/>
              </w:rPr>
            </w:pPr>
          </w:p>
        </w:tc>
      </w:tr>
      <w:tr>
        <w:trPr>
          <w:trHeight w:val="228"/>
        </w:trPr>
        <w:tc>
          <w:tcPr>
            <w:tcW w:w="9020" w:type="dxa"/>
            <w:vAlign w:val="bottom"/>
          </w:tcPr>
          <w:p>
            <w:pPr>
              <w:ind w:left="180"/>
              <w:spacing w:after="0"/>
              <w:rPr>
                <w:sz w:val="20"/>
                <w:szCs w:val="20"/>
                <w:color w:val="auto"/>
              </w:rPr>
            </w:pPr>
            <w:r>
              <w:rPr>
                <w:rFonts w:ascii="Arial" w:cs="Arial" w:eastAsia="Arial" w:hAnsi="Arial"/>
                <w:sz w:val="16"/>
                <w:szCs w:val="16"/>
                <w:color w:val="auto"/>
              </w:rPr>
              <w:t>Members (other than chair)</w:t>
            </w: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$4,000</w:t>
            </w:r>
          </w:p>
        </w:tc>
      </w:tr>
      <w:tr>
        <w:trPr>
          <w:trHeight w:val="244"/>
        </w:trPr>
        <w:tc>
          <w:tcPr>
            <w:tcW w:w="9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Retainer for chair</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$8,000</w:t>
            </w:r>
          </w:p>
        </w:tc>
      </w:tr>
    </w:tbl>
    <w:p>
      <w:pPr>
        <w:spacing w:after="0" w:line="180"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In addition, the non-employee director compensation policy provides that, upon initial election to our Board of Directors, each non-employee director will be granted an option to purchase a number of shares equal to 0.1% of the total number of shares of our common stock issued and outstanding on the grant date, or the Initial Grant. The Initial Grant vests in equal monthly installments over three years from the grant date, subject to continued service as a director through the applicable vesting date. Furthermore, each non-employee director who continues as a non-employee director following the Annual Meeting will be granted an annual option to purchase a number of shares equal to 0.05% of the total number of shares of our common stock issued and outstanding on the grant date, or the Annual Grant. The Annual Grant vests in 12 equal monthly installments, subject to continued service as a director through the applicable vesting date. Such awards are subject to full accelerated vesting upon the sale of the company.</w:t>
      </w:r>
    </w:p>
    <w:p>
      <w:pPr>
        <w:spacing w:after="0" w:line="70" w:lineRule="exact"/>
        <w:rPr>
          <w:sz w:val="20"/>
          <w:szCs w:val="20"/>
          <w:color w:val="auto"/>
        </w:rPr>
      </w:pPr>
    </w:p>
    <w:p>
      <w:pPr>
        <w:ind w:right="280" w:firstLine="433"/>
        <w:spacing w:after="0" w:line="300" w:lineRule="auto"/>
        <w:rPr>
          <w:sz w:val="20"/>
          <w:szCs w:val="20"/>
          <w:color w:val="auto"/>
        </w:rPr>
      </w:pPr>
      <w:r>
        <w:rPr>
          <w:rFonts w:ascii="Arial" w:cs="Arial" w:eastAsia="Arial" w:hAnsi="Arial"/>
          <w:sz w:val="17"/>
          <w:szCs w:val="17"/>
          <w:color w:val="auto"/>
        </w:rPr>
        <w:t>We reimburse all reasonable out-of-pocket expenses incurred by non-employee directors in attending meetings of the Board of Directors and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2022 Director Compensation Table</w:t>
      </w:r>
    </w:p>
    <w:p>
      <w:pPr>
        <w:spacing w:after="0" w:line="119" w:lineRule="exact"/>
        <w:rPr>
          <w:sz w:val="20"/>
          <w:szCs w:val="20"/>
          <w:color w:val="auto"/>
        </w:rPr>
      </w:pPr>
    </w:p>
    <w:p>
      <w:pPr>
        <w:ind w:right="20" w:firstLine="433"/>
        <w:spacing w:after="0" w:line="270" w:lineRule="auto"/>
        <w:rPr>
          <w:sz w:val="20"/>
          <w:szCs w:val="20"/>
          <w:color w:val="auto"/>
        </w:rPr>
      </w:pPr>
      <w:r>
        <w:rPr>
          <w:rFonts w:ascii="Arial" w:cs="Arial" w:eastAsia="Arial" w:hAnsi="Arial"/>
          <w:sz w:val="17"/>
          <w:szCs w:val="17"/>
          <w:color w:val="auto"/>
        </w:rPr>
        <w:t>The following table presents the total compensation for each person who served as a non-employee member of our Board of Directors during the year ended December 31, 2022. Other than as set forth in the table and described more fully below, we did not pay any compensation, make any equity awards or non-equity awards to or pay any other compensation to any of the non-employee members of our Board of Directors in 2022 for their services as members of the Board of Directors.</w:t>
      </w:r>
    </w:p>
    <w:tbl>
      <w:tblPr>
        <w:tblLayout w:type="fixed"/>
        <w:tblInd w:w="40" w:type="dxa"/>
        <w:tblCellMar>
          <w:top w:w="0" w:type="dxa"/>
          <w:left w:w="0" w:type="dxa"/>
          <w:bottom w:w="0" w:type="dxa"/>
          <w:right w:w="0" w:type="dxa"/>
        </w:tblCellMar>
      </w:tblPr>
      <w:tr>
        <w:trPr>
          <w:trHeight w:val="160"/>
        </w:trPr>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8"/>
              </w:rPr>
              <w:t>Fees Earned or Paid</w:t>
            </w:r>
          </w:p>
        </w:tc>
        <w:tc>
          <w:tcPr>
            <w:tcW w:w="1700" w:type="dxa"/>
            <w:vAlign w:val="bottom"/>
            <w:gridSpan w:val="2"/>
          </w:tcPr>
          <w:p>
            <w:pPr>
              <w:jc w:val="center"/>
              <w:ind w:right="80"/>
              <w:spacing w:after="0" w:line="160" w:lineRule="exact"/>
              <w:rPr>
                <w:sz w:val="20"/>
                <w:szCs w:val="20"/>
                <w:color w:val="auto"/>
              </w:rPr>
            </w:pPr>
            <w:r>
              <w:rPr>
                <w:rFonts w:ascii="Arial" w:cs="Arial" w:eastAsia="Arial" w:hAnsi="Arial"/>
                <w:sz w:val="16"/>
                <w:szCs w:val="16"/>
                <w:b w:val="1"/>
                <w:bCs w:val="1"/>
                <w:color w:val="auto"/>
                <w:w w:val="96"/>
              </w:rPr>
              <w:t>Option</w:t>
            </w:r>
          </w:p>
        </w:tc>
        <w:tc>
          <w:tcPr>
            <w:tcW w:w="1720" w:type="dxa"/>
            <w:vAlign w:val="bottom"/>
            <w:gridSpan w:val="2"/>
          </w:tcPr>
          <w:p>
            <w:pPr>
              <w:jc w:val="center"/>
              <w:ind w:right="80"/>
              <w:spacing w:after="0" w:line="160" w:lineRule="exact"/>
              <w:rPr>
                <w:sz w:val="20"/>
                <w:szCs w:val="20"/>
                <w:color w:val="auto"/>
              </w:rPr>
            </w:pPr>
            <w:r>
              <w:rPr>
                <w:rFonts w:ascii="Arial" w:cs="Arial" w:eastAsia="Arial" w:hAnsi="Arial"/>
                <w:sz w:val="16"/>
                <w:szCs w:val="16"/>
                <w:b w:val="1"/>
                <w:bCs w:val="1"/>
                <w:color w:val="auto"/>
              </w:rPr>
              <w:t>All Other</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40" w:type="dxa"/>
            <w:vAlign w:val="bottom"/>
            <w:vMerge w:val="restart"/>
          </w:tcPr>
          <w:p>
            <w:pPr>
              <w:ind w:left="1960"/>
              <w:spacing w:after="0"/>
              <w:rPr>
                <w:sz w:val="20"/>
                <w:szCs w:val="20"/>
                <w:color w:val="auto"/>
              </w:rPr>
            </w:pPr>
            <w:r>
              <w:rPr>
                <w:rFonts w:ascii="Arial" w:cs="Arial" w:eastAsia="Arial" w:hAnsi="Arial"/>
                <w:sz w:val="16"/>
                <w:szCs w:val="16"/>
                <w:b w:val="1"/>
                <w:bCs w:val="1"/>
                <w:color w:val="auto"/>
              </w:rPr>
              <w:t>Name</w:t>
            </w:r>
          </w:p>
        </w:tc>
        <w:tc>
          <w:tcPr>
            <w:tcW w:w="100" w:type="dxa"/>
            <w:vAlign w:val="bottom"/>
            <w:vMerge w:val="restart"/>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70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rPr>
              <w:t>Awards</w:t>
            </w:r>
          </w:p>
        </w:tc>
        <w:tc>
          <w:tcPr>
            <w:tcW w:w="172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7"/>
              </w:rPr>
              <w:t>Compensation</w:t>
            </w:r>
          </w:p>
        </w:tc>
        <w:tc>
          <w:tcPr>
            <w:tcW w:w="162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in Cash ($)</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($)(1)(2)</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Jeffrey Chodakewitz, M.D.</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49,543</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142,821</w:t>
            </w:r>
          </w:p>
        </w:tc>
        <w:tc>
          <w:tcPr>
            <w:tcW w:w="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6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192,364</w:t>
            </w:r>
          </w:p>
        </w:tc>
        <w:tc>
          <w:tcPr>
            <w:tcW w:w="0" w:type="dxa"/>
            <w:vAlign w:val="bottom"/>
          </w:tcPr>
          <w:p>
            <w:pPr>
              <w:spacing w:after="0"/>
              <w:rPr>
                <w:sz w:val="1"/>
                <w:szCs w:val="1"/>
                <w:color w:val="auto"/>
              </w:rPr>
            </w:pPr>
          </w:p>
        </w:tc>
      </w:tr>
      <w:tr>
        <w:trPr>
          <w:trHeight w:val="209"/>
        </w:trPr>
        <w:tc>
          <w:tcPr>
            <w:tcW w:w="4440" w:type="dxa"/>
            <w:vAlign w:val="bottom"/>
            <w:gridSpan w:val="2"/>
          </w:tcPr>
          <w:p>
            <w:pPr>
              <w:spacing w:after="0"/>
              <w:rPr>
                <w:sz w:val="20"/>
                <w:szCs w:val="20"/>
                <w:color w:val="auto"/>
              </w:rPr>
            </w:pPr>
            <w:r>
              <w:rPr>
                <w:rFonts w:ascii="Arial" w:cs="Arial" w:eastAsia="Arial" w:hAnsi="Arial"/>
                <w:sz w:val="16"/>
                <w:szCs w:val="16"/>
                <w:color w:val="auto"/>
              </w:rPr>
              <w:t>Merit Cudkowicz, M.D.</w:t>
            </w: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54,000</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142,821</w:t>
            </w:r>
          </w:p>
        </w:tc>
        <w:tc>
          <w:tcPr>
            <w:tcW w:w="80" w:type="dxa"/>
            <w:vAlign w:val="bottom"/>
          </w:tcPr>
          <w:p>
            <w:pPr>
              <w:spacing w:after="0"/>
              <w:rPr>
                <w:sz w:val="18"/>
                <w:szCs w:val="18"/>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620" w:type="dxa"/>
            <w:vAlign w:val="bottom"/>
          </w:tcPr>
          <w:p>
            <w:pPr>
              <w:ind w:left="520"/>
              <w:spacing w:after="0"/>
              <w:rPr>
                <w:sz w:val="20"/>
                <w:szCs w:val="20"/>
                <w:color w:val="auto"/>
              </w:rPr>
            </w:pPr>
            <w:r>
              <w:rPr>
                <w:rFonts w:ascii="Arial" w:cs="Arial" w:eastAsia="Arial" w:hAnsi="Arial"/>
                <w:sz w:val="16"/>
                <w:szCs w:val="16"/>
                <w:color w:val="auto"/>
              </w:rPr>
              <w:t>196,821</w:t>
            </w:r>
          </w:p>
        </w:tc>
        <w:tc>
          <w:tcPr>
            <w:tcW w:w="0" w:type="dxa"/>
            <w:vAlign w:val="bottom"/>
          </w:tcPr>
          <w:p>
            <w:pPr>
              <w:spacing w:after="0"/>
              <w:rPr>
                <w:sz w:val="1"/>
                <w:szCs w:val="1"/>
                <w:color w:val="auto"/>
              </w:rPr>
            </w:pPr>
          </w:p>
        </w:tc>
      </w:tr>
      <w:tr>
        <w:trPr>
          <w:trHeight w:val="211"/>
        </w:trPr>
        <w:tc>
          <w:tcPr>
            <w:tcW w:w="4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Jill DeSimone(3)</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31,991</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335,325</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6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367,316</w:t>
            </w:r>
          </w:p>
        </w:tc>
        <w:tc>
          <w:tcPr>
            <w:tcW w:w="0" w:type="dxa"/>
            <w:vAlign w:val="bottom"/>
          </w:tcPr>
          <w:p>
            <w:pPr>
              <w:spacing w:after="0"/>
              <w:rPr>
                <w:sz w:val="1"/>
                <w:szCs w:val="1"/>
                <w:color w:val="auto"/>
              </w:rPr>
            </w:pPr>
          </w:p>
        </w:tc>
      </w:tr>
      <w:tr>
        <w:trPr>
          <w:trHeight w:val="209"/>
        </w:trPr>
        <w:tc>
          <w:tcPr>
            <w:tcW w:w="4440" w:type="dxa"/>
            <w:vAlign w:val="bottom"/>
            <w:gridSpan w:val="2"/>
          </w:tcPr>
          <w:p>
            <w:pPr>
              <w:spacing w:after="0"/>
              <w:rPr>
                <w:sz w:val="20"/>
                <w:szCs w:val="20"/>
                <w:color w:val="auto"/>
              </w:rPr>
            </w:pPr>
            <w:r>
              <w:rPr>
                <w:rFonts w:ascii="Arial" w:cs="Arial" w:eastAsia="Arial" w:hAnsi="Arial"/>
                <w:sz w:val="16"/>
                <w:szCs w:val="16"/>
                <w:color w:val="auto"/>
              </w:rPr>
              <w:t>Dean Mitchell</w:t>
            </w: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80,000</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142,821</w:t>
            </w:r>
          </w:p>
        </w:tc>
        <w:tc>
          <w:tcPr>
            <w:tcW w:w="80" w:type="dxa"/>
            <w:vAlign w:val="bottom"/>
          </w:tcPr>
          <w:p>
            <w:pPr>
              <w:spacing w:after="0"/>
              <w:rPr>
                <w:sz w:val="18"/>
                <w:szCs w:val="18"/>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620" w:type="dxa"/>
            <w:vAlign w:val="bottom"/>
          </w:tcPr>
          <w:p>
            <w:pPr>
              <w:ind w:left="520"/>
              <w:spacing w:after="0"/>
              <w:rPr>
                <w:sz w:val="20"/>
                <w:szCs w:val="20"/>
                <w:color w:val="auto"/>
              </w:rPr>
            </w:pPr>
            <w:r>
              <w:rPr>
                <w:rFonts w:ascii="Arial" w:cs="Arial" w:eastAsia="Arial" w:hAnsi="Arial"/>
                <w:sz w:val="16"/>
                <w:szCs w:val="16"/>
                <w:color w:val="auto"/>
              </w:rPr>
              <w:t>222,821</w:t>
            </w:r>
          </w:p>
        </w:tc>
        <w:tc>
          <w:tcPr>
            <w:tcW w:w="0" w:type="dxa"/>
            <w:vAlign w:val="bottom"/>
          </w:tcPr>
          <w:p>
            <w:pPr>
              <w:spacing w:after="0"/>
              <w:rPr>
                <w:sz w:val="1"/>
                <w:szCs w:val="1"/>
                <w:color w:val="auto"/>
              </w:rPr>
            </w:pPr>
          </w:p>
        </w:tc>
      </w:tr>
      <w:tr>
        <w:trPr>
          <w:trHeight w:val="211"/>
        </w:trPr>
        <w:tc>
          <w:tcPr>
            <w:tcW w:w="4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Stefan Vitorovic(4)</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34,543</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142,821</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6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177,364</w:t>
            </w:r>
          </w:p>
        </w:tc>
        <w:tc>
          <w:tcPr>
            <w:tcW w:w="0" w:type="dxa"/>
            <w:vAlign w:val="bottom"/>
          </w:tcPr>
          <w:p>
            <w:pPr>
              <w:spacing w:after="0"/>
              <w:rPr>
                <w:sz w:val="1"/>
                <w:szCs w:val="1"/>
                <w:color w:val="auto"/>
              </w:rPr>
            </w:pPr>
          </w:p>
        </w:tc>
      </w:tr>
      <w:tr>
        <w:trPr>
          <w:trHeight w:val="209"/>
        </w:trPr>
        <w:tc>
          <w:tcPr>
            <w:tcW w:w="4440" w:type="dxa"/>
            <w:vAlign w:val="bottom"/>
            <w:gridSpan w:val="2"/>
          </w:tcPr>
          <w:p>
            <w:pPr>
              <w:spacing w:after="0"/>
              <w:rPr>
                <w:sz w:val="20"/>
                <w:szCs w:val="20"/>
                <w:color w:val="auto"/>
              </w:rPr>
            </w:pPr>
            <w:r>
              <w:rPr>
                <w:rFonts w:ascii="Arial" w:cs="Arial" w:eastAsia="Arial" w:hAnsi="Arial"/>
                <w:sz w:val="16"/>
                <w:szCs w:val="16"/>
                <w:color w:val="auto"/>
              </w:rPr>
              <w:t>Gregory Norden</w:t>
            </w: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62,000</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142,821</w:t>
            </w:r>
          </w:p>
        </w:tc>
        <w:tc>
          <w:tcPr>
            <w:tcW w:w="80" w:type="dxa"/>
            <w:vAlign w:val="bottom"/>
          </w:tcPr>
          <w:p>
            <w:pPr>
              <w:spacing w:after="0"/>
              <w:rPr>
                <w:sz w:val="18"/>
                <w:szCs w:val="18"/>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620" w:type="dxa"/>
            <w:vAlign w:val="bottom"/>
          </w:tcPr>
          <w:p>
            <w:pPr>
              <w:ind w:left="520"/>
              <w:spacing w:after="0"/>
              <w:rPr>
                <w:sz w:val="20"/>
                <w:szCs w:val="20"/>
                <w:color w:val="auto"/>
              </w:rPr>
            </w:pPr>
            <w:r>
              <w:rPr>
                <w:rFonts w:ascii="Arial" w:cs="Arial" w:eastAsia="Arial" w:hAnsi="Arial"/>
                <w:sz w:val="16"/>
                <w:szCs w:val="16"/>
                <w:color w:val="auto"/>
              </w:rPr>
              <w:t>204,821</w:t>
            </w:r>
          </w:p>
        </w:tc>
        <w:tc>
          <w:tcPr>
            <w:tcW w:w="0" w:type="dxa"/>
            <w:vAlign w:val="bottom"/>
          </w:tcPr>
          <w:p>
            <w:pPr>
              <w:spacing w:after="0"/>
              <w:rPr>
                <w:sz w:val="1"/>
                <w:szCs w:val="1"/>
                <w:color w:val="auto"/>
              </w:rPr>
            </w:pPr>
          </w:p>
        </w:tc>
      </w:tr>
      <w:tr>
        <w:trPr>
          <w:trHeight w:val="211"/>
        </w:trPr>
        <w:tc>
          <w:tcPr>
            <w:tcW w:w="4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William Young</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64,000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142,821</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6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206,821</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w:t>
      </w:r>
    </w:p>
    <w:p>
      <w:pPr>
        <w:spacing w:after="0" w:line="30" w:lineRule="exact"/>
        <w:rPr>
          <w:sz w:val="20"/>
          <w:szCs w:val="20"/>
          <w:color w:val="auto"/>
        </w:rPr>
      </w:pPr>
    </w:p>
    <w:p>
      <w:pPr>
        <w:ind w:left="320" w:hanging="315"/>
        <w:spacing w:after="0" w:line="257" w:lineRule="auto"/>
        <w:tabs>
          <w:tab w:leader="none" w:pos="3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amount reported represents the aggregate grant date fair value of stock options awarded during fiscal year 2022, calculated in accordance with FASB ASC Topic 718. Such grant date fair values do not take into account any estimated forfeitures. The assumptions used in calculating the grant date fair value of the stock options reported in this column are set forth in Note 11 of our consolidated financial statements included in this Annual Report. The amounts reported in this column reflect the accounting cost for these stock options and do not correspond to the actual economic value that may be received by our directors upon the exercise of the stock options or any sale of the underlying shares of common stock.</w:t>
      </w:r>
    </w:p>
    <w:p>
      <w:pPr>
        <w:spacing w:after="0" w:line="2" w:lineRule="exact"/>
        <w:rPr>
          <w:rFonts w:ascii="Arial" w:cs="Arial" w:eastAsia="Arial" w:hAnsi="Arial"/>
          <w:sz w:val="17"/>
          <w:szCs w:val="17"/>
          <w:color w:val="auto"/>
        </w:rPr>
      </w:pPr>
    </w:p>
    <w:p>
      <w:pPr>
        <w:ind w:left="320" w:hanging="315"/>
        <w:spacing w:after="0" w:line="257" w:lineRule="auto"/>
        <w:tabs>
          <w:tab w:leader="none" w:pos="3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As of December 31, 2022, Dr. Chodakewitz held options to purchase 61,332 shares of our common stock, Dr. Cudkowicz held options to purchase 61,332 shares of our common stock, Ms. DeSimone held options to purchase 45,511 shares of our common stock, Mr. Mitchell held options to purchase 110,516 shares of our common stock, Mr. Norden held options to purchase 144,620 shares of our common stock and Mr. Young held options to purchase 147,250 shares of our common stock.</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Ms. DeSimone was appointed as a member of our Board of Directors in May 2022.</w:t>
      </w:r>
    </w:p>
    <w:p>
      <w:pPr>
        <w:spacing w:after="0" w:line="14" w:lineRule="exact"/>
        <w:rPr>
          <w:rFonts w:ascii="Arial" w:cs="Arial" w:eastAsia="Arial" w:hAnsi="Arial"/>
          <w:sz w:val="17"/>
          <w:szCs w:val="17"/>
          <w:color w:val="auto"/>
        </w:rPr>
      </w:pPr>
    </w:p>
    <w:p>
      <w:pPr>
        <w:ind w:left="320" w:hanging="315"/>
        <w:spacing w:after="0"/>
        <w:tabs>
          <w:tab w:leader="none" w:pos="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Mr. Vitorovic resigned as a director in August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200"/>
        <w:spacing w:after="0" w:line="387" w:lineRule="auto"/>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 Equity Compensation Plan Information</w:t>
      </w:r>
    </w:p>
    <w:p>
      <w:pPr>
        <w:spacing w:after="0" w:line="1" w:lineRule="exact"/>
        <w:rPr>
          <w:sz w:val="20"/>
          <w:szCs w:val="20"/>
          <w:color w:val="auto"/>
        </w:rPr>
      </w:pPr>
    </w:p>
    <w:p>
      <w:pPr>
        <w:ind w:right="140" w:firstLine="433"/>
        <w:spacing w:after="0" w:line="274" w:lineRule="auto"/>
        <w:rPr>
          <w:sz w:val="20"/>
          <w:szCs w:val="20"/>
          <w:color w:val="auto"/>
        </w:rPr>
      </w:pPr>
      <w:r>
        <w:rPr>
          <w:rFonts w:ascii="Arial" w:cs="Arial" w:eastAsia="Arial" w:hAnsi="Arial"/>
          <w:sz w:val="17"/>
          <w:szCs w:val="17"/>
          <w:color w:val="auto"/>
        </w:rPr>
        <w:t>The following table provides information as of December 31, 2022 regarding shares of common stock that may be issued under our equity compensation plans, consisting of our 2017 Stock Incentive Plan, our 2020 Stock Option and Incentive Plan and our 2020 Employee Stock Purchase Plan.</w:t>
      </w:r>
    </w:p>
    <w:p>
      <w:pPr>
        <w:sectPr>
          <w:pgSz w:w="11900" w:h="16838" w:orient="portrait"/>
          <w:cols w:equalWidth="0" w:num="1">
            <w:col w:w="11220"/>
          </w:cols>
          <w:pgMar w:left="320" w:top="1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Plan Category</w:t>
      </w:r>
    </w:p>
    <w:p>
      <w:pPr>
        <w:spacing w:after="0" w:line="41" w:lineRule="exact"/>
        <w:rPr>
          <w:sz w:val="20"/>
          <w:szCs w:val="20"/>
          <w:color w:val="auto"/>
        </w:rPr>
      </w:pPr>
    </w:p>
    <w:p>
      <w:pPr>
        <w:ind w:left="80" w:right="260"/>
        <w:spacing w:after="0" w:line="268" w:lineRule="auto"/>
        <w:rPr>
          <w:sz w:val="20"/>
          <w:szCs w:val="20"/>
          <w:color w:val="auto"/>
        </w:rPr>
      </w:pPr>
      <w:r>
        <w:rPr>
          <w:rFonts w:ascii="Arial" w:cs="Arial" w:eastAsia="Arial" w:hAnsi="Arial"/>
          <w:sz w:val="16"/>
          <w:szCs w:val="16"/>
          <w:color w:val="auto"/>
        </w:rPr>
        <w:t>Equity compensation plans approved by security holders:</w:t>
      </w:r>
    </w:p>
    <w:p>
      <w:pPr>
        <w:spacing w:after="0" w:line="9" w:lineRule="exact"/>
        <w:rPr>
          <w:sz w:val="20"/>
          <w:szCs w:val="20"/>
          <w:color w:val="auto"/>
        </w:rPr>
      </w:pPr>
    </w:p>
    <w:p>
      <w:pPr>
        <w:ind w:left="80"/>
        <w:spacing w:after="0" w:line="268" w:lineRule="auto"/>
        <w:rPr>
          <w:sz w:val="20"/>
          <w:szCs w:val="20"/>
          <w:color w:val="auto"/>
        </w:rPr>
      </w:pPr>
      <w:r>
        <w:rPr>
          <w:rFonts w:ascii="Arial" w:cs="Arial" w:eastAsia="Arial" w:hAnsi="Arial"/>
          <w:sz w:val="16"/>
          <w:szCs w:val="16"/>
          <w:color w:val="auto"/>
        </w:rPr>
        <w:t>Equity compensation plans not approved by security holders:</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8"/>
              </w:rPr>
              <w:t>Number of securities remaining</w:t>
            </w:r>
          </w:p>
        </w:tc>
      </w:tr>
      <w:tr>
        <w:trPr>
          <w:trHeight w:val="184"/>
        </w:trPr>
        <w:tc>
          <w:tcPr>
            <w:tcW w:w="2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Number of securities to be issued</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8"/>
              </w:rPr>
              <w:t>available for future issuance under</w:t>
            </w:r>
          </w:p>
        </w:tc>
      </w:tr>
      <w:tr>
        <w:trPr>
          <w:trHeight w:val="170"/>
        </w:trPr>
        <w:tc>
          <w:tcPr>
            <w:tcW w:w="2780" w:type="dxa"/>
            <w:vAlign w:val="bottom"/>
            <w:gridSpan w:val="2"/>
          </w:tcPr>
          <w:p>
            <w:pPr>
              <w:jc w:val="center"/>
              <w:ind w:right="120"/>
              <w:spacing w:after="0" w:line="171" w:lineRule="exact"/>
              <w:rPr>
                <w:sz w:val="20"/>
                <w:szCs w:val="20"/>
                <w:color w:val="auto"/>
              </w:rPr>
            </w:pPr>
            <w:r>
              <w:rPr>
                <w:rFonts w:ascii="Arial" w:cs="Arial" w:eastAsia="Arial" w:hAnsi="Arial"/>
                <w:sz w:val="16"/>
                <w:szCs w:val="16"/>
                <w:b w:val="1"/>
                <w:bCs w:val="1"/>
                <w:color w:val="auto"/>
                <w:w w:val="97"/>
              </w:rPr>
              <w:t>upon exercise of outstanding</w:t>
            </w:r>
          </w:p>
        </w:tc>
        <w:tc>
          <w:tcPr>
            <w:tcW w:w="2240" w:type="dxa"/>
            <w:vAlign w:val="bottom"/>
            <w:gridSpan w:val="2"/>
          </w:tcPr>
          <w:p>
            <w:pPr>
              <w:jc w:val="center"/>
              <w:ind w:right="120"/>
              <w:spacing w:after="0" w:line="171" w:lineRule="exact"/>
              <w:rPr>
                <w:sz w:val="20"/>
                <w:szCs w:val="20"/>
                <w:color w:val="auto"/>
              </w:rPr>
            </w:pPr>
            <w:r>
              <w:rPr>
                <w:rFonts w:ascii="Arial" w:cs="Arial" w:eastAsia="Arial" w:hAnsi="Arial"/>
                <w:sz w:val="16"/>
                <w:szCs w:val="16"/>
                <w:b w:val="1"/>
                <w:bCs w:val="1"/>
                <w:color w:val="auto"/>
                <w:w w:val="98"/>
              </w:rPr>
              <w:t>Weighted Average exercise</w:t>
            </w:r>
          </w:p>
        </w:tc>
        <w:tc>
          <w:tcPr>
            <w:tcW w:w="268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8"/>
              </w:rPr>
              <w:t>equity compensation plan</w:t>
            </w:r>
          </w:p>
        </w:tc>
      </w:tr>
      <w:tr>
        <w:trPr>
          <w:trHeight w:val="184"/>
        </w:trPr>
        <w:tc>
          <w:tcPr>
            <w:tcW w:w="2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options, restricted stock units and</w:t>
            </w:r>
          </w:p>
        </w:tc>
        <w:tc>
          <w:tcPr>
            <w:tcW w:w="2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price of outstanding</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8"/>
              </w:rPr>
              <w:t>(excluding securities referenced in</w:t>
            </w:r>
          </w:p>
        </w:tc>
      </w:tr>
      <w:tr>
        <w:trPr>
          <w:trHeight w:val="184"/>
        </w:trPr>
        <w:tc>
          <w:tcPr>
            <w:tcW w:w="2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rights</w:t>
            </w:r>
          </w:p>
        </w:tc>
        <w:tc>
          <w:tcPr>
            <w:tcW w:w="2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options</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9"/>
              </w:rPr>
              <w:t>column (a))</w:t>
            </w:r>
          </w:p>
        </w:tc>
      </w:tr>
      <w:tr>
        <w:trPr>
          <w:trHeight w:val="216"/>
        </w:trPr>
        <w:tc>
          <w:tcPr>
            <w:tcW w:w="2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w:t>
            </w:r>
          </w:p>
        </w:tc>
        <w:tc>
          <w:tcPr>
            <w:tcW w:w="2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(b)</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410"/>
        </w:trPr>
        <w:tc>
          <w:tcPr>
            <w:tcW w:w="2660" w:type="dxa"/>
            <w:vAlign w:val="bottom"/>
          </w:tcPr>
          <w:p>
            <w:pPr>
              <w:jc w:val="center"/>
              <w:spacing w:after="0"/>
              <w:rPr>
                <w:sz w:val="20"/>
                <w:szCs w:val="20"/>
                <w:color w:val="auto"/>
              </w:rPr>
            </w:pPr>
            <w:r>
              <w:rPr>
                <w:rFonts w:ascii="Arial" w:cs="Arial" w:eastAsia="Arial" w:hAnsi="Arial"/>
                <w:sz w:val="16"/>
                <w:szCs w:val="16"/>
                <w:color w:val="auto"/>
                <w:w w:val="99"/>
              </w:rPr>
              <w:t>9,581,978(1)</w:t>
            </w:r>
          </w:p>
        </w:tc>
        <w:tc>
          <w:tcPr>
            <w:tcW w:w="12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9"/>
              </w:rPr>
              <w:t>$13.93(2)</w:t>
            </w:r>
          </w:p>
        </w:tc>
        <w:tc>
          <w:tcPr>
            <w:tcW w:w="10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6"/>
                <w:szCs w:val="16"/>
                <w:color w:val="auto"/>
                <w:w w:val="99"/>
              </w:rPr>
              <w:t>2,490,877(3)</w:t>
            </w:r>
          </w:p>
        </w:tc>
      </w:tr>
      <w:tr>
        <w:trPr>
          <w:trHeight w:val="421"/>
        </w:trPr>
        <w:tc>
          <w:tcPr>
            <w:tcW w:w="278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w:t>
            </w:r>
          </w:p>
        </w:tc>
        <w:tc>
          <w:tcPr>
            <w:tcW w:w="22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6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2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9,581,978</w:t>
            </w:r>
          </w:p>
        </w:tc>
        <w:tc>
          <w:tcPr>
            <w:tcW w:w="120" w:type="dxa"/>
            <w:vAlign w:val="bottom"/>
          </w:tcPr>
          <w:p>
            <w:pPr>
              <w:spacing w:after="0"/>
              <w:rPr>
                <w:sz w:val="17"/>
                <w:szCs w:val="17"/>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$13.93</w:t>
            </w:r>
          </w:p>
        </w:tc>
        <w:tc>
          <w:tcPr>
            <w:tcW w:w="100" w:type="dxa"/>
            <w:vAlign w:val="bottom"/>
          </w:tcPr>
          <w:p>
            <w:pPr>
              <w:spacing w:after="0"/>
              <w:rPr>
                <w:sz w:val="17"/>
                <w:szCs w:val="17"/>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2,490,877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-139065</wp:posOffset>
            </wp:positionV>
            <wp:extent cx="7061200" cy="141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61200" cy="141605"/>
                    </a:xfrm>
                    <a:prstGeom prst="rect">
                      <a:avLst/>
                    </a:prstGeom>
                    <a:noFill/>
                  </pic:spPr>
                </pic:pic>
              </a:graphicData>
            </a:graphic>
          </wp:anchor>
        </w:drawing>
        <w:drawing>
          <wp:anchor simplePos="0" relativeHeight="251657728" behindDoc="1" locked="0" layoutInCell="0" allowOverlap="1">
            <wp:simplePos x="0" y="0"/>
            <wp:positionH relativeFrom="column">
              <wp:posOffset>-2177415</wp:posOffset>
            </wp:positionH>
            <wp:positionV relativeFrom="paragraph">
              <wp:posOffset>-680720</wp:posOffset>
            </wp:positionV>
            <wp:extent cx="7061200" cy="274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61200" cy="27495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3140" w:space="360"/>
            <w:col w:w="7720"/>
          </w:cols>
          <w:pgMar w:left="320" w:top="115" w:right="359" w:bottom="1440" w:gutter="0" w:footer="0" w:header="0"/>
          <w:type w:val="continuous"/>
        </w:sectPr>
      </w:pPr>
    </w:p>
    <w:p>
      <w:pPr>
        <w:spacing w:after="0"/>
        <w:rPr>
          <w:sz w:val="20"/>
          <w:szCs w:val="20"/>
          <w:color w:val="auto"/>
        </w:rPr>
      </w:pPr>
      <w:r>
        <w:rPr>
          <w:rFonts w:ascii="Arial" w:cs="Arial" w:eastAsia="Arial" w:hAnsi="Arial"/>
          <w:sz w:val="17"/>
          <w:szCs w:val="17"/>
          <w:color w:val="auto"/>
        </w:rPr>
        <w:t>_____________________</w:t>
      </w:r>
    </w:p>
    <w:p>
      <w:pPr>
        <w:spacing w:after="0" w:line="30" w:lineRule="exact"/>
        <w:rPr>
          <w:sz w:val="20"/>
          <w:szCs w:val="20"/>
          <w:color w:val="auto"/>
        </w:rPr>
      </w:pPr>
    </w:p>
    <w:p>
      <w:pPr>
        <w:ind w:left="320" w:hanging="315"/>
        <w:spacing w:after="0" w:line="257" w:lineRule="auto"/>
        <w:tabs>
          <w:tab w:leader="none" w:pos="311"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Includes 8,838,028 shares of common stock issuable upon the exercise of outstanding options and 743,950 shares subject to restricted stock units that will entitle the holder to one share of common stock for each unit that vests.</w:t>
      </w:r>
    </w:p>
    <w:p>
      <w:pPr>
        <w:ind w:left="320" w:right="280" w:hanging="315"/>
        <w:spacing w:after="0" w:line="257" w:lineRule="auto"/>
        <w:tabs>
          <w:tab w:leader="none" w:pos="311"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calculation does not take into account the 743,950 shares of common stock subject to outstanding restricted stock units. Such shares will be issued at the time the restricted stock unit vests, without any cash consideration payable for those shares.</w:t>
      </w:r>
    </w:p>
    <w:p>
      <w:pPr>
        <w:ind w:left="320" w:right="220" w:hanging="315"/>
        <w:spacing w:after="0" w:line="269" w:lineRule="auto"/>
        <w:tabs>
          <w:tab w:leader="none" w:pos="311" w:val="left"/>
        </w:tabs>
        <w:numPr>
          <w:ilvl w:val="0"/>
          <w:numId w:val="75"/>
        </w:numPr>
        <w:rPr>
          <w:rFonts w:ascii="Arial" w:cs="Arial" w:eastAsia="Arial" w:hAnsi="Arial"/>
          <w:sz w:val="17"/>
          <w:szCs w:val="17"/>
          <w:color w:val="auto"/>
        </w:rPr>
      </w:pPr>
      <w:r>
        <w:rPr>
          <w:rFonts w:ascii="Arial" w:cs="Arial" w:eastAsia="Arial" w:hAnsi="Arial"/>
          <w:sz w:val="17"/>
          <w:szCs w:val="17"/>
          <w:color w:val="auto"/>
        </w:rPr>
        <w:t>As of December 31, 2022, there were no shares available for grant under the 2017 Stock Incentive Plan, 1,650,955 shares available for grants under the 2020 Stock Option and Incentive Plan and 839,922 shares available for grants under the 2020 Employee Stock Purchase Plan (of which 283,861 shares were subject to outstanding purchase rights).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121" w:lineRule="exact"/>
        <w:rPr>
          <w:sz w:val="20"/>
          <w:szCs w:val="20"/>
          <w:color w:val="auto"/>
        </w:rPr>
      </w:pPr>
    </w:p>
    <w:p>
      <w:pPr>
        <w:ind w:right="160" w:firstLine="315"/>
        <w:spacing w:after="0" w:line="300" w:lineRule="auto"/>
        <w:rPr>
          <w:sz w:val="20"/>
          <w:szCs w:val="20"/>
          <w:color w:val="auto"/>
        </w:rPr>
      </w:pPr>
      <w:r>
        <w:rPr>
          <w:rFonts w:ascii="Arial" w:cs="Arial" w:eastAsia="Arial" w:hAnsi="Arial"/>
          <w:sz w:val="17"/>
          <w:szCs w:val="17"/>
          <w:color w:val="auto"/>
        </w:rPr>
        <w:t>The following table sets forth certain information known to us regarding beneficial ownership of our capital stock outstanding as of February 3, 2023 for:</w:t>
      </w:r>
    </w:p>
    <w:p>
      <w:pPr>
        <w:spacing w:after="0" w:line="36" w:lineRule="exact"/>
        <w:rPr>
          <w:sz w:val="20"/>
          <w:szCs w:val="20"/>
          <w:color w:val="auto"/>
        </w:rPr>
      </w:pPr>
    </w:p>
    <w:p>
      <w:pPr>
        <w:ind w:left="640" w:right="420" w:hanging="320"/>
        <w:spacing w:after="0" w:line="300" w:lineRule="auto"/>
        <w:tabs>
          <w:tab w:leader="none" w:pos="635"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 the beneficial owner of five percent or more of our outstanding common stock;</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of our named executive officers;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all of our current directors and executive officers as a group.</w:t>
      </w:r>
    </w:p>
    <w:p>
      <w:pPr>
        <w:spacing w:after="0" w:line="119" w:lineRule="exact"/>
        <w:rPr>
          <w:sz w:val="20"/>
          <w:szCs w:val="20"/>
          <w:color w:val="auto"/>
        </w:rPr>
      </w:pPr>
    </w:p>
    <w:p>
      <w:pPr>
        <w:ind w:right="20" w:firstLine="315"/>
        <w:spacing w:after="0" w:line="262"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those securities as well as any shares of common stock that the person has the right to acquire within 60 days of February 3, 2023 through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Each individual or entity shown on the table has furnished information with respect to beneficial ownership. Except as otherwise indicated below, the address of each officer, director and five percent stockholder listed below is c/o Praxis Precision Medicines, Inc., 99 High Street, 30th Floor, Boston, MA 02110.</w:t>
      </w:r>
    </w:p>
    <w:p>
      <w:pPr>
        <w:spacing w:after="0" w:line="283" w:lineRule="exact"/>
        <w:rPr>
          <w:sz w:val="20"/>
          <w:szCs w:val="20"/>
          <w:color w:val="auto"/>
        </w:rPr>
      </w:pPr>
    </w:p>
    <w:p>
      <w:pPr>
        <w:ind w:right="140" w:firstLine="315"/>
        <w:spacing w:after="0" w:line="300" w:lineRule="auto"/>
        <w:rPr>
          <w:sz w:val="20"/>
          <w:szCs w:val="20"/>
          <w:color w:val="auto"/>
        </w:rPr>
      </w:pPr>
      <w:r>
        <w:rPr>
          <w:rFonts w:ascii="Arial" w:cs="Arial" w:eastAsia="Arial" w:hAnsi="Arial"/>
          <w:sz w:val="17"/>
          <w:szCs w:val="17"/>
          <w:color w:val="auto"/>
        </w:rPr>
        <w:t>The percentage of beneficial ownership in the table below is based on 52,393,118 shares of common stock deemed to be outstanding as of February 3, 2023.</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3240" w:type="dxa"/>
            <w:vAlign w:val="bottom"/>
            <w:gridSpan w:val="4"/>
          </w:tcPr>
          <w:p>
            <w:pPr>
              <w:jc w:val="center"/>
              <w:spacing w:after="0"/>
              <w:rPr>
                <w:sz w:val="20"/>
                <w:szCs w:val="20"/>
                <w:color w:val="auto"/>
              </w:rPr>
            </w:pPr>
            <w:r>
              <w:rPr>
                <w:rFonts w:ascii="Arial" w:cs="Arial" w:eastAsia="Arial" w:hAnsi="Arial"/>
                <w:sz w:val="17"/>
                <w:szCs w:val="17"/>
                <w:b w:val="1"/>
                <w:bCs w:val="1"/>
                <w:color w:val="auto"/>
              </w:rPr>
              <w:t>COMMON STOCK BENEFICIALLY</w:t>
            </w:r>
          </w:p>
        </w:tc>
      </w:tr>
      <w:tr>
        <w:trPr>
          <w:trHeight w:val="236"/>
        </w:trPr>
        <w:tc>
          <w:tcPr>
            <w:tcW w:w="79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ind w:right="1093"/>
              <w:spacing w:after="0"/>
              <w:rPr>
                <w:sz w:val="20"/>
                <w:szCs w:val="20"/>
                <w:color w:val="auto"/>
              </w:rPr>
            </w:pPr>
            <w:r>
              <w:rPr>
                <w:rFonts w:ascii="Arial" w:cs="Arial" w:eastAsia="Arial" w:hAnsi="Arial"/>
                <w:sz w:val="17"/>
                <w:szCs w:val="17"/>
                <w:b w:val="1"/>
                <w:bCs w:val="1"/>
                <w:color w:val="auto"/>
              </w:rPr>
              <w:t>OWNED</w:t>
            </w:r>
          </w:p>
        </w:tc>
      </w:tr>
      <w:tr>
        <w:trPr>
          <w:trHeight w:val="216"/>
        </w:trPr>
        <w:tc>
          <w:tcPr>
            <w:tcW w:w="79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rPr>
              <w:t>SHARES</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PERCENTAGE</w:t>
            </w:r>
          </w:p>
        </w:tc>
      </w:tr>
      <w:tr>
        <w:trPr>
          <w:trHeight w:val="203"/>
        </w:trPr>
        <w:tc>
          <w:tcPr>
            <w:tcW w:w="7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5% or Greater Stockholders</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49"/>
        </w:trPr>
        <w:tc>
          <w:tcPr>
            <w:tcW w:w="7940" w:type="dxa"/>
            <w:vAlign w:val="bottom"/>
          </w:tcPr>
          <w:p>
            <w:pPr>
              <w:spacing w:after="0"/>
              <w:rPr>
                <w:sz w:val="20"/>
                <w:szCs w:val="20"/>
                <w:color w:val="auto"/>
              </w:rPr>
            </w:pPr>
            <w:r>
              <w:rPr>
                <w:rFonts w:ascii="Arial" w:cs="Arial" w:eastAsia="Arial" w:hAnsi="Arial"/>
                <w:sz w:val="17"/>
                <w:szCs w:val="17"/>
                <w:color w:val="auto"/>
              </w:rPr>
              <w:t>Clarus Lifesciences III, L.P. (1)</w:t>
            </w:r>
          </w:p>
        </w:tc>
        <w:tc>
          <w:tcPr>
            <w:tcW w:w="1180" w:type="dxa"/>
            <w:vAlign w:val="bottom"/>
          </w:tcPr>
          <w:p>
            <w:pPr>
              <w:jc w:val="center"/>
              <w:ind w:left="113"/>
              <w:spacing w:after="0"/>
              <w:rPr>
                <w:sz w:val="20"/>
                <w:szCs w:val="20"/>
                <w:color w:val="auto"/>
              </w:rPr>
            </w:pPr>
            <w:r>
              <w:rPr>
                <w:rFonts w:ascii="Arial" w:cs="Arial" w:eastAsia="Arial" w:hAnsi="Arial"/>
                <w:sz w:val="17"/>
                <w:szCs w:val="17"/>
                <w:color w:val="auto"/>
              </w:rPr>
              <w:t>4,894,109</w:t>
            </w:r>
          </w:p>
        </w:tc>
        <w:tc>
          <w:tcPr>
            <w:tcW w:w="2060" w:type="dxa"/>
            <w:vAlign w:val="bottom"/>
            <w:gridSpan w:val="3"/>
          </w:tcPr>
          <w:p>
            <w:pPr>
              <w:jc w:val="center"/>
              <w:ind w:left="213"/>
              <w:spacing w:after="0"/>
              <w:rPr>
                <w:sz w:val="20"/>
                <w:szCs w:val="20"/>
                <w:color w:val="auto"/>
              </w:rPr>
            </w:pPr>
            <w:r>
              <w:rPr>
                <w:rFonts w:ascii="Arial" w:cs="Arial" w:eastAsia="Arial" w:hAnsi="Arial"/>
                <w:sz w:val="17"/>
                <w:szCs w:val="17"/>
                <w:color w:val="auto"/>
              </w:rPr>
              <w:t>9.3%</w:t>
            </w: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Entities affiliated with Avidity (2)</w:t>
            </w:r>
          </w:p>
        </w:tc>
        <w:tc>
          <w:tcPr>
            <w:tcW w:w="1180" w:type="dxa"/>
            <w:vAlign w:val="bottom"/>
            <w:shd w:val="clear" w:color="auto" w:fill="CCEEFF"/>
          </w:tcPr>
          <w:p>
            <w:pPr>
              <w:jc w:val="center"/>
              <w:ind w:left="113"/>
              <w:spacing w:after="0"/>
              <w:rPr>
                <w:sz w:val="20"/>
                <w:szCs w:val="20"/>
                <w:color w:val="auto"/>
              </w:rPr>
            </w:pPr>
            <w:r>
              <w:rPr>
                <w:rFonts w:ascii="Arial" w:cs="Arial" w:eastAsia="Arial" w:hAnsi="Arial"/>
                <w:sz w:val="17"/>
                <w:szCs w:val="17"/>
                <w:color w:val="auto"/>
              </w:rPr>
              <w:t>4,100,000</w:t>
            </w:r>
          </w:p>
        </w:tc>
        <w:tc>
          <w:tcPr>
            <w:tcW w:w="2060" w:type="dxa"/>
            <w:vAlign w:val="bottom"/>
            <w:gridSpan w:val="3"/>
            <w:shd w:val="clear" w:color="auto" w:fill="CCEEFF"/>
          </w:tcPr>
          <w:p>
            <w:pPr>
              <w:jc w:val="center"/>
              <w:ind w:left="213"/>
              <w:spacing w:after="0"/>
              <w:rPr>
                <w:sz w:val="20"/>
                <w:szCs w:val="20"/>
                <w:color w:val="auto"/>
              </w:rPr>
            </w:pPr>
            <w:r>
              <w:rPr>
                <w:rFonts w:ascii="Arial" w:cs="Arial" w:eastAsia="Arial" w:hAnsi="Arial"/>
                <w:sz w:val="17"/>
                <w:szCs w:val="17"/>
                <w:color w:val="auto"/>
              </w:rPr>
              <w:t>7.8%</w:t>
            </w:r>
          </w:p>
        </w:tc>
      </w:tr>
      <w:tr>
        <w:trPr>
          <w:trHeight w:val="223"/>
        </w:trPr>
        <w:tc>
          <w:tcPr>
            <w:tcW w:w="7940" w:type="dxa"/>
            <w:vAlign w:val="bottom"/>
          </w:tcPr>
          <w:p>
            <w:pPr>
              <w:spacing w:after="0"/>
              <w:rPr>
                <w:sz w:val="20"/>
                <w:szCs w:val="20"/>
                <w:color w:val="auto"/>
              </w:rPr>
            </w:pPr>
            <w:r>
              <w:rPr>
                <w:rFonts w:ascii="Arial" w:cs="Arial" w:eastAsia="Arial" w:hAnsi="Arial"/>
                <w:sz w:val="17"/>
                <w:szCs w:val="17"/>
                <w:color w:val="auto"/>
              </w:rPr>
              <w:t>Entities affiliated with Eventide (3)</w:t>
            </w:r>
          </w:p>
        </w:tc>
        <w:tc>
          <w:tcPr>
            <w:tcW w:w="1180" w:type="dxa"/>
            <w:vAlign w:val="bottom"/>
          </w:tcPr>
          <w:p>
            <w:pPr>
              <w:jc w:val="center"/>
              <w:ind w:left="113"/>
              <w:spacing w:after="0"/>
              <w:rPr>
                <w:sz w:val="20"/>
                <w:szCs w:val="20"/>
                <w:color w:val="auto"/>
              </w:rPr>
            </w:pPr>
            <w:r>
              <w:rPr>
                <w:rFonts w:ascii="Arial" w:cs="Arial" w:eastAsia="Arial" w:hAnsi="Arial"/>
                <w:sz w:val="17"/>
                <w:szCs w:val="17"/>
                <w:color w:val="auto"/>
              </w:rPr>
              <w:t>3,810,599</w:t>
            </w:r>
          </w:p>
        </w:tc>
        <w:tc>
          <w:tcPr>
            <w:tcW w:w="2060" w:type="dxa"/>
            <w:vAlign w:val="bottom"/>
            <w:gridSpan w:val="3"/>
          </w:tcPr>
          <w:p>
            <w:pPr>
              <w:jc w:val="center"/>
              <w:ind w:left="213"/>
              <w:spacing w:after="0"/>
              <w:rPr>
                <w:sz w:val="20"/>
                <w:szCs w:val="20"/>
                <w:color w:val="auto"/>
              </w:rPr>
            </w:pPr>
            <w:r>
              <w:rPr>
                <w:rFonts w:ascii="Arial" w:cs="Arial" w:eastAsia="Arial" w:hAnsi="Arial"/>
                <w:sz w:val="17"/>
                <w:szCs w:val="17"/>
                <w:color w:val="auto"/>
              </w:rPr>
              <w:t>7.3%</w:t>
            </w: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Janus Henderson Group plc (4)</w:t>
            </w:r>
          </w:p>
        </w:tc>
        <w:tc>
          <w:tcPr>
            <w:tcW w:w="1180" w:type="dxa"/>
            <w:vAlign w:val="bottom"/>
            <w:shd w:val="clear" w:color="auto" w:fill="CCEEFF"/>
          </w:tcPr>
          <w:p>
            <w:pPr>
              <w:jc w:val="center"/>
              <w:ind w:left="113"/>
              <w:spacing w:after="0"/>
              <w:rPr>
                <w:sz w:val="20"/>
                <w:szCs w:val="20"/>
                <w:color w:val="auto"/>
              </w:rPr>
            </w:pPr>
            <w:r>
              <w:rPr>
                <w:rFonts w:ascii="Arial" w:cs="Arial" w:eastAsia="Arial" w:hAnsi="Arial"/>
                <w:sz w:val="17"/>
                <w:szCs w:val="17"/>
                <w:color w:val="auto"/>
              </w:rPr>
              <w:t>3,342,569</w:t>
            </w:r>
          </w:p>
        </w:tc>
        <w:tc>
          <w:tcPr>
            <w:tcW w:w="2060" w:type="dxa"/>
            <w:vAlign w:val="bottom"/>
            <w:gridSpan w:val="3"/>
            <w:shd w:val="clear" w:color="auto" w:fill="CCEEFF"/>
          </w:tcPr>
          <w:p>
            <w:pPr>
              <w:jc w:val="center"/>
              <w:ind w:left="213"/>
              <w:spacing w:after="0"/>
              <w:rPr>
                <w:sz w:val="20"/>
                <w:szCs w:val="20"/>
                <w:color w:val="auto"/>
              </w:rPr>
            </w:pPr>
            <w:r>
              <w:rPr>
                <w:rFonts w:ascii="Arial" w:cs="Arial" w:eastAsia="Arial" w:hAnsi="Arial"/>
                <w:sz w:val="17"/>
                <w:szCs w:val="17"/>
                <w:color w:val="auto"/>
              </w:rPr>
              <w:t>6.4%</w:t>
            </w:r>
          </w:p>
        </w:tc>
      </w:tr>
      <w:tr>
        <w:trPr>
          <w:trHeight w:val="223"/>
        </w:trPr>
        <w:tc>
          <w:tcPr>
            <w:tcW w:w="7940" w:type="dxa"/>
            <w:vAlign w:val="bottom"/>
          </w:tcPr>
          <w:p>
            <w:pPr>
              <w:spacing w:after="0"/>
              <w:rPr>
                <w:sz w:val="20"/>
                <w:szCs w:val="20"/>
                <w:color w:val="auto"/>
              </w:rPr>
            </w:pPr>
            <w:r>
              <w:rPr>
                <w:rFonts w:ascii="Arial" w:cs="Arial" w:eastAsia="Arial" w:hAnsi="Arial"/>
                <w:sz w:val="17"/>
                <w:szCs w:val="17"/>
                <w:color w:val="auto"/>
              </w:rPr>
              <w:t>The Vanguard Group (5)</w:t>
            </w:r>
          </w:p>
        </w:tc>
        <w:tc>
          <w:tcPr>
            <w:tcW w:w="1180" w:type="dxa"/>
            <w:vAlign w:val="bottom"/>
          </w:tcPr>
          <w:p>
            <w:pPr>
              <w:jc w:val="center"/>
              <w:ind w:left="113"/>
              <w:spacing w:after="0"/>
              <w:rPr>
                <w:sz w:val="20"/>
                <w:szCs w:val="20"/>
                <w:color w:val="auto"/>
              </w:rPr>
            </w:pPr>
            <w:r>
              <w:rPr>
                <w:rFonts w:ascii="Arial" w:cs="Arial" w:eastAsia="Arial" w:hAnsi="Arial"/>
                <w:sz w:val="17"/>
                <w:szCs w:val="17"/>
                <w:color w:val="auto"/>
              </w:rPr>
              <w:t>3,292,443</w:t>
            </w:r>
          </w:p>
        </w:tc>
        <w:tc>
          <w:tcPr>
            <w:tcW w:w="2060" w:type="dxa"/>
            <w:vAlign w:val="bottom"/>
            <w:gridSpan w:val="3"/>
          </w:tcPr>
          <w:p>
            <w:pPr>
              <w:jc w:val="center"/>
              <w:ind w:left="213"/>
              <w:spacing w:after="0"/>
              <w:rPr>
                <w:sz w:val="20"/>
                <w:szCs w:val="20"/>
                <w:color w:val="auto"/>
              </w:rPr>
            </w:pPr>
            <w:r>
              <w:rPr>
                <w:rFonts w:ascii="Arial" w:cs="Arial" w:eastAsia="Arial" w:hAnsi="Arial"/>
                <w:sz w:val="17"/>
                <w:szCs w:val="17"/>
                <w:color w:val="auto"/>
              </w:rPr>
              <w:t>6.3%</w:t>
            </w: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Blackrock, Inc. (6)</w:t>
            </w:r>
          </w:p>
        </w:tc>
        <w:tc>
          <w:tcPr>
            <w:tcW w:w="1180" w:type="dxa"/>
            <w:vAlign w:val="bottom"/>
            <w:shd w:val="clear" w:color="auto" w:fill="CCEEFF"/>
          </w:tcPr>
          <w:p>
            <w:pPr>
              <w:jc w:val="center"/>
              <w:ind w:left="113"/>
              <w:spacing w:after="0"/>
              <w:rPr>
                <w:sz w:val="20"/>
                <w:szCs w:val="20"/>
                <w:color w:val="auto"/>
              </w:rPr>
            </w:pPr>
            <w:r>
              <w:rPr>
                <w:rFonts w:ascii="Arial" w:cs="Arial" w:eastAsia="Arial" w:hAnsi="Arial"/>
                <w:sz w:val="17"/>
                <w:szCs w:val="17"/>
                <w:color w:val="auto"/>
              </w:rPr>
              <w:t>2,971,762</w:t>
            </w:r>
          </w:p>
        </w:tc>
        <w:tc>
          <w:tcPr>
            <w:tcW w:w="2060" w:type="dxa"/>
            <w:vAlign w:val="bottom"/>
            <w:gridSpan w:val="3"/>
            <w:shd w:val="clear" w:color="auto" w:fill="CCEEFF"/>
          </w:tcPr>
          <w:p>
            <w:pPr>
              <w:jc w:val="center"/>
              <w:ind w:left="213"/>
              <w:spacing w:after="0"/>
              <w:rPr>
                <w:sz w:val="20"/>
                <w:szCs w:val="20"/>
                <w:color w:val="auto"/>
              </w:rPr>
            </w:pPr>
            <w:r>
              <w:rPr>
                <w:rFonts w:ascii="Arial" w:cs="Arial" w:eastAsia="Arial" w:hAnsi="Arial"/>
                <w:sz w:val="17"/>
                <w:szCs w:val="17"/>
                <w:color w:val="auto"/>
              </w:rPr>
              <w:t>5.7%</w:t>
            </w:r>
          </w:p>
        </w:tc>
      </w:tr>
      <w:tr>
        <w:trPr>
          <w:trHeight w:val="223"/>
        </w:trPr>
        <w:tc>
          <w:tcPr>
            <w:tcW w:w="7940" w:type="dxa"/>
            <w:vAlign w:val="bottom"/>
          </w:tcPr>
          <w:p>
            <w:pPr>
              <w:spacing w:after="0"/>
              <w:rPr>
                <w:sz w:val="20"/>
                <w:szCs w:val="20"/>
                <w:color w:val="auto"/>
              </w:rPr>
            </w:pPr>
            <w:r>
              <w:rPr>
                <w:rFonts w:ascii="Arial" w:cs="Arial" w:eastAsia="Arial" w:hAnsi="Arial"/>
                <w:sz w:val="17"/>
                <w:szCs w:val="17"/>
                <w:color w:val="auto"/>
              </w:rPr>
              <w:t>Vida Ventures, LLC (7)</w:t>
            </w:r>
          </w:p>
        </w:tc>
        <w:tc>
          <w:tcPr>
            <w:tcW w:w="1180" w:type="dxa"/>
            <w:vAlign w:val="bottom"/>
          </w:tcPr>
          <w:p>
            <w:pPr>
              <w:jc w:val="center"/>
              <w:ind w:left="113"/>
              <w:spacing w:after="0"/>
              <w:rPr>
                <w:sz w:val="20"/>
                <w:szCs w:val="20"/>
                <w:color w:val="auto"/>
              </w:rPr>
            </w:pPr>
            <w:r>
              <w:rPr>
                <w:rFonts w:ascii="Arial" w:cs="Arial" w:eastAsia="Arial" w:hAnsi="Arial"/>
                <w:sz w:val="17"/>
                <w:szCs w:val="17"/>
                <w:color w:val="auto"/>
              </w:rPr>
              <w:t>2,939,329</w:t>
            </w:r>
          </w:p>
        </w:tc>
        <w:tc>
          <w:tcPr>
            <w:tcW w:w="2060" w:type="dxa"/>
            <w:vAlign w:val="bottom"/>
            <w:gridSpan w:val="3"/>
          </w:tcPr>
          <w:p>
            <w:pPr>
              <w:jc w:val="center"/>
              <w:ind w:left="213"/>
              <w:spacing w:after="0"/>
              <w:rPr>
                <w:sz w:val="20"/>
                <w:szCs w:val="20"/>
                <w:color w:val="auto"/>
              </w:rPr>
            </w:pPr>
            <w:r>
              <w:rPr>
                <w:rFonts w:ascii="Arial" w:cs="Arial" w:eastAsia="Arial" w:hAnsi="Arial"/>
                <w:sz w:val="17"/>
                <w:szCs w:val="17"/>
                <w:color w:val="auto"/>
              </w:rPr>
              <w:t>5.6%</w:t>
            </w: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Entities affiliated with Kingdon (8)</w:t>
            </w:r>
          </w:p>
        </w:tc>
        <w:tc>
          <w:tcPr>
            <w:tcW w:w="1180" w:type="dxa"/>
            <w:vAlign w:val="bottom"/>
            <w:shd w:val="clear" w:color="auto" w:fill="CCEEFF"/>
          </w:tcPr>
          <w:p>
            <w:pPr>
              <w:jc w:val="center"/>
              <w:ind w:left="113"/>
              <w:spacing w:after="0"/>
              <w:rPr>
                <w:sz w:val="20"/>
                <w:szCs w:val="20"/>
                <w:color w:val="auto"/>
              </w:rPr>
            </w:pPr>
            <w:r>
              <w:rPr>
                <w:rFonts w:ascii="Arial" w:cs="Arial" w:eastAsia="Arial" w:hAnsi="Arial"/>
                <w:sz w:val="17"/>
                <w:szCs w:val="17"/>
                <w:color w:val="auto"/>
              </w:rPr>
              <w:t>2,855,989</w:t>
            </w:r>
          </w:p>
        </w:tc>
        <w:tc>
          <w:tcPr>
            <w:tcW w:w="2060" w:type="dxa"/>
            <w:vAlign w:val="bottom"/>
            <w:gridSpan w:val="3"/>
            <w:shd w:val="clear" w:color="auto" w:fill="CCEEFF"/>
          </w:tcPr>
          <w:p>
            <w:pPr>
              <w:jc w:val="center"/>
              <w:ind w:left="213"/>
              <w:spacing w:after="0"/>
              <w:rPr>
                <w:sz w:val="20"/>
                <w:szCs w:val="20"/>
                <w:color w:val="auto"/>
              </w:rPr>
            </w:pPr>
            <w:r>
              <w:rPr>
                <w:rFonts w:ascii="Arial" w:cs="Arial" w:eastAsia="Arial" w:hAnsi="Arial"/>
                <w:sz w:val="17"/>
                <w:szCs w:val="17"/>
                <w:color w:val="auto"/>
              </w:rPr>
              <w:t>5.5%</w:t>
            </w:r>
          </w:p>
        </w:tc>
      </w:tr>
      <w:tr>
        <w:trPr>
          <w:trHeight w:val="223"/>
        </w:trPr>
        <w:tc>
          <w:tcPr>
            <w:tcW w:w="7940" w:type="dxa"/>
            <w:vAlign w:val="bottom"/>
          </w:tcPr>
          <w:p>
            <w:pPr>
              <w:spacing w:after="0"/>
              <w:rPr>
                <w:sz w:val="20"/>
                <w:szCs w:val="20"/>
                <w:color w:val="auto"/>
              </w:rPr>
            </w:pPr>
            <w:r>
              <w:rPr>
                <w:rFonts w:ascii="Arial" w:cs="Arial" w:eastAsia="Arial" w:hAnsi="Arial"/>
                <w:sz w:val="17"/>
                <w:szCs w:val="17"/>
                <w:b w:val="1"/>
                <w:bCs w:val="1"/>
                <w:color w:val="auto"/>
              </w:rPr>
              <w:t>Directors, Named Executive Officers and Other Executive Officers</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Dean Mitchell (9)</w:t>
            </w:r>
          </w:p>
        </w:tc>
        <w:tc>
          <w:tcPr>
            <w:tcW w:w="1180" w:type="dxa"/>
            <w:vAlign w:val="bottom"/>
            <w:shd w:val="clear" w:color="auto" w:fill="CCEEFF"/>
          </w:tcPr>
          <w:p>
            <w:pPr>
              <w:jc w:val="center"/>
              <w:ind w:left="113"/>
              <w:spacing w:after="0"/>
              <w:rPr>
                <w:sz w:val="20"/>
                <w:szCs w:val="20"/>
                <w:color w:val="auto"/>
              </w:rPr>
            </w:pPr>
            <w:r>
              <w:rPr>
                <w:rFonts w:ascii="Arial" w:cs="Arial" w:eastAsia="Arial" w:hAnsi="Arial"/>
                <w:sz w:val="17"/>
                <w:szCs w:val="17"/>
                <w:color w:val="auto"/>
              </w:rPr>
              <w:t>108,555</w:t>
            </w:r>
          </w:p>
        </w:tc>
        <w:tc>
          <w:tcPr>
            <w:tcW w:w="2060" w:type="dxa"/>
            <w:vAlign w:val="bottom"/>
            <w:gridSpan w:val="3"/>
            <w:shd w:val="clear" w:color="auto" w:fill="CCEEFF"/>
          </w:tcPr>
          <w:p>
            <w:pPr>
              <w:jc w:val="center"/>
              <w:ind w:left="233"/>
              <w:spacing w:after="0"/>
              <w:rPr>
                <w:sz w:val="20"/>
                <w:szCs w:val="20"/>
                <w:color w:val="auto"/>
              </w:rPr>
            </w:pPr>
            <w:r>
              <w:rPr>
                <w:rFonts w:ascii="Arial" w:cs="Arial" w:eastAsia="Arial" w:hAnsi="Arial"/>
                <w:sz w:val="17"/>
                <w:szCs w:val="17"/>
                <w:color w:val="auto"/>
                <w:w w:val="89"/>
              </w:rPr>
              <w:t>*</w:t>
            </w:r>
          </w:p>
        </w:tc>
      </w:tr>
      <w:tr>
        <w:trPr>
          <w:trHeight w:val="223"/>
        </w:trPr>
        <w:tc>
          <w:tcPr>
            <w:tcW w:w="7940" w:type="dxa"/>
            <w:vAlign w:val="bottom"/>
          </w:tcPr>
          <w:p>
            <w:pPr>
              <w:spacing w:after="0"/>
              <w:rPr>
                <w:sz w:val="20"/>
                <w:szCs w:val="20"/>
                <w:color w:val="auto"/>
              </w:rPr>
            </w:pPr>
            <w:r>
              <w:rPr>
                <w:rFonts w:ascii="Arial" w:cs="Arial" w:eastAsia="Arial" w:hAnsi="Arial"/>
                <w:sz w:val="17"/>
                <w:szCs w:val="17"/>
                <w:color w:val="auto"/>
              </w:rPr>
              <w:t>Jeffrey Chodakewitz (10)</w:t>
            </w:r>
          </w:p>
        </w:tc>
        <w:tc>
          <w:tcPr>
            <w:tcW w:w="1180" w:type="dxa"/>
            <w:vAlign w:val="bottom"/>
          </w:tcPr>
          <w:p>
            <w:pPr>
              <w:jc w:val="center"/>
              <w:ind w:left="113"/>
              <w:spacing w:after="0"/>
              <w:rPr>
                <w:sz w:val="20"/>
                <w:szCs w:val="20"/>
                <w:color w:val="auto"/>
              </w:rPr>
            </w:pPr>
            <w:r>
              <w:rPr>
                <w:rFonts w:ascii="Arial" w:cs="Arial" w:eastAsia="Arial" w:hAnsi="Arial"/>
                <w:sz w:val="17"/>
                <w:szCs w:val="17"/>
                <w:color w:val="auto"/>
              </w:rPr>
              <w:t>43,616</w:t>
            </w:r>
          </w:p>
        </w:tc>
        <w:tc>
          <w:tcPr>
            <w:tcW w:w="2060" w:type="dxa"/>
            <w:vAlign w:val="bottom"/>
            <w:gridSpan w:val="3"/>
          </w:tcPr>
          <w:p>
            <w:pPr>
              <w:jc w:val="center"/>
              <w:ind w:left="233"/>
              <w:spacing w:after="0"/>
              <w:rPr>
                <w:sz w:val="20"/>
                <w:szCs w:val="20"/>
                <w:color w:val="auto"/>
              </w:rPr>
            </w:pPr>
            <w:r>
              <w:rPr>
                <w:rFonts w:ascii="Arial" w:cs="Arial" w:eastAsia="Arial" w:hAnsi="Arial"/>
                <w:sz w:val="17"/>
                <w:szCs w:val="17"/>
                <w:color w:val="auto"/>
                <w:w w:val="89"/>
              </w:rPr>
              <w:t>*</w:t>
            </w: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Merit Cudkowicz (11)</w:t>
            </w:r>
          </w:p>
        </w:tc>
        <w:tc>
          <w:tcPr>
            <w:tcW w:w="1180" w:type="dxa"/>
            <w:vAlign w:val="bottom"/>
            <w:shd w:val="clear" w:color="auto" w:fill="CCEEFF"/>
          </w:tcPr>
          <w:p>
            <w:pPr>
              <w:jc w:val="center"/>
              <w:ind w:left="113"/>
              <w:spacing w:after="0"/>
              <w:rPr>
                <w:sz w:val="20"/>
                <w:szCs w:val="20"/>
                <w:color w:val="auto"/>
              </w:rPr>
            </w:pPr>
            <w:r>
              <w:rPr>
                <w:rFonts w:ascii="Arial" w:cs="Arial" w:eastAsia="Arial" w:hAnsi="Arial"/>
                <w:sz w:val="17"/>
                <w:szCs w:val="17"/>
                <w:color w:val="auto"/>
              </w:rPr>
              <w:t>43,616</w:t>
            </w:r>
          </w:p>
        </w:tc>
        <w:tc>
          <w:tcPr>
            <w:tcW w:w="2060" w:type="dxa"/>
            <w:vAlign w:val="bottom"/>
            <w:gridSpan w:val="3"/>
            <w:shd w:val="clear" w:color="auto" w:fill="CCEEFF"/>
          </w:tcPr>
          <w:p>
            <w:pPr>
              <w:jc w:val="center"/>
              <w:ind w:left="233"/>
              <w:spacing w:after="0"/>
              <w:rPr>
                <w:sz w:val="20"/>
                <w:szCs w:val="20"/>
                <w:color w:val="auto"/>
              </w:rPr>
            </w:pPr>
            <w:r>
              <w:rPr>
                <w:rFonts w:ascii="Arial" w:cs="Arial" w:eastAsia="Arial" w:hAnsi="Arial"/>
                <w:sz w:val="17"/>
                <w:szCs w:val="17"/>
                <w:color w:val="auto"/>
                <w:w w:val="89"/>
              </w:rPr>
              <w:t>*</w:t>
            </w:r>
          </w:p>
        </w:tc>
      </w:tr>
      <w:tr>
        <w:trPr>
          <w:trHeight w:val="223"/>
        </w:trPr>
        <w:tc>
          <w:tcPr>
            <w:tcW w:w="7940" w:type="dxa"/>
            <w:vAlign w:val="bottom"/>
          </w:tcPr>
          <w:p>
            <w:pPr>
              <w:spacing w:after="0"/>
              <w:rPr>
                <w:sz w:val="20"/>
                <w:szCs w:val="20"/>
                <w:color w:val="auto"/>
              </w:rPr>
            </w:pPr>
            <w:r>
              <w:rPr>
                <w:rFonts w:ascii="Arial" w:cs="Arial" w:eastAsia="Arial" w:hAnsi="Arial"/>
                <w:sz w:val="17"/>
                <w:szCs w:val="17"/>
                <w:color w:val="auto"/>
              </w:rPr>
              <w:t>Jill DeSimone (12)</w:t>
            </w:r>
          </w:p>
        </w:tc>
        <w:tc>
          <w:tcPr>
            <w:tcW w:w="1180" w:type="dxa"/>
            <w:vAlign w:val="bottom"/>
          </w:tcPr>
          <w:p>
            <w:pPr>
              <w:jc w:val="center"/>
              <w:ind w:left="113"/>
              <w:spacing w:after="0"/>
              <w:rPr>
                <w:sz w:val="20"/>
                <w:szCs w:val="20"/>
                <w:color w:val="auto"/>
              </w:rPr>
            </w:pPr>
            <w:r>
              <w:rPr>
                <w:rFonts w:ascii="Arial" w:cs="Arial" w:eastAsia="Arial" w:hAnsi="Arial"/>
                <w:sz w:val="17"/>
                <w:szCs w:val="17"/>
                <w:color w:val="auto"/>
              </w:rPr>
              <w:t>12,641</w:t>
            </w:r>
          </w:p>
        </w:tc>
        <w:tc>
          <w:tcPr>
            <w:tcW w:w="2060" w:type="dxa"/>
            <w:vAlign w:val="bottom"/>
            <w:gridSpan w:val="3"/>
          </w:tcPr>
          <w:p>
            <w:pPr>
              <w:jc w:val="center"/>
              <w:ind w:left="233"/>
              <w:spacing w:after="0"/>
              <w:rPr>
                <w:sz w:val="20"/>
                <w:szCs w:val="20"/>
                <w:color w:val="auto"/>
              </w:rPr>
            </w:pPr>
            <w:r>
              <w:rPr>
                <w:rFonts w:ascii="Arial" w:cs="Arial" w:eastAsia="Arial" w:hAnsi="Arial"/>
                <w:sz w:val="17"/>
                <w:szCs w:val="17"/>
                <w:color w:val="auto"/>
                <w:w w:val="89"/>
              </w:rPr>
              <w:t>*</w:t>
            </w: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Gregory Norden (13)</w:t>
            </w:r>
          </w:p>
        </w:tc>
        <w:tc>
          <w:tcPr>
            <w:tcW w:w="1180" w:type="dxa"/>
            <w:vAlign w:val="bottom"/>
            <w:shd w:val="clear" w:color="auto" w:fill="CCEEFF"/>
          </w:tcPr>
          <w:p>
            <w:pPr>
              <w:jc w:val="center"/>
              <w:ind w:left="113"/>
              <w:spacing w:after="0"/>
              <w:rPr>
                <w:sz w:val="20"/>
                <w:szCs w:val="20"/>
                <w:color w:val="auto"/>
              </w:rPr>
            </w:pPr>
            <w:r>
              <w:rPr>
                <w:rFonts w:ascii="Arial" w:cs="Arial" w:eastAsia="Arial" w:hAnsi="Arial"/>
                <w:sz w:val="17"/>
                <w:szCs w:val="17"/>
                <w:color w:val="auto"/>
              </w:rPr>
              <w:t>117,328</w:t>
            </w:r>
          </w:p>
        </w:tc>
        <w:tc>
          <w:tcPr>
            <w:tcW w:w="2060" w:type="dxa"/>
            <w:vAlign w:val="bottom"/>
            <w:gridSpan w:val="3"/>
            <w:shd w:val="clear" w:color="auto" w:fill="CCEEFF"/>
          </w:tcPr>
          <w:p>
            <w:pPr>
              <w:jc w:val="center"/>
              <w:ind w:left="233"/>
              <w:spacing w:after="0"/>
              <w:rPr>
                <w:sz w:val="20"/>
                <w:szCs w:val="20"/>
                <w:color w:val="auto"/>
              </w:rPr>
            </w:pPr>
            <w:r>
              <w:rPr>
                <w:rFonts w:ascii="Arial" w:cs="Arial" w:eastAsia="Arial" w:hAnsi="Arial"/>
                <w:sz w:val="17"/>
                <w:szCs w:val="17"/>
                <w:color w:val="auto"/>
                <w:w w:val="89"/>
              </w:rPr>
              <w:t>*</w:t>
            </w:r>
          </w:p>
        </w:tc>
      </w:tr>
      <w:tr>
        <w:trPr>
          <w:trHeight w:val="223"/>
        </w:trPr>
        <w:tc>
          <w:tcPr>
            <w:tcW w:w="7940" w:type="dxa"/>
            <w:vAlign w:val="bottom"/>
          </w:tcPr>
          <w:p>
            <w:pPr>
              <w:spacing w:after="0"/>
              <w:rPr>
                <w:sz w:val="20"/>
                <w:szCs w:val="20"/>
                <w:color w:val="auto"/>
              </w:rPr>
            </w:pPr>
            <w:r>
              <w:rPr>
                <w:rFonts w:ascii="Arial" w:cs="Arial" w:eastAsia="Arial" w:hAnsi="Arial"/>
                <w:sz w:val="17"/>
                <w:szCs w:val="17"/>
                <w:color w:val="auto"/>
              </w:rPr>
              <w:t>William Young (14)</w:t>
            </w:r>
          </w:p>
        </w:tc>
        <w:tc>
          <w:tcPr>
            <w:tcW w:w="1180" w:type="dxa"/>
            <w:vAlign w:val="bottom"/>
          </w:tcPr>
          <w:p>
            <w:pPr>
              <w:jc w:val="center"/>
              <w:ind w:left="113"/>
              <w:spacing w:after="0"/>
              <w:rPr>
                <w:sz w:val="20"/>
                <w:szCs w:val="20"/>
                <w:color w:val="auto"/>
              </w:rPr>
            </w:pPr>
            <w:r>
              <w:rPr>
                <w:rFonts w:ascii="Arial" w:cs="Arial" w:eastAsia="Arial" w:hAnsi="Arial"/>
                <w:sz w:val="17"/>
                <w:szCs w:val="17"/>
                <w:color w:val="auto"/>
              </w:rPr>
              <w:t>144,838</w:t>
            </w:r>
          </w:p>
        </w:tc>
        <w:tc>
          <w:tcPr>
            <w:tcW w:w="2060" w:type="dxa"/>
            <w:vAlign w:val="bottom"/>
            <w:gridSpan w:val="3"/>
          </w:tcPr>
          <w:p>
            <w:pPr>
              <w:jc w:val="center"/>
              <w:ind w:left="233"/>
              <w:spacing w:after="0"/>
              <w:rPr>
                <w:sz w:val="20"/>
                <w:szCs w:val="20"/>
                <w:color w:val="auto"/>
              </w:rPr>
            </w:pPr>
            <w:r>
              <w:rPr>
                <w:rFonts w:ascii="Arial" w:cs="Arial" w:eastAsia="Arial" w:hAnsi="Arial"/>
                <w:sz w:val="17"/>
                <w:szCs w:val="17"/>
                <w:color w:val="auto"/>
                <w:w w:val="89"/>
              </w:rPr>
              <w:t>*</w:t>
            </w: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Marcio Souza (15)</w:t>
            </w:r>
          </w:p>
        </w:tc>
        <w:tc>
          <w:tcPr>
            <w:tcW w:w="1180" w:type="dxa"/>
            <w:vAlign w:val="bottom"/>
            <w:shd w:val="clear" w:color="auto" w:fill="CCEEFF"/>
          </w:tcPr>
          <w:p>
            <w:pPr>
              <w:jc w:val="center"/>
              <w:ind w:left="113"/>
              <w:spacing w:after="0"/>
              <w:rPr>
                <w:sz w:val="20"/>
                <w:szCs w:val="20"/>
                <w:color w:val="auto"/>
              </w:rPr>
            </w:pPr>
            <w:r>
              <w:rPr>
                <w:rFonts w:ascii="Arial" w:cs="Arial" w:eastAsia="Arial" w:hAnsi="Arial"/>
                <w:sz w:val="17"/>
                <w:szCs w:val="17"/>
                <w:color w:val="auto"/>
              </w:rPr>
              <w:t>1,834,286</w:t>
            </w:r>
          </w:p>
        </w:tc>
        <w:tc>
          <w:tcPr>
            <w:tcW w:w="2060" w:type="dxa"/>
            <w:vAlign w:val="bottom"/>
            <w:gridSpan w:val="3"/>
            <w:shd w:val="clear" w:color="auto" w:fill="CCEEFF"/>
          </w:tcPr>
          <w:p>
            <w:pPr>
              <w:jc w:val="center"/>
              <w:ind w:left="213"/>
              <w:spacing w:after="0"/>
              <w:rPr>
                <w:sz w:val="20"/>
                <w:szCs w:val="20"/>
                <w:color w:val="auto"/>
              </w:rPr>
            </w:pPr>
            <w:r>
              <w:rPr>
                <w:rFonts w:ascii="Arial" w:cs="Arial" w:eastAsia="Arial" w:hAnsi="Arial"/>
                <w:sz w:val="17"/>
                <w:szCs w:val="17"/>
                <w:color w:val="auto"/>
              </w:rPr>
              <w:t>3.4%</w:t>
            </w:r>
          </w:p>
        </w:tc>
      </w:tr>
      <w:tr>
        <w:trPr>
          <w:trHeight w:val="223"/>
        </w:trPr>
        <w:tc>
          <w:tcPr>
            <w:tcW w:w="7940" w:type="dxa"/>
            <w:vAlign w:val="bottom"/>
          </w:tcPr>
          <w:p>
            <w:pPr>
              <w:spacing w:after="0"/>
              <w:rPr>
                <w:sz w:val="20"/>
                <w:szCs w:val="20"/>
                <w:color w:val="auto"/>
              </w:rPr>
            </w:pPr>
            <w:r>
              <w:rPr>
                <w:rFonts w:ascii="Arial" w:cs="Arial" w:eastAsia="Arial" w:hAnsi="Arial"/>
                <w:sz w:val="17"/>
                <w:szCs w:val="17"/>
                <w:color w:val="auto"/>
              </w:rPr>
              <w:t>Timothy Kelly (16)</w:t>
            </w:r>
          </w:p>
        </w:tc>
        <w:tc>
          <w:tcPr>
            <w:tcW w:w="1180" w:type="dxa"/>
            <w:vAlign w:val="bottom"/>
          </w:tcPr>
          <w:p>
            <w:pPr>
              <w:jc w:val="center"/>
              <w:ind w:left="113"/>
              <w:spacing w:after="0"/>
              <w:rPr>
                <w:sz w:val="20"/>
                <w:szCs w:val="20"/>
                <w:color w:val="auto"/>
              </w:rPr>
            </w:pPr>
            <w:r>
              <w:rPr>
                <w:rFonts w:ascii="Arial" w:cs="Arial" w:eastAsia="Arial" w:hAnsi="Arial"/>
                <w:sz w:val="17"/>
                <w:szCs w:val="17"/>
                <w:color w:val="auto"/>
              </w:rPr>
              <w:t>179,037</w:t>
            </w:r>
          </w:p>
        </w:tc>
        <w:tc>
          <w:tcPr>
            <w:tcW w:w="2060" w:type="dxa"/>
            <w:vAlign w:val="bottom"/>
            <w:gridSpan w:val="3"/>
          </w:tcPr>
          <w:p>
            <w:pPr>
              <w:jc w:val="center"/>
              <w:ind w:left="233"/>
              <w:spacing w:after="0"/>
              <w:rPr>
                <w:sz w:val="20"/>
                <w:szCs w:val="20"/>
                <w:color w:val="auto"/>
              </w:rPr>
            </w:pPr>
            <w:r>
              <w:rPr>
                <w:rFonts w:ascii="Arial" w:cs="Arial" w:eastAsia="Arial" w:hAnsi="Arial"/>
                <w:sz w:val="17"/>
                <w:szCs w:val="17"/>
                <w:color w:val="auto"/>
                <w:w w:val="89"/>
              </w:rPr>
              <w:t>*</w:t>
            </w: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Nicole Sweeny (17)</w:t>
            </w:r>
          </w:p>
        </w:tc>
        <w:tc>
          <w:tcPr>
            <w:tcW w:w="1180" w:type="dxa"/>
            <w:vAlign w:val="bottom"/>
            <w:shd w:val="clear" w:color="auto" w:fill="CCEEFF"/>
          </w:tcPr>
          <w:p>
            <w:pPr>
              <w:jc w:val="center"/>
              <w:ind w:left="113"/>
              <w:spacing w:after="0"/>
              <w:rPr>
                <w:sz w:val="20"/>
                <w:szCs w:val="20"/>
                <w:color w:val="auto"/>
              </w:rPr>
            </w:pPr>
            <w:r>
              <w:rPr>
                <w:rFonts w:ascii="Arial" w:cs="Arial" w:eastAsia="Arial" w:hAnsi="Arial"/>
                <w:sz w:val="17"/>
                <w:szCs w:val="17"/>
                <w:color w:val="auto"/>
              </w:rPr>
              <w:t>257,860</w:t>
            </w:r>
          </w:p>
        </w:tc>
        <w:tc>
          <w:tcPr>
            <w:tcW w:w="2060" w:type="dxa"/>
            <w:vAlign w:val="bottom"/>
            <w:gridSpan w:val="3"/>
            <w:shd w:val="clear" w:color="auto" w:fill="CCEEFF"/>
          </w:tcPr>
          <w:p>
            <w:pPr>
              <w:jc w:val="center"/>
              <w:ind w:left="233"/>
              <w:spacing w:after="0"/>
              <w:rPr>
                <w:sz w:val="20"/>
                <w:szCs w:val="20"/>
                <w:color w:val="auto"/>
              </w:rPr>
            </w:pPr>
            <w:r>
              <w:rPr>
                <w:rFonts w:ascii="Arial" w:cs="Arial" w:eastAsia="Arial" w:hAnsi="Arial"/>
                <w:sz w:val="17"/>
                <w:szCs w:val="17"/>
                <w:color w:val="auto"/>
                <w:w w:val="89"/>
              </w:rPr>
              <w:t>*</w:t>
            </w:r>
          </w:p>
        </w:tc>
      </w:tr>
      <w:tr>
        <w:trPr>
          <w:trHeight w:val="223"/>
        </w:trPr>
        <w:tc>
          <w:tcPr>
            <w:tcW w:w="7940" w:type="dxa"/>
            <w:vAlign w:val="bottom"/>
          </w:tcPr>
          <w:p>
            <w:pPr>
              <w:spacing w:after="0"/>
              <w:rPr>
                <w:sz w:val="20"/>
                <w:szCs w:val="20"/>
                <w:color w:val="auto"/>
              </w:rPr>
            </w:pPr>
            <w:r>
              <w:rPr>
                <w:rFonts w:ascii="Arial" w:cs="Arial" w:eastAsia="Arial" w:hAnsi="Arial"/>
                <w:sz w:val="17"/>
                <w:szCs w:val="17"/>
                <w:color w:val="auto"/>
              </w:rPr>
              <w:t>Bernard Ravina (18)</w:t>
            </w:r>
          </w:p>
        </w:tc>
        <w:tc>
          <w:tcPr>
            <w:tcW w:w="1180" w:type="dxa"/>
            <w:vAlign w:val="bottom"/>
          </w:tcPr>
          <w:p>
            <w:pPr>
              <w:jc w:val="center"/>
              <w:ind w:left="113"/>
              <w:spacing w:after="0"/>
              <w:rPr>
                <w:sz w:val="20"/>
                <w:szCs w:val="20"/>
                <w:color w:val="auto"/>
              </w:rPr>
            </w:pPr>
            <w:r>
              <w:rPr>
                <w:rFonts w:ascii="Arial" w:cs="Arial" w:eastAsia="Arial" w:hAnsi="Arial"/>
                <w:sz w:val="17"/>
                <w:szCs w:val="17"/>
                <w:color w:val="auto"/>
              </w:rPr>
              <w:t>243,829</w:t>
            </w:r>
          </w:p>
        </w:tc>
        <w:tc>
          <w:tcPr>
            <w:tcW w:w="2060" w:type="dxa"/>
            <w:vAlign w:val="bottom"/>
            <w:gridSpan w:val="3"/>
          </w:tcPr>
          <w:p>
            <w:pPr>
              <w:jc w:val="center"/>
              <w:ind w:left="233"/>
              <w:spacing w:after="0"/>
              <w:rPr>
                <w:sz w:val="20"/>
                <w:szCs w:val="20"/>
                <w:color w:val="auto"/>
              </w:rPr>
            </w:pPr>
            <w:r>
              <w:rPr>
                <w:rFonts w:ascii="Arial" w:cs="Arial" w:eastAsia="Arial" w:hAnsi="Arial"/>
                <w:sz w:val="17"/>
                <w:szCs w:val="17"/>
                <w:color w:val="auto"/>
                <w:w w:val="89"/>
              </w:rPr>
              <w:t>*</w:t>
            </w: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All executive officers and directors as a group (10 persons) (19)</w:t>
            </w:r>
          </w:p>
        </w:tc>
        <w:tc>
          <w:tcPr>
            <w:tcW w:w="1180" w:type="dxa"/>
            <w:vAlign w:val="bottom"/>
            <w:shd w:val="clear" w:color="auto" w:fill="CCEEFF"/>
          </w:tcPr>
          <w:p>
            <w:pPr>
              <w:jc w:val="center"/>
              <w:ind w:left="113"/>
              <w:spacing w:after="0"/>
              <w:rPr>
                <w:sz w:val="20"/>
                <w:szCs w:val="20"/>
                <w:color w:val="auto"/>
              </w:rPr>
            </w:pPr>
            <w:r>
              <w:rPr>
                <w:rFonts w:ascii="Arial" w:cs="Arial" w:eastAsia="Arial" w:hAnsi="Arial"/>
                <w:sz w:val="17"/>
                <w:szCs w:val="17"/>
                <w:color w:val="auto"/>
              </w:rPr>
              <w:t>2,917,581</w:t>
            </w:r>
          </w:p>
        </w:tc>
        <w:tc>
          <w:tcPr>
            <w:tcW w:w="2060" w:type="dxa"/>
            <w:vAlign w:val="bottom"/>
            <w:gridSpan w:val="3"/>
            <w:shd w:val="clear" w:color="auto" w:fill="CCEEFF"/>
          </w:tcPr>
          <w:p>
            <w:pPr>
              <w:jc w:val="center"/>
              <w:ind w:left="213"/>
              <w:spacing w:after="0"/>
              <w:rPr>
                <w:sz w:val="20"/>
                <w:szCs w:val="20"/>
                <w:color w:val="auto"/>
              </w:rPr>
            </w:pPr>
            <w:r>
              <w:rPr>
                <w:rFonts w:ascii="Arial" w:cs="Arial" w:eastAsia="Arial" w:hAnsi="Arial"/>
                <w:sz w:val="17"/>
                <w:szCs w:val="17"/>
                <w:color w:val="auto"/>
              </w:rPr>
              <w:t>5.3%</w:t>
            </w:r>
          </w:p>
        </w:tc>
      </w:tr>
    </w:tbl>
    <w:p>
      <w:pPr>
        <w:spacing w:after="0" w:line="180" w:lineRule="exact"/>
        <w:rPr>
          <w:sz w:val="20"/>
          <w:szCs w:val="20"/>
          <w:color w:val="auto"/>
        </w:rPr>
      </w:pPr>
    </w:p>
    <w:p>
      <w:pPr>
        <w:ind w:left="120" w:hanging="115"/>
        <w:spacing w:after="0"/>
        <w:tabs>
          <w:tab w:leader="none" w:pos="1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Represents beneficial ownership of less than one percent.</w:t>
      </w:r>
    </w:p>
    <w:p>
      <w:pPr>
        <w:spacing w:after="0" w:line="3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______________________</w:t>
      </w:r>
    </w:p>
    <w:p>
      <w:pPr>
        <w:spacing w:after="0" w:line="14" w:lineRule="exact"/>
        <w:rPr>
          <w:rFonts w:ascii="Arial" w:cs="Arial" w:eastAsia="Arial" w:hAnsi="Arial"/>
          <w:sz w:val="17"/>
          <w:szCs w:val="17"/>
          <w:color w:val="auto"/>
        </w:rPr>
      </w:pPr>
    </w:p>
    <w:p>
      <w:pPr>
        <w:ind w:left="320" w:right="40" w:hanging="315"/>
        <w:spacing w:after="0" w:line="259" w:lineRule="auto"/>
        <w:rPr>
          <w:rFonts w:ascii="Arial" w:cs="Arial" w:eastAsia="Arial" w:hAnsi="Arial"/>
          <w:sz w:val="17"/>
          <w:szCs w:val="17"/>
          <w:color w:val="auto"/>
        </w:rPr>
      </w:pPr>
      <w:r>
        <w:rPr>
          <w:rFonts w:ascii="Arial" w:cs="Arial" w:eastAsia="Arial" w:hAnsi="Arial"/>
          <w:sz w:val="17"/>
          <w:szCs w:val="17"/>
          <w:color w:val="auto"/>
        </w:rPr>
        <w:t>(1) Based solely on information contained in a Schedule 13G/A filed jointly by Clarus Lifesciences III, L.P., or Clarus Lifesciences, BSOF Parallel Master Fund L.P., or BSOF, Clarus Ventures III GP, L.P., or Clarus Ventures, Blackstone Clarus III L.L.C., or Blackstone Clarus, Blackstone Strategic Opportunity Associates L.L.C., or Blackstone Strategic, Blackstone Alternative Solutions L.L.C., or Blackstone Alternative, Blackstone Holdings I L.P., or Holdings I, Blackstone Holdings II L.P., or Holdings II, Blackstone Holdings I/II GP L.L.C., or Holdings I/II, Blackstone Inc., or Blackstone, Blackstone Group Management L.L.C., or Blackstone Group, and Stephen A. Schwarzman with the SEC on February 11, 2022. Clarus Lifesciences directly holds 4,894,109 shares of common stock and BSOF holds zero shares of common stock. Clarus Ventures is the general partner of Clarus Lifesciences. Blackstone Clarus is the general partner of Clarus. The sole member of Blackstone Clarus is Holdings. Blackstone Strategic is the general partner of BSOF. Holdings is the sole member of Blackstone Strategic. Blackstone Alternative is the investment manager of BSOF. Holdings I is the sole member of Blackstone Alternative. The general partner of Holdings I and Holdings II is Holdings I/II. The sole member of Holdings I/II is Blackstone. The sole holder of the Series II preferred stock of Blackstone is Blackstone Group. Blackstone Group is wholly-owned by its senior managing directors and controlled by its founder, Stephen A. Schwarzman. Each of such entities and Mr. Schwarzman may be deemed to beneficially own the shares of common stock beneficially owned by Clarus Lifesciences directly or indirectly controlled by it or him, but each (other than Clarus to the extent of its direct ownership) disclaims beneficial ownership of such shares. The address for each of Clarus Lifesciences and Clarus Ventures is c/o Clarus Ventures LLC, 101 Main Street, Suite 1210, Cambridge, MA 02142. The address for each of the other entities and Mr. Schwarzman is c/o The Blackstone</w:t>
      </w:r>
    </w:p>
    <w:p>
      <w:pPr>
        <w:spacing w:after="0" w:line="164" w:lineRule="exact"/>
        <w:rPr>
          <w:sz w:val="20"/>
          <w:szCs w:val="20"/>
          <w:color w:val="auto"/>
        </w:rPr>
      </w:pPr>
    </w:p>
    <w:p>
      <w:pPr>
        <w:jc w:val="both"/>
        <w:ind w:left="320" w:hanging="315"/>
        <w:spacing w:after="0" w:line="250" w:lineRule="auto"/>
        <w:tabs>
          <w:tab w:leader="none" w:pos="311"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13G filed by Avidity Partners Management LP, or APM LP, with the SEC on February 2, 2023. According to this Schedule 13G, APM LP, Avidity Partners Management (GP) LLC, or APM GP, Avidity Capital Partners Fund (GP) LP, or ACPF, Avidity Capital Partners (GP) LLC, or ACP, share voting and dispositive power with respect to 4,100,000 shares, of which 3,600,234 shares are further subject to shared voting and dispositive power with Avidity Master Fund LP, or AMF and together with</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320" w:right="80"/>
        <w:spacing w:after="0" w:line="251" w:lineRule="auto"/>
        <w:rPr>
          <w:sz w:val="20"/>
          <w:szCs w:val="20"/>
          <w:color w:val="auto"/>
        </w:rPr>
      </w:pPr>
      <w:r>
        <w:rPr>
          <w:rFonts w:ascii="Arial" w:cs="Arial" w:eastAsia="Arial" w:hAnsi="Arial"/>
          <w:sz w:val="17"/>
          <w:szCs w:val="17"/>
          <w:color w:val="auto"/>
        </w:rPr>
        <w:t>APM LP, APM GP, ACPF and ACP, the Avidity Funds. APM GP is the general partner of APM LP. ACP is the general partner of ACPF. ACPF is the general partner of AMF. David Witzke and Michael Gregory are Managing Members of APM GP and ACP and directly or indirectly control the Avidity Funds and as a result may be deemed to have voting and dispositive power over the securities held directly by the Avidity Funds. The address for each of the Avidity Funds, Mr. Witzke and Mr. Gregory is 2828 North Harwood Street, Suite 1220, Dallas, Texas 75201.</w:t>
      </w:r>
    </w:p>
    <w:p>
      <w:pPr>
        <w:spacing w:after="0" w:line="195" w:lineRule="exact"/>
        <w:rPr>
          <w:sz w:val="20"/>
          <w:szCs w:val="20"/>
          <w:color w:val="auto"/>
        </w:rPr>
      </w:pPr>
    </w:p>
    <w:p>
      <w:pPr>
        <w:ind w:left="320" w:right="200" w:hanging="315"/>
        <w:spacing w:after="0" w:line="257" w:lineRule="auto"/>
        <w:tabs>
          <w:tab w:leader="none" w:pos="311"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13G/A filed by Eventide Asset Management, LLC with the SEC on February 14, 2022. Eventide Asset Management, LLC, a Delaware limited liability company, is the beneficial owner of 3,810,599 shares of common stock by virtue of being the investment adviser to the Eventide Gilead Fund and the Eventide Healthcare &amp; Life Sciences Fund which are registered investment companies (the “Funds”). The Eventide Gilead Fund directly holds 1,574,013 shares of common stock and the Eventide Healthcare &amp; Life Sciences Fund directly holds 2,236,586 shares of common stock. The address for Eventide Asset Management, LLC is One International Place, Suite 4210, Boston, Massachusetts 02110.</w:t>
      </w:r>
    </w:p>
    <w:p>
      <w:pPr>
        <w:spacing w:after="0" w:line="2" w:lineRule="exact"/>
        <w:rPr>
          <w:rFonts w:ascii="Arial" w:cs="Arial" w:eastAsia="Arial" w:hAnsi="Arial"/>
          <w:sz w:val="17"/>
          <w:szCs w:val="17"/>
          <w:color w:val="auto"/>
        </w:rPr>
      </w:pPr>
    </w:p>
    <w:p>
      <w:pPr>
        <w:ind w:left="320" w:hanging="315"/>
        <w:spacing w:after="0" w:line="259" w:lineRule="auto"/>
        <w:tabs>
          <w:tab w:leader="none" w:pos="311"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13G filed by Janus Henderson Group plc with the SEC on February 11, 2022. Janus Henderson Group plc has an indirect 97% ownership stake in Intech Investment Management LLC, or Intech, and a 100% ownership stake in Janus Henderson Investors U.S. LLC, or JHIUS, Henderson Global Investors Limited, or HGIL, and Janus Henderson Investors Australia Institutional Funds Management Limited, or JHIAIFML (each an “Asset Manager” and collectively, the “Asset Managers”). Due to the above ownership structure, holdings for the Asset Managers are aggregated.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JHIUS may be deemed to be the beneficial owner of 3,338,282 shares or 7.4% of the shares of common stock held by such Managed Portfolios. However, JHIUS does not have the right to receive any dividends from, or the proceeds from the sale of, the securities held in the Managed Portfolios and disclaims any ownership associated with such rights. The address of Janus Henderson Group plc is 201 Bishopsgate, EC2M 3AE, United Kingdom.</w:t>
      </w:r>
    </w:p>
    <w:p>
      <w:pPr>
        <w:spacing w:after="0" w:line="198" w:lineRule="exact"/>
        <w:rPr>
          <w:rFonts w:ascii="Arial" w:cs="Arial" w:eastAsia="Arial" w:hAnsi="Arial"/>
          <w:sz w:val="17"/>
          <w:szCs w:val="17"/>
          <w:color w:val="auto"/>
        </w:rPr>
      </w:pPr>
    </w:p>
    <w:p>
      <w:pPr>
        <w:ind w:left="320" w:right="40" w:hanging="315"/>
        <w:spacing w:after="0" w:line="257" w:lineRule="auto"/>
        <w:tabs>
          <w:tab w:leader="none" w:pos="311"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13G filed by The Vanguard Group with the SEC on February 10, 2022. According to this Schedule 13G, The Vanguard Group has shared voting power over 29,376 shares of common stock, sole dispositive power over 3,241,881 shares of common stock, and shared dispositive power over 50,562 shares of common stock. The address of The Vanguard Group is 100 Vanguard Boulevard, Malvern, PA 19355.</w:t>
      </w:r>
    </w:p>
    <w:p>
      <w:pPr>
        <w:spacing w:after="0" w:line="1" w:lineRule="exact"/>
        <w:rPr>
          <w:rFonts w:ascii="Arial" w:cs="Arial" w:eastAsia="Arial" w:hAnsi="Arial"/>
          <w:sz w:val="17"/>
          <w:szCs w:val="17"/>
          <w:color w:val="auto"/>
        </w:rPr>
      </w:pPr>
    </w:p>
    <w:p>
      <w:pPr>
        <w:ind w:left="320" w:right="140" w:hanging="315"/>
        <w:spacing w:after="0" w:line="257" w:lineRule="auto"/>
        <w:tabs>
          <w:tab w:leader="none" w:pos="311"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13G/A filed by BlackRock, Inc. with the SEC on February 1, 2023. According to this Schedule 13G/A, BlackRock, Inc. has sole voting power over 2,895,474 shares of common stock and sole dispositive power over 2,971,762 shares of common stock. The address for BlackRock, Inc. is 55 East 52nd Street, New York, NY 10055.</w:t>
      </w:r>
    </w:p>
    <w:p>
      <w:pPr>
        <w:spacing w:after="0" w:line="1" w:lineRule="exact"/>
        <w:rPr>
          <w:rFonts w:ascii="Arial" w:cs="Arial" w:eastAsia="Arial" w:hAnsi="Arial"/>
          <w:sz w:val="17"/>
          <w:szCs w:val="17"/>
          <w:color w:val="auto"/>
        </w:rPr>
      </w:pPr>
    </w:p>
    <w:p>
      <w:pPr>
        <w:ind w:left="320" w:right="180" w:hanging="315"/>
        <w:spacing w:after="0" w:line="254" w:lineRule="auto"/>
        <w:tabs>
          <w:tab w:leader="none" w:pos="311"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13G filed by Vida Ventures, LLC, or Vida, with the SEC on February 16, 2021. Vida, a United States limited liability company, is the record owner of 2,939,329 shares of common stock. VV Manager, LLC, or VV Manager, is the managing member of Vida. Stefan Vitorovic, Arjun Goyal, Fred Cohen, Arie Belldegrun and Leonard Potter are managers of VV Manager, and may be deemed to share voting and dispositive power over the shares of common stock held by Vida. The address of Vida is 40 Broad Street, Suite 201, Boston, Massachusetts 02109.</w:t>
      </w:r>
    </w:p>
    <w:p>
      <w:pPr>
        <w:spacing w:after="0" w:line="1" w:lineRule="exact"/>
        <w:rPr>
          <w:rFonts w:ascii="Arial" w:cs="Arial" w:eastAsia="Arial" w:hAnsi="Arial"/>
          <w:sz w:val="17"/>
          <w:szCs w:val="17"/>
          <w:color w:val="auto"/>
        </w:rPr>
      </w:pPr>
    </w:p>
    <w:p>
      <w:pPr>
        <w:ind w:left="320" w:hanging="315"/>
        <w:spacing w:after="0" w:line="241" w:lineRule="auto"/>
        <w:tabs>
          <w:tab w:leader="none" w:pos="311"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13G filed by Kingdon Capital Management, L.L.C., or Kingdon with the SEC on January 25, 2023. According to this Schedule 13G, all shares are held directly by advisory clients of Kingdon and Kingdon shares voting and dispositive power with respect to all 2,855,989 shares, of which 2,427,591 shares are further subject to shared voting and dispositive power with M. Kingdon Offshore Master Fund L.P., or KOMF, and Kingdon GP, LLC, or K GP and, together with Kingdon and KOMF, the Kingdon Funds. KOMF and K GP are advisory clients of Kingdon. K GP is the general partner of KOMF. None of Kingdon’s advisory clients, other than KOMF, may be deemed to beneficially own more than 5% of the common stock. Kingdon is controlled by Mark Kingdon. The address of each of the Kingdon Funds and Mr. Kingdon is 152 West 57th Street, 50th Floor, New York, New York 10019.</w:t>
      </w:r>
    </w:p>
    <w:p>
      <w:pPr>
        <w:spacing w:after="0" w:line="2" w:lineRule="exact"/>
        <w:rPr>
          <w:rFonts w:ascii="Arial" w:cs="Arial" w:eastAsia="Arial" w:hAnsi="Arial"/>
          <w:sz w:val="17"/>
          <w:szCs w:val="17"/>
          <w:color w:val="auto"/>
        </w:rPr>
      </w:pPr>
    </w:p>
    <w:p>
      <w:pPr>
        <w:ind w:left="320" w:right="480" w:hanging="315"/>
        <w:spacing w:after="0" w:line="257" w:lineRule="auto"/>
        <w:tabs>
          <w:tab w:leader="none" w:pos="311"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Consists of (i) 25,000 shares of common stock and (ii) 83,555 shares of common stock underlying options exercisable within 60 days of February 3, 2023.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(10)Consists of 43,616 shares of common stock underlying options exercisable within 60 days of February 3, 2023.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(11)Consists of 43,616 shares of common stock underlying options exercisable within 60 days of February 3, 2023.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(12)Consists of 12,641 shares of common stock underlying options exercisable within 60 days of February 3, 2023.</w:t>
      </w:r>
    </w:p>
    <w:p>
      <w:pPr>
        <w:spacing w:after="0" w:line="14" w:lineRule="exact"/>
        <w:rPr>
          <w:sz w:val="20"/>
          <w:szCs w:val="20"/>
          <w:color w:val="auto"/>
        </w:rPr>
      </w:pPr>
    </w:p>
    <w:p>
      <w:pPr>
        <w:ind w:left="320" w:right="480" w:hanging="314"/>
        <w:spacing w:after="0" w:line="257" w:lineRule="auto"/>
        <w:rPr>
          <w:sz w:val="20"/>
          <w:szCs w:val="20"/>
          <w:color w:val="auto"/>
        </w:rPr>
      </w:pPr>
      <w:r>
        <w:rPr>
          <w:rFonts w:ascii="Arial" w:cs="Arial" w:eastAsia="Arial" w:hAnsi="Arial"/>
          <w:sz w:val="17"/>
          <w:szCs w:val="17"/>
          <w:color w:val="auto"/>
        </w:rPr>
        <w:t>(13)Consists of (i) 2,826 shares of common stock and (ii) 114,502 shares of common stock underlying options exercisable within 60 days of February 3, 2023.</w:t>
      </w:r>
    </w:p>
    <w:p>
      <w:pPr>
        <w:spacing w:after="0" w:line="1" w:lineRule="exact"/>
        <w:rPr>
          <w:sz w:val="20"/>
          <w:szCs w:val="20"/>
          <w:color w:val="auto"/>
        </w:rPr>
      </w:pPr>
    </w:p>
    <w:p>
      <w:pPr>
        <w:ind w:left="320" w:right="380" w:hanging="314"/>
        <w:spacing w:after="0" w:line="280" w:lineRule="auto"/>
        <w:rPr>
          <w:sz w:val="20"/>
          <w:szCs w:val="20"/>
          <w:color w:val="auto"/>
        </w:rPr>
      </w:pPr>
      <w:r>
        <w:rPr>
          <w:rFonts w:ascii="Arial" w:cs="Arial" w:eastAsia="Arial" w:hAnsi="Arial"/>
          <w:sz w:val="17"/>
          <w:szCs w:val="17"/>
          <w:color w:val="auto"/>
        </w:rPr>
        <w:t>(14)Consists of (i) 28,473 shares of common stock and (ii) 116,365 shares of common stock underlying options exercisable within 60 days of February 3, 2023.</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right"/>
        <w:ind w:right="500"/>
        <w:spacing w:after="0" w:line="267" w:lineRule="auto"/>
        <w:rPr>
          <w:sz w:val="20"/>
          <w:szCs w:val="20"/>
          <w:color w:val="auto"/>
        </w:rPr>
      </w:pPr>
      <w:r>
        <w:rPr>
          <w:rFonts w:ascii="Arial" w:cs="Arial" w:eastAsia="Arial" w:hAnsi="Arial"/>
          <w:sz w:val="17"/>
          <w:szCs w:val="17"/>
          <w:color w:val="auto"/>
        </w:rPr>
        <w:t>(15)Consists of (i) 96,199 shares of common stock, (ii) 1,724,887 shares of common stock underlying options exercisable within 60 days of February 3, 2023 and (iii) 13,200 shares of common stock underlying restricted stock units vesting within 60 days of February 3, 2023.</w:t>
      </w:r>
    </w:p>
    <w:p>
      <w:pPr>
        <w:spacing w:after="0" w:line="1" w:lineRule="exact"/>
        <w:rPr>
          <w:sz w:val="20"/>
          <w:szCs w:val="20"/>
          <w:color w:val="auto"/>
        </w:rPr>
      </w:pPr>
    </w:p>
    <w:p>
      <w:pPr>
        <w:ind w:left="320" w:right="360" w:hanging="314"/>
        <w:spacing w:after="0" w:line="257" w:lineRule="auto"/>
        <w:rPr>
          <w:sz w:val="20"/>
          <w:szCs w:val="20"/>
          <w:color w:val="auto"/>
        </w:rPr>
      </w:pPr>
      <w:r>
        <w:rPr>
          <w:rFonts w:ascii="Arial" w:cs="Arial" w:eastAsia="Arial" w:hAnsi="Arial"/>
          <w:sz w:val="17"/>
          <w:szCs w:val="17"/>
          <w:color w:val="auto"/>
        </w:rPr>
        <w:t>(16)Consists of (i) 20,416 shares of common stock and (ii) 158,621 shares of common stock underlying options exercisable within 60 days of February 3, 2023.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(17)Consists of (i) 9,475 shares of common stock, (ii) 244,185 shares of common stock underlying options exercisable within 60 days of February</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3, 2023 and (iii) 4,200 shares of common stock underlying restricted stock units vesting within 60 days of February 3, 2023.</w:t>
      </w:r>
    </w:p>
    <w:p>
      <w:pPr>
        <w:spacing w:after="0" w:line="14" w:lineRule="exact"/>
        <w:rPr>
          <w:sz w:val="20"/>
          <w:szCs w:val="20"/>
          <w:color w:val="auto"/>
        </w:rPr>
      </w:pPr>
    </w:p>
    <w:p>
      <w:pPr>
        <w:ind w:left="320" w:right="360" w:hanging="314"/>
        <w:spacing w:after="0" w:line="257" w:lineRule="auto"/>
        <w:rPr>
          <w:sz w:val="20"/>
          <w:szCs w:val="20"/>
          <w:color w:val="auto"/>
        </w:rPr>
      </w:pPr>
      <w:r>
        <w:rPr>
          <w:rFonts w:ascii="Arial" w:cs="Arial" w:eastAsia="Arial" w:hAnsi="Arial"/>
          <w:sz w:val="17"/>
          <w:szCs w:val="17"/>
          <w:color w:val="auto"/>
        </w:rPr>
        <w:t>(18)Consists of (i) 66,970 shares of common stock, (ii) 172,159 shares of common stock underlying options exercisable within 60 days of February 3, 2023 and (iii) 4,700 shares of common stock underlying restricted stock units vesting within 60 days of February 3, 2023. Dr. Ravina resigned as our Chief Medical Officer effective August 1, 2022 and transitioned to a role as strategic advisor to the Company.</w:t>
      </w:r>
    </w:p>
    <w:p>
      <w:pPr>
        <w:spacing w:after="0" w:line="1" w:lineRule="exact"/>
        <w:rPr>
          <w:sz w:val="20"/>
          <w:szCs w:val="20"/>
          <w:color w:val="auto"/>
        </w:rPr>
      </w:pPr>
    </w:p>
    <w:p>
      <w:pPr>
        <w:ind w:left="320" w:right="400" w:hanging="314"/>
        <w:spacing w:after="0" w:line="280" w:lineRule="auto"/>
        <w:rPr>
          <w:sz w:val="20"/>
          <w:szCs w:val="20"/>
          <w:color w:val="auto"/>
        </w:rPr>
      </w:pPr>
      <w:r>
        <w:rPr>
          <w:rFonts w:ascii="Arial" w:cs="Arial" w:eastAsia="Arial" w:hAnsi="Arial"/>
          <w:sz w:val="17"/>
          <w:szCs w:val="17"/>
          <w:color w:val="auto"/>
        </w:rPr>
        <w:t>(19)Consists of (i) 198,283 shares of common stock, (ii) 2,698,798 shares of common stock underlying options exercisable within 60 days of February 3, 2023 and (iii) 20,500 shares of common stock underlying restricted stock units vesting within 60 days of February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21" w:lineRule="exact"/>
        <w:rPr>
          <w:sz w:val="20"/>
          <w:szCs w:val="20"/>
          <w:color w:val="auto"/>
        </w:rPr>
      </w:pPr>
    </w:p>
    <w:p>
      <w:pPr>
        <w:ind w:firstLine="315"/>
        <w:spacing w:after="0" w:line="266" w:lineRule="auto"/>
        <w:rPr>
          <w:sz w:val="20"/>
          <w:szCs w:val="20"/>
          <w:color w:val="auto"/>
        </w:rPr>
      </w:pPr>
      <w:r>
        <w:rPr>
          <w:rFonts w:ascii="Arial" w:cs="Arial" w:eastAsia="Arial" w:hAnsi="Arial"/>
          <w:sz w:val="17"/>
          <w:szCs w:val="17"/>
          <w:color w:val="auto"/>
        </w:rPr>
        <w:t>Other than the compensation agreements and other arrangements described under “Executive Compensation” and “Director Compensation” in this Annual Report on Form 10-K and the transactions described below, since January 1, 2021, there has not been and there is not currently proposed, any transaction or series of similar transactions to which we were, or will be, a party in which the amount involved exceeded, or will exceed, the lesser of $ 120,000 or one percent of our average total assets at fiscal year-end for the last two completed fiscal years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1" w:lineRule="exact"/>
        <w:rPr>
          <w:sz w:val="20"/>
          <w:szCs w:val="20"/>
          <w:color w:val="auto"/>
        </w:rPr>
      </w:pPr>
    </w:p>
    <w:p>
      <w:pPr>
        <w:jc w:val="both"/>
        <w:ind w:right="360" w:firstLine="315"/>
        <w:spacing w:after="0" w:line="278" w:lineRule="auto"/>
        <w:rPr>
          <w:sz w:val="20"/>
          <w:szCs w:val="20"/>
          <w:color w:val="auto"/>
        </w:rPr>
      </w:pPr>
      <w:r>
        <w:rPr>
          <w:rFonts w:ascii="Arial" w:cs="Arial" w:eastAsia="Arial" w:hAnsi="Arial"/>
          <w:sz w:val="17"/>
          <w:szCs w:val="17"/>
          <w:color w:val="auto"/>
        </w:rPr>
        <w:t>Pursuant to the terms of our Fourth Amended and Restated Investors’ Rights Agreement, dated as of July 24, 2020, as amended, or the Investors’ Rights Agreement, certain of our stockholders are entitled to rights with respect to the registration of their shares, which we refer to herein as registrable securities, under the Securities Act, including demand registration rights and piggyback registration rights.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S-1 Registration Rights</w:t>
      </w:r>
    </w:p>
    <w:p>
      <w:pPr>
        <w:spacing w:after="0" w:line="119"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Under the terms of the Investors’ Rights Agreement, we are required, upon the request of holders holding at least a majority of the registrable securities then outstanding, to file a registration statement on Form S-1 registering the resale of such holders’ registrable securities and the registrable securities of such other holders who elect to have their shares registered; provided that the anticipated aggregate offering price, net of related fees and expenses, of the registrable securities registered on such registration statement would equal at least $10 million. We are required to effect only two registrations pursuant to this provision of the Investors’ Rights Agreement.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119"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Pursuant to the Investors’ Rights Agreement, if we are eligible to file a registration statement on Form S-3, we are required, upon the request of holders holding at least a majority of the registrable securities then outstanding, to file a registration restatement on Form S-3 registering the resale of such holders’ registrable securities and the registrable securities of such other holders who elect to have their shares registered; provided that the anticipated aggregate offering price, net of related fees and expenses, of the registrable securities registered on such registration statement would equal at least $3 million. We are required to effect only two registrations in any twelve-month period pursuant to this provision of the Investors’ Rights Agreement.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119" w:lineRule="exact"/>
        <w:rPr>
          <w:sz w:val="20"/>
          <w:szCs w:val="20"/>
          <w:color w:val="auto"/>
        </w:rPr>
      </w:pPr>
    </w:p>
    <w:p>
      <w:pPr>
        <w:ind w:right="60" w:firstLine="315"/>
        <w:spacing w:after="0" w:line="271" w:lineRule="auto"/>
        <w:rPr>
          <w:sz w:val="20"/>
          <w:szCs w:val="20"/>
          <w:color w:val="auto"/>
        </w:rPr>
      </w:pPr>
      <w:r>
        <w:rPr>
          <w:rFonts w:ascii="Arial" w:cs="Arial" w:eastAsia="Arial" w:hAnsi="Arial"/>
          <w:sz w:val="17"/>
          <w:szCs w:val="17"/>
          <w:color w:val="auto"/>
        </w:rPr>
        <w:t>Subject to certain exceptions, if we register any of our securities either for our own account or for the account of security holders other than the holders party to the Investors’ Rights Agreements, the holders of shares of registrable securities are entitled to include their shares in the registration. If our proposed registration involves an underwriting, the managing underwriter of such offering will have the right to limit the number of shares to be underwritten for reasons related to the marketing of the shares.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9" w:lineRule="exact"/>
        <w:rPr>
          <w:sz w:val="20"/>
          <w:szCs w:val="20"/>
          <w:color w:val="auto"/>
        </w:rPr>
      </w:pPr>
    </w:p>
    <w:p>
      <w:pPr>
        <w:jc w:val="both"/>
        <w:ind w:right="40" w:firstLine="315"/>
        <w:spacing w:after="0" w:line="278" w:lineRule="auto"/>
        <w:rPr>
          <w:sz w:val="20"/>
          <w:szCs w:val="20"/>
          <w:color w:val="auto"/>
        </w:rPr>
      </w:pPr>
      <w:r>
        <w:rPr>
          <w:rFonts w:ascii="Arial" w:cs="Arial" w:eastAsia="Arial" w:hAnsi="Arial"/>
          <w:sz w:val="17"/>
          <w:szCs w:val="17"/>
          <w:color w:val="auto"/>
        </w:rPr>
        <w:t>The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Expiration of Registration Rights</w:t>
      </w:r>
    </w:p>
    <w:p>
      <w:pPr>
        <w:spacing w:after="0" w:line="119" w:lineRule="exact"/>
        <w:rPr>
          <w:sz w:val="20"/>
          <w:szCs w:val="20"/>
          <w:color w:val="auto"/>
        </w:rPr>
      </w:pPr>
    </w:p>
    <w:p>
      <w:pPr>
        <w:ind w:right="80" w:firstLine="315"/>
        <w:spacing w:after="0" w:line="278" w:lineRule="auto"/>
        <w:rPr>
          <w:sz w:val="20"/>
          <w:szCs w:val="20"/>
          <w:color w:val="auto"/>
        </w:rPr>
      </w:pPr>
      <w:r>
        <w:rPr>
          <w:rFonts w:ascii="Arial" w:cs="Arial" w:eastAsia="Arial" w:hAnsi="Arial"/>
          <w:sz w:val="17"/>
          <w:szCs w:val="17"/>
          <w:color w:val="auto"/>
        </w:rPr>
        <w:t>The demand registration rights and short-form registration rights granted under the Investors’ Rights Agreement will terminate on the earliest to occur of: (i) the fifth anniversary of the completion of our initial public offering and (ii) as to each holder of registrable securities, such time as either Rule 144 as promulgated under the Securities Act or</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color w:val="auto"/>
        </w:rPr>
        <w:t>another similar exemption under the Securities Act is available for the sale of all of such holder’s shares without limitation during a three-month period without registration or such holder no longer holds any registrable securities.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 Agreements with Related Parties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RogCon</w:t>
      </w:r>
    </w:p>
    <w:p>
      <w:pPr>
        <w:spacing w:after="0" w:line="119" w:lineRule="exact"/>
        <w:rPr>
          <w:sz w:val="20"/>
          <w:szCs w:val="20"/>
          <w:color w:val="auto"/>
        </w:rPr>
      </w:pPr>
    </w:p>
    <w:p>
      <w:pPr>
        <w:ind w:firstLine="315"/>
        <w:spacing w:after="0" w:line="278" w:lineRule="auto"/>
        <w:rPr>
          <w:sz w:val="20"/>
          <w:szCs w:val="20"/>
          <w:color w:val="auto"/>
        </w:rPr>
      </w:pPr>
      <w:r>
        <w:rPr>
          <w:rFonts w:ascii="Arial" w:cs="Arial" w:eastAsia="Arial" w:hAnsi="Arial"/>
          <w:sz w:val="17"/>
          <w:szCs w:val="17"/>
          <w:color w:val="auto"/>
        </w:rPr>
        <w:t>In December 2018, we entered into an agreement with RogCon Inc., or RogCon, pursuant to which we agreed to advance RogCon a deposit of up to $1.0 million related to the cooperation and license agreement described below. The amounts funded to RogCon under this agreement were applied towards the purchase price of the license agreement with RogCon described below.</w:t>
      </w:r>
    </w:p>
    <w:p>
      <w:pPr>
        <w:spacing w:after="0" w:line="55" w:lineRule="exact"/>
        <w:rPr>
          <w:sz w:val="20"/>
          <w:szCs w:val="20"/>
          <w:color w:val="auto"/>
        </w:rPr>
      </w:pPr>
    </w:p>
    <w:p>
      <w:pPr>
        <w:ind w:right="540" w:firstLine="315"/>
        <w:spacing w:after="0" w:line="300" w:lineRule="auto"/>
        <w:rPr>
          <w:sz w:val="20"/>
          <w:szCs w:val="20"/>
          <w:color w:val="auto"/>
        </w:rPr>
      </w:pPr>
      <w:r>
        <w:rPr>
          <w:rFonts w:ascii="Arial" w:cs="Arial" w:eastAsia="Arial" w:hAnsi="Arial"/>
          <w:sz w:val="17"/>
          <w:szCs w:val="17"/>
          <w:color w:val="auto"/>
        </w:rPr>
        <w:t>In September 2019, we entered into a cooperation and license agreement with RogCon, further described in this Annual Report under “Business—License Agreements.”</w:t>
      </w:r>
    </w:p>
    <w:p>
      <w:pPr>
        <w:spacing w:after="0" w:line="36" w:lineRule="exact"/>
        <w:rPr>
          <w:sz w:val="20"/>
          <w:szCs w:val="20"/>
          <w:color w:val="auto"/>
        </w:rPr>
      </w:pPr>
    </w:p>
    <w:p>
      <w:pPr>
        <w:ind w:right="1800" w:firstLine="315"/>
        <w:spacing w:after="0" w:line="386" w:lineRule="auto"/>
        <w:rPr>
          <w:sz w:val="20"/>
          <w:szCs w:val="20"/>
          <w:color w:val="auto"/>
        </w:rPr>
      </w:pPr>
      <w:r>
        <w:rPr>
          <w:rFonts w:ascii="Arial" w:cs="Arial" w:eastAsia="Arial" w:hAnsi="Arial"/>
          <w:sz w:val="17"/>
          <w:szCs w:val="17"/>
          <w:color w:val="auto"/>
        </w:rPr>
        <w:t xml:space="preserve">Alex Nemiroff, our General Counsel and Corporate Secretary, is a co-founder and Chief Executive Officer of RogCon. </w:t>
      </w:r>
      <w:r>
        <w:rPr>
          <w:rFonts w:ascii="Arial" w:cs="Arial" w:eastAsia="Arial" w:hAnsi="Arial"/>
          <w:sz w:val="17"/>
          <w:szCs w:val="17"/>
          <w:b w:val="1"/>
          <w:bCs w:val="1"/>
          <w:color w:val="auto"/>
        </w:rPr>
        <w:t>Indemnification Agreements</w:t>
      </w:r>
    </w:p>
    <w:p>
      <w:pPr>
        <w:spacing w:after="0" w:line="1" w:lineRule="exact"/>
        <w:rPr>
          <w:sz w:val="20"/>
          <w:szCs w:val="20"/>
          <w:color w:val="auto"/>
        </w:rPr>
      </w:pPr>
    </w:p>
    <w:p>
      <w:pPr>
        <w:ind w:right="120" w:firstLine="315"/>
        <w:spacing w:after="0" w:line="268" w:lineRule="auto"/>
        <w:rPr>
          <w:sz w:val="20"/>
          <w:szCs w:val="20"/>
          <w:color w:val="auto"/>
        </w:rPr>
      </w:pPr>
      <w:r>
        <w:rPr>
          <w:rFonts w:ascii="Arial" w:cs="Arial" w:eastAsia="Arial" w:hAnsi="Arial"/>
          <w:sz w:val="17"/>
          <w:szCs w:val="17"/>
          <w:color w:val="auto"/>
        </w:rPr>
        <w:t>We have entered into, and in the future plan to enter into, agreements to indemnify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for Approval of Related Party Transactions</w:t>
      </w:r>
    </w:p>
    <w:p>
      <w:pPr>
        <w:spacing w:after="0" w:line="121" w:lineRule="exact"/>
        <w:rPr>
          <w:sz w:val="20"/>
          <w:szCs w:val="20"/>
          <w:color w:val="auto"/>
        </w:rPr>
      </w:pPr>
    </w:p>
    <w:p>
      <w:pPr>
        <w:ind w:firstLine="315"/>
        <w:spacing w:after="0" w:line="261" w:lineRule="auto"/>
        <w:rPr>
          <w:sz w:val="20"/>
          <w:szCs w:val="20"/>
          <w:color w:val="auto"/>
        </w:rPr>
      </w:pPr>
      <w:r>
        <w:rPr>
          <w:rFonts w:ascii="Arial" w:cs="Arial" w:eastAsia="Arial" w:hAnsi="Arial"/>
          <w:sz w:val="17"/>
          <w:szCs w:val="17"/>
          <w:color w:val="auto"/>
        </w:rPr>
        <w:t>Our Board of Directors reviews and approves transactions with directors, officers and holders of five percent or more of our voting securities and their affiliates, each a related party. We have a formal written policy that our executive officers, directors, holders of more than five percent of any class of our voting securities, and any member of the immediate family of and any entity affiliated with any of the foregoing persons, are not permitted to enter into a related party transaction with us without the prior consent of our Audit Committee, or other independent members of our Board of Directors in the event it is inappropriate for our Audit Committee to review such transaction due to a conflict of interest. Any request for us to enter into a transaction with an executive officer, director, holders of more than 5% of any class of our voting securities, or any of their immediate family members or affiliates, in which the amount involved exceeds $120,000 must first be presented to our Audit Committee for review, consideration and approval. In approving or rejecting any such proposal, our Audit Committee considers the relevant facts and circumstances available and deemed relevant to our Audit Committee, including, but not limited to, whether the transaction will be on terms no less favorable than terms generally available to an unaffiliated third party under the same or similar circumstances and the extent of the related party’s interest in the transaction.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121" w:lineRule="exact"/>
        <w:rPr>
          <w:sz w:val="20"/>
          <w:szCs w:val="20"/>
          <w:color w:val="auto"/>
        </w:rPr>
      </w:pPr>
    </w:p>
    <w:p>
      <w:pPr>
        <w:ind w:firstLine="315"/>
        <w:spacing w:after="0" w:line="260" w:lineRule="auto"/>
        <w:rPr>
          <w:sz w:val="20"/>
          <w:szCs w:val="20"/>
          <w:color w:val="auto"/>
        </w:rPr>
      </w:pPr>
      <w:r>
        <w:rPr>
          <w:rFonts w:ascii="Arial" w:cs="Arial" w:eastAsia="Arial" w:hAnsi="Arial"/>
          <w:sz w:val="17"/>
          <w:szCs w:val="17"/>
          <w:color w:val="auto"/>
        </w:rPr>
        <w:t>Applicable Nasdaq Stock Market LLC (“Nasdaq”) rules require a majority of a listed company’s board of directors to be comprised of independent directors. In addition, the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and that compensation committee members satisfy additional independence criteria set forth in the Nasdaq rules.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The Nasdaq independence definition also includes a series of objective tests, including that the director is not, and has not been for at least three years, one of our employees and that neither the director nor any of his or her family members has engaged in various types of business dealings with us.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addition, in affirmatively determining the independence of any director who will serve on a company’s compensation committee, the Nasdaq rules require that a company’s board of directors must consider all factors specifically relevant to determining whether a director has a relationship to such company which is material to that director’s ability to be independent from management in connection with the duties of a compensation committee member, including: the source of compensation to the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director, including any consulting, advisory or other compensatory fee paid by such company to the director, and whether the director is affiliated with the company or any of its subsidiaries or affiliates.</w:t>
      </w:r>
    </w:p>
    <w:p>
      <w:pPr>
        <w:spacing w:after="0" w:line="36" w:lineRule="exact"/>
        <w:rPr>
          <w:sz w:val="20"/>
          <w:szCs w:val="20"/>
          <w:color w:val="auto"/>
        </w:rPr>
      </w:pPr>
    </w:p>
    <w:p>
      <w:pPr>
        <w:ind w:firstLine="315"/>
        <w:spacing w:after="0" w:line="264" w:lineRule="auto"/>
        <w:rPr>
          <w:sz w:val="20"/>
          <w:szCs w:val="20"/>
          <w:color w:val="auto"/>
        </w:rPr>
      </w:pPr>
      <w:r>
        <w:rPr>
          <w:rFonts w:ascii="Arial" w:cs="Arial" w:eastAsia="Arial" w:hAnsi="Arial"/>
          <w:sz w:val="17"/>
          <w:szCs w:val="17"/>
          <w:color w:val="auto"/>
        </w:rPr>
        <w:t>Our Board of Directors has determined that all members of our Board of Directors, except Marcio Souza, are independent directors, including for purposes of the rules of Nasdaq and the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Mr. Souza is not an independent director under these rules because he is an executive officer of the Company.</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226" w:lineRule="exact"/>
        <w:rPr>
          <w:sz w:val="20"/>
          <w:szCs w:val="20"/>
          <w:color w:val="auto"/>
        </w:rPr>
      </w:pPr>
    </w:p>
    <w:p>
      <w:pPr>
        <w:ind w:right="400" w:firstLine="315"/>
        <w:spacing w:after="0" w:line="291" w:lineRule="auto"/>
        <w:rPr>
          <w:sz w:val="20"/>
          <w:szCs w:val="20"/>
          <w:color w:val="auto"/>
        </w:rPr>
      </w:pPr>
      <w:r>
        <w:rPr>
          <w:rFonts w:ascii="Arial" w:cs="Arial" w:eastAsia="Arial" w:hAnsi="Arial"/>
          <w:sz w:val="17"/>
          <w:szCs w:val="17"/>
          <w:color w:val="auto"/>
        </w:rPr>
        <w:t>Ernst &amp; Young LLP has served as our independent auditor since 2019. Praxis incurred the following fees from Ernst &amp; Young LLP for the audit of the consolidated financial statements and for other services provided during the years ended December 31, 2022 and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00" w:type="dxa"/>
            <w:vAlign w:val="bottom"/>
          </w:tcPr>
          <w:p>
            <w:pPr>
              <w:spacing w:after="0"/>
              <w:rPr>
                <w:sz w:val="19"/>
                <w:szCs w:val="19"/>
                <w:color w:val="auto"/>
              </w:rPr>
            </w:pPr>
          </w:p>
        </w:tc>
        <w:tc>
          <w:tcPr>
            <w:tcW w:w="4540" w:type="dxa"/>
            <w:vAlign w:val="bottom"/>
            <w:tcBorders>
              <w:bottom w:val="single" w:sz="8" w:color="auto"/>
            </w:tcBorders>
            <w:gridSpan w:val="3"/>
          </w:tcPr>
          <w:p>
            <w:pPr>
              <w:ind w:left="1020"/>
              <w:spacing w:after="0"/>
              <w:rPr>
                <w:sz w:val="20"/>
                <w:szCs w:val="20"/>
                <w:color w:val="auto"/>
              </w:rPr>
            </w:pPr>
            <w:r>
              <w:rPr>
                <w:rFonts w:ascii="Arial" w:cs="Arial" w:eastAsia="Arial" w:hAnsi="Arial"/>
                <w:sz w:val="16"/>
                <w:szCs w:val="16"/>
                <w:b w:val="1"/>
                <w:bCs w:val="1"/>
                <w:color w:val="auto"/>
              </w:rPr>
              <w:t>For the Year Ended December 31,</w:t>
            </w:r>
          </w:p>
        </w:tc>
      </w:tr>
      <w:tr>
        <w:trPr>
          <w:trHeight w:val="229"/>
        </w:trPr>
        <w:tc>
          <w:tcPr>
            <w:tcW w:w="67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2021</w:t>
            </w:r>
          </w:p>
        </w:tc>
      </w:tr>
      <w:tr>
        <w:trPr>
          <w:trHeight w:val="23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Audit fees(1)</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$796,500</w:t>
            </w:r>
          </w:p>
        </w:tc>
        <w:tc>
          <w:tcPr>
            <w:tcW w:w="100" w:type="dxa"/>
            <w:vAlign w:val="bottom"/>
            <w:shd w:val="clear" w:color="auto" w:fill="CCEEFF"/>
          </w:tcPr>
          <w:p>
            <w:pPr>
              <w:spacing w:after="0"/>
              <w:rPr>
                <w:sz w:val="20"/>
                <w:szCs w:val="20"/>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$1,143,241</w:t>
            </w:r>
          </w:p>
        </w:tc>
      </w:tr>
      <w:tr>
        <w:trPr>
          <w:trHeight w:val="228"/>
        </w:trPr>
        <w:tc>
          <w:tcPr>
            <w:tcW w:w="6700" w:type="dxa"/>
            <w:vAlign w:val="bottom"/>
          </w:tcPr>
          <w:p>
            <w:pPr>
              <w:ind w:left="20"/>
              <w:spacing w:after="0"/>
              <w:rPr>
                <w:sz w:val="20"/>
                <w:szCs w:val="20"/>
                <w:color w:val="auto"/>
              </w:rPr>
            </w:pPr>
            <w:r>
              <w:rPr>
                <w:rFonts w:ascii="Arial" w:cs="Arial" w:eastAsia="Arial" w:hAnsi="Arial"/>
                <w:sz w:val="16"/>
                <w:szCs w:val="16"/>
                <w:color w:val="auto"/>
              </w:rPr>
              <w:t>Audit-related fees(2)</w:t>
            </w:r>
          </w:p>
        </w:tc>
        <w:tc>
          <w:tcPr>
            <w:tcW w:w="23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2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fees(3)</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98,169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87,730</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 other fees(4)</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5,180</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5,180</w:t>
            </w:r>
          </w:p>
        </w:tc>
      </w:tr>
      <w:tr>
        <w:trPr>
          <w:trHeight w:val="23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fees</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899,849</w:t>
            </w:r>
          </w:p>
        </w:tc>
        <w:tc>
          <w:tcPr>
            <w:tcW w:w="100" w:type="dxa"/>
            <w:vAlign w:val="bottom"/>
            <w:shd w:val="clear" w:color="auto" w:fill="CCEEFF"/>
          </w:tcPr>
          <w:p>
            <w:pPr>
              <w:spacing w:after="0"/>
              <w:rPr>
                <w:sz w:val="20"/>
                <w:szCs w:val="20"/>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$1,236,151</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w:t>
      </w:r>
    </w:p>
    <w:p>
      <w:pPr>
        <w:spacing w:after="0" w:line="30" w:lineRule="exact"/>
        <w:rPr>
          <w:sz w:val="20"/>
          <w:szCs w:val="20"/>
          <w:color w:val="auto"/>
        </w:rPr>
      </w:pPr>
    </w:p>
    <w:p>
      <w:pPr>
        <w:ind w:left="240" w:right="40" w:hanging="235"/>
        <w:spacing w:after="0" w:line="265" w:lineRule="auto"/>
        <w:tabs>
          <w:tab w:leader="none" w:pos="266"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consist of fees for professional services rendered in connection with the audit of our annual consolidated financial statements,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 of the interim consolidated financial statements included in quarterly reports, services rendered in connection with the secondary public offering, and services that are normally provided by Ernst &amp; Young LLP, such as comfort letters, in connection with statutory and regulatory filings or engagements.</w:t>
      </w:r>
    </w:p>
    <w:p>
      <w:pPr>
        <w:spacing w:after="0" w:line="25" w:lineRule="exact"/>
        <w:rPr>
          <w:rFonts w:ascii="Arial" w:cs="Arial" w:eastAsia="Arial" w:hAnsi="Arial"/>
          <w:sz w:val="17"/>
          <w:szCs w:val="17"/>
          <w:color w:val="auto"/>
        </w:rPr>
      </w:pPr>
    </w:p>
    <w:p>
      <w:pPr>
        <w:ind w:left="260" w:hanging="255"/>
        <w:spacing w:after="0"/>
        <w:tabs>
          <w:tab w:leader="none" w:pos="2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There were no </w:t>
      </w:r>
      <w:r>
        <w:rPr>
          <w:rFonts w:ascii="Arial" w:cs="Arial" w:eastAsia="Arial" w:hAnsi="Arial"/>
          <w:sz w:val="17"/>
          <w:szCs w:val="17"/>
          <w:b w:val="1"/>
          <w:bCs w:val="1"/>
          <w:i w:val="1"/>
          <w:iCs w:val="1"/>
          <w:color w:val="auto"/>
        </w:rPr>
        <w:t>audit-related fees</w:t>
      </w:r>
      <w:r>
        <w:rPr>
          <w:rFonts w:ascii="Arial" w:cs="Arial" w:eastAsia="Arial" w:hAnsi="Arial"/>
          <w:sz w:val="17"/>
          <w:szCs w:val="17"/>
          <w:color w:val="auto"/>
        </w:rPr>
        <w:t xml:space="preserve"> billed in 2022 or 2021.</w:t>
      </w:r>
    </w:p>
    <w:p>
      <w:pPr>
        <w:spacing w:after="0" w:line="93" w:lineRule="exact"/>
        <w:rPr>
          <w:rFonts w:ascii="Arial" w:cs="Arial" w:eastAsia="Arial" w:hAnsi="Arial"/>
          <w:sz w:val="17"/>
          <w:szCs w:val="17"/>
          <w:color w:val="auto"/>
        </w:rPr>
      </w:pPr>
    </w:p>
    <w:p>
      <w:pPr>
        <w:ind w:left="260" w:hanging="255"/>
        <w:spacing w:after="0"/>
        <w:tabs>
          <w:tab w:leader="none" w:pos="260"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 fees </w:t>
      </w:r>
      <w:r>
        <w:rPr>
          <w:rFonts w:ascii="Arial" w:cs="Arial" w:eastAsia="Arial" w:hAnsi="Arial"/>
          <w:sz w:val="17"/>
          <w:szCs w:val="17"/>
          <w:color w:val="auto"/>
        </w:rPr>
        <w:t>consist of fees for professional services rendered for tax return preparation and tax advisory services.</w:t>
      </w:r>
    </w:p>
    <w:p>
      <w:pPr>
        <w:spacing w:after="0" w:line="79" w:lineRule="exact"/>
        <w:rPr>
          <w:rFonts w:ascii="Arial" w:cs="Arial" w:eastAsia="Arial" w:hAnsi="Arial"/>
          <w:sz w:val="17"/>
          <w:szCs w:val="17"/>
          <w:color w:val="auto"/>
        </w:rPr>
      </w:pPr>
    </w:p>
    <w:p>
      <w:pPr>
        <w:ind w:left="260" w:hanging="255"/>
        <w:spacing w:after="0"/>
        <w:tabs>
          <w:tab w:leader="none" w:pos="260"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All other fees </w:t>
      </w:r>
      <w:r>
        <w:rPr>
          <w:rFonts w:ascii="Arial" w:cs="Arial" w:eastAsia="Arial" w:hAnsi="Arial"/>
          <w:sz w:val="17"/>
          <w:szCs w:val="17"/>
          <w:color w:val="auto"/>
        </w:rPr>
        <w:t>are related to licensing fees paid to Ernst &amp; Young LLP for access to its proprietary accounting research database.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Pre-Approval Policy and Procedures</w:t>
      </w:r>
    </w:p>
    <w:p>
      <w:pPr>
        <w:spacing w:after="0" w:line="121" w:lineRule="exact"/>
        <w:rPr>
          <w:sz w:val="20"/>
          <w:szCs w:val="20"/>
          <w:color w:val="auto"/>
        </w:rPr>
      </w:pPr>
    </w:p>
    <w:p>
      <w:pPr>
        <w:ind w:right="180" w:firstLine="315"/>
        <w:spacing w:after="0" w:line="268" w:lineRule="auto"/>
        <w:rPr>
          <w:sz w:val="20"/>
          <w:szCs w:val="20"/>
          <w:color w:val="auto"/>
        </w:rPr>
      </w:pPr>
      <w:r>
        <w:rPr>
          <w:rFonts w:ascii="Arial" w:cs="Arial" w:eastAsia="Arial" w:hAnsi="Arial"/>
          <w:sz w:val="17"/>
          <w:szCs w:val="17"/>
          <w:color w:val="auto"/>
        </w:rPr>
        <w:t>The Audit Committee has adopted a policy requiring pre-approval of all audit and non-audit related services to be performed by our independent auditor regardless of amount. These services may include audit services, audit-related services, tax services and other related services. Ernst &amp; Young LLP and management are required to periodically report to the Audit Committee regarding the extent of services provided by Ernst &amp; Young LLP in accordance with this pre-approval and the fees for the services performed to date. The Audit Committee may also pre-approve particular services on a case-by-case basis.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(a)(1) Financial Statements.</w:t>
      </w:r>
    </w:p>
    <w:p>
      <w:pPr>
        <w:spacing w:after="0" w:line="119" w:lineRule="exact"/>
        <w:rPr>
          <w:sz w:val="20"/>
          <w:szCs w:val="20"/>
          <w:color w:val="auto"/>
        </w:rPr>
      </w:pPr>
    </w:p>
    <w:p>
      <w:pPr>
        <w:ind w:right="120" w:firstLine="433"/>
        <w:spacing w:after="0" w:line="300" w:lineRule="auto"/>
        <w:rPr>
          <w:sz w:val="20"/>
          <w:szCs w:val="20"/>
          <w:color w:val="auto"/>
        </w:rPr>
      </w:pPr>
      <w:r>
        <w:rPr>
          <w:rFonts w:ascii="Arial" w:cs="Arial" w:eastAsia="Arial" w:hAnsi="Arial"/>
          <w:sz w:val="17"/>
          <w:szCs w:val="17"/>
          <w:color w:val="auto"/>
        </w:rPr>
        <w:t xml:space="preserve">For a list of the financial statements included herein, see Index to the Consolidated Financial Statements on page </w:t>
      </w:r>
      <w:r>
        <w:rPr>
          <w:rFonts w:ascii="Arial" w:cs="Arial" w:eastAsia="Arial" w:hAnsi="Arial"/>
          <w:sz w:val="17"/>
          <w:szCs w:val="17"/>
          <w:u w:val="single" w:color="auto"/>
          <w:color w:val="0000FF"/>
        </w:rPr>
        <w:t>96</w:t>
      </w:r>
      <w:r>
        <w:rPr>
          <w:rFonts w:ascii="Arial" w:cs="Arial" w:eastAsia="Arial" w:hAnsi="Arial"/>
          <w:sz w:val="17"/>
          <w:szCs w:val="17"/>
          <w:color w:val="auto"/>
        </w:rPr>
        <w:t xml:space="preserve"> of this Annual Report on Form 10-K, incorporated into this Item by reference.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(a)(2) Financial Statement Schedules.</w:t>
      </w:r>
    </w:p>
    <w:p>
      <w:pPr>
        <w:spacing w:after="0" w:line="119" w:lineRule="exact"/>
        <w:rPr>
          <w:sz w:val="20"/>
          <w:szCs w:val="20"/>
          <w:color w:val="auto"/>
        </w:rPr>
      </w:pPr>
    </w:p>
    <w:p>
      <w:pPr>
        <w:ind w:right="20" w:firstLine="433"/>
        <w:spacing w:after="0" w:line="300" w:lineRule="auto"/>
        <w:rPr>
          <w:sz w:val="20"/>
          <w:szCs w:val="20"/>
          <w:color w:val="auto"/>
        </w:rPr>
      </w:pPr>
      <w:r>
        <w:rPr>
          <w:rFonts w:ascii="Arial" w:cs="Arial" w:eastAsia="Arial" w:hAnsi="Arial"/>
          <w:sz w:val="17"/>
          <w:szCs w:val="17"/>
          <w:color w:val="auto"/>
        </w:rPr>
        <w:t>Financial statement schedules have been omitted because they are either not required or not applicable or the information is included in the consolidated financial statements or the notes thereto.</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(a)(3) List of Exhibits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Pr>
          <w:p>
            <w:pPr>
              <w:spacing w:after="0"/>
              <w:rPr>
                <w:sz w:val="16"/>
                <w:szCs w:val="16"/>
                <w:color w:val="auto"/>
              </w:rPr>
            </w:pPr>
          </w:p>
        </w:tc>
        <w:tc>
          <w:tcPr>
            <w:tcW w:w="7960" w:type="dxa"/>
            <w:vAlign w:val="bottom"/>
            <w:tcBorders>
              <w:bottom w:val="single" w:sz="8" w:color="0000FF"/>
            </w:tcBorders>
            <w:gridSpan w:val="11"/>
          </w:tcPr>
          <w:p>
            <w:pPr>
              <w:spacing w:after="0"/>
              <w:rPr>
                <w:rFonts w:ascii="Arial" w:cs="Arial" w:eastAsia="Arial" w:hAnsi="Arial"/>
                <w:sz w:val="17"/>
                <w:szCs w:val="17"/>
                <w:color w:val="0000FF"/>
              </w:rPr>
            </w:pPr>
            <w:hyperlink r:id="rId176">
              <w:r>
                <w:rPr>
                  <w:rFonts w:ascii="Arial" w:cs="Arial" w:eastAsia="Arial" w:hAnsi="Arial"/>
                  <w:sz w:val="17"/>
                  <w:szCs w:val="17"/>
                  <w:color w:val="0000FF"/>
                </w:rPr>
                <w:t>Amended and Restated Certificate of Incorporation of Praxis Precision Medicines, Inc. (incorporated by</w:t>
              </w:r>
            </w:hyperlink>
          </w:p>
        </w:tc>
        <w:tc>
          <w:tcPr>
            <w:tcW w:w="206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3.1</w:t>
            </w:r>
          </w:p>
        </w:tc>
        <w:tc>
          <w:tcPr>
            <w:tcW w:w="10020" w:type="dxa"/>
            <w:vAlign w:val="bottom"/>
            <w:gridSpan w:val="31"/>
          </w:tcPr>
          <w:p>
            <w:pPr>
              <w:spacing w:after="0" w:line="150" w:lineRule="exact"/>
              <w:rPr>
                <w:rFonts w:ascii="Arial" w:cs="Arial" w:eastAsia="Arial" w:hAnsi="Arial"/>
                <w:sz w:val="17"/>
                <w:szCs w:val="17"/>
                <w:color w:val="0000FF"/>
              </w:rPr>
            </w:pPr>
            <w:hyperlink r:id="rId176">
              <w:r>
                <w:rPr>
                  <w:rFonts w:ascii="Arial" w:cs="Arial" w:eastAsia="Arial" w:hAnsi="Arial"/>
                  <w:sz w:val="17"/>
                  <w:szCs w:val="17"/>
                  <w:color w:val="0000FF"/>
                </w:rPr>
                <w:t>reference to Exhibit 3.1 to the Registrant's Current Report on Form 8-K (File No. 001-39620) filed on October</w:t>
              </w:r>
            </w:hyperlink>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740" w:type="dxa"/>
            <w:vAlign w:val="bottom"/>
            <w:tcBorders>
              <w:top w:val="single" w:sz="8" w:color="0000FF"/>
              <w:bottom w:val="single" w:sz="8" w:color="0000FF"/>
            </w:tcBorders>
          </w:tcPr>
          <w:p>
            <w:pPr>
              <w:spacing w:after="0" w:line="163" w:lineRule="exact"/>
              <w:rPr>
                <w:rFonts w:ascii="Arial" w:cs="Arial" w:eastAsia="Arial" w:hAnsi="Arial"/>
                <w:sz w:val="17"/>
                <w:szCs w:val="17"/>
                <w:color w:val="0000FF"/>
              </w:rPr>
            </w:pPr>
            <w:hyperlink r:id="rId176">
              <w:r>
                <w:rPr>
                  <w:rFonts w:ascii="Arial" w:cs="Arial" w:eastAsia="Arial" w:hAnsi="Arial"/>
                  <w:sz w:val="17"/>
                  <w:szCs w:val="17"/>
                  <w:color w:val="0000FF"/>
                </w:rPr>
                <w:t>20, 2020)</w:t>
              </w:r>
            </w:hyperlink>
          </w:p>
        </w:tc>
        <w:tc>
          <w:tcPr>
            <w:tcW w:w="82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6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3.2</w:t>
            </w:r>
          </w:p>
        </w:tc>
        <w:tc>
          <w:tcPr>
            <w:tcW w:w="10020" w:type="dxa"/>
            <w:vAlign w:val="bottom"/>
            <w:gridSpan w:val="31"/>
          </w:tcPr>
          <w:p>
            <w:pPr>
              <w:spacing w:after="0"/>
              <w:rPr>
                <w:rFonts w:ascii="Arial" w:cs="Arial" w:eastAsia="Arial" w:hAnsi="Arial"/>
                <w:sz w:val="17"/>
                <w:szCs w:val="17"/>
                <w:color w:val="0000FF"/>
              </w:rPr>
            </w:pPr>
            <w:hyperlink r:id="rId177">
              <w:r>
                <w:rPr>
                  <w:rFonts w:ascii="Arial" w:cs="Arial" w:eastAsia="Arial" w:hAnsi="Arial"/>
                  <w:sz w:val="17"/>
                  <w:szCs w:val="17"/>
                  <w:color w:val="0000FF"/>
                </w:rPr>
                <w:t>Amended and Restated Bylaws of Praxis Precision Medicines, Inc. (incorporated by reference to Exhibit 3.1 to</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7060" w:type="dxa"/>
            <w:vAlign w:val="bottom"/>
            <w:tcBorders>
              <w:top w:val="single" w:sz="8" w:color="0000FF"/>
              <w:bottom w:val="single" w:sz="8" w:color="0000FF"/>
            </w:tcBorders>
            <w:gridSpan w:val="8"/>
          </w:tcPr>
          <w:p>
            <w:pPr>
              <w:spacing w:after="0" w:line="138" w:lineRule="exact"/>
              <w:rPr>
                <w:rFonts w:ascii="Arial" w:cs="Arial" w:eastAsia="Arial" w:hAnsi="Arial"/>
                <w:sz w:val="15"/>
                <w:szCs w:val="15"/>
                <w:color w:val="0000FF"/>
              </w:rPr>
            </w:pPr>
            <w:hyperlink r:id="rId177">
              <w:r>
                <w:rPr>
                  <w:rFonts w:ascii="Arial" w:cs="Arial" w:eastAsia="Arial" w:hAnsi="Arial"/>
                  <w:sz w:val="15"/>
                  <w:szCs w:val="15"/>
                  <w:color w:val="0000FF"/>
                </w:rPr>
                <w:t>the Registrant's Current Report on Form 8-K (File No. 001-39620) filed on January 7, 2022)</w:t>
              </w:r>
            </w:hyperlink>
          </w:p>
        </w:tc>
        <w:tc>
          <w:tcPr>
            <w:tcW w:w="148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4.1</w:t>
            </w:r>
          </w:p>
        </w:tc>
        <w:tc>
          <w:tcPr>
            <w:tcW w:w="10020" w:type="dxa"/>
            <w:vAlign w:val="bottom"/>
            <w:gridSpan w:val="31"/>
          </w:tcPr>
          <w:p>
            <w:pPr>
              <w:spacing w:after="0"/>
              <w:rPr>
                <w:rFonts w:ascii="Arial" w:cs="Arial" w:eastAsia="Arial" w:hAnsi="Arial"/>
                <w:sz w:val="17"/>
                <w:szCs w:val="17"/>
                <w:color w:val="0000FF"/>
              </w:rPr>
            </w:pPr>
            <w:hyperlink r:id="rId178">
              <w:r>
                <w:rPr>
                  <w:rFonts w:ascii="Arial" w:cs="Arial" w:eastAsia="Arial" w:hAnsi="Arial"/>
                  <w:sz w:val="17"/>
                  <w:szCs w:val="17"/>
                  <w:color w:val="0000FF"/>
                </w:rPr>
                <w:t>Specimen Stock Certificate Evidencing the Shares of Common Stock (incorporated by reference to Exhibit 4.1</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8140" w:type="dxa"/>
            <w:vAlign w:val="bottom"/>
            <w:tcBorders>
              <w:top w:val="single" w:sz="8" w:color="0000FF"/>
              <w:bottom w:val="single" w:sz="8" w:color="0000FF"/>
            </w:tcBorders>
            <w:gridSpan w:val="14"/>
          </w:tcPr>
          <w:p>
            <w:pPr>
              <w:spacing w:after="0" w:line="138" w:lineRule="exact"/>
              <w:rPr>
                <w:rFonts w:ascii="Arial" w:cs="Arial" w:eastAsia="Arial" w:hAnsi="Arial"/>
                <w:sz w:val="15"/>
                <w:szCs w:val="15"/>
                <w:color w:val="0000FF"/>
              </w:rPr>
            </w:pPr>
            <w:hyperlink r:id="rId178">
              <w:r>
                <w:rPr>
                  <w:rFonts w:ascii="Arial" w:cs="Arial" w:eastAsia="Arial" w:hAnsi="Arial"/>
                  <w:sz w:val="15"/>
                  <w:szCs w:val="15"/>
                  <w:color w:val="0000FF"/>
                </w:rPr>
                <w:t>to the Registrant's Registration Statement on Form S-1/A (File No. 333-249074) filed on October 9, 2020)</w:t>
              </w:r>
            </w:hyperlink>
          </w:p>
        </w:tc>
        <w:tc>
          <w:tcPr>
            <w:tcW w:w="3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2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7"/>
                <w:szCs w:val="17"/>
                <w:color w:val="0000FF"/>
              </w:rPr>
            </w:pPr>
            <w:hyperlink r:id="rId179">
              <w:r>
                <w:rPr>
                  <w:rFonts w:ascii="Arial" w:cs="Arial" w:eastAsia="Arial" w:hAnsi="Arial"/>
                  <w:sz w:val="17"/>
                  <w:szCs w:val="17"/>
                  <w:color w:val="0000FF"/>
                </w:rPr>
                <w:t>Fourth Amended and Restated Investors’ Rights Agreement among Praxis Precision Medicines, Inc. and</w:t>
              </w:r>
            </w:hyperlink>
          </w:p>
        </w:tc>
        <w:tc>
          <w:tcPr>
            <w:tcW w:w="0" w:type="dxa"/>
            <w:vAlign w:val="bottom"/>
          </w:tcPr>
          <w:p>
            <w:pPr>
              <w:spacing w:after="0"/>
              <w:rPr>
                <w:sz w:val="1"/>
                <w:szCs w:val="1"/>
                <w:color w:val="auto"/>
              </w:rPr>
            </w:pPr>
          </w:p>
        </w:tc>
      </w:tr>
      <w:tr>
        <w:trPr>
          <w:trHeight w:val="157"/>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4.2</w:t>
            </w:r>
          </w:p>
        </w:tc>
        <w:tc>
          <w:tcPr>
            <w:tcW w:w="8060" w:type="dxa"/>
            <w:vAlign w:val="bottom"/>
            <w:tcBorders>
              <w:top w:val="single" w:sz="8" w:color="0000FF"/>
            </w:tcBorders>
            <w:gridSpan w:val="13"/>
          </w:tcPr>
          <w:p>
            <w:pPr>
              <w:spacing w:after="0" w:line="158" w:lineRule="exact"/>
              <w:rPr>
                <w:rFonts w:ascii="Arial" w:cs="Arial" w:eastAsia="Arial" w:hAnsi="Arial"/>
                <w:sz w:val="17"/>
                <w:szCs w:val="17"/>
                <w:color w:val="0000FF"/>
              </w:rPr>
            </w:pPr>
            <w:hyperlink r:id="rId179">
              <w:r>
                <w:rPr>
                  <w:rFonts w:ascii="Arial" w:cs="Arial" w:eastAsia="Arial" w:hAnsi="Arial"/>
                  <w:sz w:val="17"/>
                  <w:szCs w:val="17"/>
                  <w:color w:val="0000FF"/>
                </w:rPr>
                <w:t>certain of its stockholders, effective as of July 24, 2020, as amended (incorporated by reference to Exhibit</w:t>
              </w:r>
            </w:hyperlink>
          </w:p>
        </w:tc>
        <w:tc>
          <w:tcPr>
            <w:tcW w:w="420" w:type="dxa"/>
            <w:vAlign w:val="bottom"/>
            <w:gridSpan w:val="12"/>
          </w:tcPr>
          <w:p>
            <w:pPr>
              <w:jc w:val="right"/>
              <w:ind w:right="40"/>
              <w:spacing w:after="0" w:line="158" w:lineRule="exact"/>
              <w:rPr>
                <w:rFonts w:ascii="Arial" w:cs="Arial" w:eastAsia="Arial" w:hAnsi="Arial"/>
                <w:sz w:val="17"/>
                <w:szCs w:val="17"/>
                <w:color w:val="0000FF"/>
              </w:rPr>
            </w:pPr>
            <w:hyperlink r:id="rId179">
              <w:r>
                <w:rPr>
                  <w:rFonts w:ascii="Arial" w:cs="Arial" w:eastAsia="Arial" w:hAnsi="Arial"/>
                  <w:sz w:val="17"/>
                  <w:szCs w:val="17"/>
                  <w:color w:val="0000FF"/>
                </w:rPr>
                <w:t>4.2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8160" w:type="dxa"/>
            <w:vAlign w:val="bottom"/>
            <w:tcBorders>
              <w:top w:val="single" w:sz="8" w:color="0000FF"/>
              <w:bottom w:val="single" w:sz="8" w:color="0000FF"/>
            </w:tcBorders>
            <w:gridSpan w:val="15"/>
          </w:tcPr>
          <w:p>
            <w:pPr>
              <w:spacing w:after="0" w:line="163" w:lineRule="exact"/>
              <w:rPr>
                <w:rFonts w:ascii="Arial" w:cs="Arial" w:eastAsia="Arial" w:hAnsi="Arial"/>
                <w:sz w:val="17"/>
                <w:szCs w:val="17"/>
                <w:color w:val="0000FF"/>
              </w:rPr>
            </w:pPr>
            <w:hyperlink r:id="rId179">
              <w:r>
                <w:rPr>
                  <w:rFonts w:ascii="Arial" w:cs="Arial" w:eastAsia="Arial" w:hAnsi="Arial"/>
                  <w:sz w:val="17"/>
                  <w:szCs w:val="17"/>
                  <w:color w:val="0000FF"/>
                </w:rPr>
                <w:t>to the Registrant's Registration Statement on Form S-3 (File No. 333-260726) filed on November 3, 2021)</w:t>
              </w:r>
            </w:hyperlink>
          </w:p>
        </w:tc>
        <w:tc>
          <w:tcPr>
            <w:tcW w:w="30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4.3</w:t>
            </w:r>
          </w:p>
        </w:tc>
        <w:tc>
          <w:tcPr>
            <w:tcW w:w="10020" w:type="dxa"/>
            <w:vAlign w:val="bottom"/>
            <w:gridSpan w:val="31"/>
          </w:tcPr>
          <w:p>
            <w:pPr>
              <w:spacing w:after="0"/>
              <w:rPr>
                <w:rFonts w:ascii="Arial" w:cs="Arial" w:eastAsia="Arial" w:hAnsi="Arial"/>
                <w:sz w:val="17"/>
                <w:szCs w:val="17"/>
                <w:color w:val="0000FF"/>
              </w:rPr>
            </w:pPr>
            <w:hyperlink r:id="rId180">
              <w:r>
                <w:rPr>
                  <w:rFonts w:ascii="Arial" w:cs="Arial" w:eastAsia="Arial" w:hAnsi="Arial"/>
                  <w:sz w:val="17"/>
                  <w:szCs w:val="17"/>
                  <w:color w:val="0000FF"/>
                </w:rPr>
                <w:t>Description of Securities of Praxis Precision Medicines, Inc. (incorporated by reference to Exhibit 4.3 to the</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7000" w:type="dxa"/>
            <w:vAlign w:val="bottom"/>
            <w:tcBorders>
              <w:top w:val="single" w:sz="8" w:color="0000FF"/>
              <w:bottom w:val="single" w:sz="8" w:color="0000FF"/>
            </w:tcBorders>
            <w:gridSpan w:val="7"/>
          </w:tcPr>
          <w:p>
            <w:pPr>
              <w:spacing w:after="0" w:line="138" w:lineRule="exact"/>
              <w:rPr>
                <w:rFonts w:ascii="Arial" w:cs="Arial" w:eastAsia="Arial" w:hAnsi="Arial"/>
                <w:sz w:val="15"/>
                <w:szCs w:val="15"/>
                <w:color w:val="0000FF"/>
              </w:rPr>
            </w:pPr>
            <w:hyperlink r:id="rId180">
              <w:r>
                <w:rPr>
                  <w:rFonts w:ascii="Arial" w:cs="Arial" w:eastAsia="Arial" w:hAnsi="Arial"/>
                  <w:sz w:val="15"/>
                  <w:szCs w:val="15"/>
                  <w:color w:val="0000FF"/>
                </w:rPr>
                <w:t>Registrant's Annual Report on Form 10-K (File No. 001-39620) filed on February 28, 2022)</w:t>
              </w:r>
            </w:hyperlink>
          </w:p>
        </w:tc>
        <w:tc>
          <w:tcPr>
            <w:tcW w:w="124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10.1</w:t>
            </w:r>
          </w:p>
        </w:tc>
        <w:tc>
          <w:tcPr>
            <w:tcW w:w="10020" w:type="dxa"/>
            <w:vAlign w:val="bottom"/>
            <w:gridSpan w:val="31"/>
          </w:tcPr>
          <w:p>
            <w:pPr>
              <w:spacing w:after="0"/>
              <w:rPr>
                <w:rFonts w:ascii="Arial" w:cs="Arial" w:eastAsia="Arial" w:hAnsi="Arial"/>
                <w:sz w:val="17"/>
                <w:szCs w:val="17"/>
                <w:color w:val="0000FF"/>
              </w:rPr>
            </w:pPr>
            <w:hyperlink r:id="rId181">
              <w:r>
                <w:rPr>
                  <w:rFonts w:ascii="Arial" w:cs="Arial" w:eastAsia="Arial" w:hAnsi="Arial"/>
                  <w:sz w:val="17"/>
                  <w:szCs w:val="17"/>
                  <w:color w:val="0000FF"/>
                </w:rPr>
                <w:t>Form of Director Indemnification Agreement, as amended (incorporated by reference to Exhibit 10.1 to the</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8200" w:type="dxa"/>
            <w:vAlign w:val="bottom"/>
            <w:tcBorders>
              <w:top w:val="single" w:sz="8" w:color="0000FF"/>
            </w:tcBorders>
            <w:gridSpan w:val="17"/>
          </w:tcPr>
          <w:p>
            <w:pPr>
              <w:spacing w:after="0" w:line="150" w:lineRule="exact"/>
              <w:rPr>
                <w:rFonts w:ascii="Arial" w:cs="Arial" w:eastAsia="Arial" w:hAnsi="Arial"/>
                <w:sz w:val="17"/>
                <w:szCs w:val="17"/>
                <w:color w:val="0000FF"/>
              </w:rPr>
            </w:pPr>
            <w:hyperlink r:id="rId181">
              <w:r>
                <w:rPr>
                  <w:rFonts w:ascii="Arial" w:cs="Arial" w:eastAsia="Arial" w:hAnsi="Arial"/>
                  <w:sz w:val="17"/>
                  <w:szCs w:val="17"/>
                  <w:color w:val="0000FF"/>
                </w:rPr>
                <w:t>Registrant's Registration Statement on Form S-1/A (File No. 333-249074) filed on October 9, 2020)</w:t>
              </w:r>
            </w:hyperlink>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10.2</w:t>
            </w:r>
          </w:p>
        </w:tc>
        <w:tc>
          <w:tcPr>
            <w:tcW w:w="10020" w:type="dxa"/>
            <w:vAlign w:val="bottom"/>
            <w:gridSpan w:val="31"/>
          </w:tcPr>
          <w:p>
            <w:pPr>
              <w:spacing w:after="0"/>
              <w:rPr>
                <w:rFonts w:ascii="Arial" w:cs="Arial" w:eastAsia="Arial" w:hAnsi="Arial"/>
                <w:sz w:val="17"/>
                <w:szCs w:val="17"/>
                <w:color w:val="0000FF"/>
              </w:rPr>
            </w:pPr>
            <w:hyperlink r:id="rId182">
              <w:r>
                <w:rPr>
                  <w:rFonts w:ascii="Arial" w:cs="Arial" w:eastAsia="Arial" w:hAnsi="Arial"/>
                  <w:sz w:val="17"/>
                  <w:szCs w:val="17"/>
                  <w:color w:val="0000FF"/>
                </w:rPr>
                <w:t>Form of Officer Indemnification Agreement (incorporated by reference to Exhibit 10.2 to the Registrant's</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8000" w:type="dxa"/>
            <w:vAlign w:val="bottom"/>
            <w:tcBorders>
              <w:top w:val="single" w:sz="8" w:color="0000FF"/>
            </w:tcBorders>
            <w:gridSpan w:val="12"/>
          </w:tcPr>
          <w:p>
            <w:pPr>
              <w:spacing w:after="0" w:line="138" w:lineRule="exact"/>
              <w:rPr>
                <w:rFonts w:ascii="Arial" w:cs="Arial" w:eastAsia="Arial" w:hAnsi="Arial"/>
                <w:sz w:val="15"/>
                <w:szCs w:val="15"/>
                <w:color w:val="0000FF"/>
              </w:rPr>
            </w:pPr>
            <w:hyperlink r:id="rId182">
              <w:r>
                <w:rPr>
                  <w:rFonts w:ascii="Arial" w:cs="Arial" w:eastAsia="Arial" w:hAnsi="Arial"/>
                  <w:sz w:val="15"/>
                  <w:szCs w:val="15"/>
                  <w:color w:val="0000FF"/>
                </w:rPr>
                <w:t>Registration Statement on Form S-1 (File No. 333-249074) filed on September 25, 2020)</w:t>
              </w:r>
            </w:hyperlink>
          </w:p>
        </w:tc>
        <w:tc>
          <w:tcPr>
            <w:tcW w:w="180" w:type="dxa"/>
            <w:vAlign w:val="bottom"/>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7"/>
                <w:szCs w:val="17"/>
                <w:color w:val="0000FF"/>
              </w:rPr>
            </w:pPr>
            <w:hyperlink r:id="rId183">
              <w:r>
                <w:rPr>
                  <w:rFonts w:ascii="Arial" w:cs="Arial" w:eastAsia="Arial" w:hAnsi="Arial"/>
                  <w:sz w:val="17"/>
                  <w:szCs w:val="17"/>
                  <w:color w:val="0000FF"/>
                </w:rPr>
                <w:t>Praxis Precision Medicines, Inc. 2017 Stock Incentive Plan, as amended, and form of award agreements</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10.3#</w:t>
            </w:r>
          </w:p>
        </w:tc>
        <w:tc>
          <w:tcPr>
            <w:tcW w:w="10020" w:type="dxa"/>
            <w:vAlign w:val="bottom"/>
            <w:gridSpan w:val="31"/>
          </w:tcPr>
          <w:p>
            <w:pPr>
              <w:spacing w:after="0" w:line="150" w:lineRule="exact"/>
              <w:rPr>
                <w:rFonts w:ascii="Arial" w:cs="Arial" w:eastAsia="Arial" w:hAnsi="Arial"/>
                <w:sz w:val="17"/>
                <w:szCs w:val="17"/>
                <w:color w:val="0000FF"/>
              </w:rPr>
            </w:pPr>
            <w:hyperlink r:id="rId183">
              <w:r>
                <w:rPr>
                  <w:rFonts w:ascii="Arial" w:cs="Arial" w:eastAsia="Arial" w:hAnsi="Arial"/>
                  <w:sz w:val="17"/>
                  <w:szCs w:val="17"/>
                  <w:color w:val="0000FF"/>
                </w:rPr>
                <w:t>thereunder (incorporated by reference to Exhibit 10.3 to the Registrant's Annual Report on Form 10-K (File No.</w:t>
              </w:r>
            </w:hyperlink>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8560" w:type="dxa"/>
            <w:vAlign w:val="bottom"/>
            <w:tcBorders>
              <w:top w:val="single" w:sz="8" w:color="0000FF"/>
            </w:tcBorders>
            <w:gridSpan w:val="29"/>
          </w:tcPr>
          <w:p>
            <w:pPr>
              <w:spacing w:after="0" w:line="163" w:lineRule="exact"/>
              <w:rPr>
                <w:rFonts w:ascii="Arial" w:cs="Arial" w:eastAsia="Arial" w:hAnsi="Arial"/>
                <w:sz w:val="17"/>
                <w:szCs w:val="17"/>
                <w:color w:val="0000FF"/>
              </w:rPr>
            </w:pPr>
            <w:hyperlink r:id="rId183">
              <w:r>
                <w:rPr>
                  <w:rFonts w:ascii="Arial" w:cs="Arial" w:eastAsia="Arial" w:hAnsi="Arial"/>
                  <w:sz w:val="17"/>
                  <w:szCs w:val="17"/>
                  <w:color w:val="0000FF"/>
                </w:rPr>
                <w:t>001-39620) filed on March 17, 2021)</w:t>
              </w:r>
            </w:hyperlink>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10.4#</w:t>
            </w:r>
          </w:p>
        </w:tc>
        <w:tc>
          <w:tcPr>
            <w:tcW w:w="10020" w:type="dxa"/>
            <w:vAlign w:val="bottom"/>
            <w:gridSpan w:val="31"/>
          </w:tcPr>
          <w:p>
            <w:pPr>
              <w:spacing w:after="0"/>
              <w:rPr>
                <w:rFonts w:ascii="Arial" w:cs="Arial" w:eastAsia="Arial" w:hAnsi="Arial"/>
                <w:sz w:val="17"/>
                <w:szCs w:val="17"/>
                <w:color w:val="0000FF"/>
              </w:rPr>
            </w:pPr>
            <w:hyperlink r:id="rId184">
              <w:r>
                <w:rPr>
                  <w:rFonts w:ascii="Arial" w:cs="Arial" w:eastAsia="Arial" w:hAnsi="Arial"/>
                  <w:sz w:val="17"/>
                  <w:szCs w:val="17"/>
                  <w:color w:val="0000FF"/>
                </w:rPr>
                <w:t>Praxis Precision Medicines, Inc. 2020 Stock Option and Incentive Plan (incorporated by reference to Exhibit</w:t>
              </w:r>
            </w:hyperlink>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8580" w:type="dxa"/>
            <w:vAlign w:val="bottom"/>
            <w:tcBorders>
              <w:bottom w:val="single" w:sz="8" w:color="0000FF"/>
            </w:tcBorders>
            <w:gridSpan w:val="30"/>
          </w:tcPr>
          <w:p>
            <w:pPr>
              <w:spacing w:after="0" w:line="138" w:lineRule="exact"/>
              <w:rPr>
                <w:rFonts w:ascii="Arial" w:cs="Arial" w:eastAsia="Arial" w:hAnsi="Arial"/>
                <w:sz w:val="15"/>
                <w:szCs w:val="15"/>
                <w:color w:val="0000FF"/>
              </w:rPr>
            </w:pPr>
            <w:hyperlink r:id="rId184">
              <w:r>
                <w:rPr>
                  <w:rFonts w:ascii="Arial" w:cs="Arial" w:eastAsia="Arial" w:hAnsi="Arial"/>
                  <w:sz w:val="15"/>
                  <w:szCs w:val="15"/>
                  <w:color w:val="0000FF"/>
                </w:rPr>
                <w:t>10.</w:t>
              </w:r>
              <w:r>
                <w:rPr>
                  <w:rFonts w:ascii="Arial" w:cs="Arial" w:eastAsia="Arial" w:hAnsi="Arial"/>
                  <w:sz w:val="15"/>
                  <w:szCs w:val="15"/>
                  <w:u w:val="single" w:color="auto"/>
                  <w:color w:val="0000FF"/>
                </w:rPr>
                <w:t>4</w:t>
              </w:r>
              <w:r>
                <w:rPr>
                  <w:rFonts w:ascii="Arial" w:cs="Arial" w:eastAsia="Arial" w:hAnsi="Arial"/>
                  <w:sz w:val="15"/>
                  <w:szCs w:val="15"/>
                  <w:color w:val="0000FF"/>
                </w:rPr>
                <w:t xml:space="preserve"> to the Registrant's Registration Statement on Form S-1/A (File No. 333-249074) filed on October 9, 2020)</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380" w:type="dxa"/>
            <w:vAlign w:val="bottom"/>
            <w:tcBorders>
              <w:bottom w:val="single" w:sz="8" w:color="0000FF"/>
            </w:tcBorders>
            <w:gridSpan w:val="20"/>
          </w:tcPr>
          <w:p>
            <w:pPr>
              <w:spacing w:after="0"/>
              <w:rPr>
                <w:rFonts w:ascii="Arial" w:cs="Arial" w:eastAsia="Arial" w:hAnsi="Arial"/>
                <w:sz w:val="17"/>
                <w:szCs w:val="17"/>
                <w:color w:val="0000FF"/>
              </w:rPr>
            </w:pPr>
            <w:hyperlink r:id="rId185">
              <w:r>
                <w:rPr>
                  <w:rFonts w:ascii="Arial" w:cs="Arial" w:eastAsia="Arial" w:hAnsi="Arial"/>
                  <w:sz w:val="17"/>
                  <w:szCs w:val="17"/>
                  <w:color w:val="0000FF"/>
                </w:rPr>
                <w:t>Form of Incentive Stock Option Agreement under the 2020 Stock Option and Incentive Plan (incorporated by</w:t>
              </w:r>
            </w:hyperlink>
          </w:p>
        </w:tc>
        <w:tc>
          <w:tcPr>
            <w:tcW w:w="164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10.5#</w:t>
            </w:r>
          </w:p>
        </w:tc>
        <w:tc>
          <w:tcPr>
            <w:tcW w:w="10020" w:type="dxa"/>
            <w:vAlign w:val="bottom"/>
            <w:gridSpan w:val="31"/>
          </w:tcPr>
          <w:p>
            <w:pPr>
              <w:spacing w:after="0" w:line="150" w:lineRule="exact"/>
              <w:rPr>
                <w:rFonts w:ascii="Arial" w:cs="Arial" w:eastAsia="Arial" w:hAnsi="Arial"/>
                <w:sz w:val="17"/>
                <w:szCs w:val="17"/>
                <w:color w:val="0000FF"/>
              </w:rPr>
            </w:pPr>
            <w:hyperlink r:id="rId185">
              <w:r>
                <w:rPr>
                  <w:rFonts w:ascii="Arial" w:cs="Arial" w:eastAsia="Arial" w:hAnsi="Arial"/>
                  <w:sz w:val="17"/>
                  <w:szCs w:val="17"/>
                  <w:color w:val="0000FF"/>
                </w:rPr>
                <w:t>reference to Exhibit 10.5 to the Registrant's Registration Statement on Form S-1/A (File No. 333-249074) filed</w:t>
              </w:r>
            </w:hyperlink>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560" w:type="dxa"/>
            <w:vAlign w:val="bottom"/>
            <w:tcBorders>
              <w:top w:val="single" w:sz="8" w:color="0000FF"/>
              <w:bottom w:val="single" w:sz="8" w:color="0000FF"/>
            </w:tcBorders>
            <w:gridSpan w:val="2"/>
          </w:tcPr>
          <w:p>
            <w:pPr>
              <w:spacing w:after="0" w:line="163" w:lineRule="exact"/>
              <w:rPr>
                <w:rFonts w:ascii="Arial" w:cs="Arial" w:eastAsia="Arial" w:hAnsi="Arial"/>
                <w:sz w:val="17"/>
                <w:szCs w:val="17"/>
                <w:color w:val="0000FF"/>
              </w:rPr>
            </w:pPr>
            <w:hyperlink r:id="rId185">
              <w:r>
                <w:rPr>
                  <w:rFonts w:ascii="Arial" w:cs="Arial" w:eastAsia="Arial" w:hAnsi="Arial"/>
                  <w:sz w:val="17"/>
                  <w:szCs w:val="17"/>
                  <w:color w:val="0000FF"/>
                </w:rPr>
                <w:t>on October 9, 2020)</w:t>
              </w:r>
            </w:hyperlink>
          </w:p>
        </w:tc>
        <w:tc>
          <w:tcPr>
            <w:tcW w:w="6920" w:type="dxa"/>
            <w:vAlign w:val="bottom"/>
            <w:tcBorders>
              <w:top w:val="single" w:sz="8" w:color="0000FF"/>
            </w:tcBorders>
            <w:gridSpan w:val="2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31"/>
          </w:tcPr>
          <w:p>
            <w:pPr>
              <w:spacing w:after="0" w:line="190" w:lineRule="exact"/>
              <w:rPr>
                <w:rFonts w:ascii="Arial" w:cs="Arial" w:eastAsia="Arial" w:hAnsi="Arial"/>
                <w:sz w:val="17"/>
                <w:szCs w:val="17"/>
                <w:color w:val="0000FF"/>
              </w:rPr>
            </w:pPr>
            <w:hyperlink r:id="rId186">
              <w:r>
                <w:rPr>
                  <w:rFonts w:ascii="Arial" w:cs="Arial" w:eastAsia="Arial" w:hAnsi="Arial"/>
                  <w:sz w:val="17"/>
                  <w:szCs w:val="17"/>
                  <w:color w:val="0000FF"/>
                </w:rPr>
                <w:t>Form of Non-Qualified Stock Option Agreement for Company Employees under the 2020 Stock Option and</w:t>
              </w:r>
            </w:hyperlink>
          </w:p>
        </w:tc>
        <w:tc>
          <w:tcPr>
            <w:tcW w:w="0" w:type="dxa"/>
            <w:vAlign w:val="bottom"/>
          </w:tcPr>
          <w:p>
            <w:pPr>
              <w:spacing w:after="0"/>
              <w:rPr>
                <w:sz w:val="1"/>
                <w:szCs w:val="1"/>
                <w:color w:val="auto"/>
              </w:rPr>
            </w:pPr>
          </w:p>
        </w:tc>
      </w:tr>
      <w:tr>
        <w:trPr>
          <w:trHeight w:val="157"/>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10.6#</w:t>
            </w:r>
          </w:p>
        </w:tc>
        <w:tc>
          <w:tcPr>
            <w:tcW w:w="8300" w:type="dxa"/>
            <w:vAlign w:val="bottom"/>
            <w:tcBorders>
              <w:top w:val="single" w:sz="8" w:color="0000FF"/>
            </w:tcBorders>
            <w:gridSpan w:val="19"/>
          </w:tcPr>
          <w:p>
            <w:pPr>
              <w:spacing w:after="0" w:line="158" w:lineRule="exact"/>
              <w:rPr>
                <w:rFonts w:ascii="Arial" w:cs="Arial" w:eastAsia="Arial" w:hAnsi="Arial"/>
                <w:sz w:val="17"/>
                <w:szCs w:val="17"/>
                <w:color w:val="0000FF"/>
              </w:rPr>
            </w:pPr>
            <w:hyperlink r:id="rId186">
              <w:r>
                <w:rPr>
                  <w:rFonts w:ascii="Arial" w:cs="Arial" w:eastAsia="Arial" w:hAnsi="Arial"/>
                  <w:sz w:val="17"/>
                  <w:szCs w:val="17"/>
                  <w:color w:val="0000FF"/>
                </w:rPr>
                <w:t>Incentive Plan (incorporated by reference to Exhibit 10.6 to the Registrant's Registration Statement on Form</w:t>
              </w:r>
            </w:hyperlink>
          </w:p>
        </w:tc>
        <w:tc>
          <w:tcPr>
            <w:tcW w:w="1720" w:type="dxa"/>
            <w:vAlign w:val="bottom"/>
            <w:gridSpan w:val="12"/>
          </w:tcPr>
          <w:p>
            <w:pPr>
              <w:jc w:val="right"/>
              <w:ind w:right="1480"/>
              <w:spacing w:after="0" w:line="158" w:lineRule="exact"/>
              <w:rPr>
                <w:rFonts w:ascii="Arial" w:cs="Arial" w:eastAsia="Arial" w:hAnsi="Arial"/>
                <w:sz w:val="17"/>
                <w:szCs w:val="17"/>
                <w:color w:val="0000FF"/>
              </w:rPr>
            </w:pPr>
            <w:hyperlink r:id="rId186">
              <w:r>
                <w:rPr>
                  <w:rFonts w:ascii="Arial" w:cs="Arial" w:eastAsia="Arial" w:hAnsi="Arial"/>
                  <w:sz w:val="17"/>
                  <w:szCs w:val="17"/>
                  <w:color w:val="0000FF"/>
                </w:rPr>
                <w:t>S-</w:t>
              </w:r>
            </w:hyperlink>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3980" w:type="dxa"/>
            <w:vAlign w:val="bottom"/>
            <w:tcBorders>
              <w:top w:val="single" w:sz="8" w:color="0000FF"/>
              <w:bottom w:val="single" w:sz="8" w:color="0000FF"/>
            </w:tcBorders>
            <w:gridSpan w:val="4"/>
          </w:tcPr>
          <w:p>
            <w:pPr>
              <w:spacing w:after="0" w:line="163" w:lineRule="exact"/>
              <w:rPr>
                <w:rFonts w:ascii="Arial" w:cs="Arial" w:eastAsia="Arial" w:hAnsi="Arial"/>
                <w:sz w:val="17"/>
                <w:szCs w:val="17"/>
                <w:color w:val="0000FF"/>
              </w:rPr>
            </w:pPr>
            <w:hyperlink r:id="rId186">
              <w:r>
                <w:rPr>
                  <w:rFonts w:ascii="Arial" w:cs="Arial" w:eastAsia="Arial" w:hAnsi="Arial"/>
                  <w:sz w:val="17"/>
                  <w:szCs w:val="17"/>
                  <w:color w:val="0000FF"/>
                </w:rPr>
                <w:t>1/A (File No. 333-249074) filed on October 9, 2020)</w:t>
              </w:r>
            </w:hyperlink>
          </w:p>
        </w:tc>
        <w:tc>
          <w:tcPr>
            <w:tcW w:w="4600" w:type="dxa"/>
            <w:vAlign w:val="bottom"/>
            <w:tcBorders>
              <w:top w:val="single" w:sz="8" w:color="0000FF"/>
            </w:tcBorders>
            <w:gridSpan w:val="26"/>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31"/>
          </w:tcPr>
          <w:p>
            <w:pPr>
              <w:spacing w:after="0" w:line="190" w:lineRule="exact"/>
              <w:rPr>
                <w:rFonts w:ascii="Arial" w:cs="Arial" w:eastAsia="Arial" w:hAnsi="Arial"/>
                <w:sz w:val="17"/>
                <w:szCs w:val="17"/>
                <w:color w:val="0000FF"/>
              </w:rPr>
            </w:pPr>
            <w:hyperlink r:id="rId187">
              <w:r>
                <w:rPr>
                  <w:rFonts w:ascii="Arial" w:cs="Arial" w:eastAsia="Arial" w:hAnsi="Arial"/>
                  <w:sz w:val="17"/>
                  <w:szCs w:val="17"/>
                  <w:color w:val="0000FF"/>
                </w:rPr>
                <w:t>Form of Non-Qualified Stock Option Agreement for Non-Employee Directors under the 2020 Stock Option and</w:t>
              </w:r>
            </w:hyperlink>
          </w:p>
        </w:tc>
        <w:tc>
          <w:tcPr>
            <w:tcW w:w="0" w:type="dxa"/>
            <w:vAlign w:val="bottom"/>
          </w:tcPr>
          <w:p>
            <w:pPr>
              <w:spacing w:after="0"/>
              <w:rPr>
                <w:sz w:val="1"/>
                <w:szCs w:val="1"/>
                <w:color w:val="auto"/>
              </w:rPr>
            </w:pPr>
          </w:p>
        </w:tc>
      </w:tr>
      <w:tr>
        <w:trPr>
          <w:trHeight w:val="157"/>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10.7#</w:t>
            </w:r>
          </w:p>
        </w:tc>
        <w:tc>
          <w:tcPr>
            <w:tcW w:w="8520" w:type="dxa"/>
            <w:vAlign w:val="bottom"/>
            <w:tcBorders>
              <w:top w:val="single" w:sz="8" w:color="0000FF"/>
            </w:tcBorders>
            <w:gridSpan w:val="27"/>
          </w:tcPr>
          <w:p>
            <w:pPr>
              <w:spacing w:after="0" w:line="158" w:lineRule="exact"/>
              <w:rPr>
                <w:rFonts w:ascii="Arial" w:cs="Arial" w:eastAsia="Arial" w:hAnsi="Arial"/>
                <w:sz w:val="17"/>
                <w:szCs w:val="17"/>
                <w:color w:val="0000FF"/>
              </w:rPr>
            </w:pPr>
            <w:hyperlink r:id="rId187">
              <w:r>
                <w:rPr>
                  <w:rFonts w:ascii="Arial" w:cs="Arial" w:eastAsia="Arial" w:hAnsi="Arial"/>
                  <w:sz w:val="17"/>
                  <w:szCs w:val="17"/>
                  <w:color w:val="0000FF"/>
                </w:rPr>
                <w:t>Incentive Plan (incorporated by reference to Exhibit 10.7 to the Registrant's Registration Statement on Form S</w:t>
              </w:r>
            </w:hyperlink>
          </w:p>
        </w:tc>
        <w:tc>
          <w:tcPr>
            <w:tcW w:w="1500" w:type="dxa"/>
            <w:vAlign w:val="bottom"/>
            <w:gridSpan w:val="4"/>
          </w:tcPr>
          <w:p>
            <w:pPr>
              <w:jc w:val="right"/>
              <w:ind w:right="1480"/>
              <w:spacing w:after="0"/>
              <w:rPr>
                <w:rFonts w:ascii="Arial" w:cs="Arial" w:eastAsia="Arial" w:hAnsi="Arial"/>
                <w:sz w:val="1"/>
                <w:szCs w:val="1"/>
                <w:color w:val="0000FF"/>
                <w:w w:val="4294967282"/>
              </w:rPr>
            </w:pPr>
            <w:hyperlink r:id="rId187">
              <w:r>
                <w:rPr>
                  <w:rFonts w:ascii="Arial" w:cs="Arial" w:eastAsia="Arial" w:hAnsi="Arial"/>
                  <w:sz w:val="1"/>
                  <w:szCs w:val="1"/>
                  <w:color w:val="0000FF"/>
                  <w:w w:val="4294967282"/>
                </w:rPr>
                <w:t>-</w:t>
              </w:r>
            </w:hyperlink>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3980" w:type="dxa"/>
            <w:vAlign w:val="bottom"/>
            <w:tcBorders>
              <w:top w:val="single" w:sz="8" w:color="0000FF"/>
              <w:bottom w:val="single" w:sz="8" w:color="0000FF"/>
            </w:tcBorders>
            <w:gridSpan w:val="4"/>
          </w:tcPr>
          <w:p>
            <w:pPr>
              <w:spacing w:after="0" w:line="163" w:lineRule="exact"/>
              <w:rPr>
                <w:rFonts w:ascii="Arial" w:cs="Arial" w:eastAsia="Arial" w:hAnsi="Arial"/>
                <w:sz w:val="17"/>
                <w:szCs w:val="17"/>
                <w:color w:val="0000FF"/>
              </w:rPr>
            </w:pPr>
            <w:hyperlink r:id="rId187">
              <w:r>
                <w:rPr>
                  <w:rFonts w:ascii="Arial" w:cs="Arial" w:eastAsia="Arial" w:hAnsi="Arial"/>
                  <w:sz w:val="17"/>
                  <w:szCs w:val="17"/>
                  <w:color w:val="0000FF"/>
                </w:rPr>
                <w:t>1/A (File No. 333-249074) filed on October 9, 2020)</w:t>
              </w:r>
            </w:hyperlink>
          </w:p>
        </w:tc>
        <w:tc>
          <w:tcPr>
            <w:tcW w:w="4600" w:type="dxa"/>
            <w:vAlign w:val="bottom"/>
            <w:tcBorders>
              <w:top w:val="single" w:sz="8" w:color="0000FF"/>
            </w:tcBorders>
            <w:gridSpan w:val="26"/>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0020" w:type="dxa"/>
            <w:vAlign w:val="bottom"/>
            <w:gridSpan w:val="31"/>
          </w:tcPr>
          <w:p>
            <w:pPr>
              <w:spacing w:after="0"/>
              <w:rPr>
                <w:rFonts w:ascii="Arial" w:cs="Arial" w:eastAsia="Arial" w:hAnsi="Arial"/>
                <w:sz w:val="17"/>
                <w:szCs w:val="17"/>
                <w:color w:val="0000FF"/>
              </w:rPr>
            </w:pPr>
            <w:hyperlink r:id="rId188">
              <w:r>
                <w:rPr>
                  <w:rFonts w:ascii="Arial" w:cs="Arial" w:eastAsia="Arial" w:hAnsi="Arial"/>
                  <w:sz w:val="17"/>
                  <w:szCs w:val="17"/>
                  <w:color w:val="0000FF"/>
                </w:rPr>
                <w:t>Form of Restricted Stock Award Agreement under the 2020 Stock Option and Incentive Plan (incorporated by</w:t>
              </w:r>
            </w:hyperlink>
          </w:p>
        </w:tc>
        <w:tc>
          <w:tcPr>
            <w:tcW w:w="0" w:type="dxa"/>
            <w:vAlign w:val="bottom"/>
          </w:tcPr>
          <w:p>
            <w:pPr>
              <w:spacing w:after="0"/>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10.8#</w:t>
            </w:r>
          </w:p>
        </w:tc>
        <w:tc>
          <w:tcPr>
            <w:tcW w:w="8440" w:type="dxa"/>
            <w:vAlign w:val="bottom"/>
            <w:tcBorders>
              <w:top w:val="single" w:sz="8" w:color="0000FF"/>
            </w:tcBorders>
            <w:gridSpan w:val="23"/>
          </w:tcPr>
          <w:p>
            <w:pPr>
              <w:spacing w:after="0" w:line="150" w:lineRule="exact"/>
              <w:rPr>
                <w:rFonts w:ascii="Arial" w:cs="Arial" w:eastAsia="Arial" w:hAnsi="Arial"/>
                <w:sz w:val="17"/>
                <w:szCs w:val="17"/>
                <w:color w:val="0000FF"/>
              </w:rPr>
            </w:pPr>
            <w:hyperlink r:id="rId188">
              <w:r>
                <w:rPr>
                  <w:rFonts w:ascii="Arial" w:cs="Arial" w:eastAsia="Arial" w:hAnsi="Arial"/>
                  <w:sz w:val="17"/>
                  <w:szCs w:val="17"/>
                  <w:color w:val="0000FF"/>
                </w:rPr>
                <w:t>reference to Exhibit 10.8 to the Registrant's Registration Statement on Form S-1/A (File No. 333-249074) filed</w:t>
              </w:r>
            </w:hyperlink>
          </w:p>
        </w:tc>
        <w:tc>
          <w:tcPr>
            <w:tcW w:w="15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560" w:type="dxa"/>
            <w:vAlign w:val="bottom"/>
            <w:tcBorders>
              <w:top w:val="single" w:sz="8" w:color="0000FF"/>
              <w:bottom w:val="single" w:sz="8" w:color="0000FF"/>
            </w:tcBorders>
            <w:gridSpan w:val="2"/>
          </w:tcPr>
          <w:p>
            <w:pPr>
              <w:spacing w:after="0" w:line="163" w:lineRule="exact"/>
              <w:rPr>
                <w:rFonts w:ascii="Arial" w:cs="Arial" w:eastAsia="Arial" w:hAnsi="Arial"/>
                <w:sz w:val="17"/>
                <w:szCs w:val="17"/>
                <w:color w:val="0000FF"/>
              </w:rPr>
            </w:pPr>
            <w:hyperlink r:id="rId188">
              <w:r>
                <w:rPr>
                  <w:rFonts w:ascii="Arial" w:cs="Arial" w:eastAsia="Arial" w:hAnsi="Arial"/>
                  <w:sz w:val="17"/>
                  <w:szCs w:val="17"/>
                  <w:color w:val="0000FF"/>
                </w:rPr>
                <w:t>on October 9, 2020)</w:t>
              </w:r>
            </w:hyperlink>
          </w:p>
        </w:tc>
        <w:tc>
          <w:tcPr>
            <w:tcW w:w="6920" w:type="dxa"/>
            <w:vAlign w:val="bottom"/>
            <w:tcBorders>
              <w:top w:val="single" w:sz="8" w:color="0000FF"/>
            </w:tcBorders>
            <w:gridSpan w:val="23"/>
          </w:tcPr>
          <w:p>
            <w:pPr>
              <w:spacing w:after="0"/>
              <w:rPr>
                <w:sz w:val="14"/>
                <w:szCs w:val="14"/>
                <w:color w:val="auto"/>
              </w:rPr>
            </w:pPr>
          </w:p>
        </w:tc>
        <w:tc>
          <w:tcPr>
            <w:tcW w:w="15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31"/>
          </w:tcPr>
          <w:p>
            <w:pPr>
              <w:spacing w:after="0" w:line="190" w:lineRule="exact"/>
              <w:rPr>
                <w:rFonts w:ascii="Arial" w:cs="Arial" w:eastAsia="Arial" w:hAnsi="Arial"/>
                <w:sz w:val="17"/>
                <w:szCs w:val="17"/>
                <w:color w:val="0000FF"/>
              </w:rPr>
            </w:pPr>
            <w:hyperlink r:id="rId189">
              <w:r>
                <w:rPr>
                  <w:rFonts w:ascii="Arial" w:cs="Arial" w:eastAsia="Arial" w:hAnsi="Arial"/>
                  <w:sz w:val="17"/>
                  <w:szCs w:val="17"/>
                  <w:color w:val="0000FF"/>
                </w:rPr>
                <w:t>Form of Restricted Stock Award Agreement for Company Employees under the 2020 Stock Option and</w:t>
              </w:r>
            </w:hyperlink>
          </w:p>
        </w:tc>
        <w:tc>
          <w:tcPr>
            <w:tcW w:w="0" w:type="dxa"/>
            <w:vAlign w:val="bottom"/>
          </w:tcPr>
          <w:p>
            <w:pPr>
              <w:spacing w:after="0"/>
              <w:rPr>
                <w:sz w:val="1"/>
                <w:szCs w:val="1"/>
                <w:color w:val="auto"/>
              </w:rPr>
            </w:pPr>
          </w:p>
        </w:tc>
      </w:tr>
      <w:tr>
        <w:trPr>
          <w:trHeight w:val="157"/>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10.9#</w:t>
            </w:r>
          </w:p>
        </w:tc>
        <w:tc>
          <w:tcPr>
            <w:tcW w:w="7940" w:type="dxa"/>
            <w:vAlign w:val="bottom"/>
            <w:tcBorders>
              <w:top w:val="single" w:sz="8" w:color="0000FF"/>
            </w:tcBorders>
            <w:gridSpan w:val="10"/>
          </w:tcPr>
          <w:p>
            <w:pPr>
              <w:spacing w:after="0" w:line="158" w:lineRule="exact"/>
              <w:rPr>
                <w:rFonts w:ascii="Arial" w:cs="Arial" w:eastAsia="Arial" w:hAnsi="Arial"/>
                <w:sz w:val="17"/>
                <w:szCs w:val="17"/>
                <w:color w:val="0000FF"/>
              </w:rPr>
            </w:pPr>
            <w:hyperlink r:id="rId189">
              <w:r>
                <w:rPr>
                  <w:rFonts w:ascii="Arial" w:cs="Arial" w:eastAsia="Arial" w:hAnsi="Arial"/>
                  <w:sz w:val="17"/>
                  <w:szCs w:val="17"/>
                  <w:color w:val="0000FF"/>
                </w:rPr>
                <w:t>Incentive Plan (incorporated by reference to Exhibit 10.9 to the Registrant's Registration Statement on</w:t>
              </w:r>
            </w:hyperlink>
          </w:p>
        </w:tc>
        <w:tc>
          <w:tcPr>
            <w:tcW w:w="2080" w:type="dxa"/>
            <w:vAlign w:val="bottom"/>
            <w:gridSpan w:val="21"/>
          </w:tcPr>
          <w:p>
            <w:pPr>
              <w:jc w:val="right"/>
              <w:ind w:right="1480"/>
              <w:spacing w:after="0" w:line="158" w:lineRule="exact"/>
              <w:rPr>
                <w:rFonts w:ascii="Arial" w:cs="Arial" w:eastAsia="Arial" w:hAnsi="Arial"/>
                <w:sz w:val="17"/>
                <w:szCs w:val="17"/>
                <w:color w:val="0000FF"/>
                <w:w w:val="94"/>
              </w:rPr>
            </w:pPr>
            <w:hyperlink r:id="rId189">
              <w:r>
                <w:rPr>
                  <w:rFonts w:ascii="Arial" w:cs="Arial" w:eastAsia="Arial" w:hAnsi="Arial"/>
                  <w:sz w:val="17"/>
                  <w:szCs w:val="17"/>
                  <w:color w:val="0000FF"/>
                  <w:w w:val="94"/>
                </w:rPr>
                <w:t>Form S-</w:t>
              </w:r>
            </w:hyperlink>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3980" w:type="dxa"/>
            <w:vAlign w:val="bottom"/>
            <w:tcBorders>
              <w:top w:val="single" w:sz="8" w:color="0000FF"/>
              <w:bottom w:val="single" w:sz="8" w:color="0000FF"/>
            </w:tcBorders>
            <w:gridSpan w:val="4"/>
          </w:tcPr>
          <w:p>
            <w:pPr>
              <w:spacing w:after="0" w:line="163" w:lineRule="exact"/>
              <w:rPr>
                <w:rFonts w:ascii="Arial" w:cs="Arial" w:eastAsia="Arial" w:hAnsi="Arial"/>
                <w:sz w:val="17"/>
                <w:szCs w:val="17"/>
                <w:color w:val="0000FF"/>
              </w:rPr>
            </w:pPr>
            <w:hyperlink r:id="rId189">
              <w:r>
                <w:rPr>
                  <w:rFonts w:ascii="Arial" w:cs="Arial" w:eastAsia="Arial" w:hAnsi="Arial"/>
                  <w:sz w:val="17"/>
                  <w:szCs w:val="17"/>
                  <w:color w:val="0000FF"/>
                </w:rPr>
                <w:t>1/A (File No. 333-249074) filed on October 9, 2020)</w:t>
              </w:r>
            </w:hyperlink>
          </w:p>
        </w:tc>
        <w:tc>
          <w:tcPr>
            <w:tcW w:w="4600" w:type="dxa"/>
            <w:vAlign w:val="bottom"/>
            <w:tcBorders>
              <w:top w:val="single" w:sz="8" w:color="0000FF"/>
            </w:tcBorders>
            <w:gridSpan w:val="26"/>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0020" w:type="dxa"/>
            <w:vAlign w:val="bottom"/>
            <w:gridSpan w:val="31"/>
          </w:tcPr>
          <w:p>
            <w:pPr>
              <w:spacing w:after="0"/>
              <w:rPr>
                <w:rFonts w:ascii="Arial" w:cs="Arial" w:eastAsia="Arial" w:hAnsi="Arial"/>
                <w:sz w:val="17"/>
                <w:szCs w:val="17"/>
                <w:color w:val="0000FF"/>
              </w:rPr>
            </w:pPr>
            <w:hyperlink r:id="rId190">
              <w:r>
                <w:rPr>
                  <w:rFonts w:ascii="Arial" w:cs="Arial" w:eastAsia="Arial" w:hAnsi="Arial"/>
                  <w:sz w:val="17"/>
                  <w:szCs w:val="17"/>
                  <w:color w:val="0000FF"/>
                </w:rPr>
                <w:t>Form of Restricted Stock Award Agreement for Non -Employee Directors under the 2020 Stock Option and</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160" w:type="dxa"/>
            <w:vAlign w:val="bottom"/>
            <w:gridSpan w:val="5"/>
            <w:shd w:val="clear" w:color="auto" w:fill="0000FF"/>
          </w:tcPr>
          <w:p>
            <w:pPr>
              <w:spacing w:after="0" w:line="20" w:lineRule="exact"/>
              <w:rPr>
                <w:sz w:val="1"/>
                <w:szCs w:val="1"/>
                <w:color w:val="auto"/>
              </w:rPr>
            </w:pPr>
          </w:p>
        </w:tc>
        <w:tc>
          <w:tcPr>
            <w:tcW w:w="4020" w:type="dxa"/>
            <w:vAlign w:val="bottom"/>
            <w:gridSpan w:val="11"/>
            <w:shd w:val="clear" w:color="auto" w:fill="0000FF"/>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10.10#</w:t>
            </w:r>
          </w:p>
        </w:tc>
        <w:tc>
          <w:tcPr>
            <w:tcW w:w="10020" w:type="dxa"/>
            <w:vAlign w:val="bottom"/>
            <w:gridSpan w:val="31"/>
          </w:tcPr>
          <w:p>
            <w:pPr>
              <w:spacing w:after="0" w:line="150" w:lineRule="exact"/>
              <w:rPr>
                <w:rFonts w:ascii="Arial" w:cs="Arial" w:eastAsia="Arial" w:hAnsi="Arial"/>
                <w:sz w:val="17"/>
                <w:szCs w:val="17"/>
                <w:color w:val="0000FF"/>
              </w:rPr>
            </w:pPr>
            <w:hyperlink r:id="rId190">
              <w:r>
                <w:rPr>
                  <w:rFonts w:ascii="Arial" w:cs="Arial" w:eastAsia="Arial" w:hAnsi="Arial"/>
                  <w:sz w:val="17"/>
                  <w:szCs w:val="17"/>
                  <w:color w:val="0000FF"/>
                </w:rPr>
                <w:t>Incentive Plan (incorporated by reference to Exhibit 10.10 to the Registrant's Registration Statement on Form</w:t>
              </w:r>
            </w:hyperlink>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4160" w:type="dxa"/>
            <w:vAlign w:val="bottom"/>
            <w:tcBorders>
              <w:top w:val="single" w:sz="8" w:color="0000FF"/>
              <w:bottom w:val="single" w:sz="8" w:color="0000FF"/>
            </w:tcBorders>
            <w:gridSpan w:val="5"/>
          </w:tcPr>
          <w:p>
            <w:pPr>
              <w:spacing w:after="0" w:line="163" w:lineRule="exact"/>
              <w:rPr>
                <w:rFonts w:ascii="Arial" w:cs="Arial" w:eastAsia="Arial" w:hAnsi="Arial"/>
                <w:sz w:val="17"/>
                <w:szCs w:val="17"/>
                <w:color w:val="0000FF"/>
              </w:rPr>
            </w:pPr>
            <w:hyperlink r:id="rId190">
              <w:r>
                <w:rPr>
                  <w:rFonts w:ascii="Arial" w:cs="Arial" w:eastAsia="Arial" w:hAnsi="Arial"/>
                  <w:sz w:val="17"/>
                  <w:szCs w:val="17"/>
                  <w:color w:val="0000FF"/>
                </w:rPr>
                <w:t>S-1/A (File No. 333-249074) filed on October 9, 2020)</w:t>
              </w:r>
            </w:hyperlink>
          </w:p>
        </w:tc>
        <w:tc>
          <w:tcPr>
            <w:tcW w:w="4260" w:type="dxa"/>
            <w:vAlign w:val="bottom"/>
            <w:tcBorders>
              <w:top w:val="single" w:sz="8" w:color="0000FF"/>
            </w:tcBorders>
            <w:gridSpan w:val="17"/>
          </w:tcPr>
          <w:p>
            <w:pPr>
              <w:spacing w:after="0"/>
              <w:rPr>
                <w:sz w:val="14"/>
                <w:szCs w:val="14"/>
                <w:color w:val="auto"/>
              </w:rPr>
            </w:pPr>
          </w:p>
        </w:tc>
        <w:tc>
          <w:tcPr>
            <w:tcW w:w="160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862"/>
        </w:trPr>
        <w:tc>
          <w:tcPr>
            <w:tcW w:w="1220" w:type="dxa"/>
            <w:vAlign w:val="bottom"/>
          </w:tcPr>
          <w:p>
            <w:pPr>
              <w:spacing w:after="0"/>
              <w:rPr>
                <w:sz w:val="24"/>
                <w:szCs w:val="24"/>
                <w:color w:val="auto"/>
              </w:rPr>
            </w:pPr>
          </w:p>
        </w:tc>
        <w:tc>
          <w:tcPr>
            <w:tcW w:w="6840" w:type="dxa"/>
            <w:vAlign w:val="bottom"/>
            <w:gridSpan w:val="6"/>
          </w:tcPr>
          <w:p>
            <w:pPr>
              <w:ind w:left="4260"/>
              <w:spacing w:after="0"/>
              <w:rPr>
                <w:sz w:val="20"/>
                <w:szCs w:val="20"/>
                <w:color w:val="auto"/>
              </w:rPr>
            </w:pPr>
            <w:r>
              <w:rPr>
                <w:rFonts w:ascii="Arial" w:cs="Arial" w:eastAsia="Arial" w:hAnsi="Arial"/>
                <w:sz w:val="17"/>
                <w:szCs w:val="17"/>
                <w:color w:val="auto"/>
              </w:rPr>
              <w:t>149</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200" w:type="dxa"/>
            <w:vAlign w:val="bottom"/>
          </w:tcPr>
          <w:p>
            <w:pPr>
              <w:spacing w:after="0"/>
              <w:rPr>
                <w:sz w:val="16"/>
                <w:szCs w:val="16"/>
                <w:color w:val="auto"/>
              </w:rPr>
            </w:pPr>
          </w:p>
        </w:tc>
        <w:tc>
          <w:tcPr>
            <w:tcW w:w="8580" w:type="dxa"/>
            <w:vAlign w:val="bottom"/>
            <w:gridSpan w:val="34"/>
          </w:tcPr>
          <w:p>
            <w:pPr>
              <w:spacing w:after="0"/>
              <w:rPr>
                <w:rFonts w:ascii="Arial" w:cs="Arial" w:eastAsia="Arial" w:hAnsi="Arial"/>
                <w:sz w:val="17"/>
                <w:szCs w:val="17"/>
                <w:color w:val="0000FF"/>
              </w:rPr>
            </w:pPr>
            <w:hyperlink r:id="rId193">
              <w:r>
                <w:rPr>
                  <w:rFonts w:ascii="Arial" w:cs="Arial" w:eastAsia="Arial" w:hAnsi="Arial"/>
                  <w:sz w:val="17"/>
                  <w:szCs w:val="17"/>
                  <w:color w:val="0000FF"/>
                </w:rPr>
                <w:t>Praxis Precision Medicines, Inc. 2020 Employee Stock Purchase Plan (incorporated by reference to Exhibit</w:t>
              </w:r>
            </w:hyperlink>
          </w:p>
        </w:tc>
        <w:tc>
          <w:tcPr>
            <w:tcW w:w="0" w:type="dxa"/>
            <w:vAlign w:val="bottom"/>
          </w:tcPr>
          <w:p>
            <w:pPr>
              <w:spacing w:after="0"/>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10.11#</w:t>
            </w:r>
          </w:p>
        </w:tc>
        <w:tc>
          <w:tcPr>
            <w:tcW w:w="8260" w:type="dxa"/>
            <w:vAlign w:val="bottom"/>
            <w:tcBorders>
              <w:top w:val="single" w:sz="8" w:color="0000FF"/>
            </w:tcBorders>
            <w:gridSpan w:val="25"/>
          </w:tcPr>
          <w:p>
            <w:pPr>
              <w:spacing w:after="0" w:line="150" w:lineRule="exact"/>
              <w:rPr>
                <w:rFonts w:ascii="Arial" w:cs="Arial" w:eastAsia="Arial" w:hAnsi="Arial"/>
                <w:sz w:val="17"/>
                <w:szCs w:val="17"/>
                <w:color w:val="0000FF"/>
              </w:rPr>
            </w:pPr>
            <w:hyperlink r:id="rId193">
              <w:r>
                <w:rPr>
                  <w:rFonts w:ascii="Arial" w:cs="Arial" w:eastAsia="Arial" w:hAnsi="Arial"/>
                  <w:sz w:val="17"/>
                  <w:szCs w:val="17"/>
                  <w:color w:val="0000FF"/>
                </w:rPr>
                <w:t>10.</w:t>
              </w:r>
              <w:r>
                <w:rPr>
                  <w:rFonts w:ascii="Arial" w:cs="Arial" w:eastAsia="Arial" w:hAnsi="Arial"/>
                  <w:sz w:val="17"/>
                  <w:szCs w:val="17"/>
                  <w:u w:val="single" w:color="auto"/>
                  <w:color w:val="0000FF"/>
                </w:rPr>
                <w:t>11</w:t>
              </w:r>
              <w:r>
                <w:rPr>
                  <w:rFonts w:ascii="Arial" w:cs="Arial" w:eastAsia="Arial" w:hAnsi="Arial"/>
                  <w:sz w:val="17"/>
                  <w:szCs w:val="17"/>
                  <w:color w:val="0000FF"/>
                </w:rPr>
                <w:t xml:space="preserve"> to the Registrant's Registration Statement on Form S-1/A (File No. 333-249074) filed on October 9,</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440" w:type="dxa"/>
            <w:vAlign w:val="bottom"/>
            <w:tcBorders>
              <w:top w:val="single" w:sz="8" w:color="0000FF"/>
              <w:bottom w:val="single" w:sz="8" w:color="0000FF"/>
            </w:tcBorders>
          </w:tcPr>
          <w:p>
            <w:pPr>
              <w:spacing w:after="0" w:line="163" w:lineRule="exact"/>
              <w:rPr>
                <w:rFonts w:ascii="Arial" w:cs="Arial" w:eastAsia="Arial" w:hAnsi="Arial"/>
                <w:sz w:val="17"/>
                <w:szCs w:val="17"/>
                <w:color w:val="0000FF"/>
                <w:w w:val="96"/>
              </w:rPr>
            </w:pPr>
            <w:hyperlink r:id="rId193">
              <w:r>
                <w:rPr>
                  <w:rFonts w:ascii="Arial" w:cs="Arial" w:eastAsia="Arial" w:hAnsi="Arial"/>
                  <w:sz w:val="17"/>
                  <w:szCs w:val="17"/>
                  <w:color w:val="0000FF"/>
                  <w:w w:val="96"/>
                </w:rPr>
                <w:t>2020)</w:t>
              </w:r>
            </w:hyperlink>
          </w:p>
        </w:tc>
        <w:tc>
          <w:tcPr>
            <w:tcW w:w="200" w:type="dxa"/>
            <w:vAlign w:val="bottom"/>
            <w:tcBorders>
              <w:top w:val="single" w:sz="8" w:color="0000FF"/>
            </w:tcBorders>
          </w:tcPr>
          <w:p>
            <w:pPr>
              <w:spacing w:after="0"/>
              <w:rPr>
                <w:sz w:val="14"/>
                <w:szCs w:val="14"/>
                <w:color w:val="auto"/>
              </w:rPr>
            </w:pPr>
          </w:p>
        </w:tc>
        <w:tc>
          <w:tcPr>
            <w:tcW w:w="2000" w:type="dxa"/>
            <w:vAlign w:val="bottom"/>
            <w:tcBorders>
              <w:top w:val="single" w:sz="8" w:color="0000FF"/>
            </w:tcBorders>
          </w:tcPr>
          <w:p>
            <w:pPr>
              <w:spacing w:after="0"/>
              <w:rPr>
                <w:sz w:val="14"/>
                <w:szCs w:val="14"/>
                <w:color w:val="auto"/>
              </w:rPr>
            </w:pPr>
          </w:p>
        </w:tc>
        <w:tc>
          <w:tcPr>
            <w:tcW w:w="23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580" w:type="dxa"/>
            <w:vAlign w:val="bottom"/>
            <w:gridSpan w:val="34"/>
          </w:tcPr>
          <w:p>
            <w:pPr>
              <w:spacing w:after="0"/>
              <w:rPr>
                <w:rFonts w:ascii="Arial" w:cs="Arial" w:eastAsia="Arial" w:hAnsi="Arial"/>
                <w:sz w:val="17"/>
                <w:szCs w:val="17"/>
                <w:color w:val="0000FF"/>
              </w:rPr>
            </w:pPr>
            <w:hyperlink r:id="rId194">
              <w:r>
                <w:rPr>
                  <w:rFonts w:ascii="Arial" w:cs="Arial" w:eastAsia="Arial" w:hAnsi="Arial"/>
                  <w:sz w:val="17"/>
                  <w:szCs w:val="17"/>
                  <w:color w:val="0000FF"/>
                </w:rPr>
                <w:t>Amended and Restated Employment Agreement, dated October 20, 2020, by and between Praxis Precision</w:t>
              </w:r>
            </w:hyperlink>
          </w:p>
        </w:tc>
        <w:tc>
          <w:tcPr>
            <w:tcW w:w="0" w:type="dxa"/>
            <w:vAlign w:val="bottom"/>
          </w:tcPr>
          <w:p>
            <w:pPr>
              <w:spacing w:after="0"/>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10.12#</w:t>
            </w:r>
          </w:p>
        </w:tc>
        <w:tc>
          <w:tcPr>
            <w:tcW w:w="8340" w:type="dxa"/>
            <w:vAlign w:val="bottom"/>
            <w:tcBorders>
              <w:top w:val="single" w:sz="8" w:color="0000FF"/>
            </w:tcBorders>
            <w:gridSpan w:val="28"/>
          </w:tcPr>
          <w:p>
            <w:pPr>
              <w:spacing w:after="0" w:line="150" w:lineRule="exact"/>
              <w:rPr>
                <w:rFonts w:ascii="Arial" w:cs="Arial" w:eastAsia="Arial" w:hAnsi="Arial"/>
                <w:sz w:val="17"/>
                <w:szCs w:val="17"/>
                <w:color w:val="0000FF"/>
              </w:rPr>
            </w:pPr>
            <w:hyperlink r:id="rId194">
              <w:r>
                <w:rPr>
                  <w:rFonts w:ascii="Arial" w:cs="Arial" w:eastAsia="Arial" w:hAnsi="Arial"/>
                  <w:sz w:val="17"/>
                  <w:szCs w:val="17"/>
                  <w:color w:val="0000FF"/>
                </w:rPr>
                <w:t>Medicines, Inc. and Marcio Souza (incorporated by reference to Exhibit 10.12 to the Registrant's Annual</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2640" w:type="dxa"/>
            <w:vAlign w:val="bottom"/>
            <w:tcBorders>
              <w:top w:val="single" w:sz="8" w:color="0000FF"/>
              <w:bottom w:val="single" w:sz="8" w:color="0000FF"/>
            </w:tcBorders>
            <w:gridSpan w:val="3"/>
          </w:tcPr>
          <w:p>
            <w:pPr>
              <w:spacing w:after="0" w:line="163" w:lineRule="exact"/>
              <w:rPr>
                <w:rFonts w:ascii="Arial" w:cs="Arial" w:eastAsia="Arial" w:hAnsi="Arial"/>
                <w:sz w:val="17"/>
                <w:szCs w:val="17"/>
                <w:color w:val="0000FF"/>
                <w:w w:val="99"/>
              </w:rPr>
            </w:pPr>
            <w:hyperlink r:id="rId194">
              <w:r>
                <w:rPr>
                  <w:rFonts w:ascii="Arial" w:cs="Arial" w:eastAsia="Arial" w:hAnsi="Arial"/>
                  <w:sz w:val="17"/>
                  <w:szCs w:val="17"/>
                  <w:color w:val="0000FF"/>
                  <w:w w:val="99"/>
                </w:rPr>
                <w:t>Report on Form 10-K (File No. 001</w:t>
              </w:r>
            </w:hyperlink>
          </w:p>
        </w:tc>
        <w:tc>
          <w:tcPr>
            <w:tcW w:w="2800" w:type="dxa"/>
            <w:vAlign w:val="bottom"/>
            <w:tcBorders>
              <w:top w:val="single" w:sz="8" w:color="0000FF"/>
              <w:bottom w:val="single" w:sz="8" w:color="0000FF"/>
            </w:tcBorders>
            <w:gridSpan w:val="3"/>
          </w:tcPr>
          <w:p>
            <w:pPr>
              <w:ind w:left="40"/>
              <w:spacing w:after="0" w:line="163" w:lineRule="exact"/>
              <w:rPr>
                <w:rFonts w:ascii="Arial" w:cs="Arial" w:eastAsia="Arial" w:hAnsi="Arial"/>
                <w:sz w:val="17"/>
                <w:szCs w:val="17"/>
                <w:color w:val="0000FF"/>
              </w:rPr>
            </w:pPr>
            <w:hyperlink r:id="rId194">
              <w:r>
                <w:rPr>
                  <w:rFonts w:ascii="Arial" w:cs="Arial" w:eastAsia="Arial" w:hAnsi="Arial"/>
                  <w:sz w:val="17"/>
                  <w:szCs w:val="17"/>
                  <w:color w:val="0000FF"/>
                </w:rPr>
                <w:t>-39620) filed on February 28, 2022)</w:t>
              </w:r>
            </w:hyperlink>
          </w:p>
        </w:tc>
        <w:tc>
          <w:tcPr>
            <w:tcW w:w="420" w:type="dxa"/>
            <w:vAlign w:val="bottom"/>
            <w:tcBorders>
              <w:top w:val="single" w:sz="8" w:color="0000FF"/>
            </w:tcBorders>
            <w:gridSpan w:val="2"/>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vMerge w:val="restart"/>
          </w:tcPr>
          <w:p>
            <w:pPr>
              <w:spacing w:after="0"/>
              <w:rPr>
                <w:sz w:val="20"/>
                <w:szCs w:val="20"/>
                <w:color w:val="auto"/>
              </w:rPr>
            </w:pPr>
            <w:r>
              <w:rPr>
                <w:rFonts w:ascii="Arial" w:cs="Arial" w:eastAsia="Arial" w:hAnsi="Arial"/>
                <w:sz w:val="17"/>
                <w:szCs w:val="17"/>
                <w:color w:val="auto"/>
              </w:rPr>
              <w:t>10.13#*</w:t>
            </w:r>
          </w:p>
        </w:tc>
        <w:tc>
          <w:tcPr>
            <w:tcW w:w="8580" w:type="dxa"/>
            <w:vAlign w:val="bottom"/>
            <w:gridSpan w:val="34"/>
          </w:tcPr>
          <w:p>
            <w:pPr>
              <w:spacing w:after="0"/>
              <w:rPr>
                <w:sz w:val="20"/>
                <w:szCs w:val="20"/>
                <w:color w:val="auto"/>
              </w:rPr>
            </w:pPr>
            <w:r>
              <w:rPr>
                <w:rFonts w:ascii="Arial" w:cs="Arial" w:eastAsia="Arial" w:hAnsi="Arial"/>
                <w:sz w:val="17"/>
                <w:szCs w:val="17"/>
                <w:color w:val="0000FF"/>
              </w:rPr>
              <w:t>Amended and Restated Employment Agreement, dated May 13, 2021, by and between Praxis Precision</w:t>
            </w:r>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2640" w:type="dxa"/>
            <w:vAlign w:val="bottom"/>
            <w:tcBorders>
              <w:top w:val="single" w:sz="8" w:color="0000FF"/>
              <w:bottom w:val="single" w:sz="8" w:color="0000FF"/>
            </w:tcBorders>
            <w:gridSpan w:val="3"/>
          </w:tcPr>
          <w:p>
            <w:pPr>
              <w:spacing w:after="0" w:line="138" w:lineRule="exact"/>
              <w:rPr>
                <w:sz w:val="20"/>
                <w:szCs w:val="20"/>
                <w:color w:val="auto"/>
              </w:rPr>
            </w:pPr>
            <w:r>
              <w:rPr>
                <w:rFonts w:ascii="Arial" w:cs="Arial" w:eastAsia="Arial" w:hAnsi="Arial"/>
                <w:sz w:val="15"/>
                <w:szCs w:val="15"/>
                <w:color w:val="0000FF"/>
              </w:rPr>
              <w:t>Medicines, Inc. and Timothy Kelly</w:t>
            </w:r>
          </w:p>
        </w:tc>
        <w:tc>
          <w:tcPr>
            <w:tcW w:w="23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gridSpan w:val="2"/>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8580" w:type="dxa"/>
            <w:vAlign w:val="bottom"/>
            <w:gridSpan w:val="34"/>
          </w:tcPr>
          <w:p>
            <w:pPr>
              <w:spacing w:after="0"/>
              <w:rPr>
                <w:rFonts w:ascii="Arial" w:cs="Arial" w:eastAsia="Arial" w:hAnsi="Arial"/>
                <w:sz w:val="17"/>
                <w:szCs w:val="17"/>
                <w:color w:val="0000FF"/>
              </w:rPr>
            </w:pPr>
            <w:hyperlink r:id="rId195">
              <w:r>
                <w:rPr>
                  <w:rFonts w:ascii="Arial" w:cs="Arial" w:eastAsia="Arial" w:hAnsi="Arial"/>
                  <w:sz w:val="17"/>
                  <w:szCs w:val="17"/>
                  <w:color w:val="0000FF"/>
                </w:rPr>
                <w:t>Amended and Restated Employment Agreement, dated October 20, 2020, by and between Praxis Precision</w:t>
              </w:r>
            </w:hyperlink>
          </w:p>
        </w:tc>
        <w:tc>
          <w:tcPr>
            <w:tcW w:w="0" w:type="dxa"/>
            <w:vAlign w:val="bottom"/>
          </w:tcPr>
          <w:p>
            <w:pPr>
              <w:spacing w:after="0"/>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10.14#</w:t>
            </w:r>
          </w:p>
        </w:tc>
        <w:tc>
          <w:tcPr>
            <w:tcW w:w="8340" w:type="dxa"/>
            <w:vAlign w:val="bottom"/>
            <w:tcBorders>
              <w:top w:val="single" w:sz="8" w:color="0000FF"/>
            </w:tcBorders>
            <w:gridSpan w:val="28"/>
          </w:tcPr>
          <w:p>
            <w:pPr>
              <w:spacing w:after="0" w:line="150" w:lineRule="exact"/>
              <w:rPr>
                <w:rFonts w:ascii="Arial" w:cs="Arial" w:eastAsia="Arial" w:hAnsi="Arial"/>
                <w:sz w:val="17"/>
                <w:szCs w:val="17"/>
                <w:color w:val="0000FF"/>
              </w:rPr>
            </w:pPr>
            <w:hyperlink r:id="rId195">
              <w:r>
                <w:rPr>
                  <w:rFonts w:ascii="Arial" w:cs="Arial" w:eastAsia="Arial" w:hAnsi="Arial"/>
                  <w:sz w:val="17"/>
                  <w:szCs w:val="17"/>
                  <w:color w:val="0000FF"/>
                </w:rPr>
                <w:t>Medicines, Inc. and Nicole Sweeny (incorporated by reference to Exhibit 10.14 to the Registrant's Annual</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5440" w:type="dxa"/>
            <w:vAlign w:val="bottom"/>
            <w:tcBorders>
              <w:top w:val="single" w:sz="8" w:color="0000FF"/>
              <w:bottom w:val="single" w:sz="8" w:color="0000FF"/>
            </w:tcBorders>
            <w:gridSpan w:val="6"/>
          </w:tcPr>
          <w:p>
            <w:pPr>
              <w:spacing w:after="0" w:line="163" w:lineRule="exact"/>
              <w:rPr>
                <w:rFonts w:ascii="Arial" w:cs="Arial" w:eastAsia="Arial" w:hAnsi="Arial"/>
                <w:sz w:val="17"/>
                <w:szCs w:val="17"/>
                <w:color w:val="0000FF"/>
              </w:rPr>
            </w:pPr>
            <w:hyperlink r:id="rId195">
              <w:r>
                <w:rPr>
                  <w:rFonts w:ascii="Arial" w:cs="Arial" w:eastAsia="Arial" w:hAnsi="Arial"/>
                  <w:sz w:val="17"/>
                  <w:szCs w:val="17"/>
                  <w:color w:val="0000FF"/>
                </w:rPr>
                <w:t>Report on Form 10-K (File No. 001-39620) filed on February 28, 2022)</w:t>
              </w:r>
            </w:hyperlink>
          </w:p>
        </w:tc>
        <w:tc>
          <w:tcPr>
            <w:tcW w:w="266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580" w:type="dxa"/>
            <w:vAlign w:val="bottom"/>
            <w:gridSpan w:val="34"/>
          </w:tcPr>
          <w:p>
            <w:pPr>
              <w:spacing w:after="0"/>
              <w:rPr>
                <w:rFonts w:ascii="Arial" w:cs="Arial" w:eastAsia="Arial" w:hAnsi="Arial"/>
                <w:sz w:val="17"/>
                <w:szCs w:val="17"/>
                <w:color w:val="0000FF"/>
              </w:rPr>
            </w:pPr>
            <w:hyperlink r:id="rId196">
              <w:r>
                <w:rPr>
                  <w:rFonts w:ascii="Arial" w:cs="Arial" w:eastAsia="Arial" w:hAnsi="Arial"/>
                  <w:sz w:val="17"/>
                  <w:szCs w:val="17"/>
                  <w:color w:val="0000FF"/>
                </w:rPr>
                <w:t>Amended and Restated Employment Agreement, dated October 20, 2020, by and between Praxis Precision</w:t>
              </w:r>
            </w:hyperlink>
          </w:p>
        </w:tc>
        <w:tc>
          <w:tcPr>
            <w:tcW w:w="0" w:type="dxa"/>
            <w:vAlign w:val="bottom"/>
          </w:tcPr>
          <w:p>
            <w:pPr>
              <w:spacing w:after="0"/>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10.15#</w:t>
            </w:r>
          </w:p>
        </w:tc>
        <w:tc>
          <w:tcPr>
            <w:tcW w:w="8320" w:type="dxa"/>
            <w:vAlign w:val="bottom"/>
            <w:tcBorders>
              <w:top w:val="single" w:sz="8" w:color="0000FF"/>
            </w:tcBorders>
            <w:gridSpan w:val="27"/>
          </w:tcPr>
          <w:p>
            <w:pPr>
              <w:spacing w:after="0" w:line="150" w:lineRule="exact"/>
              <w:rPr>
                <w:rFonts w:ascii="Arial" w:cs="Arial" w:eastAsia="Arial" w:hAnsi="Arial"/>
                <w:sz w:val="17"/>
                <w:szCs w:val="17"/>
                <w:color w:val="0000FF"/>
              </w:rPr>
            </w:pPr>
            <w:hyperlink r:id="rId196">
              <w:r>
                <w:rPr>
                  <w:rFonts w:ascii="Arial" w:cs="Arial" w:eastAsia="Arial" w:hAnsi="Arial"/>
                  <w:sz w:val="17"/>
                  <w:szCs w:val="17"/>
                  <w:color w:val="0000FF"/>
                </w:rPr>
                <w:t>Medicines, Inc. and Bernard Ravina (incorporated by reference to Exhibit 10.13 to the Registrant's Annual</w:t>
              </w:r>
            </w:hyperlink>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5440" w:type="dxa"/>
            <w:vAlign w:val="bottom"/>
            <w:tcBorders>
              <w:top w:val="single" w:sz="8" w:color="0000FF"/>
              <w:bottom w:val="single" w:sz="8" w:color="0000FF"/>
            </w:tcBorders>
            <w:gridSpan w:val="6"/>
          </w:tcPr>
          <w:p>
            <w:pPr>
              <w:spacing w:after="0" w:line="163" w:lineRule="exact"/>
              <w:rPr>
                <w:rFonts w:ascii="Arial" w:cs="Arial" w:eastAsia="Arial" w:hAnsi="Arial"/>
                <w:sz w:val="17"/>
                <w:szCs w:val="17"/>
                <w:color w:val="0000FF"/>
              </w:rPr>
            </w:pPr>
            <w:hyperlink r:id="rId196">
              <w:r>
                <w:rPr>
                  <w:rFonts w:ascii="Arial" w:cs="Arial" w:eastAsia="Arial" w:hAnsi="Arial"/>
                  <w:sz w:val="17"/>
                  <w:szCs w:val="17"/>
                  <w:color w:val="0000FF"/>
                </w:rPr>
                <w:t>Report on Form 10-K (File No. 001-39620) filed on February 28, 2022)</w:t>
              </w:r>
            </w:hyperlink>
          </w:p>
        </w:tc>
        <w:tc>
          <w:tcPr>
            <w:tcW w:w="274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580" w:type="dxa"/>
            <w:vAlign w:val="bottom"/>
            <w:gridSpan w:val="34"/>
          </w:tcPr>
          <w:p>
            <w:pPr>
              <w:spacing w:after="0"/>
              <w:rPr>
                <w:rFonts w:ascii="Arial" w:cs="Arial" w:eastAsia="Arial" w:hAnsi="Arial"/>
                <w:sz w:val="17"/>
                <w:szCs w:val="17"/>
                <w:color w:val="0000FF"/>
              </w:rPr>
            </w:pPr>
            <w:hyperlink r:id="rId197">
              <w:r>
                <w:rPr>
                  <w:rFonts w:ascii="Arial" w:cs="Arial" w:eastAsia="Arial" w:hAnsi="Arial"/>
                  <w:sz w:val="17"/>
                  <w:szCs w:val="17"/>
                  <w:color w:val="0000FF"/>
                </w:rPr>
                <w:t>Retention Incentive Award Letter Agreement, dated August 30, 2021, by and between Praxis Precision</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10.16#</w:t>
            </w:r>
          </w:p>
        </w:tc>
        <w:tc>
          <w:tcPr>
            <w:tcW w:w="8580" w:type="dxa"/>
            <w:vAlign w:val="bottom"/>
            <w:gridSpan w:val="34"/>
          </w:tcPr>
          <w:p>
            <w:pPr>
              <w:spacing w:after="0" w:line="150" w:lineRule="exact"/>
              <w:rPr>
                <w:rFonts w:ascii="Arial" w:cs="Arial" w:eastAsia="Arial" w:hAnsi="Arial"/>
                <w:sz w:val="17"/>
                <w:szCs w:val="17"/>
                <w:color w:val="0000FF"/>
              </w:rPr>
            </w:pPr>
            <w:hyperlink r:id="rId197">
              <w:r>
                <w:rPr>
                  <w:rFonts w:ascii="Arial" w:cs="Arial" w:eastAsia="Arial" w:hAnsi="Arial"/>
                  <w:sz w:val="17"/>
                  <w:szCs w:val="17"/>
                  <w:color w:val="0000FF"/>
                </w:rPr>
                <w:t>Medicines, Inc. and Bernard Ravina (incorporated by reference to Exhibit 10.1 to the Registrant's Current</w:t>
              </w:r>
            </w:hyperlink>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8120" w:type="dxa"/>
            <w:vAlign w:val="bottom"/>
            <w:tcBorders>
              <w:top w:val="single" w:sz="8" w:color="0000FF"/>
            </w:tcBorders>
            <w:gridSpan w:val="18"/>
          </w:tcPr>
          <w:p>
            <w:pPr>
              <w:spacing w:after="0" w:line="163" w:lineRule="exact"/>
              <w:rPr>
                <w:rFonts w:ascii="Arial" w:cs="Arial" w:eastAsia="Arial" w:hAnsi="Arial"/>
                <w:sz w:val="17"/>
                <w:szCs w:val="17"/>
                <w:color w:val="0000FF"/>
              </w:rPr>
            </w:pPr>
            <w:hyperlink r:id="rId197">
              <w:r>
                <w:rPr>
                  <w:rFonts w:ascii="Arial" w:cs="Arial" w:eastAsia="Arial" w:hAnsi="Arial"/>
                  <w:sz w:val="17"/>
                  <w:szCs w:val="17"/>
                  <w:color w:val="0000FF"/>
                </w:rPr>
                <w:t>Report on Form 8-K (File No. 001-39620) filed on August 30,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tcPr>
          <w:p>
            <w:pPr>
              <w:spacing w:after="0"/>
              <w:rPr>
                <w:sz w:val="17"/>
                <w:szCs w:val="17"/>
                <w:color w:val="auto"/>
              </w:rPr>
            </w:pPr>
          </w:p>
        </w:tc>
        <w:tc>
          <w:tcPr>
            <w:tcW w:w="8580" w:type="dxa"/>
            <w:vAlign w:val="bottom"/>
            <w:gridSpan w:val="34"/>
          </w:tcPr>
          <w:p>
            <w:pPr>
              <w:spacing w:after="0"/>
              <w:rPr>
                <w:rFonts w:ascii="Arial" w:cs="Arial" w:eastAsia="Arial" w:hAnsi="Arial"/>
                <w:sz w:val="17"/>
                <w:szCs w:val="17"/>
                <w:color w:val="0000FF"/>
              </w:rPr>
            </w:pPr>
            <w:hyperlink r:id="rId198">
              <w:r>
                <w:rPr>
                  <w:rFonts w:ascii="Arial" w:cs="Arial" w:eastAsia="Arial" w:hAnsi="Arial"/>
                  <w:sz w:val="17"/>
                  <w:szCs w:val="17"/>
                  <w:color w:val="0000FF"/>
                </w:rPr>
                <w:t>Transition Agreement, dated July 26, 2022, by and between Praxis Precision Medicines, Inc. and Bernard</w:t>
              </w:r>
            </w:hyperlink>
          </w:p>
        </w:tc>
        <w:tc>
          <w:tcPr>
            <w:tcW w:w="0" w:type="dxa"/>
            <w:vAlign w:val="bottom"/>
          </w:tcPr>
          <w:p>
            <w:pPr>
              <w:spacing w:after="0"/>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10.17#</w:t>
            </w:r>
          </w:p>
        </w:tc>
        <w:tc>
          <w:tcPr>
            <w:tcW w:w="8160" w:type="dxa"/>
            <w:vAlign w:val="bottom"/>
            <w:tcBorders>
              <w:top w:val="single" w:sz="8" w:color="0000FF"/>
              <w:bottom w:val="single" w:sz="8" w:color="0000FF"/>
            </w:tcBorders>
            <w:gridSpan w:val="20"/>
          </w:tcPr>
          <w:p>
            <w:pPr>
              <w:spacing w:after="0" w:line="150" w:lineRule="exact"/>
              <w:rPr>
                <w:rFonts w:ascii="Arial" w:cs="Arial" w:eastAsia="Arial" w:hAnsi="Arial"/>
                <w:sz w:val="17"/>
                <w:szCs w:val="17"/>
                <w:color w:val="0000FF"/>
              </w:rPr>
            </w:pPr>
            <w:hyperlink r:id="rId198">
              <w:r>
                <w:rPr>
                  <w:rFonts w:ascii="Arial" w:cs="Arial" w:eastAsia="Arial" w:hAnsi="Arial"/>
                  <w:sz w:val="17"/>
                  <w:szCs w:val="17"/>
                  <w:color w:val="0000FF"/>
                </w:rPr>
                <w:t>Ravina (incorporated by reference to Exhibit 10.1 to the Registrant's Current Report on Form 8-K (File No.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8200" w:type="dxa"/>
            <w:vAlign w:val="bottom"/>
            <w:gridSpan w:val="22"/>
          </w:tcPr>
          <w:p>
            <w:pPr>
              <w:spacing w:after="0" w:line="163" w:lineRule="exact"/>
              <w:rPr>
                <w:rFonts w:ascii="Arial" w:cs="Arial" w:eastAsia="Arial" w:hAnsi="Arial"/>
                <w:sz w:val="17"/>
                <w:szCs w:val="17"/>
                <w:color w:val="0000FF"/>
              </w:rPr>
            </w:pPr>
            <w:hyperlink r:id="rId198">
              <w:r>
                <w:rPr>
                  <w:rFonts w:ascii="Arial" w:cs="Arial" w:eastAsia="Arial" w:hAnsi="Arial"/>
                  <w:sz w:val="17"/>
                  <w:szCs w:val="17"/>
                  <w:color w:val="0000FF"/>
                </w:rPr>
                <w:t>001-39620) filed on July 26,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vMerge w:val="restart"/>
          </w:tcPr>
          <w:p>
            <w:pPr>
              <w:spacing w:after="0"/>
              <w:rPr>
                <w:sz w:val="20"/>
                <w:szCs w:val="20"/>
                <w:color w:val="auto"/>
              </w:rPr>
            </w:pPr>
            <w:r>
              <w:rPr>
                <w:rFonts w:ascii="Arial" w:cs="Arial" w:eastAsia="Arial" w:hAnsi="Arial"/>
                <w:sz w:val="17"/>
                <w:szCs w:val="17"/>
                <w:color w:val="auto"/>
              </w:rPr>
              <w:t>10.18†</w:t>
            </w:r>
          </w:p>
        </w:tc>
        <w:tc>
          <w:tcPr>
            <w:tcW w:w="8580" w:type="dxa"/>
            <w:vAlign w:val="bottom"/>
            <w:gridSpan w:val="34"/>
          </w:tcPr>
          <w:p>
            <w:pPr>
              <w:spacing w:after="0"/>
              <w:rPr>
                <w:rFonts w:ascii="Arial" w:cs="Arial" w:eastAsia="Arial" w:hAnsi="Arial"/>
                <w:sz w:val="17"/>
                <w:szCs w:val="17"/>
                <w:color w:val="0000FF"/>
              </w:rPr>
            </w:pPr>
            <w:hyperlink r:id="rId199">
              <w:r>
                <w:rPr>
                  <w:rFonts w:ascii="Arial" w:cs="Arial" w:eastAsia="Arial" w:hAnsi="Arial"/>
                  <w:sz w:val="17"/>
                  <w:szCs w:val="17"/>
                  <w:color w:val="0000FF"/>
                </w:rPr>
                <w:t>Non-Employee Director Compensation Policy (incorporated by reference to Exhibit 10.16 to the Registrant's</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8300" w:type="dxa"/>
            <w:vAlign w:val="bottom"/>
            <w:tcBorders>
              <w:top w:val="single" w:sz="8" w:color="0000FF"/>
            </w:tcBorders>
            <w:gridSpan w:val="26"/>
          </w:tcPr>
          <w:p>
            <w:pPr>
              <w:spacing w:after="0" w:line="138" w:lineRule="exact"/>
              <w:rPr>
                <w:rFonts w:ascii="Arial" w:cs="Arial" w:eastAsia="Arial" w:hAnsi="Arial"/>
                <w:sz w:val="15"/>
                <w:szCs w:val="15"/>
                <w:color w:val="0000FF"/>
              </w:rPr>
            </w:pPr>
            <w:hyperlink r:id="rId199">
              <w:r>
                <w:rPr>
                  <w:rFonts w:ascii="Arial" w:cs="Arial" w:eastAsia="Arial" w:hAnsi="Arial"/>
                  <w:sz w:val="15"/>
                  <w:szCs w:val="15"/>
                  <w:color w:val="0000FF"/>
                </w:rPr>
                <w:t>Annual Report on Form 10-K (File No. 001-39620) filed on February 28, 2022)</w:t>
              </w:r>
            </w:hyperlink>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8240" w:type="dxa"/>
            <w:vAlign w:val="bottom"/>
            <w:tcBorders>
              <w:bottom w:val="single" w:sz="8" w:color="0000FF"/>
            </w:tcBorders>
            <w:gridSpan w:val="24"/>
          </w:tcPr>
          <w:p>
            <w:pPr>
              <w:spacing w:after="0"/>
              <w:rPr>
                <w:rFonts w:ascii="Arial" w:cs="Arial" w:eastAsia="Arial" w:hAnsi="Arial"/>
                <w:sz w:val="17"/>
                <w:szCs w:val="17"/>
                <w:color w:val="0000FF"/>
              </w:rPr>
            </w:pPr>
            <w:hyperlink r:id="rId200">
              <w:r>
                <w:rPr>
                  <w:rFonts w:ascii="Arial" w:cs="Arial" w:eastAsia="Arial" w:hAnsi="Arial"/>
                  <w:sz w:val="17"/>
                  <w:szCs w:val="17"/>
                  <w:color w:val="0000FF"/>
                </w:rPr>
                <w:t>Cooperation and License Agreement, dated September 11, 2019, by and between RogCon Inc. and Praxis</w:t>
              </w:r>
            </w:hyperlink>
          </w:p>
        </w:tc>
        <w:tc>
          <w:tcPr>
            <w:tcW w:w="34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10.19†</w:t>
            </w:r>
          </w:p>
        </w:tc>
        <w:tc>
          <w:tcPr>
            <w:tcW w:w="8580" w:type="dxa"/>
            <w:vAlign w:val="bottom"/>
            <w:gridSpan w:val="34"/>
          </w:tcPr>
          <w:p>
            <w:pPr>
              <w:spacing w:after="0" w:line="150" w:lineRule="exact"/>
              <w:rPr>
                <w:rFonts w:ascii="Arial" w:cs="Arial" w:eastAsia="Arial" w:hAnsi="Arial"/>
                <w:sz w:val="17"/>
                <w:szCs w:val="17"/>
                <w:color w:val="0000FF"/>
              </w:rPr>
            </w:pPr>
            <w:hyperlink r:id="rId200">
              <w:r>
                <w:rPr>
                  <w:rFonts w:ascii="Arial" w:cs="Arial" w:eastAsia="Arial" w:hAnsi="Arial"/>
                  <w:sz w:val="17"/>
                  <w:szCs w:val="17"/>
                  <w:color w:val="0000FF"/>
                </w:rPr>
                <w:t>Precision Medicines, Inc. (incorporated by reference to Exhibit 10.15 to the Registrant's Registration Statement</w:t>
              </w:r>
            </w:hyperlink>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5020" w:type="dxa"/>
            <w:vAlign w:val="bottom"/>
            <w:tcBorders>
              <w:top w:val="single" w:sz="8" w:color="0000FF"/>
              <w:bottom w:val="single" w:sz="8" w:color="0000FF"/>
            </w:tcBorders>
            <w:gridSpan w:val="4"/>
          </w:tcPr>
          <w:p>
            <w:pPr>
              <w:spacing w:after="0" w:line="163" w:lineRule="exact"/>
              <w:rPr>
                <w:rFonts w:ascii="Arial" w:cs="Arial" w:eastAsia="Arial" w:hAnsi="Arial"/>
                <w:sz w:val="17"/>
                <w:szCs w:val="17"/>
                <w:color w:val="0000FF"/>
              </w:rPr>
            </w:pPr>
            <w:hyperlink r:id="rId200">
              <w:r>
                <w:rPr>
                  <w:rFonts w:ascii="Arial" w:cs="Arial" w:eastAsia="Arial" w:hAnsi="Arial"/>
                  <w:sz w:val="17"/>
                  <w:szCs w:val="17"/>
                  <w:color w:val="0000FF"/>
                </w:rPr>
                <w:t>on Form S-1 (File No. 333-249074) filed on September 25, 2020)</w:t>
              </w:r>
            </w:hyperlink>
          </w:p>
        </w:tc>
        <w:tc>
          <w:tcPr>
            <w:tcW w:w="354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240" w:type="dxa"/>
            <w:vAlign w:val="bottom"/>
            <w:tcBorders>
              <w:bottom w:val="single" w:sz="8" w:color="0000FF"/>
            </w:tcBorders>
            <w:gridSpan w:val="24"/>
          </w:tcPr>
          <w:p>
            <w:pPr>
              <w:spacing w:after="0"/>
              <w:rPr>
                <w:rFonts w:ascii="Arial" w:cs="Arial" w:eastAsia="Arial" w:hAnsi="Arial"/>
                <w:sz w:val="17"/>
                <w:szCs w:val="17"/>
                <w:color w:val="0000FF"/>
              </w:rPr>
            </w:pPr>
            <w:hyperlink r:id="rId201">
              <w:r>
                <w:rPr>
                  <w:rFonts w:ascii="Arial" w:cs="Arial" w:eastAsia="Arial" w:hAnsi="Arial"/>
                  <w:sz w:val="17"/>
                  <w:szCs w:val="17"/>
                  <w:color w:val="0000FF"/>
                </w:rPr>
                <w:t>Research Collaboration, Option and License Agreement, dated September 11, 2019, by and between Ionis</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10.20†</w:t>
            </w:r>
          </w:p>
        </w:tc>
        <w:tc>
          <w:tcPr>
            <w:tcW w:w="8580" w:type="dxa"/>
            <w:vAlign w:val="bottom"/>
            <w:gridSpan w:val="34"/>
          </w:tcPr>
          <w:p>
            <w:pPr>
              <w:spacing w:after="0" w:line="150" w:lineRule="exact"/>
              <w:rPr>
                <w:rFonts w:ascii="Arial" w:cs="Arial" w:eastAsia="Arial" w:hAnsi="Arial"/>
                <w:sz w:val="17"/>
                <w:szCs w:val="17"/>
                <w:color w:val="0000FF"/>
              </w:rPr>
            </w:pPr>
            <w:hyperlink r:id="rId201">
              <w:r>
                <w:rPr>
                  <w:rFonts w:ascii="Arial" w:cs="Arial" w:eastAsia="Arial" w:hAnsi="Arial"/>
                  <w:sz w:val="17"/>
                  <w:szCs w:val="17"/>
                  <w:color w:val="0000FF"/>
                </w:rPr>
                <w:t>Pharmaceuticals, Inc. and Praxis Precision Medicines, Inc. (incorporated by reference to Exhibit 10.16 to the</w:t>
              </w:r>
            </w:hyperlink>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7820" w:type="dxa"/>
            <w:vAlign w:val="bottom"/>
            <w:tcBorders>
              <w:top w:val="single" w:sz="8" w:color="0000FF"/>
              <w:bottom w:val="single" w:sz="8" w:color="0000FF"/>
            </w:tcBorders>
            <w:gridSpan w:val="12"/>
          </w:tcPr>
          <w:p>
            <w:pPr>
              <w:spacing w:after="0" w:line="163" w:lineRule="exact"/>
              <w:rPr>
                <w:rFonts w:ascii="Arial" w:cs="Arial" w:eastAsia="Arial" w:hAnsi="Arial"/>
                <w:sz w:val="17"/>
                <w:szCs w:val="17"/>
                <w:color w:val="0000FF"/>
              </w:rPr>
            </w:pPr>
            <w:hyperlink r:id="rId201">
              <w:r>
                <w:rPr>
                  <w:rFonts w:ascii="Arial" w:cs="Arial" w:eastAsia="Arial" w:hAnsi="Arial"/>
                  <w:sz w:val="17"/>
                  <w:szCs w:val="17"/>
                  <w:color w:val="0000FF"/>
                </w:rPr>
                <w:t>Registrant's Registration Statement on Form S-1 (File No. 333-249074) filed on September 25, 2020)</w:t>
              </w:r>
            </w:hyperlink>
          </w:p>
        </w:tc>
        <w:tc>
          <w:tcPr>
            <w:tcW w:w="540" w:type="dxa"/>
            <w:vAlign w:val="bottom"/>
            <w:tcBorders>
              <w:top w:val="single" w:sz="8" w:color="0000FF"/>
            </w:tcBorders>
            <w:gridSpan w:val="17"/>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580" w:type="dxa"/>
            <w:vAlign w:val="bottom"/>
            <w:gridSpan w:val="34"/>
          </w:tcPr>
          <w:p>
            <w:pPr>
              <w:spacing w:after="0"/>
              <w:rPr>
                <w:rFonts w:ascii="Arial" w:cs="Arial" w:eastAsia="Arial" w:hAnsi="Arial"/>
                <w:sz w:val="17"/>
                <w:szCs w:val="17"/>
                <w:color w:val="0000FF"/>
              </w:rPr>
            </w:pPr>
            <w:hyperlink r:id="rId202">
              <w:r>
                <w:rPr>
                  <w:rFonts w:ascii="Arial" w:cs="Arial" w:eastAsia="Arial" w:hAnsi="Arial"/>
                  <w:sz w:val="17"/>
                  <w:szCs w:val="17"/>
                  <w:color w:val="0000FF"/>
                </w:rPr>
                <w:t>Sublease, dated May 27, 2021, by and between CBRE, Inc. and Praxis Precision Medicines, Inc. (incorporated</w:t>
              </w:r>
            </w:hyperlink>
          </w:p>
        </w:tc>
        <w:tc>
          <w:tcPr>
            <w:tcW w:w="0" w:type="dxa"/>
            <w:vAlign w:val="bottom"/>
          </w:tcPr>
          <w:p>
            <w:pPr>
              <w:spacing w:after="0"/>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10.21</w:t>
            </w:r>
          </w:p>
        </w:tc>
        <w:tc>
          <w:tcPr>
            <w:tcW w:w="8540" w:type="dxa"/>
            <w:vAlign w:val="bottom"/>
            <w:tcBorders>
              <w:top w:val="single" w:sz="8" w:color="0000FF"/>
            </w:tcBorders>
            <w:gridSpan w:val="32"/>
          </w:tcPr>
          <w:p>
            <w:pPr>
              <w:spacing w:after="0" w:line="150" w:lineRule="exact"/>
              <w:rPr>
                <w:rFonts w:ascii="Arial" w:cs="Arial" w:eastAsia="Arial" w:hAnsi="Arial"/>
                <w:sz w:val="17"/>
                <w:szCs w:val="17"/>
                <w:color w:val="0000FF"/>
              </w:rPr>
            </w:pPr>
            <w:hyperlink r:id="rId202">
              <w:r>
                <w:rPr>
                  <w:rFonts w:ascii="Arial" w:cs="Arial" w:eastAsia="Arial" w:hAnsi="Arial"/>
                  <w:sz w:val="17"/>
                  <w:szCs w:val="17"/>
                  <w:color w:val="0000FF"/>
                </w:rPr>
                <w:t>by reference to Exhibit 10.1 to the Registrant's Current Report on Form 8-K (File No. 001-39620) filed on June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640" w:type="dxa"/>
            <w:vAlign w:val="bottom"/>
            <w:tcBorders>
              <w:top w:val="single" w:sz="8" w:color="0000FF"/>
              <w:bottom w:val="single" w:sz="8" w:color="0000FF"/>
            </w:tcBorders>
            <w:gridSpan w:val="2"/>
          </w:tcPr>
          <w:p>
            <w:pPr>
              <w:spacing w:after="0" w:line="163" w:lineRule="exact"/>
              <w:rPr>
                <w:rFonts w:ascii="Arial" w:cs="Arial" w:eastAsia="Arial" w:hAnsi="Arial"/>
                <w:sz w:val="17"/>
                <w:szCs w:val="17"/>
                <w:color w:val="0000FF"/>
                <w:w w:val="99"/>
              </w:rPr>
            </w:pPr>
            <w:hyperlink r:id="rId202">
              <w:r>
                <w:rPr>
                  <w:rFonts w:ascii="Arial" w:cs="Arial" w:eastAsia="Arial" w:hAnsi="Arial"/>
                  <w:sz w:val="17"/>
                  <w:szCs w:val="17"/>
                  <w:color w:val="0000FF"/>
                  <w:w w:val="99"/>
                </w:rPr>
                <w:t>2, 2021)</w:t>
              </w:r>
            </w:hyperlink>
          </w:p>
        </w:tc>
        <w:tc>
          <w:tcPr>
            <w:tcW w:w="2000" w:type="dxa"/>
            <w:vAlign w:val="bottom"/>
            <w:tcBorders>
              <w:top w:val="single" w:sz="8" w:color="0000FF"/>
            </w:tcBorders>
          </w:tcPr>
          <w:p>
            <w:pPr>
              <w:spacing w:after="0"/>
              <w:rPr>
                <w:sz w:val="14"/>
                <w:szCs w:val="14"/>
                <w:color w:val="auto"/>
              </w:rPr>
            </w:pPr>
          </w:p>
        </w:tc>
        <w:tc>
          <w:tcPr>
            <w:tcW w:w="23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vMerge w:val="restart"/>
          </w:tcPr>
          <w:p>
            <w:pPr>
              <w:spacing w:after="0"/>
              <w:rPr>
                <w:sz w:val="20"/>
                <w:szCs w:val="20"/>
                <w:color w:val="auto"/>
              </w:rPr>
            </w:pPr>
            <w:r>
              <w:rPr>
                <w:rFonts w:ascii="Arial" w:cs="Arial" w:eastAsia="Arial" w:hAnsi="Arial"/>
                <w:sz w:val="17"/>
                <w:szCs w:val="17"/>
                <w:color w:val="auto"/>
              </w:rPr>
              <w:t>21.1</w:t>
            </w:r>
          </w:p>
        </w:tc>
        <w:tc>
          <w:tcPr>
            <w:tcW w:w="8580" w:type="dxa"/>
            <w:vAlign w:val="bottom"/>
            <w:gridSpan w:val="34"/>
          </w:tcPr>
          <w:p>
            <w:pPr>
              <w:spacing w:after="0"/>
              <w:rPr>
                <w:rFonts w:ascii="Arial" w:cs="Arial" w:eastAsia="Arial" w:hAnsi="Arial"/>
                <w:sz w:val="17"/>
                <w:szCs w:val="17"/>
                <w:color w:val="0000FF"/>
              </w:rPr>
            </w:pPr>
            <w:hyperlink r:id="rId203">
              <w:r>
                <w:rPr>
                  <w:rFonts w:ascii="Arial" w:cs="Arial" w:eastAsia="Arial" w:hAnsi="Arial"/>
                  <w:sz w:val="17"/>
                  <w:szCs w:val="17"/>
                  <w:color w:val="0000FF"/>
                </w:rPr>
                <w:t>Subsidiaries of the Registrant (incorporated by reference to Exhibit 21.1 to the Registrant's Registration</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7960" w:type="dxa"/>
            <w:vAlign w:val="bottom"/>
            <w:tcBorders>
              <w:top w:val="single" w:sz="8" w:color="0000FF"/>
            </w:tcBorders>
            <w:gridSpan w:val="14"/>
          </w:tcPr>
          <w:p>
            <w:pPr>
              <w:spacing w:after="0" w:line="150" w:lineRule="exact"/>
              <w:rPr>
                <w:rFonts w:ascii="Arial" w:cs="Arial" w:eastAsia="Arial" w:hAnsi="Arial"/>
                <w:sz w:val="17"/>
                <w:szCs w:val="17"/>
                <w:color w:val="0000FF"/>
              </w:rPr>
            </w:pPr>
            <w:hyperlink r:id="rId203">
              <w:r>
                <w:rPr>
                  <w:rFonts w:ascii="Arial" w:cs="Arial" w:eastAsia="Arial" w:hAnsi="Arial"/>
                  <w:sz w:val="17"/>
                  <w:szCs w:val="17"/>
                  <w:color w:val="0000FF"/>
                </w:rPr>
                <w:t>Statement on Form S-1 (File No. 333-249074) filed on September 25, 2020)</w:t>
              </w:r>
            </w:hyperlink>
          </w:p>
        </w:tc>
        <w:tc>
          <w:tcPr>
            <w:tcW w:w="18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7"/>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520" w:type="dxa"/>
            <w:vAlign w:val="bottom"/>
            <w:gridSpan w:val="7"/>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23.1*</w:t>
            </w:r>
          </w:p>
        </w:tc>
        <w:tc>
          <w:tcPr>
            <w:tcW w:w="614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color w:val="0000FF"/>
              </w:rPr>
              <w:t>Consent of Ernst &amp; Young LLP, Independent Registered Public Accounting Firm</w:t>
            </w:r>
          </w:p>
        </w:tc>
        <w:tc>
          <w:tcPr>
            <w:tcW w:w="2440" w:type="dxa"/>
            <w:vAlign w:val="bottom"/>
            <w:gridSpan w:val="24"/>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r>
              <w:rPr>
                <w:rFonts w:ascii="Arial" w:cs="Arial" w:eastAsia="Arial" w:hAnsi="Arial"/>
                <w:sz w:val="17"/>
                <w:szCs w:val="17"/>
                <w:color w:val="auto"/>
              </w:rPr>
              <w:t>24.1*</w:t>
            </w:r>
          </w:p>
        </w:tc>
        <w:tc>
          <w:tcPr>
            <w:tcW w:w="8580" w:type="dxa"/>
            <w:vAlign w:val="bottom"/>
            <w:gridSpan w:val="34"/>
          </w:tcPr>
          <w:p>
            <w:pPr>
              <w:spacing w:after="0"/>
              <w:rPr>
                <w:sz w:val="20"/>
                <w:szCs w:val="20"/>
                <w:color w:val="auto"/>
              </w:rPr>
            </w:pPr>
            <w:r>
              <w:rPr>
                <w:rFonts w:ascii="Arial" w:cs="Arial" w:eastAsia="Arial" w:hAnsi="Arial"/>
                <w:sz w:val="17"/>
                <w:szCs w:val="17"/>
                <w:color w:val="auto"/>
              </w:rPr>
              <w:t>Power of Attorney (included on signature page hereto)</w:t>
            </w:r>
          </w:p>
        </w:tc>
        <w:tc>
          <w:tcPr>
            <w:tcW w:w="0" w:type="dxa"/>
            <w:vAlign w:val="bottom"/>
          </w:tcPr>
          <w:p>
            <w:pPr>
              <w:spacing w:after="0"/>
              <w:rPr>
                <w:sz w:val="1"/>
                <w:szCs w:val="1"/>
                <w:color w:val="auto"/>
              </w:rPr>
            </w:pPr>
          </w:p>
        </w:tc>
      </w:tr>
      <w:tr>
        <w:trPr>
          <w:trHeight w:val="187"/>
        </w:trPr>
        <w:tc>
          <w:tcPr>
            <w:tcW w:w="1200" w:type="dxa"/>
            <w:vAlign w:val="bottom"/>
            <w:vMerge w:val="restart"/>
          </w:tcPr>
          <w:p>
            <w:pPr>
              <w:spacing w:after="0"/>
              <w:rPr>
                <w:sz w:val="20"/>
                <w:szCs w:val="20"/>
                <w:color w:val="auto"/>
              </w:rPr>
            </w:pPr>
            <w:r>
              <w:rPr>
                <w:rFonts w:ascii="Arial" w:cs="Arial" w:eastAsia="Arial" w:hAnsi="Arial"/>
                <w:sz w:val="17"/>
                <w:szCs w:val="17"/>
                <w:color w:val="auto"/>
              </w:rPr>
              <w:t>31.1*</w:t>
            </w:r>
          </w:p>
        </w:tc>
        <w:tc>
          <w:tcPr>
            <w:tcW w:w="8580" w:type="dxa"/>
            <w:vAlign w:val="bottom"/>
            <w:gridSpan w:val="34"/>
          </w:tcPr>
          <w:p>
            <w:pPr>
              <w:spacing w:after="0" w:line="187" w:lineRule="exact"/>
              <w:rPr>
                <w:sz w:val="20"/>
                <w:szCs w:val="20"/>
                <w:color w:val="auto"/>
              </w:rPr>
            </w:pPr>
            <w:r>
              <w:rPr>
                <w:rFonts w:ascii="Arial" w:cs="Arial" w:eastAsia="Arial" w:hAnsi="Arial"/>
                <w:sz w:val="17"/>
                <w:szCs w:val="17"/>
                <w:color w:val="0000FF"/>
              </w:rPr>
              <w:t>Certification of Principal Executive Officer Pursuant to Rules 13a-14(a) and 15d-14(a) under the Securities</w:t>
            </w:r>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8220" w:type="dxa"/>
            <w:vAlign w:val="bottom"/>
            <w:tcBorders>
              <w:top w:val="single" w:sz="8" w:color="0000FF"/>
            </w:tcBorders>
            <w:gridSpan w:val="23"/>
          </w:tcPr>
          <w:p>
            <w:pPr>
              <w:spacing w:after="0" w:line="138" w:lineRule="exact"/>
              <w:rPr>
                <w:sz w:val="20"/>
                <w:szCs w:val="20"/>
                <w:color w:val="auto"/>
              </w:rPr>
            </w:pPr>
            <w:r>
              <w:rPr>
                <w:rFonts w:ascii="Arial" w:cs="Arial" w:eastAsia="Arial" w:hAnsi="Arial"/>
                <w:sz w:val="15"/>
                <w:szCs w:val="15"/>
                <w:color w:val="0000FF"/>
              </w:rPr>
              <w:t>Exchange Act of 1934, as Adopted Pursuant to Section 302 of the Sarbanes-Oxley Act of 2002</w:t>
            </w:r>
          </w:p>
        </w:tc>
        <w:tc>
          <w:tcPr>
            <w:tcW w:w="220" w:type="dxa"/>
            <w:vAlign w:val="bottom"/>
            <w:gridSpan w:val="7"/>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520" w:type="dxa"/>
            <w:vAlign w:val="bottom"/>
            <w:gridSpan w:val="7"/>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vMerge w:val="restart"/>
          </w:tcPr>
          <w:p>
            <w:pPr>
              <w:spacing w:after="0"/>
              <w:rPr>
                <w:sz w:val="20"/>
                <w:szCs w:val="20"/>
                <w:color w:val="auto"/>
              </w:rPr>
            </w:pPr>
            <w:r>
              <w:rPr>
                <w:rFonts w:ascii="Arial" w:cs="Arial" w:eastAsia="Arial" w:hAnsi="Arial"/>
                <w:sz w:val="17"/>
                <w:szCs w:val="17"/>
                <w:color w:val="auto"/>
              </w:rPr>
              <w:t>31.2*</w:t>
            </w:r>
          </w:p>
        </w:tc>
        <w:tc>
          <w:tcPr>
            <w:tcW w:w="8580" w:type="dxa"/>
            <w:vAlign w:val="bottom"/>
            <w:gridSpan w:val="34"/>
          </w:tcPr>
          <w:p>
            <w:pPr>
              <w:spacing w:after="0"/>
              <w:rPr>
                <w:sz w:val="20"/>
                <w:szCs w:val="20"/>
                <w:color w:val="auto"/>
              </w:rPr>
            </w:pPr>
            <w:r>
              <w:rPr>
                <w:rFonts w:ascii="Arial" w:cs="Arial" w:eastAsia="Arial" w:hAnsi="Arial"/>
                <w:sz w:val="17"/>
                <w:szCs w:val="17"/>
                <w:color w:val="0000FF"/>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8140" w:type="dxa"/>
            <w:vAlign w:val="bottom"/>
            <w:tcBorders>
              <w:top w:val="single" w:sz="8" w:color="0000FF"/>
            </w:tcBorders>
            <w:gridSpan w:val="19"/>
          </w:tcPr>
          <w:p>
            <w:pPr>
              <w:spacing w:after="0" w:line="150" w:lineRule="exact"/>
              <w:rPr>
                <w:sz w:val="20"/>
                <w:szCs w:val="20"/>
                <w:color w:val="auto"/>
              </w:rPr>
            </w:pPr>
            <w:r>
              <w:rPr>
                <w:rFonts w:ascii="Arial" w:cs="Arial" w:eastAsia="Arial" w:hAnsi="Arial"/>
                <w:sz w:val="17"/>
                <w:szCs w:val="17"/>
                <w:color w:val="0000FF"/>
              </w:rPr>
              <w:t>Exchange Act of 1934, as Adopted Pursuant to Section 302 of the Sarbanes-Oxley Act of 2002</w:t>
            </w:r>
          </w:p>
        </w:tc>
        <w:tc>
          <w:tcPr>
            <w:tcW w:w="300" w:type="dxa"/>
            <w:vAlign w:val="bottom"/>
            <w:gridSpan w:val="11"/>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520" w:type="dxa"/>
            <w:vAlign w:val="bottom"/>
            <w:gridSpan w:val="7"/>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120" w:type="dxa"/>
            <w:vAlign w:val="bottom"/>
            <w:gridSpan w:val="1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vMerge w:val="restart"/>
          </w:tcPr>
          <w:p>
            <w:pPr>
              <w:spacing w:after="0"/>
              <w:rPr>
                <w:sz w:val="20"/>
                <w:szCs w:val="20"/>
                <w:color w:val="auto"/>
              </w:rPr>
            </w:pPr>
            <w:r>
              <w:rPr>
                <w:rFonts w:ascii="Arial" w:cs="Arial" w:eastAsia="Arial" w:hAnsi="Arial"/>
                <w:sz w:val="17"/>
                <w:szCs w:val="17"/>
                <w:color w:val="auto"/>
              </w:rPr>
              <w:t>32.1**</w:t>
            </w:r>
          </w:p>
        </w:tc>
        <w:tc>
          <w:tcPr>
            <w:tcW w:w="8580" w:type="dxa"/>
            <w:vAlign w:val="bottom"/>
            <w:gridSpan w:val="34"/>
          </w:tcPr>
          <w:p>
            <w:pPr>
              <w:spacing w:after="0"/>
              <w:rPr>
                <w:sz w:val="20"/>
                <w:szCs w:val="20"/>
                <w:color w:val="auto"/>
              </w:rPr>
            </w:pPr>
            <w:r>
              <w:rPr>
                <w:rFonts w:ascii="Arial" w:cs="Arial" w:eastAsia="Arial" w:hAnsi="Arial"/>
                <w:sz w:val="17"/>
                <w:szCs w:val="17"/>
                <w:color w:val="0000FF"/>
              </w:rPr>
              <w:t>Certification of Principal Executive Officer and Principal Financial Officer Pursuant to 18 U.S.C. Section 1350,</w:t>
            </w:r>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5520" w:type="dxa"/>
            <w:vAlign w:val="bottom"/>
            <w:tcBorders>
              <w:top w:val="single" w:sz="8" w:color="0000FF"/>
              <w:bottom w:val="single" w:sz="8" w:color="0000FF"/>
            </w:tcBorders>
            <w:gridSpan w:val="7"/>
          </w:tcPr>
          <w:p>
            <w:pPr>
              <w:spacing w:after="0" w:line="138" w:lineRule="exact"/>
              <w:rPr>
                <w:sz w:val="20"/>
                <w:szCs w:val="20"/>
                <w:color w:val="auto"/>
              </w:rPr>
            </w:pPr>
            <w:r>
              <w:rPr>
                <w:rFonts w:ascii="Arial" w:cs="Arial" w:eastAsia="Arial" w:hAnsi="Arial"/>
                <w:sz w:val="15"/>
                <w:szCs w:val="15"/>
                <w:color w:val="0000FF"/>
              </w:rPr>
              <w:t>as Adopted Pursuant to Section 906 of the Sarbanes-Oxley Act of 2002</w:t>
            </w:r>
          </w:p>
        </w:tc>
        <w:tc>
          <w:tcPr>
            <w:tcW w:w="2920" w:type="dxa"/>
            <w:vAlign w:val="bottom"/>
            <w:tcBorders>
              <w:top w:val="single" w:sz="8" w:color="0000FF"/>
            </w:tcBorders>
            <w:gridSpan w:val="23"/>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1200" w:type="dxa"/>
            <w:vAlign w:val="bottom"/>
          </w:tcPr>
          <w:p>
            <w:pPr>
              <w:spacing w:after="0"/>
              <w:rPr>
                <w:sz w:val="20"/>
                <w:szCs w:val="20"/>
                <w:color w:val="auto"/>
              </w:rPr>
            </w:pPr>
            <w:r>
              <w:rPr>
                <w:rFonts w:ascii="Arial" w:cs="Arial" w:eastAsia="Arial" w:hAnsi="Arial"/>
                <w:sz w:val="17"/>
                <w:szCs w:val="17"/>
                <w:color w:val="auto"/>
              </w:rPr>
              <w:t>101.INS*</w:t>
            </w:r>
          </w:p>
        </w:tc>
        <w:tc>
          <w:tcPr>
            <w:tcW w:w="8580" w:type="dxa"/>
            <w:vAlign w:val="bottom"/>
            <w:gridSpan w:val="34"/>
          </w:tcPr>
          <w:p>
            <w:pPr>
              <w:spacing w:after="0"/>
              <w:rPr>
                <w:sz w:val="20"/>
                <w:szCs w:val="20"/>
                <w:color w:val="auto"/>
              </w:rPr>
            </w:pPr>
            <w:r>
              <w:rPr>
                <w:rFonts w:ascii="Arial" w:cs="Arial" w:eastAsia="Arial" w:hAnsi="Arial"/>
                <w:sz w:val="17"/>
                <w:szCs w:val="17"/>
                <w:color w:val="auto"/>
              </w:rPr>
              <w:t>Inline XBRL Instance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101.SCH*</w:t>
            </w:r>
          </w:p>
        </w:tc>
        <w:tc>
          <w:tcPr>
            <w:tcW w:w="8580" w:type="dxa"/>
            <w:vAlign w:val="bottom"/>
            <w:gridSpan w:val="34"/>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101.CAL*</w:t>
            </w:r>
          </w:p>
        </w:tc>
        <w:tc>
          <w:tcPr>
            <w:tcW w:w="8580" w:type="dxa"/>
            <w:vAlign w:val="bottom"/>
            <w:gridSpan w:val="34"/>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101.DEF*</w:t>
            </w:r>
          </w:p>
        </w:tc>
        <w:tc>
          <w:tcPr>
            <w:tcW w:w="8580" w:type="dxa"/>
            <w:vAlign w:val="bottom"/>
            <w:gridSpan w:val="34"/>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101.LAB*</w:t>
            </w:r>
          </w:p>
        </w:tc>
        <w:tc>
          <w:tcPr>
            <w:tcW w:w="8580" w:type="dxa"/>
            <w:vAlign w:val="bottom"/>
            <w:gridSpan w:val="34"/>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101.PRE*</w:t>
            </w:r>
          </w:p>
        </w:tc>
        <w:tc>
          <w:tcPr>
            <w:tcW w:w="8580" w:type="dxa"/>
            <w:vAlign w:val="bottom"/>
            <w:gridSpan w:val="34"/>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7"/>
                <w:szCs w:val="17"/>
                <w:color w:val="auto"/>
              </w:rPr>
              <w:t>104</w:t>
            </w:r>
          </w:p>
        </w:tc>
        <w:tc>
          <w:tcPr>
            <w:tcW w:w="8580" w:type="dxa"/>
            <w:vAlign w:val="bottom"/>
            <w:gridSpan w:val="34"/>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7575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757555" cy="8255"/>
                    </a:xfrm>
                    <a:prstGeom prst="rect">
                      <a:avLst/>
                    </a:prstGeom>
                    <a:noFill/>
                  </pic:spPr>
                </pic:pic>
              </a:graphicData>
            </a:graphic>
          </wp:anchor>
        </w:drawing>
      </w:r>
    </w:p>
    <w:p>
      <w:pPr>
        <w:spacing w:after="0" w:line="366" w:lineRule="exact"/>
        <w:rPr>
          <w:sz w:val="20"/>
          <w:szCs w:val="20"/>
          <w:color w:val="auto"/>
        </w:rPr>
      </w:pPr>
    </w:p>
    <w:p>
      <w:pPr>
        <w:ind w:left="820" w:hanging="798"/>
        <w:spacing w:after="0"/>
        <w:tabs>
          <w:tab w:leader="none" w:pos="8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certifications furnished in Exhibit 32.1 hereto are deemed to accompany this Annual Report on Form 10-K and</w:t>
      </w:r>
    </w:p>
    <w:p>
      <w:pPr>
        <w:ind w:left="820" w:right="379" w:hanging="798"/>
        <w:spacing w:after="0" w:line="226" w:lineRule="auto"/>
        <w:tabs>
          <w:tab w:leader="none" w:pos="8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hanging="798"/>
        <w:spacing w:after="0"/>
        <w:tabs>
          <w:tab w:leader="none" w:pos="8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Indicates a management contract or any compensatory plan, contract or arrangement.</w:t>
      </w:r>
    </w:p>
    <w:p>
      <w:pPr>
        <w:spacing w:after="0" w:line="35" w:lineRule="exact"/>
        <w:rPr>
          <w:sz w:val="20"/>
          <w:szCs w:val="20"/>
          <w:color w:val="auto"/>
        </w:rPr>
      </w:pPr>
    </w:p>
    <w:p>
      <w:pPr>
        <w:ind w:left="820" w:right="419" w:hanging="798"/>
        <w:spacing w:after="0" w:line="243" w:lineRule="auto"/>
        <w:tabs>
          <w:tab w:leader="none" w:pos="8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in accordance with the rules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6"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331" w:lineRule="exact"/>
        <w:rPr>
          <w:sz w:val="20"/>
          <w:szCs w:val="20"/>
          <w:color w:val="auto"/>
        </w:rPr>
      </w:pPr>
    </w:p>
    <w:p>
      <w:pPr>
        <w:ind w:right="220" w:firstLine="629"/>
        <w:spacing w:after="0" w:line="30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96" w:lineRule="exact"/>
        <w:rPr>
          <w:sz w:val="20"/>
          <w:szCs w:val="20"/>
          <w:color w:val="auto"/>
        </w:rPr>
      </w:pPr>
    </w:p>
    <w:p>
      <w:pPr>
        <w:ind w:left="6480"/>
        <w:spacing w:after="0"/>
        <w:rPr>
          <w:sz w:val="20"/>
          <w:szCs w:val="20"/>
          <w:color w:val="auto"/>
        </w:rPr>
      </w:pPr>
      <w:r>
        <w:rPr>
          <w:rFonts w:ascii="Arial" w:cs="Arial" w:eastAsia="Arial" w:hAnsi="Arial"/>
          <w:sz w:val="17"/>
          <w:szCs w:val="17"/>
          <w:b w:val="1"/>
          <w:bCs w:val="1"/>
          <w:color w:val="auto"/>
        </w:rPr>
        <w:t>PRAXIS PRECISION MEDICINES, INC.</w:t>
      </w:r>
    </w:p>
    <w:p>
      <w:pPr>
        <w:spacing w:after="0" w:line="82" w:lineRule="exact"/>
        <w:rPr>
          <w:sz w:val="20"/>
          <w:szCs w:val="20"/>
          <w:color w:val="auto"/>
        </w:rPr>
      </w:pPr>
    </w:p>
    <w:p>
      <w:pPr>
        <w:ind w:left="20"/>
        <w:spacing w:after="0"/>
        <w:tabs>
          <w:tab w:leader="none" w:pos="6460" w:val="left"/>
          <w:tab w:leader="none" w:pos="7040" w:val="left"/>
        </w:tabs>
        <w:rPr>
          <w:sz w:val="20"/>
          <w:szCs w:val="20"/>
          <w:color w:val="auto"/>
        </w:rPr>
      </w:pPr>
      <w:r>
        <w:rPr>
          <w:rFonts w:ascii="Arial" w:cs="Arial" w:eastAsia="Arial" w:hAnsi="Arial"/>
          <w:sz w:val="17"/>
          <w:szCs w:val="17"/>
          <w:color w:val="auto"/>
        </w:rPr>
        <w:t>Date: February 7,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19685</wp:posOffset>
            </wp:positionV>
            <wp:extent cx="26396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spacing w:after="0" w:line="12"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Marcio Souza</w:t>
      </w:r>
    </w:p>
    <w:p>
      <w:pPr>
        <w:ind w:left="7060"/>
        <w:spacing w:after="0"/>
        <w:rPr>
          <w:sz w:val="20"/>
          <w:szCs w:val="20"/>
          <w:color w:val="auto"/>
        </w:rPr>
      </w:pPr>
      <w:r>
        <w:rPr>
          <w:rFonts w:ascii="Arial" w:cs="Arial" w:eastAsia="Arial" w:hAnsi="Arial"/>
          <w:sz w:val="17"/>
          <w:szCs w:val="17"/>
          <w:color w:val="auto"/>
        </w:rPr>
        <w:t>Chief Executive Officer</w:t>
      </w: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POWER OF ATTORNEY</w:t>
      </w:r>
    </w:p>
    <w:p>
      <w:pPr>
        <w:spacing w:after="0" w:line="226" w:lineRule="exact"/>
        <w:rPr>
          <w:sz w:val="20"/>
          <w:szCs w:val="20"/>
          <w:color w:val="auto"/>
        </w:rPr>
      </w:pPr>
    </w:p>
    <w:p>
      <w:pPr>
        <w:ind w:right="240" w:firstLine="629"/>
        <w:spacing w:after="0" w:line="264" w:lineRule="auto"/>
        <w:rPr>
          <w:sz w:val="20"/>
          <w:szCs w:val="20"/>
          <w:color w:val="auto"/>
        </w:rPr>
      </w:pPr>
      <w:r>
        <w:rPr>
          <w:rFonts w:ascii="Arial" w:cs="Arial" w:eastAsia="Arial" w:hAnsi="Arial"/>
          <w:sz w:val="17"/>
          <w:szCs w:val="17"/>
          <w:color w:val="auto"/>
        </w:rPr>
        <w:t>Each person whose individual signature appears below hereby authorizes and appoints Marcio Souza and Alex Nemiroff,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73" w:lineRule="exact"/>
        <w:rPr>
          <w:sz w:val="20"/>
          <w:szCs w:val="20"/>
          <w:color w:val="auto"/>
        </w:rPr>
      </w:pPr>
    </w:p>
    <w:p>
      <w:pPr>
        <w:ind w:right="180" w:firstLine="433"/>
        <w:spacing w:after="0" w:line="30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70" w:lineRule="exact"/>
        <w:rPr>
          <w:sz w:val="20"/>
          <w:szCs w:val="20"/>
          <w:color w:val="auto"/>
        </w:rPr>
      </w:pPr>
    </w:p>
    <w:tbl>
      <w:tblPr>
        <w:tblLayout w:type="fixed"/>
        <w:tblInd w:w="440" w:type="dxa"/>
        <w:tblCellMar>
          <w:top w:w="0" w:type="dxa"/>
          <w:left w:w="0" w:type="dxa"/>
          <w:bottom w:w="0" w:type="dxa"/>
          <w:right w:w="0" w:type="dxa"/>
        </w:tblCellMar>
      </w:tblPr>
      <w:tr>
        <w:trPr>
          <w:trHeight w:val="19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Name</w:t>
            </w:r>
          </w:p>
        </w:tc>
        <w:tc>
          <w:tcPr>
            <w:tcW w:w="120" w:type="dxa"/>
            <w:vAlign w:val="bottom"/>
          </w:tcPr>
          <w:p>
            <w:pPr>
              <w:spacing w:after="0"/>
              <w:rPr>
                <w:sz w:val="16"/>
                <w:szCs w:val="16"/>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6"/>
                <w:szCs w:val="16"/>
                <w:color w:val="auto"/>
              </w:rPr>
            </w:pPr>
          </w:p>
        </w:tc>
        <w:tc>
          <w:tcPr>
            <w:tcW w:w="1880" w:type="dxa"/>
            <w:vAlign w:val="bottom"/>
            <w:tcBorders>
              <w:bottom w:val="single" w:sz="8" w:color="auto"/>
            </w:tcBorders>
          </w:tcPr>
          <w:p>
            <w:pPr>
              <w:jc w:val="center"/>
              <w:ind w:left="254"/>
              <w:spacing w:after="0"/>
              <w:rPr>
                <w:sz w:val="20"/>
                <w:szCs w:val="20"/>
                <w:color w:val="auto"/>
              </w:rPr>
            </w:pPr>
            <w:r>
              <w:rPr>
                <w:rFonts w:ascii="Arial" w:cs="Arial" w:eastAsia="Arial" w:hAnsi="Arial"/>
                <w:sz w:val="14"/>
                <w:szCs w:val="14"/>
                <w:b w:val="1"/>
                <w:bCs w:val="1"/>
                <w:color w:val="auto"/>
                <w:w w:val="98"/>
              </w:rPr>
              <w:t>Date</w:t>
            </w:r>
          </w:p>
        </w:tc>
      </w:tr>
      <w:tr>
        <w:trPr>
          <w:trHeight w:val="387"/>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Marcio Souza</w:t>
            </w:r>
          </w:p>
        </w:tc>
        <w:tc>
          <w:tcPr>
            <w:tcW w:w="120" w:type="dxa"/>
            <w:vAlign w:val="bottom"/>
          </w:tcPr>
          <w:p>
            <w:pPr>
              <w:spacing w:after="0"/>
              <w:rPr>
                <w:sz w:val="24"/>
                <w:szCs w:val="24"/>
                <w:color w:val="auto"/>
              </w:rPr>
            </w:pPr>
          </w:p>
        </w:tc>
        <w:tc>
          <w:tcPr>
            <w:tcW w:w="5800" w:type="dxa"/>
            <w:vAlign w:val="bottom"/>
            <w:gridSpan w:val="2"/>
          </w:tcPr>
          <w:p>
            <w:pPr>
              <w:jc w:val="center"/>
              <w:ind w:right="260"/>
              <w:spacing w:after="0"/>
              <w:rPr>
                <w:sz w:val="20"/>
                <w:szCs w:val="20"/>
                <w:color w:val="auto"/>
              </w:rPr>
            </w:pPr>
            <w:r>
              <w:rPr>
                <w:rFonts w:ascii="Arial" w:cs="Arial" w:eastAsia="Arial" w:hAnsi="Arial"/>
                <w:sz w:val="17"/>
                <w:szCs w:val="17"/>
                <w:color w:val="auto"/>
              </w:rPr>
              <w:t>Chief Executive Officer and Director (Principal Executive Officer)</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7, 2023</w:t>
            </w:r>
          </w:p>
        </w:tc>
      </w:tr>
      <w:tr>
        <w:trPr>
          <w:trHeight w:val="233"/>
        </w:trPr>
        <w:tc>
          <w:tcPr>
            <w:tcW w:w="3100" w:type="dxa"/>
            <w:vAlign w:val="bottom"/>
          </w:tcPr>
          <w:p>
            <w:pPr>
              <w:jc w:val="center"/>
              <w:spacing w:after="0"/>
              <w:rPr>
                <w:sz w:val="20"/>
                <w:szCs w:val="20"/>
                <w:color w:val="auto"/>
              </w:rPr>
            </w:pPr>
            <w:r>
              <w:rPr>
                <w:rFonts w:ascii="Arial" w:cs="Arial" w:eastAsia="Arial" w:hAnsi="Arial"/>
                <w:sz w:val="17"/>
                <w:szCs w:val="17"/>
                <w:color w:val="auto"/>
              </w:rPr>
              <w:t>Marcio Souza</w:t>
            </w:r>
          </w:p>
        </w:tc>
        <w:tc>
          <w:tcPr>
            <w:tcW w:w="1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0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Timothy Kelly</w:t>
            </w:r>
          </w:p>
        </w:tc>
        <w:tc>
          <w:tcPr>
            <w:tcW w:w="120" w:type="dxa"/>
            <w:vAlign w:val="bottom"/>
          </w:tcPr>
          <w:p>
            <w:pPr>
              <w:spacing w:after="0"/>
              <w:rPr>
                <w:sz w:val="24"/>
                <w:szCs w:val="24"/>
                <w:color w:val="auto"/>
              </w:rPr>
            </w:pPr>
          </w:p>
        </w:tc>
        <w:tc>
          <w:tcPr>
            <w:tcW w:w="5800" w:type="dxa"/>
            <w:vAlign w:val="bottom"/>
            <w:gridSpan w:val="2"/>
          </w:tcPr>
          <w:p>
            <w:pPr>
              <w:jc w:val="center"/>
              <w:ind w:right="260"/>
              <w:spacing w:after="0"/>
              <w:rPr>
                <w:sz w:val="20"/>
                <w:szCs w:val="20"/>
                <w:color w:val="auto"/>
              </w:rPr>
            </w:pPr>
            <w:r>
              <w:rPr>
                <w:rFonts w:ascii="Arial" w:cs="Arial" w:eastAsia="Arial" w:hAnsi="Arial"/>
                <w:sz w:val="17"/>
                <w:szCs w:val="17"/>
                <w:color w:val="auto"/>
              </w:rPr>
              <w:t>Chief Financial Officer (Principal Financial Officer)</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7, 2023</w:t>
            </w:r>
          </w:p>
        </w:tc>
      </w:tr>
      <w:tr>
        <w:trPr>
          <w:trHeight w:val="233"/>
        </w:trPr>
        <w:tc>
          <w:tcPr>
            <w:tcW w:w="3100" w:type="dxa"/>
            <w:vAlign w:val="bottom"/>
          </w:tcPr>
          <w:p>
            <w:pPr>
              <w:jc w:val="center"/>
              <w:spacing w:after="0"/>
              <w:rPr>
                <w:sz w:val="20"/>
                <w:szCs w:val="20"/>
                <w:color w:val="auto"/>
              </w:rPr>
            </w:pPr>
            <w:r>
              <w:rPr>
                <w:rFonts w:ascii="Arial" w:cs="Arial" w:eastAsia="Arial" w:hAnsi="Arial"/>
                <w:sz w:val="17"/>
                <w:szCs w:val="17"/>
                <w:color w:val="auto"/>
              </w:rPr>
              <w:t>Timothy Kelly</w:t>
            </w:r>
          </w:p>
        </w:tc>
        <w:tc>
          <w:tcPr>
            <w:tcW w:w="1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0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Lauren Mastrocola</w:t>
            </w:r>
          </w:p>
        </w:tc>
        <w:tc>
          <w:tcPr>
            <w:tcW w:w="120" w:type="dxa"/>
            <w:vAlign w:val="bottom"/>
          </w:tcPr>
          <w:p>
            <w:pPr>
              <w:spacing w:after="0"/>
              <w:rPr>
                <w:sz w:val="24"/>
                <w:szCs w:val="24"/>
                <w:color w:val="auto"/>
              </w:rPr>
            </w:pPr>
          </w:p>
        </w:tc>
        <w:tc>
          <w:tcPr>
            <w:tcW w:w="5800" w:type="dxa"/>
            <w:vAlign w:val="bottom"/>
            <w:gridSpan w:val="2"/>
          </w:tcPr>
          <w:p>
            <w:pPr>
              <w:jc w:val="center"/>
              <w:ind w:right="260"/>
              <w:spacing w:after="0"/>
              <w:rPr>
                <w:sz w:val="20"/>
                <w:szCs w:val="20"/>
                <w:color w:val="auto"/>
              </w:rPr>
            </w:pPr>
            <w:r>
              <w:rPr>
                <w:rFonts w:ascii="Arial" w:cs="Arial" w:eastAsia="Arial" w:hAnsi="Arial"/>
                <w:sz w:val="17"/>
                <w:szCs w:val="17"/>
                <w:color w:val="auto"/>
              </w:rPr>
              <w:t>Principal Accounting Officer</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7, 2023</w:t>
            </w:r>
          </w:p>
        </w:tc>
      </w:tr>
      <w:tr>
        <w:trPr>
          <w:trHeight w:val="246"/>
        </w:trPr>
        <w:tc>
          <w:tcPr>
            <w:tcW w:w="3100" w:type="dxa"/>
            <w:vAlign w:val="bottom"/>
          </w:tcPr>
          <w:p>
            <w:pPr>
              <w:jc w:val="center"/>
              <w:spacing w:after="0"/>
              <w:rPr>
                <w:sz w:val="20"/>
                <w:szCs w:val="20"/>
                <w:color w:val="auto"/>
              </w:rPr>
            </w:pPr>
            <w:r>
              <w:rPr>
                <w:rFonts w:ascii="Arial" w:cs="Arial" w:eastAsia="Arial" w:hAnsi="Arial"/>
                <w:sz w:val="17"/>
                <w:szCs w:val="17"/>
                <w:color w:val="auto"/>
              </w:rPr>
              <w:t>Lauren Mastrocola</w:t>
            </w:r>
          </w:p>
        </w:tc>
        <w:tc>
          <w:tcPr>
            <w:tcW w:w="1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377"/>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Dean Mitchell</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Chairman of the Board</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7, 2023</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Dean Mitchell</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7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Jeffrey Chodakewitz, M.D.</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7, 2023</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Jeffrey Chodakewitz, M.D.</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7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Merit Cudkowicz, M.D.</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7, 2023</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Merit Cudkowicz, M.D.</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7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Jill DeSimone</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7, 2023</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Jill DeSimone</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7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Gregory Norden</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7, 2023</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Gregory Norden</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7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William Young</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ind w:left="254"/>
              <w:spacing w:after="0"/>
              <w:rPr>
                <w:sz w:val="20"/>
                <w:szCs w:val="20"/>
                <w:color w:val="auto"/>
              </w:rPr>
            </w:pPr>
            <w:r>
              <w:rPr>
                <w:rFonts w:ascii="Arial" w:cs="Arial" w:eastAsia="Arial" w:hAnsi="Arial"/>
                <w:sz w:val="17"/>
                <w:szCs w:val="17"/>
                <w:color w:val="auto"/>
              </w:rPr>
              <w:t>February 7, 2023</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William Young</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340"/>
          </w:cols>
          <w:pgMar w:left="320" w:top="116" w:right="239" w:bottom="1440" w:gutter="0" w:footer="0" w:header="0"/>
        </w:sectPr>
      </w:pPr>
    </w:p>
    <w:bookmarkStart w:id="153" w:name="page154"/>
    <w:bookmarkEnd w:id="153"/>
    <w:p>
      <w:pPr>
        <w:ind w:left="4120"/>
        <w:spacing w:after="0"/>
        <w:rPr>
          <w:sz w:val="20"/>
          <w:szCs w:val="20"/>
          <w:color w:val="auto"/>
        </w:rPr>
      </w:pPr>
      <w:r>
        <w:rPr>
          <w:rFonts w:ascii="Times New Roman" w:cs="Times New Roman" w:eastAsia="Times New Roman" w:hAnsi="Times New Roman"/>
          <w:sz w:val="21"/>
          <w:szCs w:val="21"/>
          <w:b w:val="1"/>
          <w:bCs w:val="1"/>
          <w:color w:val="auto"/>
        </w:rPr>
        <w:t>Praxis Precision Medicines, Inc.</w:t>
      </w:r>
    </w:p>
    <w:p>
      <w:pPr>
        <w:spacing w:after="0" w:line="16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jc w:val="center"/>
        <w:ind w:right="-19"/>
        <w:spacing w:after="0" w:line="217" w:lineRule="auto"/>
        <w:rPr>
          <w:sz w:val="20"/>
          <w:szCs w:val="20"/>
          <w:color w:val="auto"/>
        </w:rPr>
      </w:pPr>
      <w:r>
        <w:rPr>
          <w:rFonts w:ascii="Times New Roman" w:cs="Times New Roman" w:eastAsia="Times New Roman" w:hAnsi="Times New Roman"/>
          <w:sz w:val="21"/>
          <w:szCs w:val="21"/>
          <w:b w:val="1"/>
          <w:bCs w:val="1"/>
          <w:color w:val="auto"/>
        </w:rPr>
        <w:t>for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Chief Financial Officer</w:t>
      </w:r>
    </w:p>
    <w:p>
      <w:pPr>
        <w:spacing w:after="0" w:line="176" w:lineRule="exact"/>
        <w:rPr>
          <w:sz w:val="20"/>
          <w:szCs w:val="20"/>
          <w:color w:val="auto"/>
        </w:rPr>
      </w:pPr>
    </w:p>
    <w:p>
      <w:pPr>
        <w:jc w:val="both"/>
        <w:ind w:left="20" w:right="20" w:firstLine="629"/>
        <w:spacing w:after="0" w:line="231" w:lineRule="auto"/>
        <w:rPr>
          <w:sz w:val="20"/>
          <w:szCs w:val="20"/>
          <w:color w:val="auto"/>
        </w:rPr>
      </w:pPr>
      <w:r>
        <w:rPr>
          <w:rFonts w:ascii="Times New Roman" w:cs="Times New Roman" w:eastAsia="Times New Roman" w:hAnsi="Times New Roman"/>
          <w:sz w:val="21"/>
          <w:szCs w:val="21"/>
          <w:color w:val="auto"/>
        </w:rPr>
        <w:t>This Executive Employment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between Praxis Precision Medicines,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Timothy E. Kelly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 (collectively,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and is effective upon the Executive’s first date of employment with the Company, on May 25, 2021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w:t>
      </w:r>
    </w:p>
    <w:p>
      <w:pPr>
        <w:spacing w:after="0" w:line="194" w:lineRule="exact"/>
        <w:rPr>
          <w:sz w:val="20"/>
          <w:szCs w:val="20"/>
          <w:color w:val="auto"/>
        </w:rPr>
      </w:pPr>
    </w:p>
    <w:p>
      <w:pPr>
        <w:jc w:val="both"/>
        <w:ind w:left="20" w:firstLine="629"/>
        <w:spacing w:after="0" w:line="284"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desires Executive to provide services to the Company, and wishes to provide Executive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certain compensation and benefits in return for such employment services; and</w:t>
      </w:r>
    </w:p>
    <w:p>
      <w:pPr>
        <w:spacing w:after="0" w:line="150" w:lineRule="exact"/>
        <w:rPr>
          <w:sz w:val="20"/>
          <w:szCs w:val="20"/>
          <w:color w:val="auto"/>
        </w:rPr>
      </w:pPr>
    </w:p>
    <w:p>
      <w:pPr>
        <w:jc w:val="both"/>
        <w:ind w:left="20" w:firstLine="629"/>
        <w:spacing w:after="0" w:line="284"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Executive wishes to be employed by the Company and to provide personal services to the Company in return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certain compensation and benefits;</w:t>
      </w:r>
    </w:p>
    <w:p>
      <w:pPr>
        <w:spacing w:after="0" w:line="163" w:lineRule="exact"/>
        <w:rPr>
          <w:sz w:val="20"/>
          <w:szCs w:val="20"/>
          <w:color w:val="auto"/>
        </w:rPr>
      </w:pPr>
    </w:p>
    <w:p>
      <w:pPr>
        <w:jc w:val="both"/>
        <w:ind w:left="20" w:right="20" w:firstLine="629"/>
        <w:spacing w:after="0" w:line="284"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mutual promises and covenants contained herein and for other good and valuable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consideration, the receipt and sufficiency of which is hereby acknowledged, the Parties hereto agree as follows:</w:t>
      </w:r>
    </w:p>
    <w:p>
      <w:pPr>
        <w:spacing w:after="0" w:line="150" w:lineRule="exact"/>
        <w:rPr>
          <w:sz w:val="20"/>
          <w:szCs w:val="20"/>
          <w:color w:val="auto"/>
        </w:rPr>
      </w:pPr>
    </w:p>
    <w:p>
      <w:pPr>
        <w:ind w:left="1280" w:hanging="629"/>
        <w:spacing w:after="0"/>
        <w:tabs>
          <w:tab w:leader="none" w:pos="1280" w:val="left"/>
        </w:tabs>
        <w:numPr>
          <w:ilvl w:val="0"/>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Employment by the Company.</w:t>
      </w:r>
    </w:p>
    <w:p>
      <w:pPr>
        <w:spacing w:after="0" w:line="204" w:lineRule="exact"/>
        <w:rPr>
          <w:sz w:val="20"/>
          <w:szCs w:val="20"/>
          <w:color w:val="auto"/>
        </w:rPr>
      </w:pPr>
    </w:p>
    <w:p>
      <w:pPr>
        <w:jc w:val="both"/>
        <w:ind w:left="20" w:firstLine="1259"/>
        <w:spacing w:after="0" w:line="212" w:lineRule="auto"/>
        <w:rPr>
          <w:sz w:val="20"/>
          <w:szCs w:val="20"/>
          <w:color w:val="auto"/>
        </w:rPr>
      </w:pPr>
      <w:r>
        <w:rPr>
          <w:rFonts w:ascii="Times New Roman" w:cs="Times New Roman" w:eastAsia="Times New Roman" w:hAnsi="Times New Roman"/>
          <w:sz w:val="21"/>
          <w:szCs w:val="21"/>
          <w:b w:val="1"/>
          <w:bCs w:val="1"/>
          <w:color w:val="auto"/>
        </w:rPr>
        <w:t xml:space="preserve">1.1 Position and Duties. </w:t>
      </w:r>
      <w:r>
        <w:rPr>
          <w:rFonts w:ascii="Times New Roman" w:cs="Times New Roman" w:eastAsia="Times New Roman" w:hAnsi="Times New Roman"/>
          <w:sz w:val="21"/>
          <w:szCs w:val="21"/>
          <w:color w:val="auto"/>
        </w:rPr>
        <w:t>Executive shall serve as the Company’s Chief Financial Officer (the “</w:t>
      </w:r>
      <w:r>
        <w:rPr>
          <w:rFonts w:ascii="Times New Roman" w:cs="Times New Roman" w:eastAsia="Times New Roman" w:hAnsi="Times New Roman"/>
          <w:sz w:val="21"/>
          <w:szCs w:val="21"/>
          <w:b w:val="1"/>
          <w:bCs w:val="1"/>
          <w:color w:val="auto"/>
        </w:rPr>
        <w:t>Position</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term of Executive’s employment with the Company, Executive shall devote one hundred percent of Executive’s business time on behalf of the Company and, on a full-time basis, use Executive’s skills and render services to the best of Executive’s abilities on behalf of the Company, and shall comply fully with the policies and procedures of the Company. Executive shall report directly to the Company’s Chief Executive Officer (the “CEO”). Executive shall perform those duties typically associated with the Position and such other duties consistent with the Position as may be assigned by the CEO, including but not limited to executive responsibility for business operations, finance, corporate development, systems, and strategic planning and management. Notwithstanding the foregoing, nothing herein shall preclude Executive from</w:t>
      </w:r>
    </w:p>
    <w:p>
      <w:pPr>
        <w:jc w:val="both"/>
        <w:ind w:left="20" w:firstLine="3"/>
        <w:spacing w:after="0" w:line="212" w:lineRule="auto"/>
        <w:tabs>
          <w:tab w:leader="none" w:pos="315"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serving, with the prior written consent of the CEO, as a member of the boards of directors or advisory boards of non-competitive businesses and charitable organizations, (ii) engaging in charitable activities and community affairs, and (iii) managing Executive’s personal investments and affairs;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activities set out in clauses (i), (ii), and</w:t>
      </w:r>
    </w:p>
    <w:p>
      <w:pPr>
        <w:spacing w:after="0" w:line="2" w:lineRule="exact"/>
        <w:rPr>
          <w:rFonts w:ascii="Times New Roman" w:cs="Times New Roman" w:eastAsia="Times New Roman" w:hAnsi="Times New Roman"/>
          <w:sz w:val="21"/>
          <w:szCs w:val="21"/>
          <w:color w:val="auto"/>
        </w:rPr>
      </w:pPr>
    </w:p>
    <w:p>
      <w:pPr>
        <w:jc w:val="both"/>
        <w:ind w:left="20" w:right="20" w:firstLine="3"/>
        <w:spacing w:after="0" w:line="252" w:lineRule="auto"/>
        <w:tabs>
          <w:tab w:leader="none" w:pos="42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limited by Executive so as not to materially interfere, individually or in the aggregate, with the performance of Executive’s duties and responsibilities hereunder and shall not, in the judgment of the CEO pose a conflict of interest with Executive’s duties to the Company or its affiliates.</w:t>
      </w:r>
    </w:p>
    <w:p>
      <w:pPr>
        <w:spacing w:after="0" w:line="155" w:lineRule="exact"/>
        <w:rPr>
          <w:sz w:val="20"/>
          <w:szCs w:val="20"/>
          <w:color w:val="auto"/>
        </w:rPr>
      </w:pPr>
    </w:p>
    <w:p>
      <w:pPr>
        <w:ind w:left="20" w:firstLine="1259"/>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1.2 Location of Work. </w:t>
      </w:r>
      <w:r>
        <w:rPr>
          <w:rFonts w:ascii="Times New Roman" w:cs="Times New Roman" w:eastAsia="Times New Roman" w:hAnsi="Times New Roman"/>
          <w:sz w:val="21"/>
          <w:szCs w:val="21"/>
          <w:color w:val="auto"/>
        </w:rPr>
        <w:t>Executive shall work</w:t>
      </w:r>
      <w:r>
        <w:rPr>
          <w:rFonts w:ascii="Times New Roman" w:cs="Times New Roman" w:eastAsia="Times New Roman" w:hAnsi="Times New Roman"/>
          <w:sz w:val="21"/>
          <w:szCs w:val="21"/>
          <w:b w:val="1"/>
          <w:bCs w:val="1"/>
          <w:color w:val="auto"/>
        </w:rPr>
        <w:t xml:space="preserve"> remotely </w:t>
      </w:r>
      <w:r>
        <w:rPr>
          <w:rFonts w:ascii="Times New Roman" w:cs="Times New Roman" w:eastAsia="Times New Roman" w:hAnsi="Times New Roman"/>
          <w:sz w:val="21"/>
          <w:szCs w:val="21"/>
          <w:color w:val="auto"/>
        </w:rPr>
        <w:t>in the USA. The Company reserves the right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reasonably require Executive to perform Executive’s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080"/>
          </w:cols>
          <w:pgMar w:left="400" w:top="1354" w:right="419" w:bottom="1440" w:gutter="0" w:footer="0" w:header="0"/>
        </w:sectPr>
      </w:pPr>
    </w:p>
    <w:bookmarkStart w:id="154" w:name="page155"/>
    <w:bookmarkEnd w:id="154"/>
    <w:p>
      <w:pPr>
        <w:ind w:left="20"/>
        <w:spacing w:after="0"/>
        <w:rPr>
          <w:sz w:val="20"/>
          <w:szCs w:val="20"/>
          <w:color w:val="auto"/>
        </w:rPr>
      </w:pPr>
      <w:r>
        <w:rPr>
          <w:rFonts w:ascii="Times New Roman" w:cs="Times New Roman" w:eastAsia="Times New Roman" w:hAnsi="Times New Roman"/>
          <w:sz w:val="21"/>
          <w:szCs w:val="21"/>
          <w:color w:val="auto"/>
        </w:rPr>
        <w:t>at places other than Executive’s primary office location from time to time, and to require reasonable business travel.</w:t>
      </w:r>
    </w:p>
    <w:p>
      <w:pPr>
        <w:spacing w:after="0" w:line="227" w:lineRule="exact"/>
        <w:rPr>
          <w:sz w:val="20"/>
          <w:szCs w:val="20"/>
          <w:color w:val="auto"/>
        </w:rPr>
      </w:pPr>
    </w:p>
    <w:p>
      <w:pPr>
        <w:jc w:val="both"/>
        <w:ind w:left="20" w:right="20" w:firstLine="1259"/>
        <w:spacing w:after="0" w:line="231" w:lineRule="auto"/>
        <w:rPr>
          <w:sz w:val="20"/>
          <w:szCs w:val="20"/>
          <w:color w:val="auto"/>
        </w:rPr>
      </w:pPr>
      <w:r>
        <w:rPr>
          <w:rFonts w:ascii="Times New Roman" w:cs="Times New Roman" w:eastAsia="Times New Roman" w:hAnsi="Times New Roman"/>
          <w:sz w:val="21"/>
          <w:szCs w:val="21"/>
          <w:b w:val="1"/>
          <w:bCs w:val="1"/>
          <w:color w:val="auto"/>
        </w:rPr>
        <w:t xml:space="preserve">1.3 Policies and Procedures. </w:t>
      </w:r>
      <w:r>
        <w:rPr>
          <w:rFonts w:ascii="Times New Roman" w:cs="Times New Roman" w:eastAsia="Times New Roman" w:hAnsi="Times New Roman"/>
          <w:sz w:val="21"/>
          <w:szCs w:val="21"/>
          <w:color w:val="auto"/>
        </w:rPr>
        <w:t>The employment relationship between the Parties shall be governed by the general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policies and practices of the Company, except that when the terms of this Agreement differ from or are in conflict with the Company’s general employment policies or practices, this Agreement shall control.</w:t>
      </w:r>
    </w:p>
    <w:p>
      <w:pPr>
        <w:spacing w:after="0" w:line="168" w:lineRule="exact"/>
        <w:rPr>
          <w:sz w:val="20"/>
          <w:szCs w:val="20"/>
          <w:color w:val="auto"/>
        </w:rPr>
      </w:pPr>
    </w:p>
    <w:p>
      <w:pPr>
        <w:ind w:left="1280" w:hanging="629"/>
        <w:spacing w:after="0"/>
        <w:tabs>
          <w:tab w:leader="none" w:pos="1280"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Compensation.</w:t>
      </w:r>
    </w:p>
    <w:p>
      <w:pPr>
        <w:spacing w:after="0" w:line="165" w:lineRule="exact"/>
        <w:rPr>
          <w:sz w:val="20"/>
          <w:szCs w:val="20"/>
          <w:color w:val="auto"/>
        </w:rPr>
      </w:pPr>
    </w:p>
    <w:p>
      <w:pPr>
        <w:jc w:val="both"/>
        <w:ind w:left="20" w:right="20" w:firstLine="1259"/>
        <w:spacing w:after="0" w:line="225" w:lineRule="auto"/>
        <w:rPr>
          <w:sz w:val="20"/>
          <w:szCs w:val="20"/>
          <w:color w:val="auto"/>
        </w:rPr>
      </w:pPr>
      <w:r>
        <w:rPr>
          <w:rFonts w:ascii="Times New Roman" w:cs="Times New Roman" w:eastAsia="Times New Roman" w:hAnsi="Times New Roman"/>
          <w:sz w:val="21"/>
          <w:szCs w:val="21"/>
          <w:b w:val="1"/>
          <w:bCs w:val="1"/>
          <w:color w:val="auto"/>
        </w:rPr>
        <w:t xml:space="preserve">2.1 Salary. </w:t>
      </w:r>
      <w:r>
        <w:rPr>
          <w:rFonts w:ascii="Times New Roman" w:cs="Times New Roman" w:eastAsia="Times New Roman" w:hAnsi="Times New Roman"/>
          <w:sz w:val="21"/>
          <w:szCs w:val="21"/>
          <w:color w:val="auto"/>
        </w:rPr>
        <w:t>For services to be rendered hereunder, Executive shall receive an initial base salary at the rate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$425,000 per year, subject to standard payroll deductions and withholdings and payable in accordance with the Company’s regular payroll schedule (the “</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Executive’s Base Salary will be reviewed annually by the Board or the Compensation Committee of the Board (the “Compensation Committee”).</w:t>
      </w:r>
    </w:p>
    <w:p>
      <w:pPr>
        <w:spacing w:after="0" w:line="170" w:lineRule="exact"/>
        <w:rPr>
          <w:sz w:val="20"/>
          <w:szCs w:val="20"/>
          <w:color w:val="auto"/>
        </w:rPr>
      </w:pPr>
    </w:p>
    <w:p>
      <w:pPr>
        <w:jc w:val="both"/>
        <w:ind w:left="20" w:firstLine="1259"/>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2.2 Annual Cash Bonus. </w:t>
      </w:r>
      <w:r>
        <w:rPr>
          <w:rFonts w:ascii="Times New Roman" w:cs="Times New Roman" w:eastAsia="Times New Roman" w:hAnsi="Times New Roman"/>
          <w:sz w:val="21"/>
          <w:szCs w:val="21"/>
          <w:color w:val="auto"/>
        </w:rPr>
        <w:t>Executive will be eligible for an annual cash bonus with a target amount of forty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percent (40%) of Executive’s Base Salary (the “</w:t>
      </w:r>
      <w:r>
        <w:rPr>
          <w:rFonts w:ascii="Times New Roman" w:cs="Times New Roman" w:eastAsia="Times New Roman" w:hAnsi="Times New Roman"/>
          <w:sz w:val="21"/>
          <w:szCs w:val="21"/>
          <w:b w:val="1"/>
          <w:bCs w:val="1"/>
          <w:color w:val="auto"/>
        </w:rPr>
        <w:t>Annual Bonus</w:t>
      </w:r>
      <w:r>
        <w:rPr>
          <w:rFonts w:ascii="Times New Roman" w:cs="Times New Roman" w:eastAsia="Times New Roman" w:hAnsi="Times New Roman"/>
          <w:sz w:val="21"/>
          <w:szCs w:val="21"/>
          <w:color w:val="auto"/>
        </w:rPr>
        <w:t>”). Whether Executive receives an Annual Bonus for any given year, and the amount of any such Annual Bonus, will be determined by the Board or the Compensation Committee based upon the Company’s and Executive’s achievement of objectives and milestones to be determined by the Board or the Compensation Committee on an annual basis. Except as otherwise provided herein or in applicable incentive compensation plan that may be in effect from time to time, Executive will not be eligible for, and will not earn, any Annual Bonus if Executive is not employed by the Company on the payment date (regardless of the reason for the separation from employment).</w:t>
      </w:r>
    </w:p>
    <w:p>
      <w:pPr>
        <w:spacing w:after="0" w:line="182" w:lineRule="exact"/>
        <w:rPr>
          <w:sz w:val="20"/>
          <w:szCs w:val="20"/>
          <w:color w:val="auto"/>
        </w:rPr>
      </w:pPr>
    </w:p>
    <w:p>
      <w:pPr>
        <w:jc w:val="both"/>
        <w:ind w:left="20" w:firstLine="1259"/>
        <w:spacing w:after="0" w:line="209" w:lineRule="auto"/>
        <w:rPr>
          <w:sz w:val="20"/>
          <w:szCs w:val="20"/>
          <w:color w:val="auto"/>
        </w:rPr>
      </w:pPr>
      <w:r>
        <w:rPr>
          <w:rFonts w:ascii="Times New Roman" w:cs="Times New Roman" w:eastAsia="Times New Roman" w:hAnsi="Times New Roman"/>
          <w:sz w:val="21"/>
          <w:szCs w:val="21"/>
          <w:b w:val="1"/>
          <w:bCs w:val="1"/>
          <w:color w:val="auto"/>
        </w:rPr>
        <w:t xml:space="preserve">2.3 Equity. </w:t>
      </w:r>
      <w:r>
        <w:rPr>
          <w:rFonts w:ascii="Times New Roman" w:cs="Times New Roman" w:eastAsia="Times New Roman" w:hAnsi="Times New Roman"/>
          <w:sz w:val="21"/>
          <w:szCs w:val="21"/>
          <w:color w:val="auto"/>
        </w:rPr>
        <w:t>Subject to approval of the Board or its delegate, Executive will receive a stock option grant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200,000 shares of Company equity. The options’ vesting will be in accordance with the Company’s stock plan. The options will vest as follows: one quarter of the shares will vest on the first anniversary of the Effective Date and following that 1/48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shares will vest on a monthly basis, in arrears. The stock options and any other stock-based awards granted to Executive shall be governed by the terms and conditions of the Company’s applicable equity incentive plan(s) and the applicable award agreement(s) governing the terms of such stock options and other stock-based awards (collectively, the “</w:t>
      </w:r>
      <w:r>
        <w:rPr>
          <w:rFonts w:ascii="Times New Roman" w:cs="Times New Roman" w:eastAsia="Times New Roman" w:hAnsi="Times New Roman"/>
          <w:sz w:val="21"/>
          <w:szCs w:val="21"/>
          <w:b w:val="1"/>
          <w:bCs w:val="1"/>
          <w:color w:val="auto"/>
        </w:rPr>
        <w:t>Equity Documents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and notwithstanding anything to the contrary in the Equity Documents, Section 5.3(ii)(b) of this Agreement shall apply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event of a termination of Executive’s employment by the Company without Cause or by Executive for Good Reason, in either case within the Change of Control Period (as such terms are defined below).</w:t>
      </w:r>
    </w:p>
    <w:p>
      <w:pPr>
        <w:spacing w:after="0" w:line="185" w:lineRule="exact"/>
        <w:rPr>
          <w:sz w:val="20"/>
          <w:szCs w:val="20"/>
          <w:color w:val="auto"/>
        </w:rPr>
      </w:pPr>
    </w:p>
    <w:p>
      <w:pPr>
        <w:jc w:val="both"/>
        <w:ind w:left="20" w:right="20" w:firstLine="632"/>
        <w:spacing w:after="0" w:line="225" w:lineRule="auto"/>
        <w:tabs>
          <w:tab w:leader="none" w:pos="1174"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Standard Company Benefits. </w:t>
      </w:r>
      <w:r>
        <w:rPr>
          <w:rFonts w:ascii="Times New Roman" w:cs="Times New Roman" w:eastAsia="Times New Roman" w:hAnsi="Times New Roman"/>
          <w:sz w:val="21"/>
          <w:szCs w:val="21"/>
          <w:color w:val="auto"/>
        </w:rPr>
        <w:t>Executive shall be entitled to participate in all employee benefit programs for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is eligible under the terms and conditions of the benefit plans that may be in effect from time to time and provided by the Company to its employees. The Company reserves the right to cancel or change the benefit plans or programs it offers to its employees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080"/>
          </w:cols>
          <w:pgMar w:left="400" w:top="1371" w:right="419" w:bottom="1440" w:gutter="0" w:footer="0" w:header="0"/>
        </w:sectPr>
      </w:pPr>
    </w:p>
    <w:bookmarkStart w:id="155" w:name="page156"/>
    <w:bookmarkEnd w:id="155"/>
    <w:p>
      <w:pPr>
        <w:spacing w:after="0" w:line="151" w:lineRule="exact"/>
        <w:rPr>
          <w:sz w:val="20"/>
          <w:szCs w:val="20"/>
          <w:color w:val="auto"/>
        </w:rPr>
      </w:pPr>
    </w:p>
    <w:p>
      <w:pPr>
        <w:jc w:val="both"/>
        <w:ind w:left="20" w:firstLine="632"/>
        <w:spacing w:after="0" w:line="231" w:lineRule="auto"/>
        <w:tabs>
          <w:tab w:leader="none" w:pos="1174"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Expenses. </w:t>
      </w:r>
      <w:r>
        <w:rPr>
          <w:rFonts w:ascii="Times New Roman" w:cs="Times New Roman" w:eastAsia="Times New Roman" w:hAnsi="Times New Roman"/>
          <w:sz w:val="21"/>
          <w:szCs w:val="21"/>
          <w:color w:val="auto"/>
        </w:rPr>
        <w:t>The Company will reimburse Executive for reasonable travel, entertainment or other expenses incurred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in furtherance or in connection with the performance of Executive’s duties hereunder, in accordance with the Company’s expense reimbursement policy as in effect from time to time.</w:t>
      </w:r>
    </w:p>
    <w:p>
      <w:pPr>
        <w:spacing w:after="0" w:line="168" w:lineRule="exact"/>
        <w:rPr>
          <w:rFonts w:ascii="Times New Roman" w:cs="Times New Roman" w:eastAsia="Times New Roman" w:hAnsi="Times New Roman"/>
          <w:sz w:val="21"/>
          <w:szCs w:val="21"/>
          <w:b w:val="1"/>
          <w:bCs w:val="1"/>
          <w:color w:val="auto"/>
        </w:rPr>
      </w:pPr>
    </w:p>
    <w:p>
      <w:pPr>
        <w:ind w:left="1280" w:hanging="629"/>
        <w:spacing w:after="0"/>
        <w:tabs>
          <w:tab w:leader="none" w:pos="1280"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 of Employment; Severance.</w:t>
      </w:r>
    </w:p>
    <w:p>
      <w:pPr>
        <w:spacing w:after="0" w:line="178" w:lineRule="exact"/>
        <w:rPr>
          <w:sz w:val="20"/>
          <w:szCs w:val="20"/>
          <w:color w:val="auto"/>
        </w:rPr>
      </w:pPr>
    </w:p>
    <w:p>
      <w:pPr>
        <w:ind w:left="20" w:right="20" w:firstLine="1259"/>
        <w:spacing w:after="0" w:line="284" w:lineRule="auto"/>
        <w:rPr>
          <w:sz w:val="20"/>
          <w:szCs w:val="20"/>
          <w:color w:val="auto"/>
        </w:rPr>
      </w:pPr>
      <w:r>
        <w:rPr>
          <w:rFonts w:ascii="Times New Roman" w:cs="Times New Roman" w:eastAsia="Times New Roman" w:hAnsi="Times New Roman"/>
          <w:sz w:val="21"/>
          <w:szCs w:val="21"/>
          <w:b w:val="1"/>
          <w:bCs w:val="1"/>
          <w:color w:val="auto"/>
        </w:rPr>
        <w:t xml:space="preserve">5.1 At-Will Employment. </w:t>
      </w:r>
      <w:r>
        <w:rPr>
          <w:rFonts w:ascii="Times New Roman" w:cs="Times New Roman" w:eastAsia="Times New Roman" w:hAnsi="Times New Roman"/>
          <w:sz w:val="21"/>
          <w:szCs w:val="21"/>
          <w:color w:val="auto"/>
        </w:rPr>
        <w:t>Executive’s employment relationship is at- will. Either Executive or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terminate the employment relationship at any time, with or without cause subject to the terms of this Agreement.</w:t>
      </w:r>
    </w:p>
    <w:p>
      <w:pPr>
        <w:spacing w:after="0" w:line="163" w:lineRule="exact"/>
        <w:rPr>
          <w:sz w:val="20"/>
          <w:szCs w:val="20"/>
          <w:color w:val="auto"/>
        </w:rPr>
      </w:pPr>
    </w:p>
    <w:p>
      <w:pPr>
        <w:ind w:left="20" w:right="20" w:firstLine="1259"/>
        <w:spacing w:after="0" w:line="284" w:lineRule="auto"/>
        <w:rPr>
          <w:sz w:val="20"/>
          <w:szCs w:val="20"/>
          <w:color w:val="auto"/>
        </w:rPr>
      </w:pPr>
      <w:r>
        <w:rPr>
          <w:rFonts w:ascii="Times New Roman" w:cs="Times New Roman" w:eastAsia="Times New Roman" w:hAnsi="Times New Roman"/>
          <w:sz w:val="21"/>
          <w:szCs w:val="21"/>
          <w:b w:val="1"/>
          <w:bCs w:val="1"/>
          <w:color w:val="auto"/>
        </w:rPr>
        <w:t>5.2 Severance Pay and Benefits Upon a Termination Without Cause or Resignation for Good Reason Outside the Change of Control Period.</w:t>
      </w:r>
    </w:p>
    <w:p>
      <w:pPr>
        <w:spacing w:after="0" w:line="167" w:lineRule="exact"/>
        <w:rPr>
          <w:sz w:val="20"/>
          <w:szCs w:val="20"/>
          <w:color w:val="auto"/>
        </w:rPr>
      </w:pPr>
    </w:p>
    <w:p>
      <w:pPr>
        <w:ind w:left="20" w:right="20" w:firstLine="1891"/>
        <w:spacing w:after="0" w:line="267" w:lineRule="auto"/>
        <w:tabs>
          <w:tab w:leader="none" w:pos="2434" w:val="left"/>
        </w:tabs>
        <w:numPr>
          <w:ilvl w:val="1"/>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may terminate Executive’s employment with the Company at any time without Cause. Executive may terminate Executive’s employment with the Company at any time for any reason, including for Good Reason.</w:t>
      </w:r>
    </w:p>
    <w:p>
      <w:pPr>
        <w:spacing w:after="0" w:line="131" w:lineRule="exact"/>
        <w:rPr>
          <w:rFonts w:ascii="Times New Roman" w:cs="Times New Roman" w:eastAsia="Times New Roman" w:hAnsi="Times New Roman"/>
          <w:sz w:val="21"/>
          <w:szCs w:val="21"/>
          <w:b w:val="1"/>
          <w:bCs w:val="1"/>
          <w:color w:val="auto"/>
        </w:rPr>
      </w:pPr>
    </w:p>
    <w:p>
      <w:pPr>
        <w:jc w:val="both"/>
        <w:ind w:left="20" w:firstLine="1891"/>
        <w:spacing w:after="0" w:line="224" w:lineRule="auto"/>
        <w:tabs>
          <w:tab w:leader="none" w:pos="2440" w:val="left"/>
        </w:tabs>
        <w:numPr>
          <w:ilvl w:val="1"/>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the event that Executive’s employment with the Company is terminated by the Company without Cause or by Executive for Good Reason, in either case outside of the Change of Control Period, then, provided that Executive remains in compliance with the terms of this Agreement, the Company shall provide Executive with the following severance benefits:</w:t>
      </w:r>
    </w:p>
    <w:p>
      <w:pPr>
        <w:spacing w:after="0" w:line="278" w:lineRule="exact"/>
        <w:rPr>
          <w:rFonts w:ascii="Times New Roman" w:cs="Times New Roman" w:eastAsia="Times New Roman" w:hAnsi="Times New Roman"/>
          <w:sz w:val="21"/>
          <w:szCs w:val="21"/>
          <w:b w:val="1"/>
          <w:bCs w:val="1"/>
          <w:color w:val="auto"/>
        </w:rPr>
      </w:pPr>
    </w:p>
    <w:p>
      <w:pPr>
        <w:ind w:left="3160" w:hanging="620"/>
        <w:spacing w:after="0"/>
        <w:tabs>
          <w:tab w:leader="none" w:pos="3160" w:val="left"/>
        </w:tabs>
        <w:numPr>
          <w:ilvl w:val="2"/>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shall pay Executive, as severance, nine</w:t>
      </w:r>
    </w:p>
    <w:p>
      <w:pPr>
        <w:spacing w:after="0" w:line="5" w:lineRule="exact"/>
        <w:rPr>
          <w:rFonts w:ascii="Times New Roman" w:cs="Times New Roman" w:eastAsia="Times New Roman" w:hAnsi="Times New Roman"/>
          <w:sz w:val="21"/>
          <w:szCs w:val="21"/>
          <w:b w:val="1"/>
          <w:bCs w:val="1"/>
          <w:color w:val="auto"/>
        </w:rPr>
      </w:pPr>
    </w:p>
    <w:p>
      <w:pPr>
        <w:jc w:val="both"/>
        <w:ind w:left="20" w:right="20" w:firstLine="3"/>
        <w:spacing w:after="0" w:line="222" w:lineRule="auto"/>
        <w:tabs>
          <w:tab w:leader="none" w:pos="32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of Executive’s Base Salary in effect as of the date of Executive’s employment termination, subject to standard payroll deductions and withholdings (the “</w:t>
      </w:r>
      <w:r>
        <w:rPr>
          <w:rFonts w:ascii="Times New Roman" w:cs="Times New Roman" w:eastAsia="Times New Roman" w:hAnsi="Times New Roman"/>
          <w:sz w:val="21"/>
          <w:szCs w:val="21"/>
          <w:b w:val="1"/>
          <w:bCs w:val="1"/>
          <w:color w:val="auto"/>
        </w:rPr>
        <w:t>Severance</w:t>
      </w:r>
      <w:r>
        <w:rPr>
          <w:rFonts w:ascii="Times New Roman" w:cs="Times New Roman" w:eastAsia="Times New Roman" w:hAnsi="Times New Roman"/>
          <w:sz w:val="21"/>
          <w:szCs w:val="21"/>
          <w:color w:val="auto"/>
        </w:rPr>
        <w:t>”). Subject to Section 5.2(iii) below, the Severance will be paid in equal installments on the Company’s regular payroll schedule over the nine (9) month period following Executive’s termination of employment.</w:t>
      </w:r>
    </w:p>
    <w:p>
      <w:pPr>
        <w:spacing w:after="0" w:line="250" w:lineRule="exact"/>
        <w:rPr>
          <w:rFonts w:ascii="Times New Roman" w:cs="Times New Roman" w:eastAsia="Times New Roman" w:hAnsi="Times New Roman"/>
          <w:sz w:val="21"/>
          <w:szCs w:val="21"/>
          <w:color w:val="auto"/>
        </w:rPr>
      </w:pPr>
    </w:p>
    <w:p>
      <w:pPr>
        <w:jc w:val="both"/>
        <w:ind w:left="20" w:firstLine="2520"/>
        <w:spacing w:after="0" w:line="213" w:lineRule="auto"/>
        <w:tabs>
          <w:tab w:leader="none" w:pos="3070" w:val="left"/>
        </w:tabs>
        <w:numPr>
          <w:ilvl w:val="2"/>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Provided Executive timely elects continued coverage under COBRA, the Company shall pay the Company’s portion of Executive’s COBRA premiums, equal to the percentage of health premiums paid by the Company prior to Executive’s termination, to continue Executive’s coverage (including coverage for eligible dependents, if applicable) (“</w:t>
      </w:r>
      <w:r>
        <w:rPr>
          <w:rFonts w:ascii="Times New Roman" w:cs="Times New Roman" w:eastAsia="Times New Roman" w:hAnsi="Times New Roman"/>
          <w:sz w:val="21"/>
          <w:szCs w:val="21"/>
          <w:b w:val="1"/>
          <w:bCs w:val="1"/>
          <w:color w:val="auto"/>
        </w:rPr>
        <w:t>COBRA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Premiums</w:t>
      </w:r>
      <w:r>
        <w:rPr>
          <w:rFonts w:ascii="Times New Roman" w:cs="Times New Roman" w:eastAsia="Times New Roman" w:hAnsi="Times New Roman"/>
          <w:sz w:val="21"/>
          <w:szCs w:val="21"/>
          <w:color w:val="auto"/>
        </w:rPr>
        <w:t>”) through the period (the “</w:t>
      </w:r>
      <w:r>
        <w:rPr>
          <w:rFonts w:ascii="Times New Roman" w:cs="Times New Roman" w:eastAsia="Times New Roman" w:hAnsi="Times New Roman"/>
          <w:sz w:val="21"/>
          <w:szCs w:val="21"/>
          <w:b w:val="1"/>
          <w:bCs w:val="1"/>
          <w:color w:val="auto"/>
        </w:rPr>
        <w:t>COBRA Premium Period</w:t>
      </w:r>
      <w:r>
        <w:rPr>
          <w:rFonts w:ascii="Times New Roman" w:cs="Times New Roman" w:eastAsia="Times New Roman" w:hAnsi="Times New Roman"/>
          <w:sz w:val="21"/>
          <w:szCs w:val="21"/>
          <w:color w:val="auto"/>
        </w:rPr>
        <w:t>”) starting on Executive’s date of termination and ending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earliest to occur of: (i) the nine (9) month anniversary of Executive’s date of termination;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ceases to be eligible for COBRA during the COBRA Premium Period, Executive must immediately notify the Company of such event. Notwithstanding the foregoing, if the Company determines, in its sole discretion, that it cannot pay the COBRA Premiums without potentially violating applicable law (including, without limitation, Section 2716 of the Public Health Service Act), the Company instead shall pay to Executive, on the first day of each calendar month, a fully taxable cash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080"/>
          </w:cols>
          <w:pgMar w:left="400" w:top="1440" w:right="419" w:bottom="1440" w:gutter="0" w:footer="0" w:header="0"/>
        </w:sectPr>
      </w:pPr>
    </w:p>
    <w:bookmarkStart w:id="156" w:name="page157"/>
    <w:bookmarkEnd w:id="156"/>
    <w:p>
      <w:pPr>
        <w:spacing w:after="0" w:line="154" w:lineRule="exact"/>
        <w:rPr>
          <w:sz w:val="20"/>
          <w:szCs w:val="20"/>
          <w:color w:val="auto"/>
        </w:rPr>
      </w:pPr>
    </w:p>
    <w:p>
      <w:pPr>
        <w:jc w:val="both"/>
        <w:ind w:left="20"/>
        <w:spacing w:after="0" w:line="224" w:lineRule="auto"/>
        <w:rPr>
          <w:sz w:val="20"/>
          <w:szCs w:val="20"/>
          <w:color w:val="auto"/>
        </w:rPr>
      </w:pPr>
      <w:r>
        <w:rPr>
          <w:rFonts w:ascii="Times New Roman" w:cs="Times New Roman" w:eastAsia="Times New Roman" w:hAnsi="Times New Roman"/>
          <w:sz w:val="21"/>
          <w:szCs w:val="21"/>
          <w:color w:val="auto"/>
        </w:rPr>
        <w:t>equal to the applicable COBRA premiums for that month (including premiums for Executive and Executive’s eligible dependents who have elected and remain enrolled in such COBRA coverage), subject to applicable tax withholdings (such amount, the “</w:t>
      </w:r>
      <w:r>
        <w:rPr>
          <w:rFonts w:ascii="Times New Roman" w:cs="Times New Roman" w:eastAsia="Times New Roman" w:hAnsi="Times New Roman"/>
          <w:sz w:val="21"/>
          <w:szCs w:val="21"/>
          <w:b w:val="1"/>
          <w:bCs w:val="1"/>
          <w:color w:val="auto"/>
        </w:rPr>
        <w:t>Special Cash Payment</w:t>
      </w:r>
      <w:r>
        <w:rPr>
          <w:rFonts w:ascii="Times New Roman" w:cs="Times New Roman" w:eastAsia="Times New Roman" w:hAnsi="Times New Roman"/>
          <w:sz w:val="21"/>
          <w:szCs w:val="21"/>
          <w:color w:val="auto"/>
        </w:rPr>
        <w:t>”), for the remainder of the COBRA Premium Period. Executive may, but is not obligated to, use such Special Cash Payments toward the cost of COBRA premiums.</w:t>
      </w:r>
    </w:p>
    <w:p>
      <w:pPr>
        <w:spacing w:after="0" w:line="174" w:lineRule="exact"/>
        <w:rPr>
          <w:sz w:val="20"/>
          <w:szCs w:val="20"/>
          <w:color w:val="auto"/>
        </w:rPr>
      </w:pPr>
    </w:p>
    <w:p>
      <w:pPr>
        <w:jc w:val="both"/>
        <w:ind w:left="20" w:firstLine="1891"/>
        <w:spacing w:after="0" w:line="221" w:lineRule="auto"/>
        <w:tabs>
          <w:tab w:leader="none" w:pos="2433" w:val="left"/>
        </w:tabs>
        <w:numPr>
          <w:ilvl w:val="0"/>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The amounts payable under this Section 5.2, to the extent taxable, shall be paid or commence to be paid within 60 days after the date of termination;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shall be paid or commence to be paid in the second calendar year by the last day of such 60-day period.</w:t>
      </w:r>
    </w:p>
    <w:p>
      <w:pPr>
        <w:spacing w:after="0" w:line="379" w:lineRule="exact"/>
        <w:rPr>
          <w:sz w:val="20"/>
          <w:szCs w:val="20"/>
          <w:color w:val="auto"/>
        </w:rPr>
      </w:pPr>
    </w:p>
    <w:p>
      <w:pPr>
        <w:ind w:left="20" w:right="100" w:firstLine="1259"/>
        <w:spacing w:after="0" w:line="297" w:lineRule="auto"/>
        <w:rPr>
          <w:sz w:val="20"/>
          <w:szCs w:val="20"/>
          <w:color w:val="auto"/>
        </w:rPr>
      </w:pPr>
      <w:r>
        <w:rPr>
          <w:rFonts w:ascii="Times New Roman" w:cs="Times New Roman" w:eastAsia="Times New Roman" w:hAnsi="Times New Roman"/>
          <w:sz w:val="21"/>
          <w:szCs w:val="21"/>
          <w:b w:val="1"/>
          <w:bCs w:val="1"/>
          <w:color w:val="auto"/>
        </w:rPr>
        <w:t>5.3 Severance Pay and Benefits Upon Termination Without Cause or Resignation for Good Reason Within the Change of Control Period.</w:t>
      </w:r>
    </w:p>
    <w:p>
      <w:pPr>
        <w:spacing w:after="0" w:line="75" w:lineRule="exact"/>
        <w:rPr>
          <w:sz w:val="20"/>
          <w:szCs w:val="20"/>
          <w:color w:val="auto"/>
        </w:rPr>
      </w:pPr>
    </w:p>
    <w:p>
      <w:pPr>
        <w:jc w:val="both"/>
        <w:ind w:left="20" w:firstLine="1891"/>
        <w:spacing w:after="0" w:line="221" w:lineRule="auto"/>
        <w:tabs>
          <w:tab w:leader="none" w:pos="2434" w:val="left"/>
        </w:tabs>
        <w:numPr>
          <w:ilvl w:val="1"/>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provisions of this Section 5.3 shall apply in lieu of, and expressly supersede, the provisions of Section 5.2 regarding severance pay and benefits upon a termination of employment by the Company without Cause or by Executive for Good Reason if such termination of employment occurs on or within 12 months after the occurrence of the first event constituting a Change of Control (such period, the “</w:t>
      </w:r>
      <w:r>
        <w:rPr>
          <w:rFonts w:ascii="Times New Roman" w:cs="Times New Roman" w:eastAsia="Times New Roman" w:hAnsi="Times New Roman"/>
          <w:sz w:val="21"/>
          <w:szCs w:val="21"/>
          <w:b w:val="1"/>
          <w:bCs w:val="1"/>
          <w:color w:val="auto"/>
        </w:rPr>
        <w:t>Change of Control Period</w:t>
      </w:r>
      <w:r>
        <w:rPr>
          <w:rFonts w:ascii="Times New Roman" w:cs="Times New Roman" w:eastAsia="Times New Roman" w:hAnsi="Times New Roman"/>
          <w:sz w:val="21"/>
          <w:szCs w:val="21"/>
          <w:color w:val="auto"/>
        </w:rPr>
        <w:t>”). These provisions shall terminate and be of no further force or effect after the Change of Control Period</w:t>
      </w:r>
    </w:p>
    <w:p>
      <w:pPr>
        <w:spacing w:after="0" w:line="186" w:lineRule="exact"/>
        <w:rPr>
          <w:rFonts w:ascii="Times New Roman" w:cs="Times New Roman" w:eastAsia="Times New Roman" w:hAnsi="Times New Roman"/>
          <w:sz w:val="21"/>
          <w:szCs w:val="21"/>
          <w:b w:val="1"/>
          <w:bCs w:val="1"/>
          <w:color w:val="auto"/>
        </w:rPr>
      </w:pPr>
    </w:p>
    <w:p>
      <w:pPr>
        <w:jc w:val="both"/>
        <w:ind w:left="20" w:firstLine="1891"/>
        <w:spacing w:after="0" w:line="230" w:lineRule="auto"/>
        <w:tabs>
          <w:tab w:leader="none" w:pos="2440" w:val="left"/>
        </w:tabs>
        <w:numPr>
          <w:ilvl w:val="1"/>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the event that Executive’s employment with the Company is terminated by the Company without Cause or by Executive for Good Reason, in either case during the Change of Control Period, then, provided Executive remains in compliance with the terms of this Agreement, the Company shall provide Executive with the following severance benefits:</w:t>
      </w:r>
    </w:p>
    <w:p>
      <w:pPr>
        <w:spacing w:after="0" w:line="263" w:lineRule="exact"/>
        <w:rPr>
          <w:rFonts w:ascii="Times New Roman" w:cs="Times New Roman" w:eastAsia="Times New Roman" w:hAnsi="Times New Roman"/>
          <w:sz w:val="21"/>
          <w:szCs w:val="21"/>
          <w:b w:val="1"/>
          <w:bCs w:val="1"/>
          <w:color w:val="auto"/>
        </w:rPr>
      </w:pPr>
    </w:p>
    <w:p>
      <w:pPr>
        <w:ind w:left="3060" w:hanging="520"/>
        <w:spacing w:after="0"/>
        <w:tabs>
          <w:tab w:leader="none" w:pos="3060" w:val="left"/>
        </w:tabs>
        <w:numPr>
          <w:ilvl w:val="2"/>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shall pay Executive, as severance, a lump sum in cash in an amount equal to one</w:t>
      </w:r>
    </w:p>
    <w:p>
      <w:pPr>
        <w:spacing w:after="0" w:line="31" w:lineRule="exact"/>
        <w:rPr>
          <w:rFonts w:ascii="Times New Roman" w:cs="Times New Roman" w:eastAsia="Times New Roman" w:hAnsi="Times New Roman"/>
          <w:sz w:val="21"/>
          <w:szCs w:val="21"/>
          <w:b w:val="1"/>
          <w:bCs w:val="1"/>
          <w:color w:val="auto"/>
        </w:rPr>
      </w:pPr>
    </w:p>
    <w:p>
      <w:pPr>
        <w:jc w:val="both"/>
        <w:ind w:left="20" w:firstLine="3"/>
        <w:spacing w:after="0" w:line="245" w:lineRule="auto"/>
        <w:tabs>
          <w:tab w:leader="none" w:pos="351"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times the sum of (A) Executive’s then current Base Salary (or Executive’s Base Salary in effect immediately prior to the Change of Control, if higher) plus (B) Executive’s Annual Bonus for the then-current year (or Executive’s Annual Bonus in effect immediately prior to the Change of Control, if higher) (the “</w:t>
      </w:r>
      <w:r>
        <w:rPr>
          <w:rFonts w:ascii="Times New Roman" w:cs="Times New Roman" w:eastAsia="Times New Roman" w:hAnsi="Times New Roman"/>
          <w:sz w:val="21"/>
          <w:szCs w:val="21"/>
          <w:b w:val="1"/>
          <w:bCs w:val="1"/>
          <w:color w:val="auto"/>
        </w:rPr>
        <w:t>Change of Control Severance</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jc w:val="both"/>
        <w:ind w:left="20" w:firstLine="2520"/>
        <w:spacing w:after="0" w:line="216" w:lineRule="auto"/>
        <w:tabs>
          <w:tab w:leader="none" w:pos="3070" w:val="left"/>
        </w:tabs>
        <w:numPr>
          <w:ilvl w:val="2"/>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Notwithstanding anything to the contrary in any applicable option agreement or other stock-based award agreement, all time-based stock options and other stock-based awards subject to time-based vesting held by Executive (the “</w:t>
      </w:r>
      <w:r>
        <w:rPr>
          <w:rFonts w:ascii="Times New Roman" w:cs="Times New Roman" w:eastAsia="Times New Roman" w:hAnsi="Times New Roman"/>
          <w:sz w:val="21"/>
          <w:szCs w:val="21"/>
          <w:b w:val="1"/>
          <w:bCs w:val="1"/>
          <w:color w:val="auto"/>
        </w:rPr>
        <w:t>Time-Based Equity Awards</w:t>
      </w:r>
      <w:r>
        <w:rPr>
          <w:rFonts w:ascii="Times New Roman" w:cs="Times New Roman" w:eastAsia="Times New Roman" w:hAnsi="Times New Roman"/>
          <w:sz w:val="21"/>
          <w:szCs w:val="21"/>
          <w:color w:val="auto"/>
        </w:rPr>
        <w:t>”) shall immediately accelerate and become fully exercisable or nonforfeitable as of the later of</w:t>
      </w:r>
    </w:p>
    <w:p>
      <w:pPr>
        <w:spacing w:after="0" w:line="1" w:lineRule="exact"/>
        <w:rPr>
          <w:rFonts w:ascii="Times New Roman" w:cs="Times New Roman" w:eastAsia="Times New Roman" w:hAnsi="Times New Roman"/>
          <w:sz w:val="21"/>
          <w:szCs w:val="21"/>
          <w:b w:val="1"/>
          <w:bCs w:val="1"/>
          <w:color w:val="auto"/>
        </w:rPr>
      </w:pPr>
    </w:p>
    <w:p>
      <w:pPr>
        <w:jc w:val="both"/>
        <w:ind w:left="20"/>
        <w:spacing w:after="0" w:line="22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 the date of termination or (ii) the effective date of the Separation Agreement (as defined below) (the “</w:t>
      </w:r>
      <w:r>
        <w:rPr>
          <w:rFonts w:ascii="Times New Roman" w:cs="Times New Roman" w:eastAsia="Times New Roman" w:hAnsi="Times New Roman"/>
          <w:sz w:val="21"/>
          <w:szCs w:val="21"/>
          <w:b w:val="1"/>
          <w:bCs w:val="1"/>
          <w:color w:val="auto"/>
        </w:rPr>
        <w:t>Accelerated Vesting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any termination or forfeiture of the unvested portion of such Time-Based Equity Awards that would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occur on the date of termination in the absence of this Agreement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080"/>
          </w:cols>
          <w:pgMar w:left="400" w:top="1440" w:right="419" w:bottom="1440" w:gutter="0" w:footer="0" w:header="0"/>
        </w:sectPr>
      </w:pPr>
    </w:p>
    <w:bookmarkStart w:id="157" w:name="page158"/>
    <w:bookmarkEnd w:id="157"/>
    <w:p>
      <w:pPr>
        <w:spacing w:after="0" w:line="154" w:lineRule="exact"/>
        <w:rPr>
          <w:sz w:val="20"/>
          <w:szCs w:val="20"/>
          <w:color w:val="auto"/>
        </w:rPr>
      </w:pPr>
    </w:p>
    <w:p>
      <w:pPr>
        <w:jc w:val="both"/>
        <w:ind w:left="20"/>
        <w:spacing w:after="0" w:line="224" w:lineRule="auto"/>
        <w:rPr>
          <w:sz w:val="20"/>
          <w:szCs w:val="20"/>
          <w:color w:val="auto"/>
        </w:rPr>
      </w:pPr>
      <w:r>
        <w:rPr>
          <w:rFonts w:ascii="Times New Roman" w:cs="Times New Roman" w:eastAsia="Times New Roman" w:hAnsi="Times New Roman"/>
          <w:sz w:val="21"/>
          <w:szCs w:val="21"/>
          <w:color w:val="auto"/>
        </w:rPr>
        <w:t>be delayed until the effective date of the Separation Agreement and will only occur if the vesting pursuant to this subsection does not occur due to the absence of the Separation Agreement becoming fully effective within the time period set forth therein. Notwithstanding the foregoing, no additional vesting of the Time-Based Equity Awards shall occur during the period between Executive’s date of termination and the Accelerated Vesting Date.</w:t>
      </w:r>
    </w:p>
    <w:p>
      <w:pPr>
        <w:spacing w:after="0" w:line="252" w:lineRule="exact"/>
        <w:rPr>
          <w:sz w:val="20"/>
          <w:szCs w:val="20"/>
          <w:color w:val="auto"/>
        </w:rPr>
      </w:pPr>
    </w:p>
    <w:p>
      <w:pPr>
        <w:jc w:val="both"/>
        <w:ind w:left="20" w:firstLine="2520"/>
        <w:spacing w:after="0" w:line="213" w:lineRule="auto"/>
        <w:tabs>
          <w:tab w:leader="none" w:pos="3059" w:val="left"/>
        </w:tabs>
        <w:numPr>
          <w:ilvl w:val="2"/>
          <w:numId w:val="9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Provided Executive timely elects continued coverage under COBRA, the Company shall pay the Company’s portion of Executive’s COBRA premiums, equal to the percentage of health premiums paid by the Company prior to Executive’s termination, to continue Executive’s coverage (including coverage for eligible dependents, if applicable) (“</w:t>
      </w:r>
      <w:r>
        <w:rPr>
          <w:rFonts w:ascii="Times New Roman" w:cs="Times New Roman" w:eastAsia="Times New Roman" w:hAnsi="Times New Roman"/>
          <w:sz w:val="21"/>
          <w:szCs w:val="21"/>
          <w:b w:val="1"/>
          <w:bCs w:val="1"/>
          <w:color w:val="auto"/>
        </w:rPr>
        <w:t>COC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COBRA Premiums</w:t>
      </w:r>
      <w:r>
        <w:rPr>
          <w:rFonts w:ascii="Times New Roman" w:cs="Times New Roman" w:eastAsia="Times New Roman" w:hAnsi="Times New Roman"/>
          <w:sz w:val="21"/>
          <w:szCs w:val="21"/>
          <w:color w:val="auto"/>
        </w:rPr>
        <w:t>”) through the period (the “</w:t>
      </w:r>
      <w:r>
        <w:rPr>
          <w:rFonts w:ascii="Times New Roman" w:cs="Times New Roman" w:eastAsia="Times New Roman" w:hAnsi="Times New Roman"/>
          <w:sz w:val="21"/>
          <w:szCs w:val="21"/>
          <w:b w:val="1"/>
          <w:bCs w:val="1"/>
          <w:color w:val="auto"/>
        </w:rPr>
        <w:t>COC COBRA Premium Period</w:t>
      </w:r>
      <w:r>
        <w:rPr>
          <w:rFonts w:ascii="Times New Roman" w:cs="Times New Roman" w:eastAsia="Times New Roman" w:hAnsi="Times New Roman"/>
          <w:sz w:val="21"/>
          <w:szCs w:val="21"/>
          <w:color w:val="auto"/>
        </w:rPr>
        <w:t>”) starting on Executive’s date of termination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ending on the earliest to occur of: (i) the twelve (12) month anniversary of Executive’s date of termination;</w:t>
      </w:r>
    </w:p>
    <w:p>
      <w:pPr>
        <w:spacing w:after="0" w:line="1" w:lineRule="exact"/>
        <w:rPr>
          <w:rFonts w:ascii="Times New Roman" w:cs="Times New Roman" w:eastAsia="Times New Roman" w:hAnsi="Times New Roman"/>
          <w:sz w:val="21"/>
          <w:szCs w:val="21"/>
          <w:b w:val="1"/>
          <w:bCs w:val="1"/>
          <w:color w:val="auto"/>
        </w:rPr>
      </w:pPr>
    </w:p>
    <w:p>
      <w:pPr>
        <w:jc w:val="both"/>
        <w:ind w:left="20" w:firstLine="3"/>
        <w:spacing w:after="0" w:line="212" w:lineRule="auto"/>
        <w:tabs>
          <w:tab w:leader="none" w:pos="345"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ceases to be eligible for COBRA during the COC COBRA Premium Period, Executive must immediately notify the Company of such event. Notwithstanding the foregoing, if the Company determines, in its sole discretion, that it cannot pay the COC COBRA Premiums without potentially violating applicable law (including, without limitation, Section 2716 of the Public Health Service Act), the Company instead shall pay to Executive, on the first day of each calendar month, a fully taxable cash payment equal to the applicable COBRA premiums for that month (including premiums for Executive and Executive’s eligible dependents who have elected and remain enrolled in such COBRA coverage), subject to applicable tax withholdings (such amount, the “</w:t>
      </w:r>
      <w:r>
        <w:rPr>
          <w:rFonts w:ascii="Times New Roman" w:cs="Times New Roman" w:eastAsia="Times New Roman" w:hAnsi="Times New Roman"/>
          <w:sz w:val="21"/>
          <w:szCs w:val="21"/>
          <w:b w:val="1"/>
          <w:bCs w:val="1"/>
          <w:color w:val="auto"/>
        </w:rPr>
        <w:t>COC Special Cash Payment</w:t>
      </w:r>
      <w:r>
        <w:rPr>
          <w:rFonts w:ascii="Times New Roman" w:cs="Times New Roman" w:eastAsia="Times New Roman" w:hAnsi="Times New Roman"/>
          <w:sz w:val="21"/>
          <w:szCs w:val="21"/>
          <w:color w:val="auto"/>
        </w:rPr>
        <w:t>”), for the remainder of the COC COBRA Premium Period. Executive may, but is not obligated to, use such COC Special Cash Payments toward the cost of COBRA premiums.</w:t>
      </w:r>
    </w:p>
    <w:p>
      <w:pPr>
        <w:spacing w:after="0" w:line="252" w:lineRule="exact"/>
        <w:rPr>
          <w:rFonts w:ascii="Times New Roman" w:cs="Times New Roman" w:eastAsia="Times New Roman" w:hAnsi="Times New Roman"/>
          <w:sz w:val="21"/>
          <w:szCs w:val="21"/>
          <w:color w:val="auto"/>
        </w:rPr>
      </w:pPr>
    </w:p>
    <w:p>
      <w:pPr>
        <w:jc w:val="both"/>
        <w:ind w:left="20" w:firstLine="1891"/>
        <w:spacing w:after="0" w:line="221" w:lineRule="auto"/>
        <w:tabs>
          <w:tab w:leader="none" w:pos="2433" w:val="left"/>
        </w:tabs>
        <w:numPr>
          <w:ilvl w:val="1"/>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The amounts payable under this Section 5.3, to the extent taxable, shall be paid or commence to be paid within 60 days after the date of termination;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69" w:lineRule="exact"/>
        <w:rPr>
          <w:rFonts w:ascii="Times New Roman" w:cs="Times New Roman" w:eastAsia="Times New Roman" w:hAnsi="Times New Roman"/>
          <w:sz w:val="21"/>
          <w:szCs w:val="21"/>
          <w:b w:val="1"/>
          <w:bCs w:val="1"/>
          <w:color w:val="auto"/>
        </w:rPr>
      </w:pPr>
    </w:p>
    <w:p>
      <w:pPr>
        <w:ind w:left="2520" w:hanging="610"/>
        <w:spacing w:after="0"/>
        <w:tabs>
          <w:tab w:leader="none" w:pos="2520" w:val="left"/>
        </w:tabs>
        <w:numPr>
          <w:ilvl w:val="1"/>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Additional Limitation.</w:t>
      </w:r>
    </w:p>
    <w:p>
      <w:pPr>
        <w:spacing w:after="0" w:line="169" w:lineRule="exact"/>
        <w:rPr>
          <w:rFonts w:ascii="Times New Roman" w:cs="Times New Roman" w:eastAsia="Times New Roman" w:hAnsi="Times New Roman"/>
          <w:sz w:val="21"/>
          <w:szCs w:val="21"/>
          <w:b w:val="1"/>
          <w:bCs w:val="1"/>
          <w:color w:val="auto"/>
        </w:rPr>
      </w:pPr>
    </w:p>
    <w:p>
      <w:pPr>
        <w:jc w:val="both"/>
        <w:ind w:left="20" w:firstLine="2520"/>
        <w:spacing w:after="0" w:line="219" w:lineRule="auto"/>
        <w:tabs>
          <w:tab w:leader="none" w:pos="3058" w:val="left"/>
        </w:tabs>
        <w:numPr>
          <w:ilvl w:val="2"/>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Anything in this Agreement to the contrary notwithstanding, in the event that the amount of any compensation, payment or distribution by the Company to or for the benefit of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21"/>
          <w:szCs w:val="21"/>
          <w:b w:val="1"/>
          <w:bCs w:val="1"/>
          <w:color w:val="auto"/>
        </w:rPr>
        <w:t>Aggregate Payments</w:t>
      </w:r>
      <w:r>
        <w:rPr>
          <w:rFonts w:ascii="Times New Roman" w:cs="Times New Roman" w:eastAsia="Times New Roman" w:hAnsi="Times New Roman"/>
          <w:sz w:val="21"/>
          <w:szCs w:val="21"/>
          <w:color w:val="auto"/>
        </w:rPr>
        <w:t>”), would be subject to the excise tax imposed by Section 4999 of the Code, then the Aggregate Payments shall be reduced (but not below zero) so that the sum of all of the Aggregate Payments shall be $1.00 less than the amount at which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080"/>
          </w:cols>
          <w:pgMar w:left="400" w:top="1440" w:right="419" w:bottom="1440" w:gutter="0" w:footer="0" w:header="0"/>
        </w:sectPr>
      </w:pPr>
    </w:p>
    <w:bookmarkStart w:id="158" w:name="page159"/>
    <w:bookmarkEnd w:id="158"/>
    <w:p>
      <w:pPr>
        <w:spacing w:after="0" w:line="152" w:lineRule="exact"/>
        <w:rPr>
          <w:sz w:val="20"/>
          <w:szCs w:val="20"/>
          <w:color w:val="auto"/>
        </w:rPr>
      </w:pPr>
    </w:p>
    <w:p>
      <w:pPr>
        <w:jc w:val="both"/>
        <w:ind w:left="20"/>
        <w:spacing w:after="0" w:line="215" w:lineRule="auto"/>
        <w:rPr>
          <w:sz w:val="20"/>
          <w:szCs w:val="20"/>
          <w:color w:val="auto"/>
        </w:rPr>
      </w:pPr>
      <w:r>
        <w:rPr>
          <w:rFonts w:ascii="Times New Roman" w:cs="Times New Roman" w:eastAsia="Times New Roman" w:hAnsi="Times New Roman"/>
          <w:sz w:val="21"/>
          <w:szCs w:val="21"/>
          <w:color w:val="auto"/>
        </w:rPr>
        <w:t xml:space="preserve">becomes subject to the excise tax imposed by Section 4999 of the Code;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reduction shall only occur if it would result in Executive receiving a higher After Tax Amount (as defined below) than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75" w:lineRule="exact"/>
        <w:rPr>
          <w:sz w:val="20"/>
          <w:szCs w:val="20"/>
          <w:color w:val="auto"/>
        </w:rPr>
      </w:pPr>
    </w:p>
    <w:p>
      <w:pPr>
        <w:jc w:val="both"/>
        <w:ind w:left="20" w:firstLine="2520"/>
        <w:spacing w:after="0" w:line="218" w:lineRule="auto"/>
        <w:tabs>
          <w:tab w:leader="none" w:pos="3070"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For purposes of this Section 5.3(iv), the “</w:t>
      </w:r>
      <w:r>
        <w:rPr>
          <w:rFonts w:ascii="Times New Roman" w:cs="Times New Roman" w:eastAsia="Times New Roman" w:hAnsi="Times New Roman"/>
          <w:sz w:val="21"/>
          <w:szCs w:val="21"/>
          <w:b w:val="1"/>
          <w:bCs w:val="1"/>
          <w:color w:val="auto"/>
        </w:rPr>
        <w:t>After Tax Amount</w:t>
      </w:r>
      <w:r>
        <w:rPr>
          <w:rFonts w:ascii="Times New Roman" w:cs="Times New Roman" w:eastAsia="Times New Roman" w:hAnsi="Times New Roman"/>
          <w:sz w:val="21"/>
          <w:szCs w:val="21"/>
          <w:color w:val="auto"/>
        </w:rPr>
        <w:t>” means the amount of the Aggregate Payments less all federal, state, and local income, excise and employment taxes imposed on Executive as a result of Executive’s receipt of the Aggregate Payments. For purposes of determining the After Tax Amount,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86" w:lineRule="exact"/>
        <w:rPr>
          <w:rFonts w:ascii="Times New Roman" w:cs="Times New Roman" w:eastAsia="Times New Roman" w:hAnsi="Times New Roman"/>
          <w:sz w:val="21"/>
          <w:szCs w:val="21"/>
          <w:b w:val="1"/>
          <w:bCs w:val="1"/>
          <w:color w:val="auto"/>
        </w:rPr>
      </w:pPr>
    </w:p>
    <w:p>
      <w:pPr>
        <w:jc w:val="both"/>
        <w:ind w:left="20" w:firstLine="2520"/>
        <w:spacing w:after="0" w:line="221" w:lineRule="auto"/>
        <w:tabs>
          <w:tab w:leader="none" w:pos="3059"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determination as to whether a reduction in the Aggregate Payments shall be made pursuant to Section 5.3(iv)(a) shall be made by a nationally recognized accounting firm selected by the Company (the “</w:t>
      </w:r>
      <w:r>
        <w:rPr>
          <w:rFonts w:ascii="Times New Roman" w:cs="Times New Roman" w:eastAsia="Times New Roman" w:hAnsi="Times New Roman"/>
          <w:sz w:val="21"/>
          <w:szCs w:val="21"/>
          <w:b w:val="1"/>
          <w:bCs w:val="1"/>
          <w:color w:val="auto"/>
        </w:rPr>
        <w:t>Accounting Firm</w:t>
      </w:r>
      <w:r>
        <w:rPr>
          <w:rFonts w:ascii="Times New Roman" w:cs="Times New Roman" w:eastAsia="Times New Roman" w:hAnsi="Times New Roman"/>
          <w:sz w:val="21"/>
          <w:szCs w:val="21"/>
          <w:color w:val="auto"/>
        </w:rPr>
        <w:t>”), which shall provide detailed supporting calculations both to the Company and Executive within 15 business days of the date of termination, if applicable, or at such earlier time as is reasonably requested by the Company or Executive. Any determination by the Accounting Firm shall be binding upon the Company and Executive.</w:t>
      </w:r>
    </w:p>
    <w:p>
      <w:pPr>
        <w:spacing w:after="0" w:line="166"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1"/>
          <w:szCs w:val="21"/>
          <w:b w:val="1"/>
          <w:bCs w:val="1"/>
          <w:color w:val="auto"/>
        </w:rPr>
        <w:t>5.4</w:t>
      </w:r>
      <w:r>
        <w:rPr>
          <w:sz w:val="20"/>
          <w:szCs w:val="20"/>
          <w:color w:val="auto"/>
        </w:rPr>
        <w:tab/>
      </w:r>
      <w:r>
        <w:rPr>
          <w:rFonts w:ascii="Times New Roman" w:cs="Times New Roman" w:eastAsia="Times New Roman" w:hAnsi="Times New Roman"/>
          <w:sz w:val="20"/>
          <w:szCs w:val="20"/>
          <w:b w:val="1"/>
          <w:bCs w:val="1"/>
          <w:color w:val="auto"/>
        </w:rPr>
        <w:t>Termination for Cause; Resignation without Good Reason; Death</w:t>
      </w:r>
    </w:p>
    <w:p>
      <w:pPr>
        <w:ind w:left="20"/>
        <w:spacing w:after="0"/>
        <w:rPr>
          <w:sz w:val="20"/>
          <w:szCs w:val="20"/>
          <w:color w:val="auto"/>
        </w:rPr>
      </w:pPr>
      <w:r>
        <w:rPr>
          <w:rFonts w:ascii="Times New Roman" w:cs="Times New Roman" w:eastAsia="Times New Roman" w:hAnsi="Times New Roman"/>
          <w:sz w:val="21"/>
          <w:szCs w:val="21"/>
          <w:b w:val="1"/>
          <w:bCs w:val="1"/>
          <w:color w:val="auto"/>
        </w:rPr>
        <w:t>or Disability.</w:t>
      </w:r>
    </w:p>
    <w:p>
      <w:pPr>
        <w:spacing w:after="0" w:line="180" w:lineRule="exact"/>
        <w:rPr>
          <w:sz w:val="20"/>
          <w:szCs w:val="20"/>
          <w:color w:val="auto"/>
        </w:rPr>
      </w:pPr>
    </w:p>
    <w:p>
      <w:pPr>
        <w:ind w:left="2520" w:hanging="610"/>
        <w:spacing w:after="0"/>
        <w:tabs>
          <w:tab w:leader="none" w:pos="2520"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may terminate Executive’s employment with</w:t>
      </w:r>
    </w:p>
    <w:p>
      <w:pPr>
        <w:spacing w:after="0" w:line="5" w:lineRule="exact"/>
        <w:rPr>
          <w:sz w:val="20"/>
          <w:szCs w:val="20"/>
          <w:color w:val="auto"/>
        </w:rPr>
      </w:pPr>
    </w:p>
    <w:p>
      <w:pPr>
        <w:ind w:left="20" w:right="20"/>
        <w:spacing w:after="0" w:line="257" w:lineRule="auto"/>
        <w:rPr>
          <w:sz w:val="20"/>
          <w:szCs w:val="20"/>
          <w:color w:val="auto"/>
        </w:rPr>
      </w:pPr>
      <w:r>
        <w:rPr>
          <w:rFonts w:ascii="Times New Roman" w:cs="Times New Roman" w:eastAsia="Times New Roman" w:hAnsi="Times New Roman"/>
          <w:sz w:val="21"/>
          <w:szCs w:val="21"/>
          <w:color w:val="auto"/>
        </w:rPr>
        <w:t>the Company at any time for Cause. Further, Executive may resign at any time for any reason other than Good Reason. Executive’s employment with the Company may also be terminated due to Executive’s death or Disability (as defined below).</w:t>
      </w:r>
    </w:p>
    <w:p>
      <w:pPr>
        <w:spacing w:after="0" w:line="193" w:lineRule="exact"/>
        <w:rPr>
          <w:sz w:val="20"/>
          <w:szCs w:val="20"/>
          <w:color w:val="auto"/>
        </w:rPr>
      </w:pPr>
    </w:p>
    <w:p>
      <w:pPr>
        <w:ind w:left="20" w:right="20" w:firstLine="1891"/>
        <w:spacing w:after="0" w:line="246" w:lineRule="auto"/>
        <w:tabs>
          <w:tab w:leader="none" w:pos="2440" w:val="left"/>
        </w:tabs>
        <w:numPr>
          <w:ilvl w:val="1"/>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Executive resigns without Good Reason, or the Company terminates Executive’s employment for Cause, or upon Executive’s death or Disability, then</w:t>
      </w:r>
    </w:p>
    <w:p>
      <w:pPr>
        <w:spacing w:after="0" w:line="1" w:lineRule="exact"/>
        <w:rPr>
          <w:rFonts w:ascii="Times New Roman" w:cs="Times New Roman" w:eastAsia="Times New Roman" w:hAnsi="Times New Roman"/>
          <w:sz w:val="21"/>
          <w:szCs w:val="21"/>
          <w:b w:val="1"/>
          <w:bCs w:val="1"/>
          <w:color w:val="auto"/>
        </w:rPr>
      </w:pPr>
    </w:p>
    <w:p>
      <w:pPr>
        <w:jc w:val="both"/>
        <w:ind w:left="20" w:firstLine="3"/>
        <w:spacing w:after="0" w:line="222" w:lineRule="auto"/>
        <w:tabs>
          <w:tab w:leader="none" w:pos="308"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payments of compensation by the Company to Executive hereunder will terminate immediately (except as to amounts already earned), and (ii) Executive will not be entitled to any severance benefits, including (without limitation) the Severance, COBRA Premiums, the Change of Control Severance or the COC COBRA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080"/>
          </w:cols>
          <w:pgMar w:left="400" w:top="1440" w:right="419" w:bottom="1440" w:gutter="0" w:footer="0" w:header="0"/>
        </w:sectPr>
      </w:pPr>
    </w:p>
    <w:bookmarkStart w:id="159" w:name="page160"/>
    <w:bookmarkEnd w:id="159"/>
    <w:p>
      <w:pPr>
        <w:spacing w:after="0" w:line="150" w:lineRule="exact"/>
        <w:rPr>
          <w:sz w:val="20"/>
          <w:szCs w:val="20"/>
          <w:color w:val="auto"/>
        </w:rPr>
      </w:pPr>
    </w:p>
    <w:p>
      <w:pPr>
        <w:jc w:val="both"/>
        <w:ind w:left="20" w:right="20" w:firstLine="632"/>
        <w:spacing w:after="0" w:line="212" w:lineRule="auto"/>
        <w:tabs>
          <w:tab w:leader="none" w:pos="1174" w:val="left"/>
        </w:tabs>
        <w:numPr>
          <w:ilvl w:val="0"/>
          <w:numId w:val="1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Conditions to Receipt of Severance, COBRA Premiums, Special Cash Payments and Vesting Acceleration.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receipt of the payments and benefits described in Section 5.2 and Section 5.3 will be subject to subject to (i) Executive signing a separation agreement and release in a form and manner satisfactory to the Company, which shall include, without limitation, a general release of claims against the Company and all related persons and entities and, in the Company’s sole discretion, a one-year post-employment noncompetition agreement (the “</w:t>
      </w:r>
      <w:r>
        <w:rPr>
          <w:rFonts w:ascii="Times New Roman" w:cs="Times New Roman" w:eastAsia="Times New Roman" w:hAnsi="Times New Roman"/>
          <w:sz w:val="21"/>
          <w:szCs w:val="21"/>
          <w:b w:val="1"/>
          <w:bCs w:val="1"/>
          <w:color w:val="auto"/>
        </w:rPr>
        <w:t>Separation Agreement”</w:t>
      </w:r>
      <w:r>
        <w:rPr>
          <w:rFonts w:ascii="Times New Roman" w:cs="Times New Roman" w:eastAsia="Times New Roman" w:hAnsi="Times New Roman"/>
          <w:sz w:val="21"/>
          <w:szCs w:val="21"/>
          <w:color w:val="auto"/>
        </w:rPr>
        <w:t>) and (ii) the Separation Agreement becoming irrevocable, all within 60 days after the date of termination (or such shorter period as set forth in the Separation Agreement), which shall include a seven business day revocation period. No amounts will be paid or provided under Section 5.2 or Section</w:t>
      </w:r>
    </w:p>
    <w:p>
      <w:pPr>
        <w:spacing w:after="0" w:line="3" w:lineRule="exact"/>
        <w:rPr>
          <w:rFonts w:ascii="Times New Roman" w:cs="Times New Roman" w:eastAsia="Times New Roman" w:hAnsi="Times New Roman"/>
          <w:sz w:val="21"/>
          <w:szCs w:val="21"/>
          <w:b w:val="1"/>
          <w:bCs w:val="1"/>
          <w:color w:val="auto"/>
        </w:rPr>
      </w:pPr>
    </w:p>
    <w:p>
      <w:pPr>
        <w:jc w:val="both"/>
        <w:ind w:left="20"/>
        <w:spacing w:after="0" w:line="21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5.3 until the Separation Agreement becomes effective. Executive shall be deemed to have resigned from all officer and board member positions that the Executive holds with the Company or any of its respective subsidiaries and affiliates upon the termination of Executive’s employment for any reason. Executive shall execute any documents in reasonable form as may be requested to confirm or effectuate any such resignations.</w:t>
      </w:r>
    </w:p>
    <w:p>
      <w:pPr>
        <w:spacing w:after="0" w:line="169" w:lineRule="exact"/>
        <w:rPr>
          <w:rFonts w:ascii="Times New Roman" w:cs="Times New Roman" w:eastAsia="Times New Roman" w:hAnsi="Times New Roman"/>
          <w:sz w:val="21"/>
          <w:szCs w:val="21"/>
          <w:b w:val="1"/>
          <w:bCs w:val="1"/>
          <w:color w:val="auto"/>
        </w:rPr>
      </w:pPr>
    </w:p>
    <w:p>
      <w:pPr>
        <w:ind w:left="1280" w:hanging="629"/>
        <w:spacing w:after="0"/>
        <w:tabs>
          <w:tab w:leader="none" w:pos="1280" w:val="left"/>
        </w:tabs>
        <w:numPr>
          <w:ilvl w:val="0"/>
          <w:numId w:val="1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409A.</w:t>
      </w:r>
    </w:p>
    <w:p>
      <w:pPr>
        <w:spacing w:after="0" w:line="204" w:lineRule="exact"/>
        <w:rPr>
          <w:sz w:val="20"/>
          <w:szCs w:val="20"/>
          <w:color w:val="auto"/>
        </w:rPr>
      </w:pPr>
    </w:p>
    <w:p>
      <w:pPr>
        <w:jc w:val="both"/>
        <w:ind w:left="20" w:firstLine="1259"/>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7.1 </w:t>
      </w:r>
      <w:r>
        <w:rPr>
          <w:rFonts w:ascii="Times New Roman" w:cs="Times New Roman" w:eastAsia="Times New Roman" w:hAnsi="Times New Roman"/>
          <w:sz w:val="21"/>
          <w:szCs w:val="21"/>
          <w:color w:val="auto"/>
        </w:rPr>
        <w:t>Anything in this Agreement to the contrary notwithstanding, if at the time of Executive’s separation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service within the meaning of Section 409A of the Code, the Company determines that Executive is a “specified employee” within the meaning of Section 409A(a)(2)(B)(i) of the Code, then to the extent any payment or benefit that Executive becomes entitled to under this Agreement or otherwise on account of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Executive’s separation from service, or (B) Executive’s death. If any such delayed cash payment is otherwise payable on an installment basis, the first payment shall include a catch-up payment covering amounts that would otherwise have been paid during the six- month period but for the application of this provision, and the balance of the installments shall be payable in accordance with their original schedule.</w:t>
      </w:r>
    </w:p>
    <w:p>
      <w:pPr>
        <w:spacing w:after="0" w:line="184" w:lineRule="exact"/>
        <w:rPr>
          <w:sz w:val="20"/>
          <w:szCs w:val="20"/>
          <w:color w:val="auto"/>
        </w:rPr>
      </w:pPr>
    </w:p>
    <w:p>
      <w:pPr>
        <w:jc w:val="both"/>
        <w:ind w:left="20" w:firstLine="1259"/>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7.2 </w:t>
      </w:r>
      <w:r>
        <w:rPr>
          <w:rFonts w:ascii="Times New Roman" w:cs="Times New Roman" w:eastAsia="Times New Roman" w:hAnsi="Times New Roman"/>
          <w:sz w:val="21"/>
          <w:szCs w:val="21"/>
          <w:color w:val="auto"/>
        </w:rPr>
        <w:t>All in-kind benefits provided and expenses eligible for reimbursement under this Agreement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69" w:lineRule="exact"/>
        <w:rPr>
          <w:sz w:val="20"/>
          <w:szCs w:val="20"/>
          <w:color w:val="auto"/>
        </w:rPr>
      </w:pPr>
    </w:p>
    <w:p>
      <w:pPr>
        <w:jc w:val="both"/>
        <w:ind w:left="20" w:right="20" w:firstLine="1259"/>
        <w:spacing w:after="0" w:line="231" w:lineRule="auto"/>
        <w:rPr>
          <w:sz w:val="20"/>
          <w:szCs w:val="20"/>
          <w:color w:val="auto"/>
        </w:rPr>
      </w:pPr>
      <w:r>
        <w:rPr>
          <w:rFonts w:ascii="Times New Roman" w:cs="Times New Roman" w:eastAsia="Times New Roman" w:hAnsi="Times New Roman"/>
          <w:sz w:val="21"/>
          <w:szCs w:val="21"/>
          <w:b w:val="1"/>
          <w:bCs w:val="1"/>
          <w:color w:val="auto"/>
        </w:rPr>
        <w:t xml:space="preserve">7.3 </w:t>
      </w:r>
      <w:r>
        <w:rPr>
          <w:rFonts w:ascii="Times New Roman" w:cs="Times New Roman" w:eastAsia="Times New Roman" w:hAnsi="Times New Roman"/>
          <w:sz w:val="21"/>
          <w:szCs w:val="21"/>
          <w:color w:val="auto"/>
        </w:rPr>
        <w:t>To the extent that any payment or benefit described in this Agreement constitutes “non-qualified deferred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under Section 409A of the Code, and to the extent that such payment or benefit is payable upon Executive’s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080"/>
          </w:cols>
          <w:pgMar w:left="400" w:top="1440" w:right="419" w:bottom="1440" w:gutter="0" w:footer="0" w:header="0"/>
        </w:sectPr>
      </w:pPr>
    </w:p>
    <w:bookmarkStart w:id="160" w:name="page161"/>
    <w:bookmarkEnd w:id="160"/>
    <w:p>
      <w:pPr>
        <w:spacing w:after="0" w:line="155" w:lineRule="exact"/>
        <w:rPr>
          <w:sz w:val="20"/>
          <w:szCs w:val="20"/>
          <w:color w:val="auto"/>
        </w:rPr>
      </w:pPr>
    </w:p>
    <w:p>
      <w:pPr>
        <w:jc w:val="both"/>
        <w:ind w:left="20" w:right="20"/>
        <w:spacing w:after="0" w:line="230" w:lineRule="auto"/>
        <w:rPr>
          <w:sz w:val="20"/>
          <w:szCs w:val="20"/>
          <w:color w:val="auto"/>
        </w:rPr>
      </w:pPr>
      <w:r>
        <w:rPr>
          <w:rFonts w:ascii="Times New Roman" w:cs="Times New Roman" w:eastAsia="Times New Roman" w:hAnsi="Times New Roman"/>
          <w:sz w:val="21"/>
          <w:szCs w:val="21"/>
          <w:color w:val="auto"/>
        </w:rPr>
        <w:t>employment, then such payments or benefits shall be payable only upon Executive’s “separation from service.” The determination of whether and when a separation from service has occurred shall be made in accordance with the presumptions set forth in Treasury Regulation Section 1.409A-1(h).</w:t>
      </w:r>
    </w:p>
    <w:p>
      <w:pPr>
        <w:spacing w:after="0" w:line="167" w:lineRule="exact"/>
        <w:rPr>
          <w:sz w:val="20"/>
          <w:szCs w:val="20"/>
          <w:color w:val="auto"/>
        </w:rPr>
      </w:pPr>
    </w:p>
    <w:p>
      <w:pPr>
        <w:jc w:val="both"/>
        <w:ind w:left="20" w:firstLine="1259"/>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7.4 </w:t>
      </w:r>
      <w:r>
        <w:rPr>
          <w:rFonts w:ascii="Times New Roman" w:cs="Times New Roman" w:eastAsia="Times New Roman" w:hAnsi="Times New Roman"/>
          <w:sz w:val="21"/>
          <w:szCs w:val="21"/>
          <w:color w:val="auto"/>
        </w:rPr>
        <w:t>The parties intend that this Agreement will be administered in accordance with Section 409A of the Code.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48" w:lineRule="exact"/>
        <w:rPr>
          <w:sz w:val="20"/>
          <w:szCs w:val="20"/>
          <w:color w:val="auto"/>
        </w:rPr>
      </w:pPr>
    </w:p>
    <w:p>
      <w:pPr>
        <w:jc w:val="both"/>
        <w:ind w:left="20" w:firstLine="1259"/>
        <w:spacing w:after="0" w:line="231" w:lineRule="auto"/>
        <w:rPr>
          <w:sz w:val="20"/>
          <w:szCs w:val="20"/>
          <w:color w:val="auto"/>
        </w:rPr>
      </w:pPr>
      <w:r>
        <w:rPr>
          <w:rFonts w:ascii="Times New Roman" w:cs="Times New Roman" w:eastAsia="Times New Roman" w:hAnsi="Times New Roman"/>
          <w:sz w:val="21"/>
          <w:szCs w:val="21"/>
          <w:b w:val="1"/>
          <w:bCs w:val="1"/>
          <w:color w:val="auto"/>
        </w:rPr>
        <w:t xml:space="preserve">7.5 </w:t>
      </w:r>
      <w:r>
        <w:rPr>
          <w:rFonts w:ascii="Times New Roman" w:cs="Times New Roman" w:eastAsia="Times New Roman" w:hAnsi="Times New Roman"/>
          <w:sz w:val="21"/>
          <w:szCs w:val="21"/>
          <w:color w:val="auto"/>
        </w:rPr>
        <w:t>The Company makes no representation or warranty and shall have no liability to Executive or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person if any provisions of this Agreement are determined to constitute deferred compensation subject to Section 409A of the Code but do not satisfy an exemption from, or the conditions of, such Section.</w:t>
      </w:r>
    </w:p>
    <w:p>
      <w:pPr>
        <w:spacing w:after="0" w:line="168" w:lineRule="exact"/>
        <w:rPr>
          <w:sz w:val="20"/>
          <w:szCs w:val="20"/>
          <w:color w:val="auto"/>
        </w:rPr>
      </w:pPr>
    </w:p>
    <w:p>
      <w:pPr>
        <w:ind w:left="1280" w:hanging="629"/>
        <w:spacing w:after="0"/>
        <w:tabs>
          <w:tab w:leader="none" w:pos="1280" w:val="left"/>
        </w:tabs>
        <w:numPr>
          <w:ilvl w:val="0"/>
          <w:numId w:val="1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p>
    <w:p>
      <w:pPr>
        <w:spacing w:after="0" w:line="178" w:lineRule="exact"/>
        <w:rPr>
          <w:sz w:val="20"/>
          <w:szCs w:val="20"/>
          <w:color w:val="auto"/>
        </w:rPr>
      </w:pPr>
    </w:p>
    <w:p>
      <w:pPr>
        <w:jc w:val="both"/>
        <w:ind w:left="20" w:firstLine="1259"/>
        <w:spacing w:after="0" w:line="215" w:lineRule="auto"/>
        <w:rPr>
          <w:sz w:val="20"/>
          <w:szCs w:val="20"/>
          <w:color w:val="auto"/>
        </w:rPr>
      </w:pPr>
      <w:r>
        <w:rPr>
          <w:rFonts w:ascii="Times New Roman" w:cs="Times New Roman" w:eastAsia="Times New Roman" w:hAnsi="Times New Roman"/>
          <w:sz w:val="21"/>
          <w:szCs w:val="21"/>
          <w:b w:val="1"/>
          <w:bCs w:val="1"/>
          <w:color w:val="auto"/>
        </w:rPr>
        <w:t>8.1 Cause</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for termination will mean: (a) conviction of or please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any felony or any crime involving dishonesty; (b) participation in any fraud against the Company; (c) material breach of any Company’s policy or procedure after written notice from the Company and a reasonable period of not less than twenty-one (21) calendar days in which to cure such breach (if curable); (d) persistent failure or refusal to perform Executive’s job duties after written notice from the Company and a reasonable period of not less than twenty-one (21) calendar days in which to cure such performance issues (if curable); (e) intentional damage to any property of the Company; (f) willful misconduct that causes harm; (g) breach of any written agreement by and between Executive and the Company after written notice from the Company and a reasonable period of not less than twenty-one (21) calendar days in which to cure such breach (if curable); and (h) conduct by Executive which in the good faith and reasonable determination of the Company demonstrates gross unfitness (i.e., equivalent to gross negligence) to serve.</w:t>
      </w:r>
    </w:p>
    <w:p>
      <w:pPr>
        <w:spacing w:after="0" w:line="197" w:lineRule="exact"/>
        <w:rPr>
          <w:sz w:val="20"/>
          <w:szCs w:val="20"/>
          <w:color w:val="auto"/>
        </w:rPr>
      </w:pPr>
    </w:p>
    <w:p>
      <w:pPr>
        <w:jc w:val="both"/>
        <w:ind w:left="20" w:right="20" w:firstLine="1259"/>
        <w:spacing w:after="0" w:line="271" w:lineRule="auto"/>
        <w:rPr>
          <w:sz w:val="20"/>
          <w:szCs w:val="20"/>
          <w:color w:val="auto"/>
        </w:rPr>
      </w:pPr>
      <w:r>
        <w:rPr>
          <w:rFonts w:ascii="Times New Roman" w:cs="Times New Roman" w:eastAsia="Times New Roman" w:hAnsi="Times New Roman"/>
          <w:sz w:val="21"/>
          <w:szCs w:val="21"/>
          <w:b w:val="1"/>
          <w:bCs w:val="1"/>
          <w:color w:val="auto"/>
        </w:rPr>
        <w:t>8.2 Change of Control</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shall mean: a “Sale Event,”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defined in the Company’s 2020 Stock Option and Incentive Plan.</w:t>
      </w:r>
    </w:p>
    <w:p>
      <w:pPr>
        <w:spacing w:after="0" w:line="255" w:lineRule="exact"/>
        <w:rPr>
          <w:sz w:val="20"/>
          <w:szCs w:val="20"/>
          <w:color w:val="auto"/>
        </w:rPr>
      </w:pPr>
    </w:p>
    <w:p>
      <w:pPr>
        <w:jc w:val="both"/>
        <w:ind w:left="20" w:firstLine="1259"/>
        <w:spacing w:after="0" w:line="225" w:lineRule="auto"/>
        <w:rPr>
          <w:sz w:val="20"/>
          <w:szCs w:val="20"/>
          <w:color w:val="auto"/>
        </w:rPr>
      </w:pPr>
      <w:r>
        <w:rPr>
          <w:rFonts w:ascii="Times New Roman" w:cs="Times New Roman" w:eastAsia="Times New Roman" w:hAnsi="Times New Roman"/>
          <w:sz w:val="21"/>
          <w:szCs w:val="21"/>
          <w:b w:val="1"/>
          <w:bCs w:val="1"/>
          <w:color w:val="auto"/>
        </w:rPr>
        <w:t>8.3 Disability</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shall mean Executive’s physical or mental condition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renders Executive unable to substantially perform for a period of ninety (90) aggregate days (regardless of whether or not continuous) during any three hundred sixty (360) day period, Executive’s regular responsibilities hereunder, with or without a reasonable accommodation.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080"/>
          </w:cols>
          <w:pgMar w:left="400" w:top="1440" w:right="419" w:bottom="1440" w:gutter="0" w:footer="0" w:header="0"/>
        </w:sectPr>
      </w:pPr>
    </w:p>
    <w:bookmarkStart w:id="161" w:name="page162"/>
    <w:bookmarkEnd w:id="161"/>
    <w:p>
      <w:pPr>
        <w:spacing w:after="0" w:line="150" w:lineRule="exact"/>
        <w:rPr>
          <w:sz w:val="20"/>
          <w:szCs w:val="20"/>
          <w:color w:val="auto"/>
        </w:rPr>
      </w:pPr>
    </w:p>
    <w:p>
      <w:pPr>
        <w:jc w:val="both"/>
        <w:ind w:left="20" w:firstLine="1259"/>
        <w:spacing w:after="0" w:line="216" w:lineRule="auto"/>
        <w:rPr>
          <w:sz w:val="20"/>
          <w:szCs w:val="20"/>
          <w:color w:val="auto"/>
        </w:rPr>
      </w:pPr>
      <w:r>
        <w:rPr>
          <w:rFonts w:ascii="Times New Roman" w:cs="Times New Roman" w:eastAsia="Times New Roman" w:hAnsi="Times New Roman"/>
          <w:sz w:val="21"/>
          <w:szCs w:val="21"/>
          <w:b w:val="1"/>
          <w:bCs w:val="1"/>
          <w:color w:val="auto"/>
        </w:rPr>
        <w:t>8.4 Good Reason</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shall mean: (a) a material reduction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Base Salary (unless pursuant to a salary reduction applicable generally to the Company’s similarly situated employees); (b) the relocation of Executive’s place of work for the Company that is more than 40 miles from Executive’s primary place of work, unless mutually agreed upon; or (c) a material diminution in Executive’s responsibilities, authority, or duties. Notwithstanding the foregoing, no act or omission described in subclauses (a), (b) or (c) above shall constitute “Good Reason” unless: (1) Executive first gives the Company written notice of such act or omission within forty-five (45) days of the later of the occurrence of such act or omission or Executive’s first becoming aware thereof, (2) the Company fails to cure such act or omission within twenty-one (21) days after receiving such written notice from Executive, and (3) Executive resigns from employment (and all other positions, including as a member of the Board) within ten (10) days after the end of the cure period.</w:t>
      </w:r>
    </w:p>
    <w:p>
      <w:pPr>
        <w:spacing w:after="0" w:line="168" w:lineRule="exact"/>
        <w:rPr>
          <w:sz w:val="20"/>
          <w:szCs w:val="20"/>
          <w:color w:val="auto"/>
        </w:rPr>
      </w:pPr>
    </w:p>
    <w:p>
      <w:pPr>
        <w:ind w:left="1280" w:hanging="629"/>
        <w:spacing w:after="0"/>
        <w:tabs>
          <w:tab w:leader="none" w:pos="1280" w:val="left"/>
        </w:tabs>
        <w:numPr>
          <w:ilvl w:val="0"/>
          <w:numId w:val="1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Other Obligations.</w:t>
      </w:r>
    </w:p>
    <w:p>
      <w:pPr>
        <w:spacing w:after="0" w:line="204" w:lineRule="exact"/>
        <w:rPr>
          <w:sz w:val="20"/>
          <w:szCs w:val="20"/>
          <w:color w:val="auto"/>
        </w:rPr>
      </w:pPr>
    </w:p>
    <w:p>
      <w:pPr>
        <w:jc w:val="both"/>
        <w:ind w:left="20" w:firstLine="1259"/>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9.1 Restrictive Covenants. </w:t>
      </w:r>
      <w:r>
        <w:rPr>
          <w:rFonts w:ascii="Times New Roman" w:cs="Times New Roman" w:eastAsia="Times New Roman" w:hAnsi="Times New Roman"/>
          <w:sz w:val="21"/>
          <w:szCs w:val="21"/>
          <w:color w:val="auto"/>
        </w:rPr>
        <w:t>In connection with Executive’s employment with the Company, Executive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continue to receive access to Company confidential information and trade secrets and develop valuable goodwill with the Company’s customers, partners and vendors. To protect the Company’s legitimate business interests, Executive will execute the Praxis Confidentiality, Assignment, Noncompetition and Nonsolicitation Agreement in conjunction with this Agreement (the “</w:t>
      </w:r>
      <w:r>
        <w:rPr>
          <w:rFonts w:ascii="Times New Roman" w:cs="Times New Roman" w:eastAsia="Times New Roman" w:hAnsi="Times New Roman"/>
          <w:sz w:val="21"/>
          <w:szCs w:val="21"/>
          <w:b w:val="1"/>
          <w:bCs w:val="1"/>
          <w:color w:val="auto"/>
        </w:rPr>
        <w:t>Confidentiality and Noncompetition Agreement</w:t>
      </w:r>
      <w:r>
        <w:rPr>
          <w:rFonts w:ascii="Times New Roman" w:cs="Times New Roman" w:eastAsia="Times New Roman" w:hAnsi="Times New Roman"/>
          <w:sz w:val="21"/>
          <w:szCs w:val="21"/>
          <w:color w:val="auto"/>
        </w:rPr>
        <w:t>”). Executive acknowledges and agrees that (i) the Confidentiality and Noncompetition Agreement shall continue in full force and effect in accordance with its terms, and (ii) Executive will abide by the terms of the Confidentiality and Noncompetition Agreement at all times.</w:t>
      </w:r>
    </w:p>
    <w:p>
      <w:pPr>
        <w:spacing w:after="0" w:line="182" w:lineRule="exact"/>
        <w:rPr>
          <w:sz w:val="20"/>
          <w:szCs w:val="20"/>
          <w:color w:val="auto"/>
        </w:rPr>
      </w:pPr>
    </w:p>
    <w:p>
      <w:pPr>
        <w:jc w:val="both"/>
        <w:ind w:left="20" w:firstLine="1259"/>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9.2 Third-Party Agreements and Information. </w:t>
      </w:r>
      <w:r>
        <w:rPr>
          <w:rFonts w:ascii="Times New Roman" w:cs="Times New Roman" w:eastAsia="Times New Roman" w:hAnsi="Times New Roman"/>
          <w:sz w:val="21"/>
          <w:szCs w:val="21"/>
          <w:color w:val="auto"/>
        </w:rPr>
        <w:t>Executive represents and warrants that Executive’s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the Company does not conflict with any prior employment or consulting agreement or other agreement with any third party, and that Executive will perform Executive’s duties to the Company without violating any such agreement. Executive represents and warrants that Executive will not use or disclose confidential information arising out of prior employment, consulting, or other third party relationships, in connection with Executive’s employment by the Company, except as expressly authorized by that third party. During Executive’s employment by the Company, Executive will use in the performance of Executive’s duties only information which is generally known and used by persons with training and experience comparable to Executive’s own, common knowledge in the industry, otherwise legally in the public domain, or obtained or developed by the Company or by Executive in the course of Executive’s work for the Company.</w:t>
      </w:r>
    </w:p>
    <w:p>
      <w:pPr>
        <w:spacing w:after="0" w:line="168" w:lineRule="exact"/>
        <w:rPr>
          <w:sz w:val="20"/>
          <w:szCs w:val="20"/>
          <w:color w:val="auto"/>
        </w:rPr>
      </w:pPr>
    </w:p>
    <w:p>
      <w:pPr>
        <w:ind w:left="1280" w:hanging="629"/>
        <w:spacing w:after="0"/>
        <w:tabs>
          <w:tab w:leader="none" w:pos="1280" w:val="left"/>
        </w:tabs>
        <w:numPr>
          <w:ilvl w:val="0"/>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Outside Activities During Employment.</w:t>
      </w:r>
    </w:p>
    <w:p>
      <w:pPr>
        <w:spacing w:after="0" w:line="204" w:lineRule="exact"/>
        <w:rPr>
          <w:sz w:val="20"/>
          <w:szCs w:val="20"/>
          <w:color w:val="auto"/>
        </w:rPr>
      </w:pPr>
    </w:p>
    <w:p>
      <w:pPr>
        <w:jc w:val="both"/>
        <w:ind w:left="20" w:firstLine="1259"/>
        <w:spacing w:after="0" w:line="231" w:lineRule="auto"/>
        <w:rPr>
          <w:sz w:val="20"/>
          <w:szCs w:val="20"/>
          <w:color w:val="auto"/>
        </w:rPr>
      </w:pPr>
      <w:r>
        <w:rPr>
          <w:rFonts w:ascii="Times New Roman" w:cs="Times New Roman" w:eastAsia="Times New Roman" w:hAnsi="Times New Roman"/>
          <w:sz w:val="21"/>
          <w:szCs w:val="21"/>
          <w:b w:val="1"/>
          <w:bCs w:val="1"/>
          <w:color w:val="auto"/>
        </w:rPr>
        <w:t xml:space="preserve">10.1 Non-Company Business. </w:t>
      </w:r>
      <w:r>
        <w:rPr>
          <w:rFonts w:ascii="Times New Roman" w:cs="Times New Roman" w:eastAsia="Times New Roman" w:hAnsi="Times New Roman"/>
          <w:sz w:val="21"/>
          <w:szCs w:val="21"/>
          <w:color w:val="auto"/>
        </w:rPr>
        <w:t>Except with the prior written consent of the Board, Executive will not during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 of Executive’s employment with the Company undertake or engage in any other employment, occupation or business enterprise, other than ones in which Executive is a passive investor. In any event, Executive may engage in civic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080"/>
          </w:cols>
          <w:pgMar w:left="400" w:top="1440" w:right="419" w:bottom="1440" w:gutter="0" w:footer="0" w:header="0"/>
        </w:sectPr>
      </w:pPr>
    </w:p>
    <w:bookmarkStart w:id="162" w:name="page163"/>
    <w:bookmarkEnd w:id="162"/>
    <w:p>
      <w:pPr>
        <w:ind w:left="20" w:right="740"/>
        <w:spacing w:after="0" w:line="267" w:lineRule="auto"/>
        <w:rPr>
          <w:sz w:val="20"/>
          <w:szCs w:val="20"/>
          <w:color w:val="auto"/>
        </w:rPr>
      </w:pPr>
      <w:r>
        <w:rPr>
          <w:rFonts w:ascii="Times New Roman" w:cs="Times New Roman" w:eastAsia="Times New Roman" w:hAnsi="Times New Roman"/>
          <w:sz w:val="21"/>
          <w:szCs w:val="21"/>
          <w:color w:val="auto"/>
        </w:rPr>
        <w:t>and not-for-profit activities so long as such activities do not materially interfere with the performance of Executive’s duties hereunder.</w:t>
      </w:r>
    </w:p>
    <w:p>
      <w:pPr>
        <w:spacing w:after="0" w:line="167" w:lineRule="exact"/>
        <w:rPr>
          <w:sz w:val="20"/>
          <w:szCs w:val="20"/>
          <w:color w:val="auto"/>
        </w:rPr>
      </w:pPr>
    </w:p>
    <w:p>
      <w:pPr>
        <w:jc w:val="both"/>
        <w:ind w:left="20" w:firstLine="1259"/>
        <w:spacing w:after="0" w:line="231" w:lineRule="auto"/>
        <w:rPr>
          <w:sz w:val="20"/>
          <w:szCs w:val="20"/>
          <w:color w:val="auto"/>
        </w:rPr>
      </w:pPr>
      <w:r>
        <w:rPr>
          <w:rFonts w:ascii="Times New Roman" w:cs="Times New Roman" w:eastAsia="Times New Roman" w:hAnsi="Times New Roman"/>
          <w:sz w:val="21"/>
          <w:szCs w:val="21"/>
          <w:b w:val="1"/>
          <w:bCs w:val="1"/>
          <w:color w:val="auto"/>
        </w:rPr>
        <w:t xml:space="preserve">10.2 No Adverse Interests. </w:t>
      </w:r>
      <w:r>
        <w:rPr>
          <w:rFonts w:ascii="Times New Roman" w:cs="Times New Roman" w:eastAsia="Times New Roman" w:hAnsi="Times New Roman"/>
          <w:sz w:val="21"/>
          <w:szCs w:val="21"/>
          <w:color w:val="auto"/>
        </w:rPr>
        <w:t>Executive agrees that during his employment he shall not acquire, assume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participate in, directly or indirectly, any position, investment or interest known to be adverse or antagonistic to the Company, its business or prospects, financial or otherwise.</w:t>
      </w:r>
    </w:p>
    <w:p>
      <w:pPr>
        <w:spacing w:after="0" w:line="168" w:lineRule="exact"/>
        <w:rPr>
          <w:sz w:val="20"/>
          <w:szCs w:val="20"/>
          <w:color w:val="auto"/>
        </w:rPr>
      </w:pPr>
    </w:p>
    <w:p>
      <w:pPr>
        <w:ind w:left="1260" w:hanging="609"/>
        <w:spacing w:after="0"/>
        <w:tabs>
          <w:tab w:leader="none" w:pos="1260" w:val="left"/>
        </w:tabs>
        <w:numPr>
          <w:ilvl w:val="0"/>
          <w:numId w:val="10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 Provisions.</w:t>
      </w:r>
    </w:p>
    <w:p>
      <w:pPr>
        <w:spacing w:after="0" w:line="191" w:lineRule="exact"/>
        <w:rPr>
          <w:sz w:val="20"/>
          <w:szCs w:val="20"/>
          <w:color w:val="auto"/>
        </w:rPr>
      </w:pPr>
    </w:p>
    <w:p>
      <w:pPr>
        <w:jc w:val="both"/>
        <w:ind w:left="20" w:right="20" w:firstLine="1259"/>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11.1 Notices. </w:t>
      </w:r>
      <w:r>
        <w:rPr>
          <w:rFonts w:ascii="Times New Roman" w:cs="Times New Roman" w:eastAsia="Times New Roman" w:hAnsi="Times New Roman"/>
          <w:sz w:val="21"/>
          <w:szCs w:val="21"/>
          <w:color w:val="auto"/>
        </w:rPr>
        <w:t>Any notices provided must be in writing and will be deemed effective upon the earlier of personal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delivery (including personal delivery by fax) or the next day after sending by overnight carrier, to the Company at its primary office location and to Executive at the address as listed on the Company payroll.</w:t>
      </w:r>
    </w:p>
    <w:p>
      <w:pPr>
        <w:spacing w:after="0" w:line="136" w:lineRule="exact"/>
        <w:rPr>
          <w:sz w:val="20"/>
          <w:szCs w:val="20"/>
          <w:color w:val="auto"/>
        </w:rPr>
      </w:pPr>
    </w:p>
    <w:p>
      <w:pPr>
        <w:jc w:val="both"/>
        <w:ind w:left="20" w:firstLine="1259"/>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11.2 Severability. </w:t>
      </w:r>
      <w:r>
        <w:rPr>
          <w:rFonts w:ascii="Times New Roman" w:cs="Times New Roman" w:eastAsia="Times New Roman" w:hAnsi="Times New Roman"/>
          <w:sz w:val="21"/>
          <w:szCs w:val="21"/>
          <w:color w:val="auto"/>
        </w:rPr>
        <w:t>Whenever possible, each provision of this Agreement will be interpreted in such manner as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68" w:lineRule="exact"/>
        <w:rPr>
          <w:sz w:val="20"/>
          <w:szCs w:val="20"/>
          <w:color w:val="auto"/>
        </w:rPr>
      </w:pPr>
    </w:p>
    <w:p>
      <w:pPr>
        <w:jc w:val="both"/>
        <w:ind w:left="20" w:right="20" w:firstLine="1259"/>
        <w:spacing w:after="0" w:line="231" w:lineRule="auto"/>
        <w:rPr>
          <w:sz w:val="20"/>
          <w:szCs w:val="20"/>
          <w:color w:val="auto"/>
        </w:rPr>
      </w:pPr>
      <w:r>
        <w:rPr>
          <w:rFonts w:ascii="Times New Roman" w:cs="Times New Roman" w:eastAsia="Times New Roman" w:hAnsi="Times New Roman"/>
          <w:sz w:val="21"/>
          <w:szCs w:val="21"/>
          <w:b w:val="1"/>
          <w:bCs w:val="1"/>
          <w:color w:val="auto"/>
        </w:rPr>
        <w:t xml:space="preserve">11.3 Waiver. </w:t>
      </w:r>
      <w:r>
        <w:rPr>
          <w:rFonts w:ascii="Times New Roman" w:cs="Times New Roman" w:eastAsia="Times New Roman" w:hAnsi="Times New Roman"/>
          <w:sz w:val="21"/>
          <w:szCs w:val="21"/>
          <w:color w:val="auto"/>
        </w:rPr>
        <w:t>Any waiver of any breach of any provisions of this Agreement must be in writing to be effective,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 shall not thereby be deemed to have waived any preceding or succeeding breach of the same or any other provision of this Agreement.</w:t>
      </w:r>
    </w:p>
    <w:p>
      <w:pPr>
        <w:spacing w:after="0" w:line="260" w:lineRule="exact"/>
        <w:rPr>
          <w:sz w:val="20"/>
          <w:szCs w:val="20"/>
          <w:color w:val="auto"/>
        </w:rPr>
      </w:pPr>
    </w:p>
    <w:p>
      <w:pPr>
        <w:jc w:val="both"/>
        <w:ind w:left="20" w:firstLine="1259"/>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11.4 Complete Agreement. </w:t>
      </w:r>
      <w:r>
        <w:rPr>
          <w:rFonts w:ascii="Times New Roman" w:cs="Times New Roman" w:eastAsia="Times New Roman" w:hAnsi="Times New Roman"/>
          <w:sz w:val="21"/>
          <w:szCs w:val="21"/>
          <w:color w:val="auto"/>
        </w:rPr>
        <w:t>This Agreement, together with the Confidentiality Agreement, constitutes the entire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between Executive and the Company and is the complete, final, and exclusive embodiment of the Parties’ agreement. This 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 contained herein, and it cannot be modified or amended except in a writing signed by a duly authorized officer of the Company.</w:t>
      </w:r>
    </w:p>
    <w:p>
      <w:pPr>
        <w:spacing w:after="0" w:line="186" w:lineRule="exact"/>
        <w:rPr>
          <w:sz w:val="20"/>
          <w:szCs w:val="20"/>
          <w:color w:val="auto"/>
        </w:rPr>
      </w:pPr>
    </w:p>
    <w:p>
      <w:pPr>
        <w:jc w:val="both"/>
        <w:ind w:left="20" w:right="20" w:firstLine="1259"/>
        <w:spacing w:after="0" w:line="284" w:lineRule="auto"/>
        <w:rPr>
          <w:sz w:val="20"/>
          <w:szCs w:val="20"/>
          <w:color w:val="auto"/>
        </w:rPr>
      </w:pPr>
      <w:r>
        <w:rPr>
          <w:rFonts w:ascii="Times New Roman" w:cs="Times New Roman" w:eastAsia="Times New Roman" w:hAnsi="Times New Roman"/>
          <w:sz w:val="21"/>
          <w:szCs w:val="21"/>
          <w:b w:val="1"/>
          <w:bCs w:val="1"/>
          <w:color w:val="auto"/>
        </w:rPr>
        <w:t xml:space="preserve">11.5 Counterparts. </w:t>
      </w:r>
      <w:r>
        <w:rPr>
          <w:rFonts w:ascii="Times New Roman" w:cs="Times New Roman" w:eastAsia="Times New Roman" w:hAnsi="Times New Roman"/>
          <w:sz w:val="21"/>
          <w:szCs w:val="21"/>
          <w:color w:val="auto"/>
        </w:rPr>
        <w:t>This Agreement may be executed in separate counterparts, any one of which need not contain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signatures of more than one party, but all of which taken together will constitute one and the same Agreement.</w:t>
      </w:r>
    </w:p>
    <w:p>
      <w:pPr>
        <w:spacing w:after="0" w:line="124" w:lineRule="exact"/>
        <w:rPr>
          <w:sz w:val="20"/>
          <w:szCs w:val="20"/>
          <w:color w:val="auto"/>
        </w:rPr>
      </w:pPr>
    </w:p>
    <w:p>
      <w:pPr>
        <w:jc w:val="both"/>
        <w:ind w:left="20" w:firstLine="1259"/>
        <w:spacing w:after="0" w:line="284" w:lineRule="auto"/>
        <w:rPr>
          <w:sz w:val="20"/>
          <w:szCs w:val="20"/>
          <w:color w:val="auto"/>
        </w:rPr>
      </w:pPr>
      <w:r>
        <w:rPr>
          <w:rFonts w:ascii="Times New Roman" w:cs="Times New Roman" w:eastAsia="Times New Roman" w:hAnsi="Times New Roman"/>
          <w:sz w:val="21"/>
          <w:szCs w:val="21"/>
          <w:b w:val="1"/>
          <w:bCs w:val="1"/>
          <w:color w:val="auto"/>
        </w:rPr>
        <w:t xml:space="preserve">11.6 Headings. </w:t>
      </w:r>
      <w:r>
        <w:rPr>
          <w:rFonts w:ascii="Times New Roman" w:cs="Times New Roman" w:eastAsia="Times New Roman" w:hAnsi="Times New Roman"/>
          <w:sz w:val="21"/>
          <w:szCs w:val="21"/>
          <w:color w:val="auto"/>
        </w:rPr>
        <w:t>The headings of the paragraphs hereof are inserted for convenience only and shall not be deemed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constitute a part hereof nor to affect the meaning thereof.</w:t>
      </w:r>
    </w:p>
    <w:p>
      <w:pPr>
        <w:spacing w:after="0" w:line="150" w:lineRule="exact"/>
        <w:rPr>
          <w:sz w:val="20"/>
          <w:szCs w:val="20"/>
          <w:color w:val="auto"/>
        </w:rPr>
      </w:pPr>
    </w:p>
    <w:p>
      <w:pPr>
        <w:jc w:val="both"/>
        <w:ind w:left="20" w:firstLine="1259"/>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11.7 Successors and Assigns. </w:t>
      </w:r>
      <w:r>
        <w:rPr>
          <w:rFonts w:ascii="Times New Roman" w:cs="Times New Roman" w:eastAsia="Times New Roman" w:hAnsi="Times New Roman"/>
          <w:sz w:val="21"/>
          <w:szCs w:val="21"/>
          <w:color w:val="auto"/>
        </w:rPr>
        <w:t>This Agreement shall be binding upon and inure to the benefit of and be enforceable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Executive and the Company, and their respective successors, assigns, heirs, executors and administrators, except that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080"/>
          </w:cols>
          <w:pgMar w:left="400" w:top="1371" w:right="419" w:bottom="1440" w:gutter="0" w:footer="0" w:header="0"/>
        </w:sectPr>
      </w:pPr>
    </w:p>
    <w:bookmarkStart w:id="163" w:name="page164"/>
    <w:bookmarkEnd w:id="163"/>
    <w:p>
      <w:pPr>
        <w:ind w:right="380"/>
        <w:spacing w:after="0" w:line="267" w:lineRule="auto"/>
        <w:rPr>
          <w:sz w:val="20"/>
          <w:szCs w:val="20"/>
          <w:color w:val="auto"/>
        </w:rPr>
      </w:pPr>
      <w:r>
        <w:rPr>
          <w:rFonts w:ascii="Times New Roman" w:cs="Times New Roman" w:eastAsia="Times New Roman" w:hAnsi="Times New Roman"/>
          <w:sz w:val="21"/>
          <w:szCs w:val="21"/>
          <w:color w:val="auto"/>
        </w:rPr>
        <w:t>may not assign any of his duties hereunder and he may not assign any of his rights hereunder without the written consent of the Company, which shall not be withheld unreasonably.</w:t>
      </w:r>
    </w:p>
    <w:p>
      <w:pPr>
        <w:spacing w:after="0" w:line="167" w:lineRule="exact"/>
        <w:rPr>
          <w:sz w:val="20"/>
          <w:szCs w:val="20"/>
          <w:color w:val="auto"/>
        </w:rPr>
      </w:pPr>
    </w:p>
    <w:p>
      <w:pPr>
        <w:jc w:val="both"/>
        <w:ind w:firstLine="1259"/>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1.1 Tax Withholding and Indemnification. </w:t>
      </w:r>
      <w:r>
        <w:rPr>
          <w:rFonts w:ascii="Times New Roman" w:cs="Times New Roman" w:eastAsia="Times New Roman" w:hAnsi="Times New Roman"/>
          <w:sz w:val="21"/>
          <w:szCs w:val="21"/>
          <w:color w:val="auto"/>
        </w:rPr>
        <w:t>All payments and awards contemplated or made pursuant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99" w:lineRule="exact"/>
        <w:rPr>
          <w:sz w:val="20"/>
          <w:szCs w:val="20"/>
          <w:color w:val="auto"/>
        </w:rPr>
      </w:pPr>
    </w:p>
    <w:p>
      <w:pPr>
        <w:jc w:val="both"/>
        <w:ind w:right="20" w:firstLine="1259"/>
        <w:spacing w:after="0" w:line="284" w:lineRule="auto"/>
        <w:rPr>
          <w:sz w:val="20"/>
          <w:szCs w:val="20"/>
          <w:color w:val="auto"/>
        </w:rPr>
      </w:pPr>
      <w:r>
        <w:rPr>
          <w:rFonts w:ascii="Times New Roman" w:cs="Times New Roman" w:eastAsia="Times New Roman" w:hAnsi="Times New Roman"/>
          <w:sz w:val="21"/>
          <w:szCs w:val="21"/>
          <w:b w:val="1"/>
          <w:bCs w:val="1"/>
          <w:color w:val="auto"/>
        </w:rPr>
        <w:t xml:space="preserve">1.2 Choice of Law. </w:t>
      </w:r>
      <w:r>
        <w:rPr>
          <w:rFonts w:ascii="Times New Roman" w:cs="Times New Roman" w:eastAsia="Times New Roman" w:hAnsi="Times New Roman"/>
          <w:sz w:val="21"/>
          <w:szCs w:val="21"/>
          <w:color w:val="auto"/>
        </w:rPr>
        <w:t>All questions concerning the construction, validity and interpretation of this Agreement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governed by the laws of the Commonwealth of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060"/>
          </w:cols>
          <w:pgMar w:left="420" w:top="1371" w:right="419" w:bottom="1440" w:gutter="0" w:footer="0" w:header="0"/>
        </w:sectPr>
      </w:pPr>
    </w:p>
    <w:bookmarkStart w:id="164" w:name="page165"/>
    <w:bookmarkEnd w:id="164"/>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on the day and year first above written.</w:t>
      </w:r>
    </w:p>
    <w:p>
      <w:pPr>
        <w:sectPr>
          <w:pgSz w:w="11900" w:h="16838" w:orient="portrait"/>
          <w:cols w:equalWidth="0" w:num="1">
            <w:col w:w="9399"/>
          </w:cols>
          <w:pgMar w:left="106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Praxis Precision Medicines, Inc.</w:t>
      </w:r>
    </w:p>
    <w:p>
      <w:pPr>
        <w:spacing w:after="0" w:line="37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color w:val="auto"/>
        </w:rPr>
        <w:t xml:space="preserve">By: </w:t>
      </w:r>
      <w:r>
        <w:rPr>
          <w:rFonts w:ascii="Times New Roman" w:cs="Times New Roman" w:eastAsia="Times New Roman" w:hAnsi="Times New Roman"/>
          <w:sz w:val="21"/>
          <w:szCs w:val="21"/>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-7620</wp:posOffset>
            </wp:positionV>
            <wp:extent cx="1036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16"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21"/>
          <w:szCs w:val="21"/>
          <w:b w:val="1"/>
          <w:bCs w:val="1"/>
          <w:color w:val="auto"/>
        </w:rPr>
        <w:t>Name: Marcio Souza Title: CEO</w:t>
      </w:r>
    </w:p>
    <w:p>
      <w:pPr>
        <w:sectPr>
          <w:pgSz w:w="11900" w:h="16838" w:orient="portrait"/>
          <w:cols w:equalWidth="0" w:num="1">
            <w:col w:w="9399"/>
          </w:cols>
          <w:pgMar w:left="1060" w:top="1440" w:right="1440" w:bottom="1440" w:gutter="0" w:footer="0" w:header="0"/>
          <w:type w:val="continuous"/>
        </w:sectPr>
      </w:pPr>
    </w:p>
    <w:bookmarkStart w:id="165" w:name="page166"/>
    <w:bookmarkEnd w:id="165"/>
    <w:p>
      <w:pPr>
        <w:ind w:left="3980"/>
        <w:spacing w:after="0"/>
        <w:tabs>
          <w:tab w:leader="none" w:pos="4660" w:val="left"/>
        </w:tabs>
        <w:rPr>
          <w:sz w:val="20"/>
          <w:szCs w:val="20"/>
          <w:color w:val="auto"/>
        </w:rPr>
      </w:pPr>
      <w:r>
        <w:rPr>
          <w:rFonts w:ascii="Times New Roman" w:cs="Times New Roman" w:eastAsia="Times New Roman" w:hAnsi="Times New Roman"/>
          <w:sz w:val="41"/>
          <w:szCs w:val="41"/>
          <w:b w:val="1"/>
          <w:bCs w:val="1"/>
          <w:color w:val="auto"/>
          <w:vertAlign w:val="subscript"/>
        </w:rPr>
        <w:t>Date:</w:t>
      </w:r>
      <w:r>
        <w:rPr>
          <w:rFonts w:ascii="Times New Roman" w:cs="Times New Roman" w:eastAsia="Times New Roman" w:hAnsi="Times New Roman"/>
          <w:sz w:val="21"/>
          <w:szCs w:val="21"/>
          <w:color w:val="auto"/>
        </w:rPr>
        <w:tab/>
        <w:t>May 13, 2021</w:t>
      </w:r>
    </w:p>
    <w:p>
      <w:pPr>
        <w:ind w:left="4480"/>
        <w:spacing w:after="0"/>
        <w:rPr>
          <w:sz w:val="20"/>
          <w:szCs w:val="20"/>
          <w:color w:val="auto"/>
        </w:rPr>
      </w:pPr>
      <w:r>
        <w:rPr>
          <w:rFonts w:ascii="Times New Roman" w:cs="Times New Roman" w:eastAsia="Times New Roman" w:hAnsi="Times New Roman"/>
          <w:sz w:val="19"/>
          <w:szCs w:val="19"/>
          <w:color w:val="auto"/>
        </w:rPr>
        <w:t>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-10160</wp:posOffset>
            </wp:positionV>
            <wp:extent cx="14757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1475740"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1"/>
          <w:szCs w:val="21"/>
          <w:b w:val="1"/>
          <w:bCs w:val="1"/>
          <w:color w:val="auto"/>
        </w:rPr>
        <w:t>Name: Timothy Kelly</w:t>
      </w:r>
    </w:p>
    <w:p>
      <w:pPr>
        <w:spacing w:after="0" w:line="4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1"/>
          <w:szCs w:val="21"/>
          <w:b w:val="1"/>
          <w:bCs w:val="1"/>
          <w:color w:val="auto"/>
        </w:rPr>
        <w:t xml:space="preserve">Date: </w:t>
      </w:r>
      <w:r>
        <w:rPr>
          <w:rFonts w:ascii="Times New Roman" w:cs="Times New Roman" w:eastAsia="Times New Roman" w:hAnsi="Times New Roman"/>
          <w:sz w:val="21"/>
          <w:szCs w:val="21"/>
          <w:color w:val="auto"/>
        </w:rPr>
        <w:t>May 13, 2021</w:t>
      </w:r>
    </w:p>
    <w:p>
      <w:pPr>
        <w:sectPr>
          <w:pgSz w:w="11900" w:h="16838" w:orient="portrait"/>
          <w:cols w:equalWidth="0" w:num="1">
            <w:col w:w="9019"/>
          </w:cols>
          <w:pgMar w:left="1440" w:top="1044" w:right="1440"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41" w:lineRule="exact"/>
        <w:rPr>
          <w:sz w:val="20"/>
          <w:szCs w:val="20"/>
          <w:color w:val="auto"/>
        </w:rPr>
      </w:pPr>
    </w:p>
    <w:p>
      <w:pPr>
        <w:ind w:left="900" w:hanging="266"/>
        <w:spacing w:after="0"/>
        <w:tabs>
          <w:tab w:leader="none" w:pos="9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and related prospectus (Form S-3 No. 333-260726) of Praxis Precision Medicines, Inc., and</w:t>
      </w:r>
    </w:p>
    <w:p>
      <w:pPr>
        <w:spacing w:after="0" w:line="263" w:lineRule="exact"/>
        <w:rPr>
          <w:rFonts w:ascii="Times New Roman" w:cs="Times New Roman" w:eastAsia="Times New Roman" w:hAnsi="Times New Roman"/>
          <w:sz w:val="17"/>
          <w:szCs w:val="17"/>
          <w:color w:val="auto"/>
        </w:rPr>
      </w:pPr>
    </w:p>
    <w:p>
      <w:pPr>
        <w:ind w:left="640" w:right="180" w:hanging="6"/>
        <w:spacing w:after="0" w:line="265" w:lineRule="auto"/>
        <w:tabs>
          <w:tab w:leader="none" w:pos="89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Nos. 333-263081, 333-254410, and 333-249522) pertaining to the 2020 Stock Option and Incentive Plan, 2020 Employee Stock Purchase Plan and 2017 Stock Incentive Plan, of Praxis Precision Medicines, Inc.;</w:t>
      </w:r>
    </w:p>
    <w:p>
      <w:pPr>
        <w:spacing w:after="0" w:line="172"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of our report dated February 7, 2023, with respect to the consolidated financial statements of Praxis Precision Medicines, Inc. included in this Annual Report (Form 10-K) of Praxis Precision Medicines, Inc. for the year ended December 31,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rPr>
          <w:sz w:val="20"/>
          <w:szCs w:val="20"/>
          <w:color w:val="auto"/>
        </w:rPr>
      </w:pPr>
      <w:r>
        <w:rPr>
          <w:rFonts w:ascii="Times New Roman" w:cs="Times New Roman" w:eastAsia="Times New Roman" w:hAnsi="Times New Roman"/>
          <w:sz w:val="17"/>
          <w:szCs w:val="17"/>
          <w:color w:val="auto"/>
        </w:rPr>
        <w:t>February 7, 2023</w:t>
      </w:r>
    </w:p>
    <w:p>
      <w:pPr>
        <w:sectPr>
          <w:pgSz w:w="11900" w:h="16838" w:orient="portrait"/>
          <w:cols w:equalWidth="0" w:num="1">
            <w:col w:w="11240"/>
          </w:cols>
          <w:pgMar w:left="320" w:top="1378"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RULES 13a-14(a) AND 15d-14(a) UNDER THE SECURITIES EXCHANGE ACT OF 1934, AS ADOPTED PURSUANT TO SECTION 302 OF THE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Marcio Souza, certify that:</w:t>
      </w:r>
    </w:p>
    <w:p>
      <w:pPr>
        <w:spacing w:after="0" w:line="198" w:lineRule="exact"/>
        <w:rPr>
          <w:sz w:val="20"/>
          <w:szCs w:val="20"/>
          <w:color w:val="auto"/>
        </w:rPr>
      </w:pPr>
    </w:p>
    <w:p>
      <w:pPr>
        <w:ind w:left="460" w:hanging="438"/>
        <w:spacing w:after="0"/>
        <w:tabs>
          <w:tab w:leader="none" w:pos="4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Praxis Precision Medicines, Inc.;</w:t>
      </w:r>
    </w:p>
    <w:p>
      <w:pPr>
        <w:spacing w:after="0" w:line="276" w:lineRule="exact"/>
        <w:rPr>
          <w:rFonts w:ascii="Times New Roman" w:cs="Times New Roman" w:eastAsia="Times New Roman" w:hAnsi="Times New Roman"/>
          <w:sz w:val="17"/>
          <w:szCs w:val="17"/>
          <w:color w:val="auto"/>
        </w:rPr>
      </w:pPr>
    </w:p>
    <w:p>
      <w:pPr>
        <w:jc w:val="both"/>
        <w:ind w:left="460" w:right="620" w:hanging="438"/>
        <w:spacing w:after="0" w:line="277" w:lineRule="auto"/>
        <w:tabs>
          <w:tab w:leader="none" w:pos="4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7" w:lineRule="exact"/>
        <w:rPr>
          <w:rFonts w:ascii="Times New Roman" w:cs="Times New Roman" w:eastAsia="Times New Roman" w:hAnsi="Times New Roman"/>
          <w:sz w:val="17"/>
          <w:szCs w:val="17"/>
          <w:color w:val="auto"/>
        </w:rPr>
      </w:pPr>
    </w:p>
    <w:p>
      <w:pPr>
        <w:ind w:left="480" w:right="560" w:hanging="431"/>
        <w:spacing w:after="0" w:line="297" w:lineRule="auto"/>
        <w:tabs>
          <w:tab w:leader="none" w:pos="480"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17"/>
          <w:szCs w:val="17"/>
          <w:color w:val="auto"/>
        </w:rPr>
      </w:pPr>
    </w:p>
    <w:p>
      <w:pPr>
        <w:jc w:val="both"/>
        <w:ind w:left="480" w:right="580" w:hanging="431"/>
        <w:spacing w:after="0" w:line="253" w:lineRule="auto"/>
        <w:tabs>
          <w:tab w:leader="none" w:pos="480"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Times New Roman" w:cs="Times New Roman" w:eastAsia="Times New Roman" w:hAnsi="Times New Roman"/>
          <w:sz w:val="17"/>
          <w:szCs w:val="17"/>
          <w:color w:val="auto"/>
        </w:rPr>
      </w:pPr>
    </w:p>
    <w:p>
      <w:pPr>
        <w:ind w:left="1040" w:right="300" w:hanging="572"/>
        <w:spacing w:after="0" w:line="277" w:lineRule="auto"/>
        <w:tabs>
          <w:tab w:leader="none" w:pos="1040"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ind w:left="1040" w:right="600" w:hanging="572"/>
        <w:spacing w:after="0" w:line="261" w:lineRule="auto"/>
        <w:tabs>
          <w:tab w:leader="none" w:pos="1040"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7"/>
          <w:szCs w:val="17"/>
          <w:color w:val="auto"/>
        </w:rPr>
      </w:pPr>
    </w:p>
    <w:p>
      <w:pPr>
        <w:jc w:val="both"/>
        <w:ind w:left="1040" w:right="760" w:hanging="572"/>
        <w:spacing w:after="0" w:line="297" w:lineRule="auto"/>
        <w:tabs>
          <w:tab w:leader="none" w:pos="1040"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17"/>
          <w:szCs w:val="17"/>
          <w:color w:val="auto"/>
        </w:rPr>
      </w:pPr>
    </w:p>
    <w:p>
      <w:pPr>
        <w:ind w:left="1040" w:right="280" w:hanging="572"/>
        <w:spacing w:after="0" w:line="277" w:lineRule="auto"/>
        <w:tabs>
          <w:tab w:leader="none" w:pos="1040"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7"/>
          <w:szCs w:val="17"/>
          <w:color w:val="auto"/>
        </w:rPr>
      </w:pPr>
    </w:p>
    <w:p>
      <w:pPr>
        <w:ind w:left="480" w:right="300" w:hanging="431"/>
        <w:spacing w:after="0" w:line="297" w:lineRule="auto"/>
        <w:tabs>
          <w:tab w:leader="none" w:pos="480"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Times New Roman" w:cs="Times New Roman" w:eastAsia="Times New Roman" w:hAnsi="Times New Roman"/>
          <w:sz w:val="17"/>
          <w:szCs w:val="17"/>
          <w:color w:val="auto"/>
        </w:rPr>
      </w:pPr>
    </w:p>
    <w:p>
      <w:pPr>
        <w:ind w:left="1040" w:right="240" w:hanging="572"/>
        <w:spacing w:after="0" w:line="297" w:lineRule="auto"/>
        <w:tabs>
          <w:tab w:leader="none" w:pos="1040"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7"/>
          <w:szCs w:val="17"/>
          <w:color w:val="auto"/>
        </w:rPr>
      </w:pPr>
    </w:p>
    <w:p>
      <w:pPr>
        <w:ind w:left="1040" w:right="740" w:hanging="572"/>
        <w:spacing w:after="0" w:line="297" w:lineRule="auto"/>
        <w:tabs>
          <w:tab w:leader="none" w:pos="1040"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p>
      <w:pPr>
        <w:ind w:left="20"/>
        <w:spacing w:after="0"/>
        <w:tabs>
          <w:tab w:leader="none" w:pos="5560" w:val="left"/>
          <w:tab w:leader="none" w:pos="7780" w:val="left"/>
        </w:tabs>
        <w:rPr>
          <w:sz w:val="20"/>
          <w:szCs w:val="20"/>
          <w:color w:val="auto"/>
        </w:rPr>
      </w:pPr>
      <w:r>
        <w:rPr>
          <w:rFonts w:ascii="Times New Roman" w:cs="Times New Roman" w:eastAsia="Times New Roman" w:hAnsi="Times New Roman"/>
          <w:sz w:val="17"/>
          <w:szCs w:val="17"/>
          <w:color w:val="auto"/>
        </w:rPr>
        <w:t>Date: February 7,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37465</wp:posOffset>
            </wp:positionV>
            <wp:extent cx="31229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60"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color w:val="auto"/>
        </w:rPr>
        <w:t>Marcio Souza</w:t>
      </w:r>
    </w:p>
    <w:p>
      <w:pPr>
        <w:spacing w:after="0" w:line="6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6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378"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RULES 13a-14(a) AND 15d-14(a) UNDER THE SECURITIES EXCHANGE ACT OF 1934, AS ADOPTED PURSUANT TO SECTION 302 OF THE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Timothy Kelly, certify that:</w:t>
      </w:r>
    </w:p>
    <w:p>
      <w:pPr>
        <w:spacing w:after="0" w:line="198" w:lineRule="exact"/>
        <w:rPr>
          <w:sz w:val="20"/>
          <w:szCs w:val="20"/>
          <w:color w:val="auto"/>
        </w:rPr>
      </w:pPr>
    </w:p>
    <w:p>
      <w:pPr>
        <w:ind w:left="460" w:hanging="438"/>
        <w:spacing w:after="0"/>
        <w:tabs>
          <w:tab w:leader="none" w:pos="46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Praxis Precision Medicines, Inc.;</w:t>
      </w:r>
    </w:p>
    <w:p>
      <w:pPr>
        <w:spacing w:after="0" w:line="289" w:lineRule="exact"/>
        <w:rPr>
          <w:rFonts w:ascii="Times New Roman" w:cs="Times New Roman" w:eastAsia="Times New Roman" w:hAnsi="Times New Roman"/>
          <w:sz w:val="17"/>
          <w:szCs w:val="17"/>
          <w:color w:val="auto"/>
        </w:rPr>
      </w:pPr>
    </w:p>
    <w:p>
      <w:pPr>
        <w:jc w:val="both"/>
        <w:ind w:left="480" w:right="600" w:hanging="431"/>
        <w:spacing w:after="0" w:line="293" w:lineRule="auto"/>
        <w:tabs>
          <w:tab w:leader="none" w:pos="48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7"/>
          <w:szCs w:val="17"/>
          <w:color w:val="auto"/>
        </w:rPr>
      </w:pPr>
    </w:p>
    <w:p>
      <w:pPr>
        <w:ind w:left="480" w:right="560" w:hanging="431"/>
        <w:spacing w:after="0" w:line="313" w:lineRule="auto"/>
        <w:tabs>
          <w:tab w:leader="none" w:pos="48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7"/>
          <w:szCs w:val="17"/>
          <w:color w:val="auto"/>
        </w:rPr>
      </w:pPr>
    </w:p>
    <w:p>
      <w:pPr>
        <w:jc w:val="both"/>
        <w:ind w:left="480" w:right="580" w:hanging="431"/>
        <w:spacing w:after="0" w:line="253" w:lineRule="auto"/>
        <w:tabs>
          <w:tab w:leader="none" w:pos="48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Times New Roman" w:cs="Times New Roman" w:eastAsia="Times New Roman" w:hAnsi="Times New Roman"/>
          <w:sz w:val="17"/>
          <w:szCs w:val="17"/>
          <w:color w:val="auto"/>
        </w:rPr>
      </w:pPr>
    </w:p>
    <w:p>
      <w:pPr>
        <w:ind w:left="1040" w:right="300" w:hanging="572"/>
        <w:spacing w:after="0" w:line="293" w:lineRule="auto"/>
        <w:tabs>
          <w:tab w:leader="none" w:pos="104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Times New Roman" w:cs="Times New Roman" w:eastAsia="Times New Roman" w:hAnsi="Times New Roman"/>
          <w:sz w:val="17"/>
          <w:szCs w:val="17"/>
          <w:color w:val="auto"/>
        </w:rPr>
      </w:pPr>
    </w:p>
    <w:p>
      <w:pPr>
        <w:ind w:left="1040" w:right="600" w:hanging="572"/>
        <w:spacing w:after="0" w:line="261" w:lineRule="auto"/>
        <w:tabs>
          <w:tab w:leader="none" w:pos="104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7"/>
          <w:szCs w:val="17"/>
          <w:color w:val="auto"/>
        </w:rPr>
      </w:pPr>
    </w:p>
    <w:p>
      <w:pPr>
        <w:jc w:val="both"/>
        <w:ind w:left="1040" w:right="760" w:hanging="572"/>
        <w:spacing w:after="0" w:line="297" w:lineRule="auto"/>
        <w:tabs>
          <w:tab w:leader="none" w:pos="104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Times New Roman" w:cs="Times New Roman" w:eastAsia="Times New Roman" w:hAnsi="Times New Roman"/>
          <w:sz w:val="17"/>
          <w:szCs w:val="17"/>
          <w:color w:val="auto"/>
        </w:rPr>
      </w:pPr>
    </w:p>
    <w:p>
      <w:pPr>
        <w:ind w:left="1040" w:right="280" w:hanging="572"/>
        <w:spacing w:after="0" w:line="293" w:lineRule="auto"/>
        <w:tabs>
          <w:tab w:leader="none" w:pos="104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Times New Roman" w:cs="Times New Roman" w:eastAsia="Times New Roman" w:hAnsi="Times New Roman"/>
          <w:sz w:val="17"/>
          <w:szCs w:val="17"/>
          <w:color w:val="auto"/>
        </w:rPr>
      </w:pPr>
    </w:p>
    <w:p>
      <w:pPr>
        <w:ind w:left="480" w:right="300" w:hanging="431"/>
        <w:spacing w:after="0" w:line="313" w:lineRule="auto"/>
        <w:tabs>
          <w:tab w:leader="none" w:pos="48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Times New Roman" w:cs="Times New Roman" w:eastAsia="Times New Roman" w:hAnsi="Times New Roman"/>
          <w:sz w:val="17"/>
          <w:szCs w:val="17"/>
          <w:color w:val="auto"/>
        </w:rPr>
      </w:pPr>
    </w:p>
    <w:p>
      <w:pPr>
        <w:ind w:left="1040" w:right="240" w:hanging="572"/>
        <w:spacing w:after="0" w:line="297" w:lineRule="auto"/>
        <w:tabs>
          <w:tab w:leader="none" w:pos="104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Times New Roman" w:cs="Times New Roman" w:eastAsia="Times New Roman" w:hAnsi="Times New Roman"/>
          <w:sz w:val="17"/>
          <w:szCs w:val="17"/>
          <w:color w:val="auto"/>
        </w:rPr>
      </w:pPr>
    </w:p>
    <w:p>
      <w:pPr>
        <w:ind w:left="1040" w:right="740" w:hanging="572"/>
        <w:spacing w:after="0" w:line="297" w:lineRule="auto"/>
        <w:tabs>
          <w:tab w:leader="none" w:pos="104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p>
      <w:pPr>
        <w:ind w:left="20"/>
        <w:spacing w:after="0"/>
        <w:tabs>
          <w:tab w:leader="none" w:pos="5600" w:val="left"/>
          <w:tab w:leader="none" w:pos="7760" w:val="left"/>
        </w:tabs>
        <w:rPr>
          <w:sz w:val="20"/>
          <w:szCs w:val="20"/>
          <w:color w:val="auto"/>
        </w:rPr>
      </w:pPr>
      <w:r>
        <w:rPr>
          <w:rFonts w:ascii="Times New Roman" w:cs="Times New Roman" w:eastAsia="Times New Roman" w:hAnsi="Times New Roman"/>
          <w:sz w:val="17"/>
          <w:szCs w:val="17"/>
          <w:color w:val="auto"/>
        </w:rPr>
        <w:t>Date: February 7,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45720</wp:posOffset>
            </wp:positionV>
            <wp:extent cx="31311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7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7"/>
          <w:szCs w:val="17"/>
          <w:color w:val="auto"/>
        </w:rPr>
        <w:t>Timothy Kelly</w:t>
      </w:r>
    </w:p>
    <w:p>
      <w:pPr>
        <w:spacing w:after="0" w:line="80"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80"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378"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OF PRINCIPAL EXECUTIVE OFFICER AND PRINCIPAL FINANCIAL OFFICER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6" w:lineRule="exact"/>
        <w:rPr>
          <w:sz w:val="20"/>
          <w:szCs w:val="20"/>
          <w:color w:val="auto"/>
        </w:rPr>
      </w:pPr>
    </w:p>
    <w:p>
      <w:pPr>
        <w:ind w:right="40" w:firstLine="428"/>
        <w:spacing w:after="0" w:line="277" w:lineRule="auto"/>
        <w:rPr>
          <w:sz w:val="20"/>
          <w:szCs w:val="20"/>
          <w:color w:val="auto"/>
        </w:rPr>
      </w:pPr>
      <w:r>
        <w:rPr>
          <w:rFonts w:ascii="Times New Roman" w:cs="Times New Roman" w:eastAsia="Times New Roman" w:hAnsi="Times New Roman"/>
          <w:sz w:val="17"/>
          <w:szCs w:val="17"/>
          <w:color w:val="auto"/>
        </w:rPr>
        <w:t>In connection with the Annual Report on Form 10-K of Praxis Precision Medicines, Inc. (the “Company”) for the fiscal year ended December 31, 2022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136" w:lineRule="exact"/>
        <w:rPr>
          <w:sz w:val="20"/>
          <w:szCs w:val="20"/>
          <w:color w:val="auto"/>
        </w:rPr>
      </w:pPr>
    </w:p>
    <w:p>
      <w:pPr>
        <w:ind w:left="1000" w:hanging="558"/>
        <w:spacing w:after="0"/>
        <w:tabs>
          <w:tab w:leader="none" w:pos="10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7"/>
          <w:szCs w:val="17"/>
          <w:color w:val="auto"/>
        </w:rPr>
      </w:pPr>
    </w:p>
    <w:p>
      <w:pPr>
        <w:spacing w:after="0" w:line="220" w:lineRule="exact"/>
        <w:rPr>
          <w:rFonts w:ascii="Times New Roman" w:cs="Times New Roman" w:eastAsia="Times New Roman" w:hAnsi="Times New Roman"/>
          <w:sz w:val="17"/>
          <w:szCs w:val="17"/>
          <w:color w:val="auto"/>
        </w:rPr>
      </w:pPr>
    </w:p>
    <w:p>
      <w:pPr>
        <w:ind w:left="1000" w:right="900" w:hanging="558"/>
        <w:spacing w:after="0" w:line="313" w:lineRule="auto"/>
        <w:tabs>
          <w:tab w:leader="none" w:pos="10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5600" w:val="left"/>
          <w:tab w:leader="none" w:pos="7820" w:val="left"/>
        </w:tabs>
        <w:rPr>
          <w:sz w:val="20"/>
          <w:szCs w:val="20"/>
          <w:color w:val="auto"/>
        </w:rPr>
      </w:pPr>
      <w:r>
        <w:rPr>
          <w:rFonts w:ascii="Times New Roman" w:cs="Times New Roman" w:eastAsia="Times New Roman" w:hAnsi="Times New Roman"/>
          <w:sz w:val="17"/>
          <w:szCs w:val="17"/>
          <w:color w:val="auto"/>
        </w:rPr>
        <w:t>Date: February 7,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45720</wp:posOffset>
            </wp:positionV>
            <wp:extent cx="31229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73"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Marcio Souza</w:t>
      </w:r>
    </w:p>
    <w:p>
      <w:pPr>
        <w:spacing w:after="0" w:line="8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8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342" w:lineRule="exact"/>
        <w:rPr>
          <w:sz w:val="20"/>
          <w:szCs w:val="20"/>
          <w:color w:val="auto"/>
        </w:rPr>
      </w:pPr>
    </w:p>
    <w:p>
      <w:pPr>
        <w:ind w:left="20"/>
        <w:spacing w:after="0"/>
        <w:tabs>
          <w:tab w:leader="none" w:pos="5600" w:val="left"/>
          <w:tab w:leader="none" w:pos="7760" w:val="left"/>
        </w:tabs>
        <w:rPr>
          <w:sz w:val="20"/>
          <w:szCs w:val="20"/>
          <w:color w:val="auto"/>
        </w:rPr>
      </w:pPr>
      <w:r>
        <w:rPr>
          <w:rFonts w:ascii="Times New Roman" w:cs="Times New Roman" w:eastAsia="Times New Roman" w:hAnsi="Times New Roman"/>
          <w:sz w:val="17"/>
          <w:szCs w:val="17"/>
          <w:color w:val="auto"/>
        </w:rPr>
        <w:t>Date: February 7,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45720</wp:posOffset>
            </wp:positionV>
            <wp:extent cx="31229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73"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Timothy Kelly</w:t>
      </w:r>
    </w:p>
    <w:p>
      <w:pPr>
        <w:spacing w:after="0" w:line="8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8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3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1."/>
      <w:numFmt w:val="decimal"/>
      <w:start w:val="1"/>
    </w:lvl>
  </w:abstractNum>
  <w:abstractNum w:abstractNumId="6">
    <w:nsid w:val="47398C89"/>
    <w:multiLevelType w:val="hybridMultilevel"/>
    <w:lvl w:ilvl="0">
      <w:lvlJc w:val="left"/>
      <w:lvlText w:val="%1."/>
      <w:numFmt w:val="decimal"/>
      <w:start w:val="3"/>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1)"/>
      <w:numFmt w:val="lowerRoman"/>
      <w:start w:val="2"/>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
      <w:numFmt w:val="bullet"/>
      <w:start w:val="1"/>
    </w:lvl>
    <w:lvl w:ilvl="1">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1."/>
      <w:numFmt w:val="decimal"/>
      <w:start w:val="2"/>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1."/>
      <w:numFmt w:val="decimal"/>
      <w:start w:val="8"/>
    </w:lvl>
  </w:abstractNum>
  <w:abstractNum w:abstractNumId="59">
    <w:nsid w:val="6EB5BD4"/>
    <w:multiLevelType w:val="hybridMultilevel"/>
    <w:lvl w:ilvl="0">
      <w:lvlJc w:val="left"/>
      <w:lvlText w:val="%1."/>
      <w:numFmt w:val="decimal"/>
      <w:start w:val="10"/>
    </w:lvl>
  </w:abstractNum>
  <w:abstractNum w:abstractNumId="60">
    <w:nsid w:val="6F6DD9AC"/>
    <w:multiLevelType w:val="hybridMultilevel"/>
    <w:lvl w:ilvl="0">
      <w:lvlJc w:val="left"/>
      <w:lvlText w:val="%1."/>
      <w:numFmt w:val="decimal"/>
      <w:start w:val="12"/>
    </w:lvl>
  </w:abstractNum>
  <w:abstractNum w:abstractNumId="61">
    <w:nsid w:val="94211F2"/>
    <w:multiLevelType w:val="hybridMultilevel"/>
    <w:lvl w:ilvl="0">
      <w:lvlJc w:val="left"/>
      <w:lvlText w:val="(%1)"/>
      <w:numFmt w:val="lowerRoman"/>
      <w:start w:val="2"/>
    </w:lvl>
  </w:abstractNum>
  <w:abstractNum w:abstractNumId="62">
    <w:nsid w:val="885E1B"/>
    <w:multiLevelType w:val="hybridMultilevel"/>
    <w:lvl w:ilvl="0">
      <w:lvlJc w:val="left"/>
      <w:lvlText w:val="(%1)"/>
      <w:numFmt w:val="decimal"/>
      <w:start w:val="744"/>
    </w:lvl>
  </w:abstractNum>
  <w:abstractNum w:abstractNumId="63">
    <w:nsid w:val="76272110"/>
    <w:multiLevelType w:val="hybridMultilevel"/>
    <w:lvl w:ilvl="0">
      <w:lvlJc w:val="left"/>
      <w:lvlText w:val="(%1)"/>
      <w:numFmt w:val="decimal"/>
      <w:start w:val="744"/>
    </w:lvl>
  </w:abstractNum>
  <w:abstractNum w:abstractNumId="64">
    <w:nsid w:val="4C04A8AF"/>
    <w:multiLevelType w:val="hybridMultilevel"/>
    <w:lvl w:ilvl="0">
      <w:lvlJc w:val="left"/>
      <w:lvlText w:val="(%1)"/>
      <w:numFmt w:val="decimal"/>
      <w:start w:val="1"/>
    </w:lvl>
  </w:abstractNum>
  <w:abstractNum w:abstractNumId="65">
    <w:nsid w:val="1716703B"/>
    <w:multiLevelType w:val="hybridMultilevel"/>
    <w:lvl w:ilvl="0">
      <w:lvlJc w:val="left"/>
      <w:lvlText w:val="•"/>
      <w:numFmt w:val="bullet"/>
      <w:start w:val="1"/>
    </w:lvl>
  </w:abstractNum>
  <w:abstractNum w:abstractNumId="66">
    <w:nsid w:val="14E17E33"/>
    <w:multiLevelType w:val="hybridMultilevel"/>
    <w:lvl w:ilvl="0">
      <w:lvlJc w:val="left"/>
      <w:lvlText w:val="•"/>
      <w:numFmt w:val="bullet"/>
      <w:start w:val="1"/>
    </w:lvl>
  </w:abstractNum>
  <w:abstractNum w:abstractNumId="67">
    <w:nsid w:val="3222E7CD"/>
    <w:multiLevelType w:val="hybridMultilevel"/>
    <w:lvl w:ilvl="0">
      <w:lvlJc w:val="left"/>
      <w:lvlText w:val="(%1)"/>
      <w:numFmt w:val="decimal"/>
      <w:start w:val="1"/>
    </w:lvl>
  </w:abstractNum>
  <w:abstractNum w:abstractNumId="68">
    <w:nsid w:val="74DE0EE3"/>
    <w:multiLevelType w:val="hybridMultilevel"/>
    <w:lvl w:ilvl="0">
      <w:lvlJc w:val="left"/>
      <w:lvlText w:val="(%1)"/>
      <w:numFmt w:val="decimal"/>
      <w:start w:val="5"/>
    </w:lvl>
  </w:abstractNum>
  <w:abstractNum w:abstractNumId="69">
    <w:nsid w:val="68EBC550"/>
    <w:multiLevelType w:val="hybridMultilevel"/>
    <w:lvl w:ilvl="0">
      <w:lvlJc w:val="left"/>
      <w:lvlText w:val="(%1)"/>
      <w:numFmt w:val="upperLetter"/>
      <w:start w:val="2"/>
    </w:lvl>
  </w:abstractNum>
  <w:abstractNum w:abstractNumId="70">
    <w:nsid w:val="2DF6D648"/>
    <w:multiLevelType w:val="hybridMultilevel"/>
    <w:lvl w:ilvl="0">
      <w:lvlJc w:val="left"/>
      <w:lvlText w:val="(%1)"/>
      <w:numFmt w:val="decimal"/>
      <w:start w:val="1"/>
    </w:lvl>
  </w:abstractNum>
  <w:abstractNum w:abstractNumId="71">
    <w:nsid w:val="46B7D447"/>
    <w:multiLevelType w:val="hybridMultilevel"/>
    <w:lvl w:ilvl="0">
      <w:lvlJc w:val="left"/>
      <w:lvlText w:val="(%1)"/>
      <w:numFmt w:val="decimal"/>
      <w:start w:val="1"/>
    </w:lvl>
  </w:abstractNum>
  <w:abstractNum w:abstractNumId="72">
    <w:nsid w:val="4A2AC315"/>
    <w:multiLevelType w:val="hybridMultilevel"/>
    <w:lvl w:ilvl="0">
      <w:lvlJc w:val="left"/>
      <w:lvlText w:val="(%1)"/>
      <w:numFmt w:val="decimal"/>
      <w:start w:val="3"/>
    </w:lvl>
  </w:abstractNum>
  <w:abstractNum w:abstractNumId="73">
    <w:nsid w:val="39EE015C"/>
    <w:multiLevelType w:val="hybridMultilevel"/>
    <w:lvl w:ilvl="0">
      <w:lvlJc w:val="left"/>
      <w:lvlText w:val="(%1)"/>
      <w:numFmt w:val="decimal"/>
      <w:start w:val="1"/>
    </w:lvl>
  </w:abstractNum>
  <w:abstractNum w:abstractNumId="74">
    <w:nsid w:val="57FC4FBB"/>
    <w:multiLevelType w:val="hybridMultilevel"/>
    <w:lvl w:ilvl="0">
      <w:lvlJc w:val="left"/>
      <w:lvlText w:val="(%1)"/>
      <w:numFmt w:val="decimal"/>
      <w:start w:val="1"/>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
      <w:numFmt w:val="bullet"/>
      <w:start w:val="1"/>
    </w:lvl>
    <w:lvl w:ilvl="1">
      <w:lvlJc w:val="left"/>
      <w:lvlText w:val="%2"/>
      <w:numFmt w:val="upperLetter"/>
      <w:start w:val="1"/>
    </w:lvl>
  </w:abstractNum>
  <w:abstractNum w:abstractNumId="77">
    <w:nsid w:val="60EF0119"/>
    <w:multiLevelType w:val="hybridMultilevel"/>
    <w:lvl w:ilvl="0">
      <w:lvlJc w:val="left"/>
      <w:lvlText w:val="(%1)"/>
      <w:numFmt w:val="decimal"/>
      <w:start w:val="2"/>
    </w:lvl>
  </w:abstractNum>
  <w:abstractNum w:abstractNumId="78">
    <w:nsid w:val="26F324BA"/>
    <w:multiLevelType w:val="hybridMultilevel"/>
    <w:lvl w:ilvl="0">
      <w:lvlJc w:val="left"/>
      <w:lvlText w:val="(%1)"/>
      <w:numFmt w:val="decimal"/>
      <w:start w:val="3"/>
    </w:lvl>
  </w:abstractNum>
  <w:abstractNum w:abstractNumId="79">
    <w:nsid w:val="7F01579B"/>
    <w:multiLevelType w:val="hybridMultilevel"/>
    <w:lvl w:ilvl="0">
      <w:lvlJc w:val="left"/>
      <w:lvlText w:val="(%1)"/>
      <w:numFmt w:val="decimal"/>
      <w:start w:val="1"/>
    </w:lvl>
  </w:abstractNum>
  <w:abstractNum w:abstractNumId="80">
    <w:nsid w:val="49DA307D"/>
    <w:multiLevelType w:val="hybridMultilevel"/>
    <w:lvl w:ilvl="0">
      <w:lvlJc w:val="left"/>
      <w:lvlText w:val="*"/>
      <w:numFmt w:val="bullet"/>
      <w:start w:val="1"/>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
      <w:numFmt w:val="bullet"/>
      <w:start w:val="1"/>
    </w:lvl>
  </w:abstractNum>
  <w:abstractNum w:abstractNumId="83">
    <w:nsid w:val="50801EE1"/>
    <w:multiLevelType w:val="hybridMultilevel"/>
    <w:lvl w:ilvl="0">
      <w:lvlJc w:val="left"/>
      <w:lvlText w:val="†"/>
      <w:numFmt w:val="bullet"/>
      <w:start w:val="1"/>
    </w:lvl>
  </w:abstractNum>
  <w:abstractNum w:abstractNumId="84">
    <w:nsid w:val="488AC1A"/>
    <w:multiLevelType w:val="hybridMultilevel"/>
    <w:lvl w:ilvl="0">
      <w:lvlJc w:val="left"/>
      <w:lvlText w:val="%1."/>
      <w:numFmt w:val="decimal"/>
      <w:start w:val="1"/>
    </w:lvl>
  </w:abstractNum>
  <w:abstractNum w:abstractNumId="85">
    <w:nsid w:val="5FB8011C"/>
    <w:multiLevelType w:val="hybridMultilevel"/>
    <w:lvl w:ilvl="0">
      <w:lvlJc w:val="left"/>
      <w:lvlText w:val="(%1)"/>
      <w:numFmt w:val="lowerRoman"/>
      <w:start w:val="1"/>
    </w:lvl>
  </w:abstractNum>
  <w:abstractNum w:abstractNumId="86">
    <w:nsid w:val="6AA78F7F"/>
    <w:multiLevelType w:val="hybridMultilevel"/>
    <w:lvl w:ilvl="0">
      <w:lvlJc w:val="left"/>
      <w:lvlText w:val="(%1)"/>
      <w:numFmt w:val="lowerRoman"/>
      <w:start w:val="3"/>
    </w:lvl>
  </w:abstractNum>
  <w:abstractNum w:abstractNumId="87">
    <w:nsid w:val="7672BD23"/>
    <w:multiLevelType w:val="hybridMultilevel"/>
    <w:lvl w:ilvl="0">
      <w:lvlJc w:val="left"/>
      <w:lvlText w:val="%1."/>
      <w:numFmt w:val="decimal"/>
      <w:start w:val="2"/>
    </w:lvl>
  </w:abstractNum>
  <w:abstractNum w:abstractNumId="88">
    <w:nsid w:val="6FC75AF8"/>
    <w:multiLevelType w:val="hybridMultilevel"/>
    <w:lvl w:ilvl="0">
      <w:lvlJc w:val="left"/>
      <w:lvlText w:val="%1."/>
      <w:numFmt w:val="decimal"/>
      <w:start w:val="3"/>
    </w:lvl>
  </w:abstractNum>
  <w:abstractNum w:abstractNumId="89">
    <w:nsid w:val="6A5F7029"/>
    <w:multiLevelType w:val="hybridMultilevel"/>
    <w:lvl w:ilvl="0">
      <w:lvlJc w:val="left"/>
      <w:lvlText w:val="%1."/>
      <w:numFmt w:val="decimal"/>
      <w:start w:val="4"/>
    </w:lvl>
  </w:abstractNum>
  <w:abstractNum w:abstractNumId="90">
    <w:nsid w:val="7D5E18F8"/>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91">
    <w:nsid w:val="5F3534A4"/>
    <w:multiLevelType w:val="hybridMultilevel"/>
    <w:lvl w:ilvl="0">
      <w:lvlJc w:val="left"/>
      <w:lvlText w:val="(%1)"/>
      <w:numFmt w:val="decimal"/>
      <w:start w:val="9"/>
    </w:lvl>
    <w:lvl w:ilvl="1">
      <w:lvlJc w:val="left"/>
      <w:lvlText w:val="%2"/>
      <w:numFmt w:val="lowerRoman"/>
      <w:start w:val="1"/>
    </w:lvl>
    <w:lvl w:ilvl="2">
      <w:lvlJc w:val="left"/>
      <w:lvlText w:val="(%3)"/>
      <w:numFmt w:val="lowerLetter"/>
      <w:start w:val="2"/>
    </w:lvl>
  </w:abstractNum>
  <w:abstractNum w:abstractNumId="92">
    <w:nsid w:val="73A1821B"/>
    <w:multiLevelType w:val="hybridMultilevel"/>
    <w:lvl w:ilvl="0">
      <w:lvlJc w:val="left"/>
      <w:lvlText w:val="(%1)"/>
      <w:numFmt w:val="lowerRoman"/>
      <w:start w:val="3"/>
    </w:lvl>
  </w:abstractNum>
  <w:abstractNum w:abstractNumId="93">
    <w:nsid w:val="7DE67713"/>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94">
    <w:nsid w:val="555C55B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95">
    <w:nsid w:val="3FA62ACA"/>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3"/>
    </w:lvl>
  </w:abstractNum>
  <w:abstractNum w:abstractNumId="96">
    <w:nsid w:val="14FCE74E"/>
    <w:multiLevelType w:val="hybridMultilevel"/>
    <w:lvl w:ilvl="0">
      <w:lvlJc w:val="left"/>
      <w:lvlText w:val="(%1)"/>
      <w:numFmt w:val="lowerRoman"/>
      <w:start w:val="2"/>
    </w:lvl>
    <w:lvl w:ilvl="1">
      <w:lvlJc w:val="left"/>
      <w:lvlText w:val="(%2)"/>
      <w:numFmt w:val="lowerRoman"/>
      <w:start w:val="3"/>
    </w:lvl>
    <w:lvl w:ilvl="2">
      <w:lvlJc w:val="left"/>
      <w:lvlText w:val="(%3)"/>
      <w:numFmt w:val="lowerLetter"/>
      <w:start w:val="1"/>
    </w:lvl>
  </w:abstractNum>
  <w:abstractNum w:abstractNumId="97">
    <w:nsid w:val="6A3DD3E8"/>
    <w:multiLevelType w:val="hybridMultilevel"/>
    <w:lvl w:ilvl="0">
      <w:lvlJc w:val="left"/>
      <w:lvlText w:val="(%1)"/>
      <w:numFmt w:val="lowerLetter"/>
      <w:start w:val="2"/>
    </w:lvl>
  </w:abstractNum>
  <w:abstractNum w:abstractNumId="98">
    <w:nsid w:val="71C91298"/>
    <w:multiLevelType w:val="hybridMultilevel"/>
    <w:lvl w:ilvl="0">
      <w:lvlJc w:val="left"/>
      <w:lvlText w:val="(%1)"/>
      <w:numFmt w:val="lowerRoman"/>
      <w:start w:val="1"/>
    </w:lvl>
  </w:abstractNum>
  <w:abstractNum w:abstractNumId="99">
    <w:nsid w:val="9DAF632"/>
    <w:multiLevelType w:val="hybridMultilevel"/>
    <w:lvl w:ilvl="0">
      <w:lvlJc w:val="left"/>
      <w:lvlText w:val="%1"/>
      <w:numFmt w:val="lowerRoman"/>
      <w:start w:val="1"/>
    </w:lvl>
    <w:lvl w:ilvl="1">
      <w:lvlJc w:val="left"/>
      <w:lvlText w:val="(%2)"/>
      <w:numFmt w:val="lowerRoman"/>
      <w:start w:val="2"/>
    </w:lvl>
  </w:abstractNum>
  <w:abstractNum w:abstractNumId="100">
    <w:nsid w:val="53299938"/>
    <w:multiLevelType w:val="hybridMultilevel"/>
    <w:lvl w:ilvl="0">
      <w:lvlJc w:val="left"/>
      <w:lvlText w:val="(%1)"/>
      <w:numFmt w:val="lowerRoman"/>
      <w:start w:val="1"/>
    </w:lvl>
    <w:lvl w:ilvl="1">
      <w:lvlJc w:val="left"/>
      <w:lvlText w:val="%2"/>
      <w:numFmt w:val="lowerRoman"/>
      <w:start w:val="1"/>
    </w:lvl>
  </w:abstractNum>
  <w:abstractNum w:abstractNumId="101">
    <w:nsid w:val="1FBFE8E0"/>
    <w:multiLevelType w:val="hybridMultilevel"/>
    <w:lvl w:ilvl="0">
      <w:lvlJc w:val="left"/>
      <w:lvlText w:val="%1."/>
      <w:numFmt w:val="decimal"/>
      <w:start w:val="6"/>
    </w:lvl>
  </w:abstractNum>
  <w:abstractNum w:abstractNumId="102">
    <w:nsid w:val="5092CA79"/>
    <w:multiLevelType w:val="hybridMultilevel"/>
    <w:lvl w:ilvl="0">
      <w:lvlJc w:val="left"/>
      <w:lvlText w:val="%1."/>
      <w:numFmt w:val="decimal"/>
      <w:start w:val="8"/>
    </w:lvl>
  </w:abstractNum>
  <w:abstractNum w:abstractNumId="103">
    <w:nsid w:val="1D545C4D"/>
    <w:multiLevelType w:val="hybridMultilevel"/>
    <w:lvl w:ilvl="0">
      <w:lvlJc w:val="left"/>
      <w:lvlText w:val="%1."/>
      <w:numFmt w:val="decimal"/>
      <w:start w:val="9"/>
    </w:lvl>
  </w:abstractNum>
  <w:abstractNum w:abstractNumId="104">
    <w:nsid w:val="59ADEA3D"/>
    <w:multiLevelType w:val="hybridMultilevel"/>
    <w:lvl w:ilvl="0">
      <w:lvlJc w:val="left"/>
      <w:lvlText w:val="%1."/>
      <w:numFmt w:val="decimal"/>
      <w:start w:val="10"/>
    </w:lvl>
  </w:abstractNum>
  <w:abstractNum w:abstractNumId="105">
    <w:nsid w:val="288F1A34"/>
    <w:multiLevelType w:val="hybridMultilevel"/>
    <w:lvl w:ilvl="0">
      <w:lvlJc w:val="left"/>
      <w:lvlText w:val="%1."/>
      <w:numFmt w:val="decimal"/>
      <w:start w:val="11"/>
    </w:lvl>
  </w:abstractNum>
  <w:abstractNum w:abstractNumId="106">
    <w:nsid w:val="2A155DBC"/>
    <w:multiLevelType w:val="hybridMultilevel"/>
    <w:lvl w:ilvl="0">
      <w:lvlJc w:val="left"/>
      <w:lvlText w:val="(%1)"/>
      <w:numFmt w:val="decimal"/>
      <w:start w:val="1"/>
    </w:lvl>
  </w:abstractNum>
  <w:abstractNum w:abstractNumId="107">
    <w:nsid w:val="1D9F6E5F"/>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08">
    <w:nsid w:val="97E1B4E"/>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176" Type="http://schemas.openxmlformats.org/officeDocument/2006/relationships/hyperlink" Target="https://www.sec.gov/Archives/edgar/data/1689548/000119312520272877/d94620dex31.htm" TargetMode="External"/><Relationship Id="rId177" Type="http://schemas.openxmlformats.org/officeDocument/2006/relationships/hyperlink" Target="https://www.sec.gov/Archives/edgar/data/1689548/000110465922002260/tm222120d1_ex3-1.htm" TargetMode="External"/><Relationship Id="rId178" Type="http://schemas.openxmlformats.org/officeDocument/2006/relationships/hyperlink" Target="https://www.sec.gov/Archives/edgar/data/1689548/000119312520266699/d945651dex41.htm" TargetMode="External"/><Relationship Id="rId179" Type="http://schemas.openxmlformats.org/officeDocument/2006/relationships/hyperlink" Target="https://www.sec.gov/Archives/edgar/data/1689548/000110465921133741/tm2131445d2_ex4-2.htm" TargetMode="External"/><Relationship Id="rId180" Type="http://schemas.openxmlformats.org/officeDocument/2006/relationships/hyperlink" Target="https://www.sec.gov/Archives/edgar/data/1689548/000168954822000014/exhibit43-descriptionofsec.htm" TargetMode="External"/><Relationship Id="rId181" Type="http://schemas.openxmlformats.org/officeDocument/2006/relationships/hyperlink" Target="https://www.sec.gov/Archives/edgar/data/1689548/000119312520266699/d945651dex101.htm" TargetMode="External"/><Relationship Id="rId182" Type="http://schemas.openxmlformats.org/officeDocument/2006/relationships/hyperlink" Target="https://www.sec.gov/Archives/edgar/data/1689548/000119312520254741/d945651dex102.htm" TargetMode="External"/><Relationship Id="rId183" Type="http://schemas.openxmlformats.org/officeDocument/2006/relationships/hyperlink" Target="https://www.sec.gov/Archives/edgar/data/1689548/000168954821000016/exhibit1032017plan.htm" TargetMode="External"/><Relationship Id="rId184" Type="http://schemas.openxmlformats.org/officeDocument/2006/relationships/hyperlink" Target="https://www.sec.gov/Archives/edgar/data/1689548/000119312520266699/d945651dex104.htm" TargetMode="External"/><Relationship Id="rId185" Type="http://schemas.openxmlformats.org/officeDocument/2006/relationships/hyperlink" Target="https://www.sec.gov/Archives/edgar/data/1689548/000119312520266699/d945651dex105.htm" TargetMode="External"/><Relationship Id="rId186" Type="http://schemas.openxmlformats.org/officeDocument/2006/relationships/hyperlink" Target="https://www.sec.gov/Archives/edgar/data/1689548/000119312520266699/d945651dex106.htm" TargetMode="External"/><Relationship Id="rId187" Type="http://schemas.openxmlformats.org/officeDocument/2006/relationships/hyperlink" Target="https://www.sec.gov/Archives/edgar/data/1689548/000119312520266699/d945651dex107.htm" TargetMode="External"/><Relationship Id="rId188" Type="http://schemas.openxmlformats.org/officeDocument/2006/relationships/hyperlink" Target="https://www.sec.gov/Archives/edgar/data/1689548/000119312520266699/d945651dex108.htm" TargetMode="External"/><Relationship Id="rId189" Type="http://schemas.openxmlformats.org/officeDocument/2006/relationships/hyperlink" Target="https://www.sec.gov/Archives/edgar/data/1689548/000119312520266699/d945651dex109.htm" TargetMode="External"/><Relationship Id="rId190" Type="http://schemas.openxmlformats.org/officeDocument/2006/relationships/hyperlink" Target="https://www.sec.gov/Archives/edgar/data/1689548/000119312520266699/d945651dex1010.htm" TargetMode="External"/><Relationship Id="rId193" Type="http://schemas.openxmlformats.org/officeDocument/2006/relationships/hyperlink" Target="https://www.sec.gov/Archives/edgar/data/1689548/000119312520266699/d945651dex1011.htm" TargetMode="External"/><Relationship Id="rId194" Type="http://schemas.openxmlformats.org/officeDocument/2006/relationships/hyperlink" Target="https://www.sec.gov/Archives/edgar/data/1689548/000168954822000014/exhibit1012.htm" TargetMode="External"/><Relationship Id="rId195" Type="http://schemas.openxmlformats.org/officeDocument/2006/relationships/hyperlink" Target="https://www.sec.gov/Archives/edgar/data/1689548/000168954822000014/exhibit1014.htm" TargetMode="External"/><Relationship Id="rId196" Type="http://schemas.openxmlformats.org/officeDocument/2006/relationships/hyperlink" Target="https://www.sec.gov/Archives/edgar/data/1689548/000168954822000014/exhibit1013.htm" TargetMode="External"/><Relationship Id="rId197" Type="http://schemas.openxmlformats.org/officeDocument/2006/relationships/hyperlink" Target="https://www.sec.gov/Archives/edgar/data/1689548/000168954821000081/exhibit10120210830.htm" TargetMode="External"/><Relationship Id="rId198" Type="http://schemas.openxmlformats.org/officeDocument/2006/relationships/hyperlink" Target="https://www.sec.gov/Archives/edgar/data/1689548/000168954822000099/exhibit101.htm" TargetMode="External"/><Relationship Id="rId199" Type="http://schemas.openxmlformats.org/officeDocument/2006/relationships/hyperlink" Target="https://www.sec.gov/Archives/edgar/data/1689548/000168954822000014/exhibit1016.htm" TargetMode="External"/><Relationship Id="rId200" Type="http://schemas.openxmlformats.org/officeDocument/2006/relationships/hyperlink" Target="https://www.sec.gov/Archives/edgar/data/1689548/000119312520254741/d945651dex1015.htm" TargetMode="External"/><Relationship Id="rId201" Type="http://schemas.openxmlformats.org/officeDocument/2006/relationships/hyperlink" Target="https://www.sec.gov/Archives/edgar/data/1689548/000119312520254741/d945651dex1016.htm" TargetMode="External"/><Relationship Id="rId202" Type="http://schemas.openxmlformats.org/officeDocument/2006/relationships/hyperlink" Target="https://www.sec.gov/Archives/edgar/data/1689548/000168954821000054/exhibit10120210527.htm" TargetMode="External"/><Relationship Id="rId203" Type="http://schemas.openxmlformats.org/officeDocument/2006/relationships/hyperlink" Target="https://www.sec.gov/Archives/edgar/data/1689548/000119312520254741/d94565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2023-02-07T07:18:48Z</dcterms:created>
  <dcterms:modified xsi:type="dcterms:W3CDTF">2023-02-07T07:18:48Z</dcterms:modified>
</cp:coreProperties>
</file>