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214630</wp:posOffset>
            </wp:positionH>
            <wp:positionV relativeFrom="page">
              <wp:posOffset>355600</wp:posOffset>
            </wp:positionV>
            <wp:extent cx="7127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321945</wp:posOffset>
            </wp:positionV>
            <wp:extent cx="7127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78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126365</wp:posOffset>
            </wp:positionV>
            <wp:extent cx="1182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140335</wp:posOffset>
            </wp:positionV>
            <wp:extent cx="1182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9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54" w:lineRule="exact"/>
        <w:rPr>
          <w:sz w:val="24"/>
          <w:szCs w:val="24"/>
          <w:color w:val="auto"/>
        </w:rPr>
      </w:pPr>
    </w:p>
    <w:p>
      <w:pPr>
        <w:ind w:left="320" w:hanging="298"/>
        <w:spacing w:after="0"/>
        <w:tabs>
          <w:tab w:leader="none" w:pos="3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3460" w:right="1920" w:hanging="3438"/>
        <w:spacing w:after="0" w:line="481" w:lineRule="auto"/>
        <w:tabs>
          <w:tab w:leader="none" w:pos="334"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 to_________</w:t>
      </w:r>
    </w:p>
    <w:p>
      <w:pPr>
        <w:ind w:left="4100"/>
        <w:spacing w:after="0"/>
        <w:rPr>
          <w:rFonts w:ascii="MS PGothic" w:cs="MS PGothic" w:eastAsia="MS PGothic" w:hAnsi="MS PGothic"/>
          <w:sz w:val="21"/>
          <w:szCs w:val="21"/>
          <w:color w:val="auto"/>
        </w:rPr>
      </w:pPr>
      <w:r>
        <w:rPr>
          <w:rFonts w:ascii="Arial" w:cs="Arial" w:eastAsia="Arial" w:hAnsi="Arial"/>
          <w:sz w:val="17"/>
          <w:szCs w:val="17"/>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204470</wp:posOffset>
            </wp:positionV>
            <wp:extent cx="1182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PRAXIS PRECISION MEDICINES,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189865</wp:posOffset>
            </wp:positionV>
            <wp:extent cx="1182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2520" w:type="dxa"/>
        <w:tblCellMar>
          <w:top w:w="0" w:type="dxa"/>
          <w:left w:w="0" w:type="dxa"/>
          <w:bottom w:w="0" w:type="dxa"/>
          <w:right w:w="0" w:type="dxa"/>
        </w:tblCellMar>
      </w:tblPr>
      <w:tr>
        <w:trPr>
          <w:trHeight w:val="223"/>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780" w:type="dxa"/>
            <w:vAlign w:val="bottom"/>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47-5195942</w:t>
            </w:r>
          </w:p>
        </w:tc>
        <w:tc>
          <w:tcPr>
            <w:tcW w:w="0" w:type="dxa"/>
            <w:vAlign w:val="bottom"/>
          </w:tcPr>
          <w:p>
            <w:pPr>
              <w:spacing w:after="0"/>
              <w:rPr>
                <w:sz w:val="1"/>
                <w:szCs w:val="1"/>
                <w:color w:val="auto"/>
              </w:rPr>
            </w:pPr>
          </w:p>
        </w:tc>
      </w:tr>
      <w:tr>
        <w:trPr>
          <w:trHeight w:val="184"/>
        </w:trPr>
        <w:tc>
          <w:tcPr>
            <w:tcW w:w="3560" w:type="dxa"/>
            <w:vAlign w:val="bottom"/>
          </w:tcPr>
          <w:p>
            <w:pPr>
              <w:jc w:val="center"/>
              <w:ind w:right="13"/>
              <w:spacing w:after="0" w:line="184" w:lineRule="exact"/>
              <w:rPr>
                <w:sz w:val="20"/>
                <w:szCs w:val="20"/>
                <w:color w:val="auto"/>
              </w:rPr>
            </w:pPr>
            <w:r>
              <w:rPr>
                <w:rFonts w:ascii="Times New Roman" w:cs="Times New Roman" w:eastAsia="Times New Roman" w:hAnsi="Times New Roman"/>
                <w:sz w:val="17"/>
                <w:szCs w:val="17"/>
                <w:b w:val="1"/>
                <w:bCs w:val="1"/>
                <w:color w:val="auto"/>
              </w:rPr>
              <w:t>(State or other jurisdiction of incorporation or</w:t>
            </w:r>
          </w:p>
        </w:tc>
        <w:tc>
          <w:tcPr>
            <w:tcW w:w="2780" w:type="dxa"/>
            <w:vAlign w:val="bottom"/>
            <w:vMerge w:val="restart"/>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tc>
        <w:tc>
          <w:tcPr>
            <w:tcW w:w="0" w:type="dxa"/>
            <w:vAlign w:val="bottom"/>
          </w:tcPr>
          <w:p>
            <w:pPr>
              <w:spacing w:after="0"/>
              <w:rPr>
                <w:sz w:val="1"/>
                <w:szCs w:val="1"/>
                <w:color w:val="auto"/>
              </w:rPr>
            </w:pPr>
          </w:p>
        </w:tc>
      </w:tr>
      <w:tr>
        <w:trPr>
          <w:trHeight w:val="230"/>
        </w:trPr>
        <w:tc>
          <w:tcPr>
            <w:tcW w:w="35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2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99 High Street, 30th Floor</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Boston, MA</w:t>
            </w:r>
          </w:p>
        </w:tc>
        <w:tc>
          <w:tcPr>
            <w:tcW w:w="2780" w:type="dxa"/>
            <w:vAlign w:val="bottom"/>
          </w:tcPr>
          <w:p>
            <w:pPr>
              <w:jc w:val="right"/>
              <w:ind w:right="1033"/>
              <w:spacing w:after="0"/>
              <w:rPr>
                <w:sz w:val="20"/>
                <w:szCs w:val="20"/>
                <w:color w:val="auto"/>
              </w:rPr>
            </w:pPr>
            <w:r>
              <w:rPr>
                <w:rFonts w:ascii="Times New Roman" w:cs="Times New Roman" w:eastAsia="Times New Roman" w:hAnsi="Times New Roman"/>
                <w:sz w:val="17"/>
                <w:szCs w:val="17"/>
                <w:b w:val="1"/>
                <w:bCs w:val="1"/>
                <w:color w:val="auto"/>
              </w:rPr>
              <w:t>02110</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2780" w:type="dxa"/>
            <w:vAlign w:val="bottom"/>
          </w:tcPr>
          <w:p>
            <w:pPr>
              <w:jc w:val="center"/>
              <w:ind w:left="13"/>
              <w:spacing w:after="0"/>
              <w:rPr>
                <w:sz w:val="20"/>
                <w:szCs w:val="20"/>
                <w:color w:val="auto"/>
              </w:rPr>
            </w:pPr>
            <w:r>
              <w:rPr>
                <w:rFonts w:ascii="Times New Roman" w:cs="Times New Roman" w:eastAsia="Times New Roman" w:hAnsi="Times New Roman"/>
                <w:sz w:val="17"/>
                <w:szCs w:val="17"/>
                <w:b w:val="1"/>
                <w:bCs w:val="1"/>
                <w:color w:val="auto"/>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617-300-8460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125095</wp:posOffset>
            </wp:positionV>
            <wp:extent cx="1182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4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3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w:t>
            </w:r>
          </w:p>
        </w:tc>
        <w:tc>
          <w:tcPr>
            <w:tcW w:w="0" w:type="dxa"/>
            <w:vAlign w:val="bottom"/>
          </w:tcPr>
          <w:p>
            <w:pPr>
              <w:spacing w:after="0"/>
              <w:rPr>
                <w:sz w:val="1"/>
                <w:szCs w:val="1"/>
                <w:color w:val="auto"/>
              </w:rPr>
            </w:pPr>
          </w:p>
        </w:tc>
      </w:tr>
      <w:tr>
        <w:trPr>
          <w:trHeight w:val="230"/>
        </w:trPr>
        <w:tc>
          <w:tcPr>
            <w:tcW w:w="4000" w:type="dxa"/>
            <w:vAlign w:val="bottom"/>
            <w:gridSpan w:val="2"/>
            <w:vMerge w:val="continue"/>
          </w:tcPr>
          <w:p>
            <w:pPr>
              <w:spacing w:after="0"/>
              <w:rPr>
                <w:sz w:val="19"/>
                <w:szCs w:val="19"/>
                <w:color w:val="auto"/>
              </w:rPr>
            </w:pPr>
          </w:p>
        </w:tc>
        <w:tc>
          <w:tcPr>
            <w:tcW w:w="4100" w:type="dxa"/>
            <w:vAlign w:val="bottom"/>
            <w:gridSpan w:val="2"/>
            <w:vMerge w:val="continue"/>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registered</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8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PRAX</w:t>
            </w:r>
          </w:p>
        </w:tc>
        <w:tc>
          <w:tcPr>
            <w:tcW w:w="6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7" w:lineRule="exact"/>
        <w:rPr>
          <w:sz w:val="24"/>
          <w:szCs w:val="24"/>
          <w:color w:val="auto"/>
        </w:rPr>
      </w:pPr>
    </w:p>
    <w:p>
      <w:pPr>
        <w:ind w:left="32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13"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6"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1" w:lineRule="exact"/>
        <w:rPr>
          <w:sz w:val="24"/>
          <w:szCs w:val="24"/>
          <w:color w:val="auto"/>
        </w:rPr>
      </w:pPr>
    </w:p>
    <w:p>
      <w:pPr>
        <w:ind w:right="440" w:firstLine="315"/>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6" w:lineRule="exact"/>
        <w:rPr>
          <w:sz w:val="24"/>
          <w:szCs w:val="24"/>
          <w:color w:val="auto"/>
        </w:rPr>
      </w:pPr>
    </w:p>
    <w:p>
      <w:pPr>
        <w:ind w:right="40" w:firstLine="315"/>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7" w:lineRule="exact"/>
        <w:rPr>
          <w:sz w:val="24"/>
          <w:szCs w:val="24"/>
          <w:color w:val="auto"/>
        </w:rPr>
      </w:pPr>
    </w:p>
    <w:p>
      <w:pPr>
        <w:jc w:val="both"/>
        <w:ind w:right="320" w:firstLine="315"/>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186690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37" w:right="3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6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2"/>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18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5040" w:type="dxa"/>
            <w:vAlign w:val="bottom"/>
          </w:tcPr>
          <w:p>
            <w:pPr>
              <w:ind w:left="280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5" w:lineRule="exact"/>
        <w:rPr>
          <w:sz w:val="20"/>
          <w:szCs w:val="20"/>
          <w:color w:val="auto"/>
        </w:rPr>
      </w:pPr>
    </w:p>
    <w:p>
      <w:pPr>
        <w:ind w:right="100" w:firstLine="315"/>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0"/>
          <w:szCs w:val="20"/>
          <w:color w:val="auto"/>
        </w:rPr>
      </w:pPr>
    </w:p>
    <w:p>
      <w:pPr>
        <w:ind w:right="20" w:firstLine="315"/>
        <w:spacing w:after="0" w:line="269"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0"/>
          <w:szCs w:val="20"/>
          <w:color w:val="auto"/>
        </w:rPr>
      </w:pPr>
    </w:p>
    <w:p>
      <w:pPr>
        <w:spacing w:after="0" w:line="196" w:lineRule="exact"/>
        <w:rPr>
          <w:sz w:val="20"/>
          <w:szCs w:val="20"/>
          <w:color w:val="auto"/>
        </w:rPr>
      </w:pPr>
      <w:r>
        <w:rPr>
          <w:rFonts w:ascii="Arial" w:cs="Arial" w:eastAsia="Arial" w:hAnsi="Arial"/>
          <w:sz w:val="16"/>
          <w:szCs w:val="16"/>
          <w:color w:val="auto"/>
        </w:rPr>
        <w:t xml:space="preserve">audit report. </w:t>
      </w:r>
      <w:r>
        <w:rPr>
          <w:rFonts w:ascii="MS PGothic" w:cs="MS PGothic" w:eastAsia="MS PGothic" w:hAnsi="MS PGothic"/>
          <w:sz w:val="17"/>
          <w:szCs w:val="17"/>
          <w:color w:val="auto"/>
        </w:rPr>
        <w:t>☐</w:t>
      </w:r>
    </w:p>
    <w:p>
      <w:pPr>
        <w:spacing w:after="0" w:line="230" w:lineRule="exact"/>
        <w:rPr>
          <w:sz w:val="20"/>
          <w:szCs w:val="20"/>
          <w:color w:val="auto"/>
        </w:rPr>
      </w:pPr>
    </w:p>
    <w:p>
      <w:pPr>
        <w:ind w:firstLine="315"/>
        <w:spacing w:after="0" w:line="22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70" w:lineRule="exact"/>
        <w:rPr>
          <w:sz w:val="20"/>
          <w:szCs w:val="20"/>
          <w:color w:val="auto"/>
        </w:rPr>
      </w:pPr>
    </w:p>
    <w:p>
      <w:pPr>
        <w:ind w:right="60" w:firstLine="315"/>
        <w:spacing w:after="0" w:line="22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1" w:lineRule="exact"/>
        <w:rPr>
          <w:sz w:val="20"/>
          <w:szCs w:val="20"/>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1" w:lineRule="exact"/>
        <w:rPr>
          <w:sz w:val="20"/>
          <w:szCs w:val="20"/>
          <w:color w:val="auto"/>
        </w:rPr>
      </w:pPr>
    </w:p>
    <w:p>
      <w:pPr>
        <w:ind w:right="300" w:firstLine="315"/>
        <w:spacing w:after="0" w:line="262" w:lineRule="auto"/>
        <w:rPr>
          <w:sz w:val="20"/>
          <w:szCs w:val="20"/>
          <w:color w:val="auto"/>
        </w:rPr>
      </w:pPr>
      <w:r>
        <w:rPr>
          <w:rFonts w:ascii="Arial" w:cs="Arial" w:eastAsia="Arial" w:hAnsi="Arial"/>
          <w:sz w:val="16"/>
          <w:szCs w:val="16"/>
          <w:color w:val="auto"/>
        </w:rPr>
        <w:t>The aggregate market value of common stock held by non-affiliates of the registrant, based on the closing price of a share of common stock on June 30, 2023 as reported by the Nasdaq Global Select Market on such date was approximately $147.4 million. This calculation does not reflect a determination that certain persons are affiliates of the registrant for any other purpose.</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March 1, 2024, the registrant had 13,238,349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402590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1278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173990</wp:posOffset>
            </wp:positionV>
            <wp:extent cx="7127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8255"/>
                    </a:xfrm>
                    <a:prstGeom prst="rect">
                      <a:avLst/>
                    </a:prstGeom>
                    <a:noFill/>
                  </pic:spPr>
                </pic:pic>
              </a:graphicData>
            </a:graphic>
          </wp:anchor>
        </w:drawing>
      </w:r>
    </w:p>
    <w:p>
      <w:pPr>
        <w:sectPr>
          <w:pgSz w:w="11900" w:h="16838" w:orient="portrait"/>
          <w:cols w:equalWidth="0" w:num="1">
            <w:col w:w="11200"/>
          </w:cols>
          <w:pgMar w:left="320" w:top="36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9"/>
          </w:tcPr>
          <w:p>
            <w:pPr>
              <w:ind w:left="260"/>
              <w:spacing w:after="0"/>
              <w:rPr>
                <w:sz w:val="20"/>
                <w:szCs w:val="20"/>
                <w:color w:val="auto"/>
              </w:rPr>
            </w:pPr>
            <w:r>
              <w:rPr>
                <w:rFonts w:ascii="Arial" w:cs="Arial" w:eastAsia="Arial" w:hAnsi="Arial"/>
                <w:sz w:val="17"/>
                <w:szCs w:val="17"/>
                <w:b w:val="1"/>
                <w:bCs w:val="1"/>
                <w:color w:val="auto"/>
              </w:rPr>
              <w:t>TABLE OF CONTENTS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67"/>
        </w:trPr>
        <w:tc>
          <w:tcPr>
            <w:tcW w:w="560" w:type="dxa"/>
            <w:vAlign w:val="bottom"/>
            <w:tcBorders>
              <w:bottom w:val="single" w:sz="8" w:color="0000FF"/>
            </w:tcBorders>
            <w:gridSpan w:val="2"/>
          </w:tcPr>
          <w:p>
            <w:pPr>
              <w:ind w:left="20"/>
              <w:spacing w:after="0"/>
              <w:rPr>
                <w:sz w:val="20"/>
                <w:szCs w:val="20"/>
                <w:color w:val="auto"/>
              </w:rPr>
            </w:pPr>
            <w:r>
              <w:rPr>
                <w:rFonts w:ascii="Arial" w:cs="Arial" w:eastAsia="Arial" w:hAnsi="Arial"/>
                <w:sz w:val="17"/>
                <w:szCs w:val="17"/>
                <w:color w:val="0000FF"/>
              </w:rPr>
              <w:t>Part I</w:t>
            </w:r>
          </w:p>
        </w:tc>
        <w:tc>
          <w:tcPr>
            <w:tcW w:w="9600" w:type="dxa"/>
            <w:vAlign w:val="bottom"/>
            <w:gridSpan w:val="20"/>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 Business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7</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1A. Risk Factors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28</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1B. Unresolved Staff Comments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84</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2. Properties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85</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3. Legal Proceedings</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85</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40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4. Mine Safety Disclosures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85</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0"/>
              <w:spacing w:after="0" w:line="194" w:lineRule="exact"/>
              <w:rPr>
                <w:sz w:val="20"/>
                <w:szCs w:val="20"/>
                <w:color w:val="auto"/>
              </w:rPr>
            </w:pPr>
            <w:r>
              <w:rPr>
                <w:rFonts w:ascii="Arial" w:cs="Arial" w:eastAsia="Arial" w:hAnsi="Arial"/>
                <w:sz w:val="17"/>
                <w:szCs w:val="17"/>
                <w:color w:val="0000FF"/>
              </w:rPr>
              <w:t>Part II</w:t>
            </w: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0000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5. Market for Registrant's Common Equity, Related Stockholder Matters and Issuer Purchases of Equity Securities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86</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6. [Reserved]</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86</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7. Management's Discussion and Analysis of Financial Condition and results of Operations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87</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7A. Quantitative and Qualitative Disclosures About Market Risk</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99</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8. Financial Statements and Supplementary Data</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100</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9. Changes in and Disagreements with Accountants on Accounting and Financial Disclosure</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131</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9A. Controls and Procedures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131</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9B. Other Information</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131</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9C. Disclosure Regarding Foreign Jurisdictions that Prevent Inspections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131</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3"/>
        </w:trPr>
        <w:tc>
          <w:tcPr>
            <w:tcW w:w="560" w:type="dxa"/>
            <w:vAlign w:val="bottom"/>
            <w:tcBorders>
              <w:left w:val="single" w:sz="8" w:color="CCEEFF"/>
              <w:bottom w:val="single" w:sz="8" w:color="0000FF"/>
              <w:right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0000FF"/>
                <w:w w:val="99"/>
              </w:rPr>
              <w:t>Part III</w:t>
            </w:r>
          </w:p>
        </w:tc>
        <w:tc>
          <w:tcPr>
            <w:tcW w:w="9600" w:type="dxa"/>
            <w:vAlign w:val="bottom"/>
            <w:tcBorders>
              <w:bottom w:val="single" w:sz="8" w:color="CCEEFF"/>
            </w:tcBorders>
            <w:gridSpan w:val="20"/>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10. Directors, Executive Officers and Corporate Governance</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132</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11. Executive Compensation</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136</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12. Security Ownership of Certain Beneficial Owners and Management and Related Stockholder Matters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147</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13. Certain Relationships and Related Transactions, and Director Independence</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150</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440" w:type="dxa"/>
            <w:vAlign w:val="bottom"/>
            <w:tcBorders>
              <w:left w:val="single" w:sz="8" w:color="0000FF"/>
            </w:tcBorders>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14. Principal Accounting Fees and Services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152</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213"/>
        </w:trPr>
        <w:tc>
          <w:tcPr>
            <w:tcW w:w="560" w:type="dxa"/>
            <w:vAlign w:val="bottom"/>
            <w:tcBorders>
              <w:left w:val="single" w:sz="8" w:color="CCEEFF"/>
              <w:bottom w:val="single" w:sz="8" w:color="0000FF"/>
              <w:right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0000FF"/>
                <w:w w:val="96"/>
              </w:rPr>
              <w:t>Part IV</w:t>
            </w:r>
          </w:p>
        </w:tc>
        <w:tc>
          <w:tcPr>
            <w:tcW w:w="9600" w:type="dxa"/>
            <w:vAlign w:val="bottom"/>
            <w:tcBorders>
              <w:bottom w:val="single" w:sz="8" w:color="CCEEFF"/>
            </w:tcBorders>
            <w:gridSpan w:val="20"/>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84"/>
        </w:trPr>
        <w:tc>
          <w:tcPr>
            <w:tcW w:w="10160" w:type="dxa"/>
            <w:vAlign w:val="bottom"/>
            <w:gridSpan w:val="22"/>
          </w:tcPr>
          <w:p>
            <w:pPr>
              <w:ind w:left="220"/>
              <w:spacing w:after="0" w:line="184" w:lineRule="exact"/>
              <w:rPr>
                <w:sz w:val="20"/>
                <w:szCs w:val="20"/>
                <w:color w:val="auto"/>
              </w:rPr>
            </w:pPr>
            <w:r>
              <w:rPr>
                <w:rFonts w:ascii="Arial" w:cs="Arial" w:eastAsia="Arial" w:hAnsi="Arial"/>
                <w:sz w:val="17"/>
                <w:szCs w:val="17"/>
                <w:color w:val="0000FF"/>
              </w:rPr>
              <w:t>Item 15. Exhibits, Financial Statement Schedules</w:t>
            </w:r>
          </w:p>
        </w:tc>
        <w:tc>
          <w:tcPr>
            <w:tcW w:w="1040" w:type="dxa"/>
            <w:vAlign w:val="bottom"/>
            <w:gridSpan w:val="4"/>
          </w:tcPr>
          <w:p>
            <w:pPr>
              <w:jc w:val="right"/>
              <w:spacing w:after="0" w:line="184" w:lineRule="exact"/>
              <w:rPr>
                <w:sz w:val="20"/>
                <w:szCs w:val="20"/>
                <w:color w:val="auto"/>
              </w:rPr>
            </w:pPr>
            <w:r>
              <w:rPr>
                <w:rFonts w:ascii="Arial" w:cs="Arial" w:eastAsia="Arial" w:hAnsi="Arial"/>
                <w:sz w:val="17"/>
                <w:szCs w:val="17"/>
                <w:color w:val="0000FF"/>
              </w:rPr>
              <w:t>153</w:t>
            </w:r>
          </w:p>
        </w:tc>
        <w:tc>
          <w:tcPr>
            <w:tcW w:w="40" w:type="dxa"/>
            <w:vAlign w:val="bottom"/>
          </w:tcPr>
          <w:p>
            <w:pPr>
              <w:spacing w:after="0"/>
              <w:rPr>
                <w:sz w:val="15"/>
                <w:szCs w:val="15"/>
                <w:color w:val="auto"/>
              </w:rPr>
            </w:pPr>
          </w:p>
        </w:tc>
      </w:tr>
      <w:tr>
        <w:trPr>
          <w:trHeight w:val="30"/>
        </w:trPr>
        <w:tc>
          <w:tcPr>
            <w:tcW w:w="22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440" w:type="dxa"/>
            <w:vAlign w:val="bottom"/>
            <w:tcBorders>
              <w:left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3"/>
        </w:trPr>
        <w:tc>
          <w:tcPr>
            <w:tcW w:w="10160" w:type="dxa"/>
            <w:vAlign w:val="bottom"/>
            <w:tcBorders>
              <w:left w:val="single" w:sz="8" w:color="CCEEFF"/>
            </w:tcBorders>
            <w:gridSpan w:val="22"/>
            <w:shd w:val="clear" w:color="auto" w:fill="CCEEFF"/>
          </w:tcPr>
          <w:p>
            <w:pPr>
              <w:ind w:left="220"/>
              <w:spacing w:after="0" w:line="194" w:lineRule="exact"/>
              <w:rPr>
                <w:sz w:val="20"/>
                <w:szCs w:val="20"/>
                <w:color w:val="auto"/>
              </w:rPr>
            </w:pPr>
            <w:r>
              <w:rPr>
                <w:rFonts w:ascii="Arial" w:cs="Arial" w:eastAsia="Arial" w:hAnsi="Arial"/>
                <w:sz w:val="17"/>
                <w:szCs w:val="17"/>
                <w:color w:val="0000FF"/>
              </w:rPr>
              <w:t>Item 16. Form 10-K Summary</w:t>
            </w:r>
          </w:p>
        </w:tc>
        <w:tc>
          <w:tcPr>
            <w:tcW w:w="104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7"/>
                <w:szCs w:val="17"/>
                <w:color w:val="0000FF"/>
              </w:rPr>
              <w:t>156</w:t>
            </w:r>
          </w:p>
        </w:tc>
        <w:tc>
          <w:tcPr>
            <w:tcW w:w="40" w:type="dxa"/>
            <w:vAlign w:val="bottom"/>
            <w:tcBorders>
              <w:left w:val="single" w:sz="8" w:color="CCEEFF"/>
            </w:tcBorders>
          </w:tcPr>
          <w:p>
            <w:pPr>
              <w:spacing w:after="0"/>
              <w:rPr>
                <w:sz w:val="16"/>
                <w:szCs w:val="16"/>
                <w:color w:val="auto"/>
              </w:rPr>
            </w:pPr>
          </w:p>
        </w:tc>
      </w:tr>
      <w:tr>
        <w:trPr>
          <w:trHeight w:val="39"/>
        </w:trPr>
        <w:tc>
          <w:tcPr>
            <w:tcW w:w="220" w:type="dxa"/>
            <w:vAlign w:val="bottom"/>
            <w:tcBorders>
              <w:left w:val="single" w:sz="8" w:color="CCEEFF"/>
            </w:tcBorders>
            <w:shd w:val="clear" w:color="auto" w:fill="CCEEFF"/>
          </w:tcPr>
          <w:p>
            <w:pPr>
              <w:spacing w:after="0"/>
              <w:rPr>
                <w:sz w:val="3"/>
                <w:szCs w:val="3"/>
                <w:color w:val="auto"/>
              </w:rPr>
            </w:pPr>
          </w:p>
        </w:tc>
        <w:tc>
          <w:tcPr>
            <w:tcW w:w="34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6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40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440" w:type="dxa"/>
            <w:vAlign w:val="bottom"/>
            <w:tcBorders>
              <w:lef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84"/>
        </w:trPr>
        <w:tc>
          <w:tcPr>
            <w:tcW w:w="10160" w:type="dxa"/>
            <w:vAlign w:val="bottom"/>
            <w:gridSpan w:val="22"/>
          </w:tcPr>
          <w:p>
            <w:pPr>
              <w:ind w:left="20"/>
              <w:spacing w:after="0" w:line="184" w:lineRule="exact"/>
              <w:rPr>
                <w:sz w:val="20"/>
                <w:szCs w:val="20"/>
                <w:color w:val="auto"/>
              </w:rPr>
            </w:pPr>
            <w:r>
              <w:rPr>
                <w:rFonts w:ascii="Arial" w:cs="Arial" w:eastAsia="Arial" w:hAnsi="Arial"/>
                <w:sz w:val="17"/>
                <w:szCs w:val="17"/>
                <w:color w:val="0000FF"/>
              </w:rPr>
              <w:t>Signatures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42"/>
        </w:trPr>
        <w:tc>
          <w:tcPr>
            <w:tcW w:w="2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OF THE MATERIAL RISKS ASSOCIATED WITH OUR BUSINESS</w:t>
      </w:r>
    </w:p>
    <w:p>
      <w:pPr>
        <w:spacing w:after="0" w:line="252" w:lineRule="exact"/>
        <w:rPr>
          <w:sz w:val="20"/>
          <w:szCs w:val="20"/>
          <w:color w:val="auto"/>
        </w:rPr>
      </w:pPr>
    </w:p>
    <w:p>
      <w:pPr>
        <w:ind w:left="640" w:right="24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 clinical-stage biopharmaceutical company and we have incurred significant losses since our inception. We anticipate that we will continue to incur significant losses for the foreseeable future.</w:t>
      </w:r>
    </w:p>
    <w:p>
      <w:pPr>
        <w:spacing w:after="0" w:line="140" w:lineRule="exact"/>
        <w:rPr>
          <w:rFonts w:ascii="Arial" w:cs="Arial" w:eastAsia="Arial" w:hAnsi="Arial"/>
          <w:sz w:val="17"/>
          <w:szCs w:val="17"/>
          <w:color w:val="auto"/>
        </w:rPr>
      </w:pPr>
    </w:p>
    <w:p>
      <w:pPr>
        <w:ind w:left="640" w:right="30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166" w:lineRule="exact"/>
        <w:rPr>
          <w:rFonts w:ascii="Arial" w:cs="Arial" w:eastAsia="Arial" w:hAnsi="Arial"/>
          <w:sz w:val="17"/>
          <w:szCs w:val="17"/>
          <w:color w:val="auto"/>
        </w:rPr>
      </w:pPr>
    </w:p>
    <w:p>
      <w:pPr>
        <w:ind w:left="640" w:hanging="320"/>
        <w:spacing w:after="0" w:line="27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and commercialization of drug products is subject to extensive regulation, and the regulatory approval processes of the U.S. Food and Drug Administration, or the FDA, and comparable foreign regulatory authorities are lengthy, time-consuming, and inherently unpredictable. If we are ultimately unable to obtain regulatory approval for our product candidates on a timely basis if at all, our business will be substantially harmed.</w:t>
      </w:r>
    </w:p>
    <w:p>
      <w:pPr>
        <w:spacing w:after="0" w:line="192" w:lineRule="exact"/>
        <w:rPr>
          <w:rFonts w:ascii="Arial" w:cs="Arial" w:eastAsia="Arial" w:hAnsi="Arial"/>
          <w:sz w:val="17"/>
          <w:szCs w:val="17"/>
          <w:color w:val="auto"/>
        </w:rPr>
      </w:pPr>
    </w:p>
    <w:p>
      <w:pPr>
        <w:jc w:val="both"/>
        <w:ind w:left="640" w:right="120" w:hanging="320"/>
        <w:spacing w:after="0" w:line="27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186"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166"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encounter difficulties enrolling patients in our future clinical trials, our clinical development activities could be delayed or otherwise adversely affected.</w:t>
      </w:r>
    </w:p>
    <w:p>
      <w:pPr>
        <w:spacing w:after="0" w:line="166" w:lineRule="exact"/>
        <w:rPr>
          <w:rFonts w:ascii="Arial" w:cs="Arial" w:eastAsia="Arial" w:hAnsi="Arial"/>
          <w:sz w:val="17"/>
          <w:szCs w:val="17"/>
          <w:color w:val="auto"/>
        </w:rPr>
      </w:pPr>
    </w:p>
    <w:p>
      <w:pPr>
        <w:ind w:left="640" w:right="140" w:hanging="320"/>
        <w:spacing w:after="0" w:line="27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92"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depends in part on our ability to protect our intellectual property. It is difficult and costly to protect our proprietary rights and technology, and we may not be able to ensure their protection.</w:t>
      </w:r>
    </w:p>
    <w:p>
      <w:pPr>
        <w:spacing w:after="0" w:line="166" w:lineRule="exact"/>
        <w:rPr>
          <w:rFonts w:ascii="Arial" w:cs="Arial" w:eastAsia="Arial" w:hAnsi="Arial"/>
          <w:sz w:val="17"/>
          <w:szCs w:val="17"/>
          <w:color w:val="auto"/>
        </w:rPr>
      </w:pPr>
    </w:p>
    <w:p>
      <w:pPr>
        <w:jc w:val="both"/>
        <w:ind w:left="640" w:right="220" w:hanging="320"/>
        <w:spacing w:after="0" w:line="27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entered into, and may enter into, license or other collaboration agreements that impose certain obligations on us. If we fail to comply with our obligations under such agreements with third parties or otherwise experience disruptions to our business relationships with our current or future licensors, we could lose rights that may be important to our business.</w:t>
      </w:r>
    </w:p>
    <w:p>
      <w:pPr>
        <w:spacing w:after="0" w:line="18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product discovery and development efforts.</w:t>
      </w:r>
    </w:p>
    <w:p>
      <w:pPr>
        <w:spacing w:after="0" w:line="250" w:lineRule="exact"/>
        <w:rPr>
          <w:rFonts w:ascii="Arial" w:cs="Arial" w:eastAsia="Arial" w:hAnsi="Arial"/>
          <w:sz w:val="17"/>
          <w:szCs w:val="17"/>
          <w:color w:val="auto"/>
        </w:rPr>
      </w:pPr>
    </w:p>
    <w:p>
      <w:pPr>
        <w:ind w:left="640" w:right="80" w:hanging="320"/>
        <w:spacing w:after="0" w:line="291"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391" w:lineRule="exact"/>
        <w:rPr>
          <w:rFonts w:ascii="Arial" w:cs="Arial" w:eastAsia="Arial" w:hAnsi="Arial"/>
          <w:sz w:val="17"/>
          <w:szCs w:val="17"/>
          <w:color w:val="auto"/>
        </w:rPr>
      </w:pPr>
    </w:p>
    <w:p>
      <w:pPr>
        <w:ind w:left="640" w:right="26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depend heavily on our executive officers, principal consultants and others, and the loss of their services would materially harm our business.</w:t>
      </w:r>
    </w:p>
    <w:p>
      <w:pPr>
        <w:spacing w:after="0" w:line="166" w:lineRule="exact"/>
        <w:rPr>
          <w:rFonts w:ascii="Arial" w:cs="Arial" w:eastAsia="Arial" w:hAnsi="Arial"/>
          <w:sz w:val="17"/>
          <w:szCs w:val="17"/>
          <w:color w:val="auto"/>
        </w:rPr>
      </w:pPr>
    </w:p>
    <w:p>
      <w:pPr>
        <w:ind w:left="640" w:right="320" w:hanging="320"/>
        <w:spacing w:after="0" w:line="278"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18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price of our stock has been and may in the future be volatile,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52" w:lineRule="exact"/>
        <w:rPr>
          <w:sz w:val="20"/>
          <w:szCs w:val="20"/>
          <w:color w:val="auto"/>
        </w:rPr>
      </w:pPr>
    </w:p>
    <w:p>
      <w:pPr>
        <w:ind w:firstLine="472"/>
        <w:spacing w:after="0" w:line="266" w:lineRule="auto"/>
        <w:rPr>
          <w:sz w:val="20"/>
          <w:szCs w:val="20"/>
          <w:color w:val="auto"/>
        </w:rPr>
      </w:pPr>
      <w:r>
        <w:rPr>
          <w:rFonts w:ascii="Arial" w:cs="Arial" w:eastAsia="Arial" w:hAnsi="Arial"/>
          <w:sz w:val="17"/>
          <w:szCs w:val="17"/>
          <w:color w:val="auto"/>
        </w:rPr>
        <w:t>This Annual Report on Form 10-K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statements about:</w:t>
      </w:r>
    </w:p>
    <w:p>
      <w:pPr>
        <w:spacing w:after="0" w:line="116" w:lineRule="exact"/>
        <w:rPr>
          <w:sz w:val="20"/>
          <w:szCs w:val="20"/>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cost and timing of our product candidate development activities and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maintain intellectual property protection for our product candidates;</w:t>
      </w:r>
    </w:p>
    <w:p>
      <w:pPr>
        <w:spacing w:after="0" w:line="171" w:lineRule="exact"/>
        <w:rPr>
          <w:rFonts w:ascii="Arial" w:cs="Arial" w:eastAsia="Arial" w:hAnsi="Arial"/>
          <w:sz w:val="17"/>
          <w:szCs w:val="17"/>
          <w:color w:val="auto"/>
        </w:rPr>
      </w:pPr>
    </w:p>
    <w:p>
      <w:pPr>
        <w:ind w:left="640" w:right="28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license additional intellectual property relating to our product candidates from third parties and to comply with our existing license agreements and collaboration agreements;</w:t>
      </w:r>
    </w:p>
    <w:p>
      <w:pPr>
        <w:spacing w:after="0" w:line="88" w:lineRule="exact"/>
        <w:rPr>
          <w:rFonts w:ascii="Arial" w:cs="Arial" w:eastAsia="Arial" w:hAnsi="Arial"/>
          <w:sz w:val="17"/>
          <w:szCs w:val="17"/>
          <w:color w:val="auto"/>
        </w:rPr>
      </w:pPr>
    </w:p>
    <w:p>
      <w:pPr>
        <w:ind w:left="640" w:right="18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and willingness of our third-party research institution collaborators to continue research and development activities relating to our product candidates;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commercialize our product candidates, if approved, in light of the intellectual property rights of others;</w:t>
      </w:r>
    </w:p>
    <w:p>
      <w:pPr>
        <w:spacing w:after="0" w:line="171" w:lineRule="exact"/>
        <w:rPr>
          <w:rFonts w:ascii="Arial" w:cs="Arial" w:eastAsia="Arial" w:hAnsi="Arial"/>
          <w:sz w:val="17"/>
          <w:szCs w:val="17"/>
          <w:color w:val="auto"/>
        </w:rPr>
      </w:pPr>
    </w:p>
    <w:p>
      <w:pPr>
        <w:ind w:left="640" w:right="9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further development and, if approved, commercialization of our product candidates;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commercialization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to research, develop and, if approved, commercialize our product candidates;</w:t>
      </w:r>
    </w:p>
    <w:p>
      <w:pPr>
        <w:spacing w:after="0" w:line="171" w:lineRule="exact"/>
        <w:rPr>
          <w:rFonts w:ascii="Arial" w:cs="Arial" w:eastAsia="Arial" w:hAnsi="Arial"/>
          <w:sz w:val="17"/>
          <w:szCs w:val="17"/>
          <w:color w:val="auto"/>
        </w:rPr>
      </w:pPr>
    </w:p>
    <w:p>
      <w:pPr>
        <w:ind w:left="640" w:right="5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product candidates, if approved, and any other approved product;</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product candidates, if approved;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competing therapies that are or may become available;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24" w:lineRule="exact"/>
        <w:rPr>
          <w:sz w:val="20"/>
          <w:szCs w:val="20"/>
          <w:color w:val="auto"/>
        </w:rPr>
      </w:pPr>
    </w:p>
    <w:p>
      <w:pPr>
        <w:ind w:right="40" w:firstLine="551"/>
        <w:spacing w:after="0" w:line="263" w:lineRule="auto"/>
        <w:rPr>
          <w:sz w:val="20"/>
          <w:szCs w:val="20"/>
          <w:color w:val="auto"/>
        </w:rPr>
      </w:pPr>
      <w:r>
        <w:rPr>
          <w:rFonts w:ascii="Arial" w:cs="Arial" w:eastAsia="Arial" w:hAnsi="Arial"/>
          <w:sz w:val="17"/>
          <w:szCs w:val="17"/>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516890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reference in this Annual Report on Form 10-K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60" w:lineRule="exact"/>
        <w:rPr>
          <w:sz w:val="20"/>
          <w:szCs w:val="20"/>
          <w:color w:val="auto"/>
        </w:rPr>
      </w:pPr>
    </w:p>
    <w:p>
      <w:pPr>
        <w:ind w:firstLine="472"/>
        <w:spacing w:after="0" w:line="268" w:lineRule="auto"/>
        <w:rPr>
          <w:sz w:val="20"/>
          <w:szCs w:val="20"/>
          <w:color w:val="auto"/>
        </w:rPr>
      </w:pPr>
      <w:r>
        <w:rPr>
          <w:rFonts w:ascii="Arial" w:cs="Arial" w:eastAsia="Arial" w:hAnsi="Arial"/>
          <w:sz w:val="17"/>
          <w:szCs w:val="17"/>
          <w:color w:val="auto"/>
        </w:rPr>
        <w:t>The forward -looking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67" w:lineRule="exact"/>
        <w:rPr>
          <w:sz w:val="20"/>
          <w:szCs w:val="20"/>
          <w:color w:val="auto"/>
        </w:rPr>
      </w:pPr>
    </w:p>
    <w:p>
      <w:pPr>
        <w:ind w:right="60" w:firstLine="472"/>
        <w:spacing w:after="0" w:line="262"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518795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BUSINESS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1"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16" w:lineRule="exact"/>
        <w:rPr>
          <w:sz w:val="20"/>
          <w:szCs w:val="20"/>
          <w:color w:val="auto"/>
        </w:rPr>
      </w:pPr>
    </w:p>
    <w:p>
      <w:pPr>
        <w:ind w:left="640" w:right="46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our small molecule platform, utilizes deep understanding of neuronal excitability and neuronal networks and applies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of computational and experimental tools to develop orally available precision therapies</w:t>
      </w:r>
    </w:p>
    <w:p>
      <w:pPr>
        <w:spacing w:after="0" w:line="88" w:lineRule="exact"/>
        <w:rPr>
          <w:rFonts w:ascii="Arial" w:cs="Arial" w:eastAsia="Arial" w:hAnsi="Arial"/>
          <w:sz w:val="17"/>
          <w:szCs w:val="17"/>
          <w:color w:val="auto"/>
        </w:rPr>
      </w:pPr>
    </w:p>
    <w:p>
      <w:pPr>
        <w:ind w:left="640" w:right="52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our antisense oligonucleotide, or ASO, platform, is an efficient, targeted precision medicine discovery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 anchored on a proprietary, computational methodology</w:t>
      </w:r>
    </w:p>
    <w:p>
      <w:pPr>
        <w:spacing w:after="0" w:line="141"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Cerebrum</w:t>
      </w:r>
      <w:r>
        <w:rPr>
          <w:rFonts w:ascii="Arial" w:cs="Arial" w:eastAsia="Arial" w:hAnsi="Arial"/>
          <w:sz w:val="17"/>
          <w:szCs w:val="17"/>
          <w:color w:val="auto"/>
        </w:rPr>
        <w:t>™</w:t>
      </w:r>
      <w:r>
        <w:rPr>
          <w:rFonts w:ascii="Arial" w:cs="Arial" w:eastAsia="Arial" w:hAnsi="Arial"/>
          <w:sz w:val="17"/>
          <w:szCs w:val="17"/>
          <w:b w:val="1"/>
          <w:bCs w:val="1"/>
          <w:color w:val="auto"/>
        </w:rPr>
        <w:t xml:space="preserve"> (small molecule platform)</w:t>
      </w:r>
    </w:p>
    <w:p>
      <w:pPr>
        <w:spacing w:after="0" w:line="121"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 xml:space="preserve">We have built a platform, Cerebrum™, which is enabled by innovative computational and experimental tools, to discover and develop first-and best-in-class CNS small molecule therapies. Our world-class ion channel discovery science team, along with external collaborators, accelerate our ability to create and execute novel screening cascades for our selected genetic targets. Fundamental to advancement of candidates are our multiscale disease models that link genetic cause to network function to elucidate novel drivers of disease phenotype. We employ translational biomarkers such as </w:t>
      </w:r>
      <w:r>
        <w:rPr>
          <w:rFonts w:ascii="Arial" w:cs="Arial" w:eastAsia="Arial" w:hAnsi="Arial"/>
          <w:sz w:val="17"/>
          <w:szCs w:val="17"/>
          <w:color w:val="202124"/>
        </w:rPr>
        <w:t>quantitative electroencephalography</w:t>
      </w:r>
      <w:r>
        <w:rPr>
          <w:rFonts w:ascii="Arial" w:cs="Arial" w:eastAsia="Arial" w:hAnsi="Arial"/>
          <w:sz w:val="17"/>
          <w:szCs w:val="17"/>
          <w:color w:val="auto"/>
        </w:rPr>
        <w:t>, or qEEG, to guide dose selection, with the goal of improving probability of success in the clinic. The precision application of our candidates is guided by genomics and informatics to identify, stratify and activate patients for trial recruitment and execution. To date, Cerebrum™ has generated three clinical stage product candidates – ulixacaltamide (formerly known as PRAX-944), PRAX-562 and PRAX-628, and has the potential to continue delivering first- and best-in-class orally available therapies for genetic CNS targets.</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Solidus</w:t>
      </w:r>
      <w:r>
        <w:rPr>
          <w:rFonts w:ascii="Arial" w:cs="Arial" w:eastAsia="Arial" w:hAnsi="Arial"/>
          <w:sz w:val="17"/>
          <w:szCs w:val="17"/>
          <w:color w:val="auto"/>
        </w:rPr>
        <w:t>™</w:t>
      </w:r>
      <w:r>
        <w:rPr>
          <w:rFonts w:ascii="Arial" w:cs="Arial" w:eastAsia="Arial" w:hAnsi="Arial"/>
          <w:sz w:val="17"/>
          <w:szCs w:val="17"/>
          <w:b w:val="1"/>
          <w:bCs w:val="1"/>
          <w:color w:val="auto"/>
        </w:rPr>
        <w:t xml:space="preserve"> (ASO platform)</w:t>
      </w:r>
    </w:p>
    <w:p>
      <w:pPr>
        <w:spacing w:after="0" w:line="121"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have built a platform, Solidus™, to discover and develop first- and best-in-class ASOs with high probability of advancement into the clinic. Solidus™ is enabled by our proprietary, computational workflow to discover ASOs with desired drug-like properties to optimize for up/down-regulation, avoidance of toxic motifs and optimization of binding affinity and specificity. Led by our clinical-stage product candidate, elsunersen (formerly known as PRAX-222), Solidus™ has also generated novel ASOs with preclinical proof of mechanism, including PRAX-080, for which we expect to nominate a development candidate for the treatment of PCDH19 in 2024, PRAX-090, and PRAX-100. The platform is uniquely positioned to continue discovering and advancing other new ASOs for novel genetic CNS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Below is a summary of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153035</wp:posOffset>
            </wp:positionV>
            <wp:extent cx="5445760" cy="2781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45760" cy="278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*PRAX-020 (KCNT1) is a research collaboration with UCB Biopharma SRL</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+PRAX-080 (PCDH19), PRAX-090 (SYNGAP1) &amp; PRAX-100 (SCN2A-LoF) ASOs are a collaboration with The Florey Institute of Neuroscience and Mental Health</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 &amp; Approach to Drug Development</w:t>
      </w:r>
    </w:p>
    <w:p>
      <w:pPr>
        <w:spacing w:after="0" w:line="121"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 xml:space="preserve">We leverage the genetics of epilepsy as a gateway for CNS drug discovery and development. Recent investigations have led to the identification of over 500 genes that are causal or risk factors for different forms of epilepsy, providing the field with an outsized understanding of epilepsy genetics relative to other diseases such as Alzheimer’s disease, </w:t>
      </w:r>
      <w:r>
        <w:rPr>
          <w:rFonts w:ascii="Arial" w:cs="Arial" w:eastAsia="Arial" w:hAnsi="Arial"/>
          <w:sz w:val="17"/>
          <w:szCs w:val="17"/>
          <w:color w:val="202124"/>
        </w:rPr>
        <w:t>amyotrophic lateral sclerosis, or</w:t>
      </w:r>
      <w:r>
        <w:rPr>
          <w:rFonts w:ascii="Arial" w:cs="Arial" w:eastAsia="Arial" w:hAnsi="Arial"/>
          <w:sz w:val="17"/>
          <w:szCs w:val="17"/>
          <w:color w:val="auto"/>
        </w:rPr>
        <w:t xml:space="preserve"> ALS, and many others. The genetic origin provides clarity around how to address the underlying disease biology and precisely meet the needs of patients not only suffering from epilepsy, but also other neurological disorders of neuronal imbalance with shared pathophysiological mechanisms informed by the same genetics, including movement disorders. It is through our two platforms, Cerebrum™ and Solidus™, that we aim to translate these insights into the discovery, development and potential commercialization of clinically meaningful medicines for patients.</w:t>
      </w:r>
    </w:p>
    <w:p>
      <w:pPr>
        <w:spacing w:after="0" w:line="173"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We believe that fostering an ecosystem of collaborators to support our internal research, clinical and commercial efforts is critical to our strategy. Our collaborators include world-renowned research groups and drug developers, clinical research organizations, or CROs, innovative patient mapping database companies, experts in translational tools, next-generation drug delivery technology companies and others. In addition, we are deeply embedded within the communities that we serve and believe that the more we know about the impact on patients, caregivers and communities at large, the better positioned we will be to deliver on what patients actually need.</w:t>
      </w:r>
    </w:p>
    <w:p>
      <w:pPr>
        <w:spacing w:after="0" w:line="167" w:lineRule="exact"/>
        <w:rPr>
          <w:sz w:val="20"/>
          <w:szCs w:val="20"/>
          <w:color w:val="auto"/>
        </w:rPr>
      </w:pPr>
    </w:p>
    <w:p>
      <w:pPr>
        <w:ind w:right="20" w:firstLine="393"/>
        <w:spacing w:after="0" w:line="300" w:lineRule="auto"/>
        <w:rPr>
          <w:sz w:val="20"/>
          <w:szCs w:val="20"/>
          <w:color w:val="auto"/>
        </w:rPr>
      </w:pPr>
      <w:r>
        <w:rPr>
          <w:rFonts w:ascii="Arial" w:cs="Arial" w:eastAsia="Arial" w:hAnsi="Arial"/>
          <w:sz w:val="17"/>
          <w:szCs w:val="17"/>
          <w:color w:val="auto"/>
        </w:rPr>
        <w:t>Underlying each of our programs are four key principles that we believe will increase probability of success and allow us to sustainably and efficiently translate insights into high-impact therapies for patients and society:</w:t>
      </w:r>
    </w:p>
    <w:p>
      <w:pPr>
        <w:spacing w:after="0" w:line="88" w:lineRule="exact"/>
        <w:rPr>
          <w:sz w:val="20"/>
          <w:szCs w:val="20"/>
          <w:color w:val="auto"/>
        </w:rPr>
      </w:pPr>
    </w:p>
    <w:p>
      <w:pPr>
        <w:jc w:val="both"/>
        <w:ind w:left="640" w:right="220" w:hanging="320"/>
        <w:spacing w:after="0" w:line="300" w:lineRule="auto"/>
        <w:tabs>
          <w:tab w:leader="none" w:pos="6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Focus on therapeutic targets identified through human genetics. </w:t>
      </w:r>
      <w:r>
        <w:rPr>
          <w:rFonts w:ascii="Arial" w:cs="Arial" w:eastAsia="Arial" w:hAnsi="Arial"/>
          <w:sz w:val="17"/>
          <w:szCs w:val="17"/>
          <w:color w:val="auto"/>
        </w:rPr>
        <w:t>By applying insights derived from the genetics of epilepsies,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identified biological targets that are implicated in determining neuronal excitability in epilepsies and also in other CNS disorders.</w:t>
      </w:r>
    </w:p>
    <w:p>
      <w:pPr>
        <w:spacing w:after="0" w:line="88" w:lineRule="exact"/>
        <w:rPr>
          <w:rFonts w:ascii="Arial" w:cs="Arial" w:eastAsia="Arial" w:hAnsi="Arial"/>
          <w:sz w:val="17"/>
          <w:szCs w:val="17"/>
          <w:color w:val="auto"/>
        </w:rPr>
      </w:pPr>
    </w:p>
    <w:p>
      <w:pPr>
        <w:ind w:left="640" w:hanging="320"/>
        <w:spacing w:after="0" w:line="266" w:lineRule="auto"/>
        <w:tabs>
          <w:tab w:leader="none" w:pos="628"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Utilize translational tools to validate the potential of our targets and product candidates. </w:t>
      </w:r>
      <w:r>
        <w:rPr>
          <w:rFonts w:ascii="Arial" w:cs="Arial" w:eastAsia="Arial" w:hAnsi="Arial"/>
          <w:sz w:val="17"/>
          <w:szCs w:val="17"/>
          <w:color w:val="auto"/>
        </w:rPr>
        <w:t>We leverage translational tools to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confirm pharmacodynamic effects of our drug product candidates in the brain and establish on-mechanism effects. Our programs utilize target-specific electroencephalogram, or EEG, endpoints to serve as robust markers of pharmacological engagement of the drug target and novel transgenic animal models to assess the therapeutic activity of our molecules. We expect these tools, along with rigorous preclinical pharmacokinetics, or PK, and pharmacodynamic characterization of our molecules will position us to more efficiently translate preclinical findings into clinical utility.</w:t>
      </w:r>
    </w:p>
    <w:p>
      <w:pPr>
        <w:spacing w:after="0" w:line="200" w:lineRule="exact"/>
        <w:rPr>
          <w:sz w:val="20"/>
          <w:szCs w:val="20"/>
          <w:color w:val="auto"/>
        </w:rPr>
      </w:pP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hanging="320"/>
        <w:spacing w:after="0" w:line="264" w:lineRule="auto"/>
        <w:tabs>
          <w:tab w:leader="none" w:pos="6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Pursue efficient, rigorous clinical development paths to proof-of-concept in humans</w:t>
      </w:r>
      <w:r>
        <w:rPr>
          <w:rFonts w:ascii="Arial" w:cs="Arial" w:eastAsia="Arial" w:hAnsi="Arial"/>
          <w:sz w:val="17"/>
          <w:szCs w:val="17"/>
          <w:color w:val="auto"/>
        </w:rPr>
        <w:t>. Our development strategies are focused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defining efficient paths to demonstrate the safety and therapeutic activity of our programs in humans. We select indications that we believe will enable early and robust demonstration of desired effect in a relatively small patient sample and we focus on clinical endpoints that minimize inter-patient variability. Our global network of CROs and scientists affords us the flexibility to conduct research and development activities in diverse geographic locations to help accelerate development timelines and limit geographic risks. We have also solidified our know-how on running hybrid and decentralized clinical trials, increasing our ability to execute our programs with quality and speed, while being closer to patients needs.</w:t>
      </w:r>
    </w:p>
    <w:p>
      <w:pPr>
        <w:spacing w:after="0" w:line="120" w:lineRule="exact"/>
        <w:rPr>
          <w:rFonts w:ascii="Arial" w:cs="Arial" w:eastAsia="Arial" w:hAnsi="Arial"/>
          <w:sz w:val="17"/>
          <w:szCs w:val="17"/>
          <w:color w:val="auto"/>
        </w:rPr>
      </w:pPr>
    </w:p>
    <w:p>
      <w:pPr>
        <w:ind w:left="640" w:right="20" w:hanging="320"/>
        <w:spacing w:after="0" w:line="267" w:lineRule="auto"/>
        <w:tabs>
          <w:tab w:leader="none" w:pos="628"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Apply patient-guided development strategies. </w:t>
      </w:r>
      <w:r>
        <w:rPr>
          <w:rFonts w:ascii="Arial" w:cs="Arial" w:eastAsia="Arial" w:hAnsi="Arial"/>
          <w:sz w:val="17"/>
          <w:szCs w:val="17"/>
          <w:color w:val="auto"/>
        </w:rPr>
        <w:t>We pursue the development of candidates that address the treatment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caregivers and the treating community, including targeting the underlying disease pathology versus just symptom management. We focus on clinical endpoints that offer a clear connection between pharmacodynamic effects and clinical measures that are meaningful to patients, physicians and regulatory agencies. We intend to develop therapies that provide patients long-term relief from their disorders and significantly reduce the overall burden to patients and caregivers. Our development strategies are tailored to demonstrate these benefits.</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STAGE PROGRAMS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advanced four product candidates to clinical stage, including three small molecules through the Cerebrum™ platform and one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ASO through the Solidus™ platform:</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Ulixacaltamide for Essential Tremor</w:t>
      </w:r>
    </w:p>
    <w:p>
      <w:pPr>
        <w:spacing w:after="0" w:line="121" w:lineRule="exact"/>
        <w:rPr>
          <w:sz w:val="20"/>
          <w:szCs w:val="20"/>
          <w:color w:val="auto"/>
        </w:rPr>
      </w:pPr>
    </w:p>
    <w:p>
      <w:pPr>
        <w:ind w:right="380" w:firstLine="433"/>
        <w:spacing w:after="0" w:line="271" w:lineRule="auto"/>
        <w:rPr>
          <w:sz w:val="20"/>
          <w:szCs w:val="20"/>
          <w:color w:val="auto"/>
        </w:rPr>
      </w:pPr>
      <w:r>
        <w:rPr>
          <w:rFonts w:ascii="Arial" w:cs="Arial" w:eastAsia="Arial" w:hAnsi="Arial"/>
          <w:sz w:val="17"/>
          <w:szCs w:val="17"/>
          <w:color w:val="auto"/>
        </w:rPr>
        <w:t>Our most advanced program, ulixacaltamide, is a differentiated and highly selective small molecule inhibitor of T-type calcium channels currently in Phase 3 clinical development for the treatment of Essential Tremor, or ET. Additionally, we have an exclusive collaboration and license agreement with Tenacia Biotechnology (Shanghai) Company, Ltd., a China-based portfolio company of Bain Capital, to develop and commercialize ulixacaltamide for the treatment of ET in China, Hong Kong, Macau and Taiwan.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Ulixacaltamide Phase 3 Essential3 trial</w:t>
      </w:r>
    </w:p>
    <w:p>
      <w:pPr>
        <w:spacing w:after="0" w:line="119" w:lineRule="exact"/>
        <w:rPr>
          <w:sz w:val="20"/>
          <w:szCs w:val="20"/>
          <w:color w:val="auto"/>
        </w:rPr>
      </w:pPr>
    </w:p>
    <w:p>
      <w:pPr>
        <w:ind w:right="20" w:firstLine="472"/>
        <w:spacing w:after="0" w:line="267" w:lineRule="auto"/>
        <w:rPr>
          <w:sz w:val="20"/>
          <w:szCs w:val="20"/>
          <w:color w:val="auto"/>
        </w:rPr>
      </w:pPr>
      <w:r>
        <w:rPr>
          <w:rFonts w:ascii="Arial" w:cs="Arial" w:eastAsia="Arial" w:hAnsi="Arial"/>
          <w:sz w:val="17"/>
          <w:szCs w:val="17"/>
          <w:color w:val="auto"/>
        </w:rPr>
        <w:t>Essential3 is a decentralized, Phase 3, multi-study, clinical trial evaluating the safety and efficacy of 60 mg of ulixacaltamide in ET. The study includes two separate and simultaneous Phase 3 pivotal studies, of which one is a 12-week parallel design and the other a 12-week randomized withdrawal design, with all participants undergoing one screening process and a long-term safety study, or LTSS. The study uses the modified Activities of Daily Living 11, or mADL11, as the primary endpoint. Enrollment for the Phase 3 trials is expected to be completed in the first half of 2024, with topline results expected in the second half of 2024 to support a potential New Drug Application, or NDA, submission in 2025.</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Essential1 study</w:t>
      </w:r>
    </w:p>
    <w:p>
      <w:pPr>
        <w:spacing w:after="0" w:line="119"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 Essential1 study was a multi-center, randomized, double-blind, placebo-controlled, dose-range finding Phase 2b clinical trial evaluating the efficacy, safety and tolerability of once-daily treatment of ulixacaltamide compared to placebo after 56 days in participants with moderate-to-severe ET. Topline results for the Phase 2b Essential1 study were announced in the first quarter of 2023. Results of the Essential1 study informed an end-of-Phase 2 meeting with the FDA and the design of the Phase 3 Essential3 program.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Essential Tremor</w:t>
      </w:r>
    </w:p>
    <w:p>
      <w:pPr>
        <w:spacing w:after="0" w:line="11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ET is the most common movement disorder with a prevalence of approximately 7 million patients in the United States alone, including more than two million diagnosed patients, one million of whom are actively treated for their ET. ET is characterized by involuntary rhythmic movements in the upper limbs that significantly disrupt ability to function and are progressive in nature. There is only one approved pharmacotherapy for ET, a beta blocker (propranolol), approved by the FDA for ET in 1986, that offers limited efficacy and poor tolerability and is contraindicated for comorbidities that affect a significant share of the ET population. Other CNS drugs are used off-label, though similarly are characterized by limited efficacy and poor tolerability. For these reasons, approximately 40% of patients who seek pharmacotherapy treatment discontinue within two years. As a last line therapy, a small subset of patients will opt for invasive procedures such as gamma knife and MRI guided focused ultrasound thalamotomy, where part of the thalamus involved in the cerebello-thalamo-cortical, or CTC, circuit is ablated, or deep brain stimulation, or DBS, where an electrode is implanted to deliver therapeutic electrical stimulation to the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color w:val="auto"/>
        </w:rPr>
        <w:t>thalamus. While these procedures are generally effective, they are associated with significant side effects and risk. Therefore, many patients who are eligible elect not to have these procedures. In totality, there is significant unmet need for an effective and tolerable pharmacotherapy targeted for ET.</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PRAX-628 for Focal Epilepsy</w:t>
      </w:r>
    </w:p>
    <w:p>
      <w:pPr>
        <w:spacing w:after="0" w:line="121" w:lineRule="exact"/>
        <w:rPr>
          <w:sz w:val="20"/>
          <w:szCs w:val="20"/>
          <w:color w:val="auto"/>
        </w:rPr>
      </w:pPr>
    </w:p>
    <w:p>
      <w:pPr>
        <w:ind w:firstLine="393"/>
        <w:spacing w:after="0" w:line="254" w:lineRule="auto"/>
        <w:rPr>
          <w:sz w:val="20"/>
          <w:szCs w:val="20"/>
          <w:color w:val="auto"/>
        </w:rPr>
      </w:pPr>
      <w:r>
        <w:rPr>
          <w:rFonts w:ascii="Arial" w:cs="Arial" w:eastAsia="Arial" w:hAnsi="Arial"/>
          <w:sz w:val="17"/>
          <w:szCs w:val="17"/>
          <w:color w:val="auto"/>
        </w:rPr>
        <w:t>PRAX-628 is a next-generation, functionally selective small molecule targeting the hyperexcitable state of sodium-channels in the brain and is currently being developed as a once daily, oral treatment for adult focal onset epilepsy. Preclinical data demonstrates PRAX-628 is differentiated from standard of care, with the potential to be best-in-class for focal epilepsy. In vitro, PRAX-628 has demonstrated superior selectivity for disease-state NaV channel hyperexcitability. In vivo studies of PRAX-628 have demonstrated unprecedented potency in the maximal electroshock seizure, or MES, model, a highly predictive translational model for efficacy in focal epilepsy. Data from the PRAX-628 Phase 1 study demonstrated that PRAX-628 was well tolerated in healthy subjects at greater than 15 times the predicted human equivalent of the mouse MES,EC</w:t>
      </w:r>
      <w:r>
        <w:rPr>
          <w:rFonts w:ascii="Arial" w:cs="Arial" w:eastAsia="Arial" w:hAnsi="Arial"/>
          <w:sz w:val="22"/>
          <w:szCs w:val="22"/>
          <w:color w:val="auto"/>
          <w:vertAlign w:val="subscript"/>
        </w:rPr>
        <w:t>50</w:t>
      </w:r>
      <w:r>
        <w:rPr>
          <w:rFonts w:ascii="Arial" w:cs="Arial" w:eastAsia="Arial" w:hAnsi="Arial"/>
          <w:sz w:val="17"/>
          <w:szCs w:val="17"/>
          <w:color w:val="auto"/>
        </w:rPr>
        <w:t>. We intend to initiate a Phase 2b study of PRAX-628 in focal epilepsy in the second half of 2024.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PRAX-628 Phase 2a Photo-Paroxysmal Response study</w:t>
      </w:r>
    </w:p>
    <w:p>
      <w:pPr>
        <w:spacing w:after="0" w:line="119"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We are conducting a Phase 2a Photo-Paroxysmal Response, or PPR, study to evaluate the efficacy and safety of PRAX-628 across two cohorts, dosed at 15 mg and 45 mg. PPR studies measure EEG signatures after intermittent photic stimulation and are widely used as a marker of anti-seizure efficacy and to aid in dose determination. We believe this approach has been validated with several approved and new therapies. A preliminary analysis of the 15 mg cohort completed in January 2024 showed that this cohort exceeded our expectations in terms of drug activity. Topline results, including data from the ongoing 45 mg cohort, are anticipated in the first quarter of 2024.</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PRAX-628 Phase 1 first-in-human study</w:t>
      </w:r>
    </w:p>
    <w:p>
      <w:pPr>
        <w:spacing w:after="0" w:line="119" w:lineRule="exact"/>
        <w:rPr>
          <w:sz w:val="20"/>
          <w:szCs w:val="20"/>
          <w:color w:val="auto"/>
        </w:rPr>
      </w:pPr>
    </w:p>
    <w:p>
      <w:pPr>
        <w:ind w:right="60" w:firstLine="393"/>
        <w:spacing w:after="0"/>
        <w:rPr>
          <w:sz w:val="20"/>
          <w:szCs w:val="20"/>
          <w:color w:val="auto"/>
        </w:rPr>
      </w:pPr>
      <w:r>
        <w:rPr>
          <w:rFonts w:ascii="Arial" w:cs="Arial" w:eastAsia="Arial" w:hAnsi="Arial"/>
          <w:sz w:val="17"/>
          <w:szCs w:val="17"/>
          <w:color w:val="auto"/>
        </w:rPr>
        <w:t>We initiated a Phase 1 healthy volunteer study of PRAX-628 in the fourth quarter of 2022 to evaluate the tolerability, pharmacokinetics, or PK, pharmacodynamics, or PD, and food effect of PRAX-628 across single and multiple ascending dose cohorts. Topline results from the study were announced in the second quarter of 2023. This first clinical study of PRAX-628 was a randomized, double-blind, placebo-controlled single ascending dose, or SAD, and multiple ascending dose, or MAD, trial in healthy participants aged 18-55 years. Interim analysis from Part A (SAD, 5 to 45 mg) and Part B (MAD, 20 to 30 mg) demonstrated drug plasma exposure increases with both dose and time. The concentrations achieved exceeded the predicted efficacious level based on the mouse MES EC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and were reached in all cohorts. In the SAD cohorts, average concentrations 2-4x the MES EC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were maintained for 8 hours with a single dose of 15 mg. In the MAD cohorts, concentrations in excess of 15x</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the MES EC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were achieved at C</w:t>
      </w:r>
      <w:r>
        <w:rPr>
          <w:rFonts w:ascii="Arial" w:cs="Arial" w:eastAsia="Arial" w:hAnsi="Arial"/>
          <w:sz w:val="22"/>
          <w:szCs w:val="22"/>
          <w:color w:val="auto"/>
          <w:vertAlign w:val="subscript"/>
        </w:rPr>
        <w:t>max</w:t>
      </w:r>
      <w:r>
        <w:rPr>
          <w:rFonts w:ascii="Arial" w:cs="Arial" w:eastAsia="Arial" w:hAnsi="Arial"/>
          <w:sz w:val="17"/>
          <w:szCs w:val="17"/>
          <w:color w:val="auto"/>
        </w:rPr>
        <w:t xml:space="preserve"> with average C</w:t>
      </w:r>
      <w:r>
        <w:rPr>
          <w:rFonts w:ascii="Arial" w:cs="Arial" w:eastAsia="Arial" w:hAnsi="Arial"/>
          <w:sz w:val="22"/>
          <w:szCs w:val="22"/>
          <w:color w:val="auto"/>
          <w:vertAlign w:val="subscript"/>
        </w:rPr>
        <w:t>trough</w:t>
      </w:r>
      <w:r>
        <w:rPr>
          <w:rFonts w:ascii="Arial" w:cs="Arial" w:eastAsia="Arial" w:hAnsi="Arial"/>
          <w:sz w:val="17"/>
          <w:szCs w:val="17"/>
          <w:color w:val="auto"/>
        </w:rPr>
        <w:t xml:space="preserve"> around 3-5x the MES EC</w:t>
      </w:r>
      <w:r>
        <w:rPr>
          <w:rFonts w:ascii="Arial" w:cs="Arial" w:eastAsia="Arial" w:hAnsi="Arial"/>
          <w:sz w:val="22"/>
          <w:szCs w:val="22"/>
          <w:color w:val="auto"/>
          <w:vertAlign w:val="subscript"/>
        </w:rPr>
        <w:t>50</w:t>
      </w:r>
      <w:r>
        <w:rPr>
          <w:rFonts w:ascii="Arial" w:cs="Arial" w:eastAsia="Arial" w:hAnsi="Arial"/>
          <w:sz w:val="17"/>
          <w:szCs w:val="17"/>
          <w:color w:val="auto"/>
        </w:rPr>
        <w:t xml:space="preserve"> at steady-state. PRAX-628 was well tolerated with no serious adverse events, or SAEs, observed at repeated doses up to 30 mg/day for 10 days. No adverse events, or AEs, or AEs of special interest</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led to study drug withdrawal, and no clinically significant findings on vital signs, electrocardiogram or neurological examination were observed. All AEs were mild, mostly transient (lasting minutes to hours), and resolved spontaneously, with the most common AEs being CNS-related.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Focal Epilepsy</w:t>
      </w:r>
    </w:p>
    <w:p>
      <w:pPr>
        <w:spacing w:after="0" w:line="119" w:lineRule="exact"/>
        <w:rPr>
          <w:sz w:val="20"/>
          <w:szCs w:val="20"/>
          <w:color w:val="auto"/>
        </w:rPr>
      </w:pPr>
    </w:p>
    <w:p>
      <w:pPr>
        <w:ind w:right="60" w:firstLine="393"/>
        <w:spacing w:after="0" w:line="268" w:lineRule="auto"/>
        <w:rPr>
          <w:sz w:val="20"/>
          <w:szCs w:val="20"/>
          <w:color w:val="auto"/>
        </w:rPr>
      </w:pPr>
      <w:r>
        <w:rPr>
          <w:rFonts w:ascii="Arial" w:cs="Arial" w:eastAsia="Arial" w:hAnsi="Arial"/>
          <w:sz w:val="17"/>
          <w:szCs w:val="17"/>
          <w:color w:val="auto"/>
        </w:rPr>
        <w:t>Focal epilepsy is the most common type of epilepsy, accounting for approximately 60% of all cases. In the United States alone, it is estimated that focal epilepsy affects approximately two million people. Focal epilepsy is characterized by seizures that originate in one side or area of the brain and affects one side of the body. Focal epilepsy patients are treated with sodium channel targeting antiepileptic drugs, or AEDs, such as Tegretol (carbamazepine), Lamictal (lamotrigine), Xcopri (cenobamate) and many others. However, despite the plethora of marketed treatments, up to 30% of patients remain refractory to treatment.</w:t>
      </w:r>
    </w:p>
    <w:p>
      <w:pPr>
        <w:spacing w:after="0" w:line="167" w:lineRule="exact"/>
        <w:rPr>
          <w:sz w:val="20"/>
          <w:szCs w:val="20"/>
          <w:color w:val="auto"/>
        </w:rPr>
      </w:pPr>
    </w:p>
    <w:p>
      <w:pPr>
        <w:ind w:right="80" w:firstLine="393"/>
        <w:spacing w:after="0" w:line="271" w:lineRule="auto"/>
        <w:rPr>
          <w:sz w:val="20"/>
          <w:szCs w:val="20"/>
          <w:color w:val="auto"/>
        </w:rPr>
      </w:pPr>
      <w:r>
        <w:rPr>
          <w:rFonts w:ascii="Arial" w:cs="Arial" w:eastAsia="Arial" w:hAnsi="Arial"/>
          <w:sz w:val="17"/>
          <w:szCs w:val="17"/>
          <w:color w:val="auto"/>
        </w:rPr>
        <w:t>There are two forms of therapeutically relevant sodium current: (1) persistent sodium current and (2) peak sodium current. Standard of care sodium channel targeting AEDs can produce severe toxicity at therapeutic doses from excessive inhibition of peak sodium current, as physiological levels of peak sodium current are required for normal neuronal function. Therefore, novel compounds that inhibit persistent and peak sodium channel hyperexcitability while sparing physiological levels of peak sodium current may improve clinical efficacy and tolerability.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PRAX-562 for rare, monogenic Developmental and Epileptic Encephalopathies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393"/>
        <w:spacing w:after="0" w:line="266" w:lineRule="auto"/>
        <w:rPr>
          <w:sz w:val="20"/>
          <w:szCs w:val="20"/>
          <w:color w:val="auto"/>
        </w:rPr>
      </w:pPr>
      <w:r>
        <w:rPr>
          <w:rFonts w:ascii="Arial" w:cs="Arial" w:eastAsia="Arial" w:hAnsi="Arial"/>
          <w:sz w:val="17"/>
          <w:szCs w:val="17"/>
          <w:color w:val="auto"/>
        </w:rPr>
        <w:t>PRAX-562 is a first-in-class preferential inhibitor of persistent sodium current, presently in development for the treatment of rare developmental and epileptic encephalopathies, or DEEs. In-vivo studies of PRAX-562 have demonstrated dose-dependent block of seizures up to complete inhibition of seizure activity in SCN2A, SCN8A and other DEE mouse models. PRAX-562 has been generally well-tolerated in three Phase 1 studies and has demonstrated biomarker changes indicative of voltage-gated sodium channel, or NaV channel, blocking effects. PRAX-562 has received Orphan Drug Designation, or ODD, and Rare Pediatric Disease Designation, or RPD, from the FDA, and ODD from the European Medicines Agency, or EMA, for the treatment of SCN2A-DEE and SCN8A-DEE,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PRAX-562 Phase 2 EMBOLD study</w:t>
      </w:r>
    </w:p>
    <w:p>
      <w:pPr>
        <w:spacing w:after="0" w:line="119"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In the first quarter of 2023, we initiated the PRAX-562 Phase 2 EMBOLD study for the treatment of pediatric patients with DEEs, with two cohorts in early-onset SCN2A-DEE and SCN8A-DEE patients. The EMBOLD study is a randomized, double-blind, placebo-controlled Phase 2 clinical trial to evaluate the safety, tolerability, efficacy (motor seizure frequency) and PK of PRAX-562 in pediatric participants aged 2 to 18 years with DEEs, followed by an open-label extension. Approximately 20 participants will be enrolled initially in two distinct cohorts ([n≈10 for SCN2A-DEE and n≈10 for SCN8A-DEE]). Topline results for both cohorts are expected in mid-year 2024.</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Rare, monogenic DEEs</w:t>
      </w:r>
    </w:p>
    <w:p>
      <w:pPr>
        <w:spacing w:after="0" w:line="119" w:lineRule="exact"/>
        <w:rPr>
          <w:sz w:val="20"/>
          <w:szCs w:val="20"/>
          <w:color w:val="auto"/>
        </w:rPr>
      </w:pPr>
    </w:p>
    <w:p>
      <w:pPr>
        <w:ind w:right="40" w:firstLine="393"/>
        <w:spacing w:after="0" w:line="263" w:lineRule="auto"/>
        <w:rPr>
          <w:sz w:val="20"/>
          <w:szCs w:val="20"/>
          <w:color w:val="auto"/>
        </w:rPr>
      </w:pPr>
      <w:r>
        <w:rPr>
          <w:rFonts w:ascii="Arial" w:cs="Arial" w:eastAsia="Arial" w:hAnsi="Arial"/>
          <w:sz w:val="17"/>
          <w:szCs w:val="17"/>
          <w:color w:val="auto"/>
        </w:rPr>
        <w:t>Epilepsies are common neurological disorders characterized by brain excitation-inhibition, or E/I, imbalance. Hyperexcitability can lead to abnormal synchronization of neurons and neuronal circuits, which is the electrical basis of a seizure. Fundamentals of brain electrophysiology and mechanisms dictating seizure genesis are conserved across species and, consequently, animal models of seizures and epilepsy enable a clinically predictive and therefore efficient drug development path. A subset of epilepsies are rare, monogenic DEEs characterized by early onset (less than 2 years of age), frequent seizures, abnormal epileptiform EEG activity, developmental impairment and resistance to available AEDs. Furthermore, these DEEs are associated with a high mortality rate and comorbidities such as developmental delay in addition to behavioral disorders, movement disorders, pain and sensory dysfunction and sleep disruptions. The understanding of the etiology of DEEs has been revolutionized by recent whole-exome sequencing initiatives that revealed over 60 genetic causes of epilepsy.</w:t>
      </w:r>
    </w:p>
    <w:p>
      <w:pPr>
        <w:spacing w:after="0" w:line="175"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An underlying pathologic feature of many DEEs is dysregulated neuronal activity leading to hyperexcitability, seizures and associated comorbidities. This phenomenon is observed in many pediatric DEEs with an identified genetic cause, such as PCDH19, SCN8A, SCN2A, KCNT1, KCNQ2, KCNQ1, STXBP1 and SYNGAP1, as well as epilepsies in which a genetic cause remains unclear, such as Lennox Gastaut Syndrome, or Doose Syndrome. Up to 40% of DEEs are caused by single gene mutations, enabling precision medicine approaches. Given the overlapping biology, phenotypic presentation and clinical execution considerations, we believe that developing a portfolio of drugs to treat DEEs will create a distinct body of knowledge that can be leveraged within our operating ecosystem to develop meaningful therapies for this group of patients with devastating unmet clinical needs.</w:t>
      </w:r>
    </w:p>
    <w:p>
      <w:pPr>
        <w:spacing w:after="0" w:line="173" w:lineRule="exact"/>
        <w:rPr>
          <w:sz w:val="20"/>
          <w:szCs w:val="20"/>
          <w:color w:val="auto"/>
        </w:rPr>
      </w:pPr>
    </w:p>
    <w:p>
      <w:pPr>
        <w:ind w:firstLine="393"/>
        <w:spacing w:after="0" w:line="266" w:lineRule="auto"/>
        <w:rPr>
          <w:sz w:val="20"/>
          <w:szCs w:val="20"/>
          <w:color w:val="auto"/>
        </w:rPr>
      </w:pPr>
      <w:r>
        <w:rPr>
          <w:rFonts w:ascii="Arial" w:cs="Arial" w:eastAsia="Arial" w:hAnsi="Arial"/>
          <w:sz w:val="17"/>
          <w:szCs w:val="17"/>
          <w:color w:val="auto"/>
        </w:rPr>
        <w:t>Standard-of-care sodium channel blockers modulate neuronal activity by targeting peak sodium current, which can reverse the pathological neuronal hyperexcitability that underlies many CNS conditions, but simultaneously affects the physiological cellular action potential firing required for a functioning nervous and cardiovascular system. While standard-of-care sodium channel blockers inhibit persistent sodium current, they also block peak sodium current at therapeutic concentrations, which can cause significant adverse events, or AEs, such as ataxia, drowsiness and dizziness, and therefore have a very narrow Therapeutic Index, or TI, resulting in subpar outcomes for patients and significant need for better therapeutic options.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SCN2A-DEE</w:t>
      </w:r>
    </w:p>
    <w:p>
      <w:pPr>
        <w:spacing w:after="0" w:line="119" w:lineRule="exact"/>
        <w:rPr>
          <w:sz w:val="20"/>
          <w:szCs w:val="20"/>
          <w:color w:val="auto"/>
        </w:rPr>
      </w:pPr>
    </w:p>
    <w:p>
      <w:pPr>
        <w:ind w:right="20" w:firstLine="393"/>
        <w:spacing w:after="0" w:line="263" w:lineRule="auto"/>
        <w:rPr>
          <w:sz w:val="20"/>
          <w:szCs w:val="20"/>
          <w:color w:val="auto"/>
        </w:rPr>
      </w:pPr>
      <w:r>
        <w:rPr>
          <w:rFonts w:ascii="Arial" w:cs="Arial" w:eastAsia="Arial" w:hAnsi="Arial"/>
          <w:sz w:val="17"/>
          <w:szCs w:val="17"/>
          <w:color w:val="auto"/>
        </w:rPr>
        <w:t>Early onset SCN2A-DEE is a rare condition caused by a gain-of-function, or GoF, variant in the SCN2A gene. The SCN2A gene encodes the NaV1.2 subunit of brain sodium channels, which control neuronal excitability by regulating the flow of sodium ions into neurons. This movement of sodium ions is a major component of generating electrical signals called action potentials, the way in which the cells communicate. Early-onset SCN2A-DEE presents before three months of life and can lead to profound impact on patients, including drug-resistant seizures, significant cognitive impairment, movement disorders such as dystonia or ataxia, and problems in other body systems such as the gastrointestinal or ocular systems. Currently, there are no approved treatments for SCN2A-DEE, and the standard-of-care typically involves a regimen of many concurrent anti-seizure medications as well as medications for comorbidities. Despite these interventions, it is estimated that more than 80% of early-onset SCN2A-DEE patients live with uncontrolled seizures, and approximately 75% live with severe intellectual disability.</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auto"/>
        </w:rPr>
        <w:t>It is estimated that there are approximately 2,000 patients in the United States with GoF changes in SCN2A leading to epileptic encephalopathy.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SCN8A-DEE</w:t>
      </w:r>
    </w:p>
    <w:p>
      <w:pPr>
        <w:spacing w:after="0" w:line="119" w:lineRule="exact"/>
        <w:rPr>
          <w:sz w:val="20"/>
          <w:szCs w:val="20"/>
          <w:color w:val="auto"/>
        </w:rPr>
      </w:pPr>
    </w:p>
    <w:p>
      <w:pPr>
        <w:ind w:right="100" w:firstLine="393"/>
        <w:spacing w:after="0" w:line="266" w:lineRule="auto"/>
        <w:rPr>
          <w:sz w:val="20"/>
          <w:szCs w:val="20"/>
          <w:color w:val="auto"/>
        </w:rPr>
      </w:pPr>
      <w:r>
        <w:rPr>
          <w:rFonts w:ascii="Arial" w:cs="Arial" w:eastAsia="Arial" w:hAnsi="Arial"/>
          <w:sz w:val="17"/>
          <w:szCs w:val="17"/>
          <w:color w:val="auto"/>
        </w:rPr>
        <w:t>SCN8A-DEE is a rare DEE caused by a gain-of-function variant in the SCN8A gene. Similar to SCN2A-DEE, patients with SCN8A-DEE suffer from recurrent, typically drug-resistant seizures, which start as early as the first day of life. The seizures can be of multiple different types, up to dozens per day, with poor response to current treatment options. Patients with SCN8A-DEE have significant cognitive disabilities, ranging from moderate to severe, often have movement disorders, such as dystonia or ataxia, and have problems in other body systems such as the gastrointestinal or ocular systems. SCN8A-DEE patients also may experience autonomic features such as increases or decreases in heart rate, abnormal breathing and cyanosis. It is estimated that there are approximately 2,000 patients in the United States with SCN8A-DEE.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Elsunersen for SCN2A-DEE</w:t>
      </w:r>
    </w:p>
    <w:p>
      <w:pPr>
        <w:spacing w:after="0" w:line="121" w:lineRule="exact"/>
        <w:rPr>
          <w:sz w:val="20"/>
          <w:szCs w:val="20"/>
          <w:color w:val="auto"/>
        </w:rPr>
      </w:pPr>
    </w:p>
    <w:p>
      <w:pPr>
        <w:ind w:firstLine="393"/>
        <w:spacing w:after="0" w:line="266" w:lineRule="auto"/>
        <w:rPr>
          <w:sz w:val="20"/>
          <w:szCs w:val="20"/>
          <w:color w:val="auto"/>
        </w:rPr>
      </w:pPr>
      <w:r>
        <w:rPr>
          <w:rFonts w:ascii="Arial" w:cs="Arial" w:eastAsia="Arial" w:hAnsi="Arial"/>
          <w:sz w:val="17"/>
          <w:szCs w:val="17"/>
          <w:color w:val="auto"/>
        </w:rPr>
        <w:t>Elsunersen is a clinical-stage ASO designed to down-regulate Na</w:t>
      </w:r>
      <w:r>
        <w:rPr>
          <w:rFonts w:ascii="Arial" w:cs="Arial" w:eastAsia="Arial" w:hAnsi="Arial"/>
          <w:sz w:val="15"/>
          <w:szCs w:val="15"/>
          <w:color w:val="auto"/>
        </w:rPr>
        <w:t>V</w:t>
      </w:r>
      <w:r>
        <w:rPr>
          <w:rFonts w:ascii="Arial" w:cs="Arial" w:eastAsia="Arial" w:hAnsi="Arial"/>
          <w:sz w:val="17"/>
          <w:szCs w:val="17"/>
          <w:color w:val="auto"/>
        </w:rPr>
        <w:t>1.2 expression, an effect that has demonstrated disease-modifying activity in animal models of SCN2A epileptic encephalopathy. In transgenic mice carrying a human SCN2A GoF mutation, we observed a significant, dose-dependent reduction in seizures and increased survival of mice treated with a mouse ASO that is designed to down-regulate SCN2A. The survival benefit from the ASO was maintained with repeat dosing. We also observed survival benefits following administration of a mouse ASO to a group of mice after onset of disease and around the time of onset of mortality. Elsunersen has received ODD and RPD from the FDA, and ODD and PRIority MEdicines, or PRIME, designation from the EMA for the treatment of SCN2A-DEE.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Elsunersen EMBRAVE study</w:t>
      </w:r>
    </w:p>
    <w:p>
      <w:pPr>
        <w:spacing w:after="0" w:line="119"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In the second quarter of 2023, we initiated the EMBRAVE study for the treatment of pediatric patients with early-onset SCN2A-DEE, after the FDA allowed us to proceed under an Investigational New Drug, or IND, application for the initial dose cohort, or Part 1 of the study. Part 1 of the EMBRAVE study was a 21-week open label cohort, in which participants received elsunersen for up to 13 weeks, designed to determine the safety and tolerability of intrathecal delivery of elsunersen. Dosing for Part 1 of the EMBRAVE study was completed in the fourth quarter of 2023. No treatment related AEs or SAEs were observed. Additionally, patients observed a marked reduction in seizures and increase in seizure-free days. We are completing multiple global regulatory interactions in the first quarter of 2024 in anticipation of starting the pivotal phase of the program later this year.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1"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The biopharmaceutical industry is characterized by rapidly advancing technologies, strong competition and an emphasis on proprietary products. While we believe that our technology, knowledge, experience and scientific personnel provide us with competitive advantages, we face substantial competition from many different sources, including large and small pharmaceutical and biotechnology companies, academic research institutions, governmental agencies and public and private institutions.</w:t>
      </w:r>
    </w:p>
    <w:p>
      <w:pPr>
        <w:spacing w:after="0" w:line="166"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convenience, cost, effectiveness of promotional support and intellectual property protection of our products. Our competitors fall primarily into the following groups of treatment:</w:t>
      </w:r>
    </w:p>
    <w:p>
      <w:pPr>
        <w:spacing w:after="0" w:line="114" w:lineRule="exact"/>
        <w:rPr>
          <w:sz w:val="20"/>
          <w:szCs w:val="20"/>
          <w:color w:val="auto"/>
        </w:rPr>
      </w:pPr>
    </w:p>
    <w:p>
      <w:pPr>
        <w:ind w:left="800" w:right="20" w:hanging="323"/>
        <w:spacing w:after="0" w:line="278" w:lineRule="auto"/>
        <w:tabs>
          <w:tab w:leader="none" w:pos="795" w:val="left"/>
        </w:tabs>
        <w:numPr>
          <w:ilvl w:val="0"/>
          <w:numId w:val="8"/>
        </w:numPr>
        <w:rPr>
          <w:rFonts w:ascii="Arial" w:cs="Arial" w:eastAsia="Arial" w:hAnsi="Arial"/>
          <w:sz w:val="17"/>
          <w:szCs w:val="17"/>
          <w:color w:val="auto"/>
        </w:rPr>
      </w:pPr>
      <w:r>
        <w:rPr>
          <w:rFonts w:ascii="Arial" w:cs="Arial" w:eastAsia="Arial" w:hAnsi="Arial"/>
          <w:sz w:val="17"/>
          <w:szCs w:val="17"/>
          <w:color w:val="auto"/>
        </w:rPr>
        <w:t>T-type calcium channel inhibitor programs in development targeting ET, including that of Jazz Pharmaceuticals, as well as other programs in clinical development targeting other mechanisms of action such as GABA by Sage Therapeutics, and approved therapies, such as propranolol, and off-label therapies, such as primidone.</w:t>
      </w:r>
    </w:p>
    <w:p>
      <w:pPr>
        <w:spacing w:after="0" w:line="107" w:lineRule="exact"/>
        <w:rPr>
          <w:rFonts w:ascii="Arial" w:cs="Arial" w:eastAsia="Arial" w:hAnsi="Arial"/>
          <w:sz w:val="17"/>
          <w:szCs w:val="17"/>
          <w:color w:val="auto"/>
        </w:rPr>
      </w:pPr>
    </w:p>
    <w:p>
      <w:pPr>
        <w:ind w:left="800" w:right="260" w:hanging="323"/>
        <w:spacing w:after="0" w:line="271" w:lineRule="auto"/>
        <w:tabs>
          <w:tab w:leader="none" w:pos="795" w:val="left"/>
        </w:tabs>
        <w:numPr>
          <w:ilvl w:val="0"/>
          <w:numId w:val="8"/>
        </w:numPr>
        <w:rPr>
          <w:rFonts w:ascii="Arial" w:cs="Arial" w:eastAsia="Arial" w:hAnsi="Arial"/>
          <w:sz w:val="17"/>
          <w:szCs w:val="17"/>
          <w:color w:val="auto"/>
        </w:rPr>
      </w:pPr>
      <w:r>
        <w:rPr>
          <w:rFonts w:ascii="Arial" w:cs="Arial" w:eastAsia="Arial" w:hAnsi="Arial"/>
          <w:sz w:val="17"/>
          <w:szCs w:val="17"/>
          <w:color w:val="auto"/>
        </w:rPr>
        <w:t>Sodium channel blocker or similar ion channel-targeting programs in development for focal epilepsy, including those of SK-Pharma, Xenon Pharmaceuticals, and Biohaven Pharmaceuticals, as well as other programs in clinical development targeting other mechanisms of action including those from Longboard Pharmaceuticals, Marinus Pharmaceuticals and Stoke Therapeutics, and approved therapies including other existing ion channel blockers.</w:t>
      </w: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620" w:firstLine="433"/>
        <w:spacing w:after="0" w:line="278" w:lineRule="auto"/>
        <w:rPr>
          <w:sz w:val="20"/>
          <w:szCs w:val="20"/>
          <w:color w:val="auto"/>
        </w:rPr>
      </w:pPr>
      <w:r>
        <w:rPr>
          <w:rFonts w:ascii="Arial" w:cs="Arial" w:eastAsia="Arial" w:hAnsi="Arial"/>
          <w:sz w:val="17"/>
          <w:szCs w:val="17"/>
          <w:color w:val="auto"/>
        </w:rPr>
        <w:t>Many of our competitors have substantially greater financial resources, expertise and capabilities in research and development, the regulatory approval process, manufacturing and marketing than we do. Smaller or early-stage companies may also prove to be significant competitors, particularly through merger and acquisition activity and sizeable collaborative arrangements with established companies.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1" w:lineRule="exact"/>
        <w:rPr>
          <w:sz w:val="20"/>
          <w:szCs w:val="20"/>
          <w:color w:val="auto"/>
        </w:rPr>
      </w:pPr>
    </w:p>
    <w:p>
      <w:pPr>
        <w:ind w:right="200" w:firstLine="433"/>
        <w:spacing w:after="0" w:line="266"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position in the field of neuroscience that may be important for the development of our business. We additionally may rely on regulatory and other protections afforded through data exclusivity, market exclusivity and patent term extensions, where available.</w:t>
      </w:r>
    </w:p>
    <w:p>
      <w:pPr>
        <w:spacing w:after="0" w:line="64"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Patent expiration dates noted in the following paragraphs refer to statutory expiration dates and do not take into account any potential patent term adjustment or extension that may be available. Depending upon the timing, duration and specifics of FDA approval of our drug product candidates, some of our United States, or U.S., patents may be eligible for limited patent term extension. These patent term extensions permit a patent restoration term of up to five years as compensation for any patent term lost during product development and the FDA regulatory review process. However, patent term restoration cannot extend the remaining term of a patent beyond a total of 14 years from the drug product’s approval date. The patent term restoration period is generally one-half the time between the effective date of an IND and the submission date of a New Drug Application, or NDA, plus the time between the submission date of an NDA and the approval of that application. Only one patent applicable to an approved drug is eligible for the extension and the extension must be applied for prior to expiration of the patent. The United States Patent and Trademark Office, or the USPTO, in consultation with the FDA, reviews and approves the application for any patent term extension or restoration.</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T-type Calcium channel blockers</w:t>
      </w:r>
    </w:p>
    <w:p>
      <w:pPr>
        <w:spacing w:after="0" w:line="121"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We own twelve patent families directed to T-type Calcium channel blockers. One patent family discloses and claims compositions of matter of certain T-type calcium channel modulators, including ulixacaltamide. This patent family has issued in many major pharmaceutical markets and is pending in others and expires in 2029. A second patent family is directed to certain pharmaceutical formulations of ulixacaltamide and methods of use in treating disorders such as essential tremor. Two U.S. patents have issued in this patent family, and expire in 2040, and this family remains pending in multiple jurisdictions of potential commercial interest. A third family is directed to titration methods of using ulixacaltamide and expires in 2041. A fourth patent family is directed to certain analog compounds of ulixacaltamide and expires in 2040. A fifth patent family is directed to the adjunctive use of a beta blocker and/or certain anticonvulsants with ulixacaltamide and expires in 2043. A sixth patent family is directed to a dosage form of ulixacaltamide and expires in 2044. A seventh patent family is directed to salt forms of ulixacaltamide and expires in 2044. An eighth patent family is directed to crystalline forms of ulixacaltamide and expires in 2044. A ninth patent family is directed to methods of treatment using ulixacaltamide and expires in 2044.The remaining patent families are directed to other TTCC blockers of various core structures and methods of use in treating diseases such as movement disorders, which expire in 2039 and 2040.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Persistent sodium current blockers</w:t>
      </w:r>
    </w:p>
    <w:p>
      <w:pPr>
        <w:spacing w:after="0" w:line="121"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own fifteen patent families directed to persistent sodium current blockers, including a patent family that relates to PRAX-562 and PRAX-628, two additional patent families that relate to PRAX-562 program, and the remaining patent families related to other persistent sodium current blockers. One patent family discloses and claims certain persistent sodium current blockers, including PRAX-562 and PRAX-628, and methods of use in treating diseases such as epilepsy (including pediatric epilepsy), as well as migraine and pain. In this patent family, PRAX-562 is covered by a patent that has granted in the United States, and patent applications pending in other potentially commercially relevant jurisdictions, which expire in 2039. In this same patent family, PRAX-628 is covered by two granted U.S. patents that will expire in 2039. A second family discloses other persistent sodium current blockers and generically claims PRAX-562, as well as methods of treating diseases such as pediatric epilepsy. This patent family is pending in multiple jurisdictions and expires in 2037. A third family is directed to pharmaceutical formulations of PRAX-562, methods of use in treating diseases such as pediatric epilepsy, cephalgia, short-lasting unilateral neuralgiform headache attacks with conjunctival injection, or SUNCT, and tearing and short-lasting unilateral neuralgiform headache attacks with cranial autonomic symptoms, or SUNA, and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methods of making PRAX-562, and expires in 2040. The remaining patent families are directed to other persistent sodium current blockers of various core structures and methods of use in treating diseases such as pediatric epilepsy, expiring between 2037 and 2043.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SCN2A downregulation</w:t>
      </w:r>
    </w:p>
    <w:p>
      <w:pPr>
        <w:spacing w:after="0" w:line="121" w:lineRule="exact"/>
        <w:rPr>
          <w:sz w:val="20"/>
          <w:szCs w:val="20"/>
          <w:color w:val="auto"/>
        </w:rPr>
      </w:pPr>
    </w:p>
    <w:p>
      <w:pPr>
        <w:jc w:val="both"/>
        <w:ind w:right="120" w:firstLine="433"/>
        <w:spacing w:after="0" w:line="271" w:lineRule="auto"/>
        <w:rPr>
          <w:sz w:val="20"/>
          <w:szCs w:val="20"/>
          <w:color w:val="auto"/>
        </w:rPr>
      </w:pPr>
      <w:r>
        <w:rPr>
          <w:rFonts w:ascii="Arial" w:cs="Arial" w:eastAsia="Arial" w:hAnsi="Arial"/>
          <w:sz w:val="17"/>
          <w:szCs w:val="17"/>
          <w:color w:val="auto"/>
        </w:rPr>
        <w:t>We have exclusively in-licensed three patent families directed to our SCN2A program. Two of these patent families are owned by RogCon, Inc., and disclose and claim certain ASOs targeting SCN2A and methods of use in treating diseases such as epilepsy, including epilepsy having certain SCN2A mutations. One patent family is pending in the United States and expires in 2038. A second patent family is directed to methods of treating SCN1A encephalopathy using ASOs targeting SCN2A and expires in 2039.</w:t>
      </w:r>
    </w:p>
    <w:p>
      <w:pPr>
        <w:spacing w:after="0" w:line="166" w:lineRule="exact"/>
        <w:rPr>
          <w:sz w:val="20"/>
          <w:szCs w:val="20"/>
          <w:color w:val="auto"/>
        </w:rPr>
      </w:pPr>
    </w:p>
    <w:p>
      <w:pPr>
        <w:ind w:right="300" w:firstLine="433"/>
        <w:spacing w:after="0" w:line="300" w:lineRule="auto"/>
        <w:rPr>
          <w:sz w:val="20"/>
          <w:szCs w:val="20"/>
          <w:color w:val="auto"/>
        </w:rPr>
      </w:pPr>
      <w:r>
        <w:rPr>
          <w:rFonts w:ascii="Arial" w:cs="Arial" w:eastAsia="Arial" w:hAnsi="Arial"/>
          <w:sz w:val="17"/>
          <w:szCs w:val="17"/>
          <w:color w:val="auto"/>
        </w:rPr>
        <w:t>The other in-licensed patent family is owned by Ionis Pharmaceuticals, Inc., and is directed to compositions of matter of PRAX-222. This family expires in 2041.</w:t>
      </w:r>
    </w:p>
    <w:p>
      <w:pPr>
        <w:spacing w:after="0" w:line="141"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We own two patent families directed to our PRAX-222 program. The first has claims directed to a method of treating SCN2A gain of function neurological diseases using certain ASOs. This patent family is pending in the United States and expires in 2041. The second is directed to methods of treating SCN2A-related disorders using SCN2A inhibitors and expires in 2043.</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KCNT1 blockers</w:t>
      </w:r>
    </w:p>
    <w:p>
      <w:pPr>
        <w:spacing w:after="0" w:line="121"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We own sixteen patent families directed to KCNT1 blockers. These patent families disclose and claim small molecule KCNT1 blockers and methods of use in treating diseases, such as epilepsy, including epilepsy having certain KCNT1 mutations, and expire between 2040 and 2043.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GABA</w:t>
      </w:r>
      <w:r>
        <w:rPr>
          <w:rFonts w:ascii="Arial" w:cs="Arial" w:eastAsia="Arial" w:hAnsi="Arial"/>
          <w:sz w:val="15"/>
          <w:szCs w:val="15"/>
          <w:b w:val="1"/>
          <w:bCs w:val="1"/>
          <w:color w:val="auto"/>
        </w:rPr>
        <w:t>A</w:t>
      </w:r>
      <w:r>
        <w:rPr>
          <w:rFonts w:ascii="Arial" w:cs="Arial" w:eastAsia="Arial" w:hAnsi="Arial"/>
          <w:sz w:val="17"/>
          <w:szCs w:val="17"/>
          <w:b w:val="1"/>
          <w:bCs w:val="1"/>
          <w:color w:val="auto"/>
        </w:rPr>
        <w:t xml:space="preserve"> receptor positive allosteric modulators</w:t>
      </w:r>
    </w:p>
    <w:p>
      <w:pPr>
        <w:spacing w:after="0" w:line="121"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We own five patent families directed to GABA</w:t>
      </w:r>
      <w:r>
        <w:rPr>
          <w:rFonts w:ascii="Arial" w:cs="Arial" w:eastAsia="Arial" w:hAnsi="Arial"/>
          <w:sz w:val="15"/>
          <w:szCs w:val="15"/>
          <w:color w:val="auto"/>
        </w:rPr>
        <w:t>A</w:t>
      </w:r>
      <w:r>
        <w:rPr>
          <w:rFonts w:ascii="Arial" w:cs="Arial" w:eastAsia="Arial" w:hAnsi="Arial"/>
          <w:sz w:val="17"/>
          <w:szCs w:val="17"/>
          <w:color w:val="auto"/>
        </w:rPr>
        <w:t xml:space="preserve"> receptor positive allosteric modulators. One patent family discloses and claims salts and polymorphs of PRAX-114. Two patents are granted in the United States, which expire in 2039. A second patent family is directed to alternative salt forms of PRAX-114, and a U.S. patent has issued, which expires in 2042. Other patent applications cover processes for making related to PRAX-114 and methods of use in treating diseases (including the use of combination formulations), such as epilepsy, major depressive disorder, musculoskeletal conditions, motor disorder or essential tremor, which expire from 2042 to 2043.</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RogCon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September 2019, we and RogCon, Inc., or RogCon, entered into a Cooperation and License Agreement, or the RogCon Agreement,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collaborate to develop ASOs for the treatment of epilepsy caused by mutations of the SCN2A gene. RogCon had an existing collaboration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arrangement with Ionis Pharmaceuticals, Inc., or Ionis, and as a result, we and Ionis negotiated a Research Collaboration, Option and License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Agreement, or the Ionis Agreement, (described below) in order to complete the license agreement with RogCon. Under the RogCon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RogCon granted us, subject to a concurrent license grant of certain rights to Ionis, an exclusive, worldwide license under RogCon’s intellectual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property to research, develop and commercialize products for the treatment of all forms of epilepsy and/or neurodevelopmental disorders in each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case caused by any mutation of the SCN2A gene. Under the RogCon Agreement, we will conduct, at our own cost and expense, the research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and development activities assigned to us under the research plan set out in the Research Collaboration, Option and License Agreement with</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Ionis. Under the terms of the RogCon Agreement, RogCon is eligible to receive a one-time milestone payment of $3.0 million as well as profit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share payments as a percentage of net profits in the mid-teens. Profit share payments will be calculated and due quarterly on any net profits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generated from a product commercialized under the RogCon Agreement. The $3.0 million milestone payment will become due when (i) the first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profit share payment has become due and payable and (ii) the Additional Milestone, the Initial Interest Amount and the Second Interest Amount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(each as defined within the Ionis Agreement as described below) have all become due and payable to Ionis under our collaboration agreement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with Ionis. As part of the RogCon Agreement, we agreed to provide up-front consideration of $2.1 million, consisting of a $1.0 million deposit,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$0.7 million in cash reimbursements for certain historical costs previously incurred by RogCon and $0.4 million for the retirement of existing loan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balances as of September 11, 2019.</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33"/>
        <w:spacing w:after="0" w:line="291" w:lineRule="auto"/>
        <w:rPr>
          <w:sz w:val="20"/>
          <w:szCs w:val="20"/>
          <w:color w:val="auto"/>
        </w:rPr>
      </w:pPr>
      <w:r>
        <w:rPr>
          <w:rFonts w:ascii="Arial" w:cs="Arial" w:eastAsia="Arial" w:hAnsi="Arial"/>
          <w:sz w:val="17"/>
          <w:szCs w:val="17"/>
          <w:color w:val="auto"/>
        </w:rPr>
        <w:t>Subsequent to September 11, 2019, we will reimburse RogCon for its out-of-pocket costs incurred for activities performed under the RogCon Agreement. We expense these costs as incurred as research and development. Expenses incurred for all periods presented were not material.</w:t>
      </w:r>
    </w:p>
    <w:p>
      <w:pPr>
        <w:spacing w:after="0" w:line="365"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Additionally, RogCon has agreed to certain defined exclusivity obligations. The RogCon Agreement, unless earlier terminated, will continue until the latest of: (i) the expiration of all patent rights within RogCon patents, (ii) we certify we have abandoned the research, development and commercialization of product with no intention to re-establish such activities and (iii) no third party is obligated to pay any amounts that comprise net sublicense revenue. Either party may terminate the RogCon Agreement for material breach or insolvency of the other party. Additionally, we may terminate for convenience with prior written notice to RogCon. Upon termination by either party, all rights and licenses granted by RogCon to us will revert back to RogCon.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Ionis Collaboration Agreement</w:t>
      </w:r>
    </w:p>
    <w:p>
      <w:pPr>
        <w:spacing w:after="0" w:line="121"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In September 2019, we and Ionis entered into the Ionis Agreement to discover and develop ASOs to treat forms of epilepsy caused by mutations of the SCN2A gene. Pursuant to the Ionis Agreement, we and Ionis each conducted certain research activities and Ionis was responsible for identifying a development candidate and conducting an IND-enabling toxicology study. The design of the IND-enabling toxicology study was prepared and mutually agreed to by us and Ionis. We are obligated to reimburse any out-of-pocket costs incurred by Ionis related to research activities, identification of a development candidate and conducting IND-enabling studies. Ionis granted us an exclusive option to obtain the rights and license to further develop and commercialize a development candidate in the field of epilepsy and neurodevelopmental disorders, other than Dravet Syndrome, following the results of the IND-enabling toxicology study. We exercised this exclusive option in January 2022 and paid a $2.0 million license fee. Ionis is eligible to receive certain contingent payments from us relating to development and other milestones, interest payments, royalties as a percentage of net product sales worldwide in the low-20s and any potential sublicense fees calculated as a percentage of sublicense revenue using a rate in the low-to-mid double digits.</w:t>
      </w:r>
    </w:p>
    <w:p>
      <w:pPr>
        <w:spacing w:after="0" w:line="174"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Development milestones of $5.0 million for each product developed under the agreement are due upon the completion of the first clinical trial for each product, or the Development Milestone. Ionis will be entitled to receive an additional one-time milestone payment of $5.0 million, or the Additional Milestone, upon the earliest to occur of the following (each, a Payment Trigger): (i) the first acceptance of an NDA filing for a product by the regulatory authority in a major market, (ii) we have both (a) received, in the aggregate, $300.0 million in cash since September 11, 2019 and (b) initiated the first clinical study with respect to a product or (iii) the closing of a change of control event affecting Praxis. In addition, upon the occurrence of a Payment Trigger, Ionis is also entitled to certain interest payments equal to (i) 10% simple interest per annum calculated from the effective date of the agreement on the Additional Milestone, or the Initial Interest Amount, plus (ii) 10% simple interest per annum calculated from the date the Additional Milestone is paid on the initial Interest Amount, or the Second Interest Amount, until the earliest to occur of the following: (i) aggregate net sales of $100.0 million has been received, (ii) a change in control event affecting Praxis occurs or (iii) the Ionis Agreement has been terminated. Upon the occurrence of one of these three payment triggers, both the Initial Interest Amount and Second Interest Amount are due and payable to Ionis. In the second quarter of 2023, Ionis earned the Additional Milestone fee of $5.0 million, as well as the Initial Interest Amount of $1.9 million. The $6.9 million milestone fee was paid in July of 2023.</w:t>
      </w:r>
    </w:p>
    <w:p>
      <w:pPr>
        <w:spacing w:after="0" w:line="177" w:lineRule="exact"/>
        <w:rPr>
          <w:sz w:val="20"/>
          <w:szCs w:val="20"/>
          <w:color w:val="auto"/>
        </w:rPr>
      </w:pPr>
    </w:p>
    <w:p>
      <w:pPr>
        <w:jc w:val="both"/>
        <w:ind w:right="100" w:firstLine="433"/>
        <w:spacing w:after="0" w:line="271" w:lineRule="auto"/>
        <w:rPr>
          <w:sz w:val="20"/>
          <w:szCs w:val="20"/>
          <w:color w:val="auto"/>
        </w:rPr>
      </w:pPr>
      <w:r>
        <w:rPr>
          <w:rFonts w:ascii="Arial" w:cs="Arial" w:eastAsia="Arial" w:hAnsi="Arial"/>
          <w:sz w:val="17"/>
          <w:szCs w:val="17"/>
          <w:color w:val="auto"/>
        </w:rPr>
        <w:t>The Ionis Agreement will continue in full force and effect until the expiration of all payment obligations to Ionis, unless terminated earlier by either party. Either party may terminate the agreement upon material breach or insolvency of the other party. Praxis is able to terminate the Ionis Agreement for convenience with prior written notice. Ionis may terminate if we fail to achieve certain performance milestones. Upon termination by us for convenience, we will stop selling all products, subject to certain wind-down provisions and all products will revert back to Ionis.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21" w:lineRule="exact"/>
        <w:rPr>
          <w:sz w:val="20"/>
          <w:szCs w:val="20"/>
          <w:color w:val="auto"/>
        </w:rPr>
      </w:pPr>
    </w:p>
    <w:p>
      <w:pPr>
        <w:jc w:val="both"/>
        <w:ind w:right="100" w:firstLine="433"/>
        <w:spacing w:after="0" w:line="300" w:lineRule="auto"/>
        <w:rPr>
          <w:sz w:val="20"/>
          <w:szCs w:val="20"/>
          <w:color w:val="auto"/>
        </w:rPr>
      </w:pPr>
      <w:r>
        <w:rPr>
          <w:rFonts w:ascii="Arial" w:cs="Arial" w:eastAsia="Arial" w:hAnsi="Arial"/>
          <w:sz w:val="17"/>
          <w:szCs w:val="17"/>
          <w:color w:val="auto"/>
        </w:rPr>
        <w:t>We do not own or operate, and currently have no plans to establish, any manufacturing facilities. We currently source all of our non-clinical and clinical compound supply through third-party contract development and manufacturing organizations, or CDMOs.</w:t>
      </w:r>
    </w:p>
    <w:p>
      <w:pPr>
        <w:spacing w:after="0" w:line="141" w:lineRule="exact"/>
        <w:rPr>
          <w:sz w:val="20"/>
          <w:szCs w:val="20"/>
          <w:color w:val="auto"/>
        </w:rPr>
      </w:pPr>
    </w:p>
    <w:p>
      <w:pPr>
        <w:ind w:right="340" w:firstLine="433"/>
        <w:spacing w:after="0" w:line="278" w:lineRule="auto"/>
        <w:rPr>
          <w:sz w:val="20"/>
          <w:szCs w:val="20"/>
          <w:color w:val="auto"/>
        </w:rPr>
      </w:pPr>
      <w:r>
        <w:rPr>
          <w:rFonts w:ascii="Arial" w:cs="Arial" w:eastAsia="Arial" w:hAnsi="Arial"/>
          <w:sz w:val="17"/>
          <w:szCs w:val="17"/>
          <w:color w:val="auto"/>
        </w:rPr>
        <w:t>For clinical supply, we rely on CDMOs to manufacture drug substance and drug product in accordance with the FDA’s current Good Manufacturing Practices, or cGMP. We expect to rely on third parties for our manufacturing processes and the production of all clinical supply drug substance and drug product and currently expect to</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continue to do so for commercial supplies of our product candidates, if approved. We use additional contract manufacturers to fill, label, package, store and distribute our investigational drug products and currently expect to continue to do so for commercial supplies of our product candidates, if approved. It is our intent to identify and qualify additional manufacturers to provide active pharmaceutical ingredient and fill-and-finish services prior to submission of a NDA to the FDA for any product candidates that complete clinical development.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1" w:lineRule="exact"/>
        <w:rPr>
          <w:sz w:val="20"/>
          <w:szCs w:val="20"/>
          <w:color w:val="auto"/>
        </w:rPr>
      </w:pPr>
    </w:p>
    <w:p>
      <w:pPr>
        <w:ind w:right="120" w:firstLine="393"/>
        <w:spacing w:after="0" w:line="266" w:lineRule="auto"/>
        <w:rPr>
          <w:sz w:val="20"/>
          <w:szCs w:val="20"/>
          <w:color w:val="auto"/>
        </w:rPr>
      </w:pPr>
      <w:r>
        <w:rPr>
          <w:rFonts w:ascii="Arial" w:cs="Arial" w:eastAsia="Arial" w:hAnsi="Arial"/>
          <w:sz w:val="17"/>
          <w:szCs w:val="17"/>
          <w:color w:val="auto"/>
        </w:rPr>
        <w:t>The FDA and comparable regulatory authorities in state and local jurisdictions and in other countries impose substantial and burdensome requirements upon companies involved in the clinical development, manufacture, marketing and distribution of prescription drugs, such as those we are developing. These agencies regulate, among other things, the research and development, testing, manufacture, quality control, safety, effectiveness, labeling, storage, record keeping, approval, advertising and promotion, distribution, post-approval monitoring and reporting, sampling and export and import of drug products. The process of obtaining regulatory approvals and the subsequent compliance with applicable federal, state, local and foreign statutes and regulations requires the expenditure of substantial time and financial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regulation of drug products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process required by the FDA before a drug may be marketed in the United States generally involves the following:</w:t>
      </w:r>
    </w:p>
    <w:p>
      <w:pPr>
        <w:spacing w:after="0" w:line="156" w:lineRule="exact"/>
        <w:rPr>
          <w:sz w:val="20"/>
          <w:szCs w:val="20"/>
          <w:color w:val="auto"/>
        </w:rPr>
      </w:pPr>
    </w:p>
    <w:p>
      <w:pPr>
        <w:ind w:left="640" w:right="240" w:hanging="320"/>
        <w:spacing w:after="0" w:line="300"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good laboratory practice regulations;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each trial may be initiated;</w:t>
      </w:r>
    </w:p>
    <w:p>
      <w:pPr>
        <w:spacing w:after="0" w:line="171" w:lineRule="exact"/>
        <w:rPr>
          <w:rFonts w:ascii="Arial" w:cs="Arial" w:eastAsia="Arial" w:hAnsi="Arial"/>
          <w:sz w:val="17"/>
          <w:szCs w:val="17"/>
          <w:color w:val="auto"/>
        </w:rPr>
      </w:pPr>
    </w:p>
    <w:p>
      <w:pPr>
        <w:ind w:left="640" w:right="440" w:hanging="320"/>
        <w:spacing w:after="0" w:line="300"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or GCP, requirements to establish the safety and efficacy of the proposed drug product for each intended use;</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preparation and submission to the FDA of an NDA;</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application for review;</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71" w:lineRule="exact"/>
        <w:rPr>
          <w:rFonts w:ascii="Arial" w:cs="Arial" w:eastAsia="Arial" w:hAnsi="Arial"/>
          <w:sz w:val="17"/>
          <w:szCs w:val="17"/>
          <w:color w:val="auto"/>
        </w:rPr>
      </w:pPr>
    </w:p>
    <w:p>
      <w:pPr>
        <w:ind w:left="640" w:right="120" w:hanging="320"/>
        <w:spacing w:after="0" w:line="278"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w:t>
      </w:r>
    </w:p>
    <w:p>
      <w:pPr>
        <w:spacing w:after="0" w:line="107"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completion of potential FDA audits of clinical trial sites to assess compliance with GCPs and the integrity of the clinical data; and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FDA review and approval of the NDA to permit commercial marketing of the product for particular indications for use in the United States.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119" w:lineRule="exact"/>
        <w:rPr>
          <w:sz w:val="20"/>
          <w:szCs w:val="20"/>
          <w:color w:val="auto"/>
        </w:rPr>
      </w:pPr>
    </w:p>
    <w:p>
      <w:pPr>
        <w:ind w:firstLine="393"/>
        <w:spacing w:after="0" w:line="263" w:lineRule="auto"/>
        <w:rPr>
          <w:sz w:val="20"/>
          <w:szCs w:val="20"/>
          <w:color w:val="auto"/>
        </w:rPr>
      </w:pPr>
      <w:r>
        <w:rPr>
          <w:rFonts w:ascii="Arial" w:cs="Arial" w:eastAsia="Arial" w:hAnsi="Arial"/>
          <w:sz w:val="17"/>
          <w:szCs w:val="17"/>
          <w:color w:val="auto"/>
        </w:rPr>
        <w:t>Before testing any product candidate in humans, the product candidate must undergo preclinical testing. Preclinical studies generally include laboratory evaluation of product chemistry, formulation and stability, as well as animal studies to assess potential toxicity, which support subsequent clinical testing. An IND sponsor must submit the results of the preclinical tests, together with manufacturing information, analytical data and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may not result in FDA authorization to begin a clinical trial. Additionally, the FDA will review any data from clinical trials conducted outside the United States when determining whether to allow an IND to proceed in the United States. Specifically, the FDA’s acceptance of data from trials conducted outside of the United States and not under an IND is subject to certain conditions, including that the clinical trial must be conducted in accordance with GCPs, and the FDA must be able to validate the data from the study through an on-site inspection, if necessary. Clinical holds also may be imposed by the FDA at any time before or during studies due to safety concerns or non-compliance.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Clinical trials involve the administration of the product candidate to human subjects under the supervision of qualified investigators, generally</w:t>
      </w:r>
    </w:p>
    <w:p>
      <w:pPr>
        <w:spacing w:after="0" w:line="5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clinical trials and nonclinical studies, among other information, must be submitted at least annually to the FDA and written IND safety reports must be submitted to the FDA and investigators if serious and unexpected suspected adverse events occur, findings from other studies of the same or similar drug or from animal or in vitro testing suggest a significant risk, or there is an increased incidence of a serious suspected adverse reaction compared to that in the protocol or investigator brochure.</w:t>
      </w:r>
    </w:p>
    <w:p>
      <w:pPr>
        <w:spacing w:after="0" w:line="70" w:lineRule="exact"/>
        <w:rPr>
          <w:sz w:val="20"/>
          <w:szCs w:val="20"/>
          <w:color w:val="auto"/>
        </w:rPr>
      </w:pPr>
    </w:p>
    <w:p>
      <w:pPr>
        <w:ind w:right="80" w:firstLine="393"/>
        <w:spacing w:after="0" w:line="262" w:lineRule="auto"/>
        <w:rPr>
          <w:sz w:val="20"/>
          <w:szCs w:val="20"/>
          <w:color w:val="auto"/>
        </w:rPr>
      </w:pPr>
      <w:r>
        <w:rPr>
          <w:rFonts w:ascii="Arial" w:cs="Arial" w:eastAsia="Arial" w:hAnsi="Arial"/>
          <w:sz w:val="17"/>
          <w:szCs w:val="17"/>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Similarly, the FDA or the sponsor may suspend or terminate a clinical trial at any time on various grounds, including a finding that the research subjects are being exposed to an unacceptable health risk. An IRB can also suspend or terminate approval of a clinical trial at its institution for a variety of reasons, including if the clinical trial is not being conducted in accordance with the IRB’s requirements or if the drug has been associated with unexpected serious harm to patients.</w:t>
      </w:r>
    </w:p>
    <w:p>
      <w:pPr>
        <w:spacing w:after="0" w:line="73" w:lineRule="exact"/>
        <w:rPr>
          <w:sz w:val="20"/>
          <w:szCs w:val="20"/>
          <w:color w:val="auto"/>
        </w:rPr>
      </w:pPr>
    </w:p>
    <w:p>
      <w:pPr>
        <w:ind w:right="160" w:firstLine="393"/>
        <w:spacing w:after="0" w:line="266" w:lineRule="auto"/>
        <w:rPr>
          <w:sz w:val="20"/>
          <w:szCs w:val="20"/>
          <w:color w:val="auto"/>
        </w:rPr>
      </w:pPr>
      <w:r>
        <w:rPr>
          <w:rFonts w:ascii="Arial" w:cs="Arial" w:eastAsia="Arial" w:hAnsi="Arial"/>
          <w:sz w:val="17"/>
          <w:szCs w:val="17"/>
          <w:color w:val="auto"/>
        </w:rPr>
        <w:t>There are also requirements governing the reporting of ongoing clinical studies and clinical study results to public registries. Specifically, information about certain clinical trials must be submitted within specific timeframes to the National Institutes of Health, or NIH, for public dissemination on their www.clinicaltrials.gov website. Information related to the product candidate,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w:t>
      </w:r>
    </w:p>
    <w:p>
      <w:pPr>
        <w:spacing w:after="0" w:line="169" w:lineRule="exact"/>
        <w:rPr>
          <w:sz w:val="20"/>
          <w:szCs w:val="20"/>
          <w:color w:val="auto"/>
        </w:rPr>
      </w:pPr>
    </w:p>
    <w:p>
      <w:pPr>
        <w:ind w:right="40" w:firstLine="393"/>
        <w:spacing w:after="0" w:line="263" w:lineRule="auto"/>
        <w:rPr>
          <w:sz w:val="20"/>
          <w:szCs w:val="20"/>
          <w:color w:val="auto"/>
        </w:rPr>
      </w:pPr>
      <w:r>
        <w:rPr>
          <w:rFonts w:ascii="Arial" w:cs="Arial" w:eastAsia="Arial" w:hAnsi="Arial"/>
          <w:sz w:val="17"/>
          <w:szCs w:val="17"/>
          <w:color w:val="auto"/>
        </w:rPr>
        <w:t>Human clinical trials are typically conducted in three phases, which may overlap or be combined. In Phase 1, the product candidate is introduced into healthy human subjects or patients with the target disease or condition to test for safety, dosage tolerance, absorption, metabolism, distribution, excretion and, if possible, to gain an early evaluation of effectiveness. In Phase 2, the product candidate is administered to a limited patient population with a specified disease or condition to evaluate possible adverse effects and safety risks, to preliminarily evaluate the efficacy of the product for the specified disease or condition, and to determine dosage tolerance and optimal dosage. In Phase 3, the product candidate is administered to an expanded patient population, generally at geographically dispersed clinical trial sites, in well-controlled clinical trials to generate enough data to provide substantial evidence of the efficacy and safety of the product candidate, to establish the overall risk-benefit profile of the product candidate, and to provide adequate information for the labeling of the product candidate.</w:t>
      </w:r>
    </w:p>
    <w:p>
      <w:pPr>
        <w:spacing w:after="0" w:line="175" w:lineRule="exact"/>
        <w:rPr>
          <w:sz w:val="20"/>
          <w:szCs w:val="20"/>
          <w:color w:val="auto"/>
        </w:rPr>
      </w:pPr>
    </w:p>
    <w:p>
      <w:pPr>
        <w:ind w:right="220" w:firstLine="393"/>
        <w:spacing w:after="0" w:line="271" w:lineRule="auto"/>
        <w:rPr>
          <w:sz w:val="20"/>
          <w:szCs w:val="20"/>
          <w:color w:val="auto"/>
        </w:rPr>
      </w:pPr>
      <w:r>
        <w:rPr>
          <w:rFonts w:ascii="Arial" w:cs="Arial" w:eastAsia="Arial" w:hAnsi="Arial"/>
          <w:sz w:val="17"/>
          <w:szCs w:val="17"/>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or requirement of approval of an NDA.</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393"/>
        <w:spacing w:after="0" w:line="266"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application submission and FDA review and approval</w:t>
      </w:r>
    </w:p>
    <w:p>
      <w:pPr>
        <w:spacing w:after="0" w:line="119" w:lineRule="exact"/>
        <w:rPr>
          <w:sz w:val="20"/>
          <w:szCs w:val="20"/>
          <w:color w:val="auto"/>
        </w:rPr>
      </w:pPr>
    </w:p>
    <w:p>
      <w:pPr>
        <w:ind w:right="320" w:firstLine="393"/>
        <w:spacing w:after="0" w:line="271" w:lineRule="auto"/>
        <w:rPr>
          <w:sz w:val="20"/>
          <w:szCs w:val="20"/>
          <w:color w:val="auto"/>
        </w:rPr>
      </w:pPr>
      <w:r>
        <w:rPr>
          <w:rFonts w:ascii="Arial" w:cs="Arial" w:eastAsia="Arial" w:hAnsi="Arial"/>
          <w:sz w:val="17"/>
          <w:szCs w:val="17"/>
          <w:color w:val="auto"/>
        </w:rPr>
        <w:t>Assuming successful completion of the required clinical testing, the results of preclinical and clinical studies, together with detailed information relating to the product’s chemistry, manufacture, controls and proposed labeling, among other things, are submitted to the FDA as part of an NDA requesting approval to market the product for one or more indications. The submission of an NDA is subject to a substantial application user fee, unless a waiver or exemption applies.</w:t>
      </w:r>
    </w:p>
    <w:p>
      <w:pPr>
        <w:spacing w:after="0" w:line="166"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withdrawn and resubmitted with the additional information. The resubmitted application is also subject to review before the FDA accepts it for filing. Once an application is accepted for filing, the FDA has a goal of ten months from the date of “filing” to complete a standard review of an NDA for a drug that is a new molecular entity, and six months from the filing date to complete a priority review. The FDA does not always meet its goal dates, and the review process can be extended for a three-month period by the FDA to review information deemed a "major amendment" to the application. This FDA review process typically takes 10 months from the date the NDA is accepted for filing by the FDA (for a standard review) or six months from the filing date (for a priority review). Once the submission is accepted for filing, the FDA begins an in-depth substantive review.</w:t>
      </w:r>
    </w:p>
    <w:p>
      <w:pPr>
        <w:spacing w:after="0" w:line="178"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The FDA reviews an NDA to determine, among other things, whether the drug is safe and effective and whether the facilities in which it is manufactured, processed, packaged or held meets standards designed to assure the product’s continued safety, quality and purity. Before approving an NDA, the FDA typically will inspect the facilities where the product is manufactured. Additionally, before approving an NDA, the FDA may inspect one or more clinical trial sites and/or the study sponsor to assure compliance with GCP requirements.</w:t>
      </w:r>
    </w:p>
    <w:p>
      <w:pPr>
        <w:spacing w:after="0" w:line="166"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Additionally, the FDA may refer any application to an advisory committee, including applications for novel drug candidates that present difficult questions of safety or efficacy.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6"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The FDA also may require submission of a risk evaluation and mitigation strategy, or REMS, plan, if it determines that a REMS is necessary to ensure that the benefits of the drug outweigh its risks and to assure the safe use of the drug product. A REMS is a safety strategy to manage a known or potential serious risk associated with a medicine and to enable patients to have continued access to such medicines by managing their safe use, and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The FDA will not approve the NDA without a REMS, if required.</w:t>
      </w:r>
    </w:p>
    <w:p>
      <w:pPr>
        <w:spacing w:after="0" w:line="173" w:lineRule="exact"/>
        <w:rPr>
          <w:sz w:val="20"/>
          <w:szCs w:val="20"/>
          <w:color w:val="auto"/>
        </w:rPr>
      </w:pPr>
    </w:p>
    <w:p>
      <w:pPr>
        <w:ind w:firstLine="393"/>
        <w:spacing w:after="0" w:line="267" w:lineRule="auto"/>
        <w:rPr>
          <w:sz w:val="20"/>
          <w:szCs w:val="20"/>
          <w:color w:val="auto"/>
        </w:rPr>
      </w:pPr>
      <w:r>
        <w:rPr>
          <w:rFonts w:ascii="Arial" w:cs="Arial" w:eastAsia="Arial" w:hAnsi="Arial"/>
          <w:sz w:val="17"/>
          <w:szCs w:val="17"/>
          <w:color w:val="auto"/>
        </w:rPr>
        <w:t>In addition, under the Pediatric Research Equity Act of 2003, or PREA,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sponsor or FDA may request a deferral of pediatric clinical trials for some or all of the pediatric subpopulations. The FDA must send a non-compliance letter to any sponsor that fails to submit the required assessment, keep a deferral current or fails to submit a request for approval of a pediatric formulation.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After evaluating the NDA and all related information, including the advisory committee recommendation, if any, and any inspection reports regarding the manufacturing facilities, sponsor, and clinical trial sites, the FDA may issue either an approval letter or a complete response letter, or CRL. An approval letter authorizes commercial marketing of the drug with specific prescribing information and for specific indications. A CRL will describe all of the deficiencies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If a CRL is issued, the applicant may choose to either resubmit the NDA, addressing all of the deficiencies identified in the letter, or withdraw the application. If those deficiencies have been addressed to the FDA’s satisfaction, the FDA will issue an approval letter. Even with submission of this additional information, the FDA ultimately may decide that the application does not satisfy the regulatory criteria for approval.</w:t>
      </w:r>
    </w:p>
    <w:p>
      <w:pPr>
        <w:spacing w:after="0" w:line="387"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safety, require testing and surveillance programs to monitor the product,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Orphan drug designation and exclusivity</w:t>
      </w:r>
    </w:p>
    <w:p>
      <w:pPr>
        <w:spacing w:after="0" w:line="119" w:lineRule="exact"/>
        <w:rPr>
          <w:sz w:val="20"/>
          <w:szCs w:val="20"/>
          <w:color w:val="auto"/>
        </w:rPr>
      </w:pPr>
    </w:p>
    <w:p>
      <w:pPr>
        <w:ind w:right="80" w:firstLine="393"/>
        <w:spacing w:after="0" w:line="260" w:lineRule="auto"/>
        <w:rPr>
          <w:sz w:val="20"/>
          <w:szCs w:val="20"/>
          <w:color w:val="auto"/>
        </w:rPr>
      </w:pPr>
      <w:r>
        <w:rPr>
          <w:rFonts w:ascii="Arial" w:cs="Arial" w:eastAsia="Arial" w:hAnsi="Arial"/>
          <w:sz w:val="17"/>
          <w:szCs w:val="17"/>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sponsor must request orphan drug designation before submitting an NDA. If the request is granted, the FDA will disclose the identity of the therapeutic agent and its potential use. If a product with orphan status receives the first FDA approval for the disease or condition for which it has such designation or for a select indication or use within the rare disease or condition for which it was designated, the product generally will receive orphan product exclusivity. Orphan product exclusivity means that the FDA may not approve any other applications for the same product for the same disease or condition for seven years. If a drug or drug product designated as an orphan product ultimately receives marketing approval for a disease or condition broader than what was designated in its orphan product application, it may not be entitled exclusivity. Orphan exclusivity will not bar approval of another product under certain circumstances, including if a subsequent product with the same active ingredient for the same disease or condition is shown to be clinically superior to the approved product on the basis of greater efficacy or safety, or to provide a major contribution to patient care, or if the company with orphan drug exclusivity is not able to meet market demand. Among the other benefits of orphan drug designation are tax credits for certain research and a waiver of the NDA application user fee. Orphan product designation, however, does not convey any advantage in or shorten the duration of the regulatory review and approval process.</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Rare pediatric disease designation and priority review vouchers</w:t>
      </w:r>
    </w:p>
    <w:p>
      <w:pPr>
        <w:spacing w:after="0" w:line="119" w:lineRule="exact"/>
        <w:rPr>
          <w:sz w:val="20"/>
          <w:szCs w:val="20"/>
          <w:color w:val="auto"/>
        </w:rPr>
      </w:pPr>
    </w:p>
    <w:p>
      <w:pPr>
        <w:ind w:right="60" w:firstLine="393"/>
        <w:spacing w:after="0" w:line="263" w:lineRule="auto"/>
        <w:rPr>
          <w:sz w:val="20"/>
          <w:szCs w:val="20"/>
          <w:color w:val="auto"/>
        </w:rPr>
      </w:pPr>
      <w:r>
        <w:rPr>
          <w:rFonts w:ascii="Arial" w:cs="Arial" w:eastAsia="Arial" w:hAnsi="Arial"/>
          <w:sz w:val="17"/>
          <w:szCs w:val="17"/>
          <w:color w:val="auto"/>
        </w:rPr>
        <w:t>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175" w:lineRule="exact"/>
        <w:rPr>
          <w:sz w:val="20"/>
          <w:szCs w:val="20"/>
          <w:color w:val="auto"/>
        </w:rPr>
      </w:pPr>
    </w:p>
    <w:p>
      <w:pPr>
        <w:ind w:right="80" w:firstLine="393"/>
        <w:spacing w:after="0" w:line="278" w:lineRule="auto"/>
        <w:rPr>
          <w:sz w:val="20"/>
          <w:szCs w:val="20"/>
          <w:color w:val="auto"/>
        </w:rPr>
      </w:pPr>
      <w:r>
        <w:rPr>
          <w:rFonts w:ascii="Arial" w:cs="Arial" w:eastAsia="Arial" w:hAnsi="Arial"/>
          <w:sz w:val="17"/>
          <w:szCs w:val="17"/>
          <w:color w:val="auto"/>
        </w:rPr>
        <w:t>For purposes of this program, a “rare pediatric disease” is a (a) serious or life-threatening disease in which the serious or life-threatening manifestations primarily affect individuals aged from birth to 18 years; and (b) rare diseases or conditions within the meaning of the Orphan Drug Act. Congress has only authorized the Rare Pediatric</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Disease Priority Review Voucher program until September 30, 2024. Consequently, sponsors of marketing applications approved after that date</w:t>
      </w:r>
    </w:p>
    <w:p>
      <w:pPr>
        <w:spacing w:after="0" w:line="54" w:lineRule="exact"/>
        <w:rPr>
          <w:sz w:val="20"/>
          <w:szCs w:val="20"/>
          <w:color w:val="auto"/>
        </w:rPr>
      </w:pPr>
    </w:p>
    <w:p>
      <w:pPr>
        <w:jc w:val="both"/>
        <w:ind w:right="320"/>
        <w:spacing w:after="0" w:line="278" w:lineRule="auto"/>
        <w:rPr>
          <w:sz w:val="20"/>
          <w:szCs w:val="20"/>
          <w:color w:val="auto"/>
        </w:rPr>
      </w:pPr>
      <w:r>
        <w:rPr>
          <w:rFonts w:ascii="Arial" w:cs="Arial" w:eastAsia="Arial" w:hAnsi="Arial"/>
          <w:sz w:val="17"/>
          <w:szCs w:val="17"/>
          <w:color w:val="auto"/>
        </w:rPr>
        <w:t>will not receive the voucher unless Congress reauthorizes the program. If the program is not reauthorized, if a drug candidate receives Rare Pediatric Disease Designation before October 1, 2024, the sponsor of the marketing application for such drug will only be eligible to receive a voucher if the application for the designated drug is approved by the FDA before October 1, 2026.</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Fast track, breakthrough therapy and priority review designations</w:t>
      </w:r>
    </w:p>
    <w:p>
      <w:pPr>
        <w:spacing w:after="0" w:line="119" w:lineRule="exact"/>
        <w:rPr>
          <w:sz w:val="20"/>
          <w:szCs w:val="20"/>
          <w:color w:val="auto"/>
        </w:rPr>
      </w:pPr>
    </w:p>
    <w:p>
      <w:pPr>
        <w:jc w:val="both"/>
        <w:ind w:right="100" w:firstLine="393"/>
        <w:spacing w:after="0" w:line="278" w:lineRule="auto"/>
        <w:rPr>
          <w:sz w:val="20"/>
          <w:szCs w:val="20"/>
          <w:color w:val="auto"/>
        </w:rPr>
      </w:pPr>
      <w:r>
        <w:rPr>
          <w:rFonts w:ascii="Arial" w:cs="Arial" w:eastAsia="Arial" w:hAnsi="Arial"/>
          <w:sz w:val="17"/>
          <w:szCs w:val="17"/>
          <w:color w:val="auto"/>
        </w:rPr>
        <w:t>The FDA is authorized to designate certain products for expedited development or review if they are intended to address an unmet medical need in the treatment of a serious or life-threatening disease or condition. These programs include fast track designation, breakthrough therapy designation and priority review designation.</w:t>
      </w:r>
    </w:p>
    <w:p>
      <w:pPr>
        <w:spacing w:after="0" w:line="160"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To be eligible for a fast track designation, the FDA must determine that a product candidate is intended to treat a serious or life threatening disease or condition and demonstrates the potential to address unmet medical needs for the condition. Fast track designation provides opportunities for more frequent interactions with the FDA review team to expedite development and review of the product candidate. The FDA may also agree to review sections of the NDA for a fast track product candidate on a rolling basis before the complete application is submitted.</w:t>
      </w:r>
    </w:p>
    <w:p>
      <w:pPr>
        <w:spacing w:after="0" w:line="166"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A product candidate intended to treat a serious or life-threatening disease or condition may also be eligible for breakthrough therapy designation.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Finally, the FDA may designate an NDA for priority review if the product candidate treats a serious condition and, if approved, would provide a significant improvement in safety or effectiveness. The FDA determines at the time that the marketing application is submitted, on a case-by-case basis, whether the product candidate represents a significant improvement when compared with other available therapies. Significant improvement may be illustrated by, among other things, evidence of increased effectiveness,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the filing date for an NDA for a new molecular entity.</w:t>
      </w:r>
    </w:p>
    <w:p>
      <w:pPr>
        <w:spacing w:after="0" w:line="175" w:lineRule="exact"/>
        <w:rPr>
          <w:sz w:val="20"/>
          <w:szCs w:val="20"/>
          <w:color w:val="auto"/>
        </w:rPr>
      </w:pPr>
    </w:p>
    <w:p>
      <w:pPr>
        <w:ind w:right="60" w:firstLine="433"/>
        <w:spacing w:after="0" w:line="275"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priority review and breakthrough therapy designation do not change the standards for approval and may not ultimately expedite the development or approval process.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Accelerated approval pathway</w:t>
      </w:r>
    </w:p>
    <w:p>
      <w:pPr>
        <w:spacing w:after="0" w:line="119" w:lineRule="exact"/>
        <w:rPr>
          <w:sz w:val="20"/>
          <w:szCs w:val="20"/>
          <w:color w:val="auto"/>
        </w:rPr>
      </w:pPr>
    </w:p>
    <w:p>
      <w:pPr>
        <w:ind w:right="20" w:firstLine="393"/>
        <w:spacing w:after="0" w:line="261" w:lineRule="auto"/>
        <w:rPr>
          <w:sz w:val="20"/>
          <w:szCs w:val="20"/>
          <w:color w:val="auto"/>
        </w:rPr>
      </w:pPr>
      <w:r>
        <w:rPr>
          <w:rFonts w:ascii="Arial" w:cs="Arial" w:eastAsia="Arial" w:hAnsi="Arial"/>
          <w:sz w:val="17"/>
          <w:szCs w:val="17"/>
          <w:color w:val="auto"/>
        </w:rPr>
        <w:t>A drug product may also be eligible for accelerated approval if it is designed to treat a serious or life-threatening disease or condition and provides a meaningful therapeutic benefit over existing treatments. Such product candidates can be approved upon a determination that the product candidate has an effect on either a surrogate endpoint that is reasonably likely to predict clinical benefit or on an intermediate clinical endpoint that can be measured earlier than irreversible morbidity or mortality, or IMM, that is reasonably likely to predict an effect on IMM or other clinical benefit, taking into account the severity, rarity, or prevalence of the disease or condition and the availability or lack of alternative treatments. As a condition of approval, the FDA generally requires that a sponsor of a drug receiving accelerated approval perform adequate and well-controlled confirmatory clinical trials to verify and describe the predicted effect on IMM or other clinical endpoint, and may require that such confirmatory trials be underway prior to granting accelerated approval. The FDA may withdraw approval of a drug or indication approved under accelerated approval on an expedited basis if, for example, the confirmatory trial fails to verify the predicted clinical benefit of the product or the sponsor fails to conduct such confirmatory trials in a timely manner or in accordance with applicable regulations. Drugs granted accelerated approval must meet the same statutory standards for safety and effectiveness as those granted traditional approval. In addition, all promotional materials for products approved under the accelerated approval program are subject to prior review by the FDA.</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product marketing exclusivity</w:t>
      </w:r>
    </w:p>
    <w:p>
      <w:pPr>
        <w:spacing w:after="0" w:line="119" w:lineRule="exact"/>
        <w:rPr>
          <w:sz w:val="20"/>
          <w:szCs w:val="20"/>
          <w:color w:val="auto"/>
        </w:rPr>
      </w:pPr>
    </w:p>
    <w:p>
      <w:pPr>
        <w:ind w:right="80" w:firstLine="393"/>
        <w:spacing w:after="0" w:line="264" w:lineRule="auto"/>
        <w:rPr>
          <w:sz w:val="20"/>
          <w:szCs w:val="20"/>
          <w:color w:val="auto"/>
        </w:rPr>
      </w:pPr>
      <w:r>
        <w:rPr>
          <w:rFonts w:ascii="Arial" w:cs="Arial" w:eastAsia="Arial" w:hAnsi="Arial"/>
          <w:sz w:val="17"/>
          <w:szCs w:val="17"/>
          <w:color w:val="auto"/>
        </w:rPr>
        <w:t>Market exclusivity provisions under the FDCA can delay the submission or the approval of certain marketing applications. For example,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 generic or follow-on version of the protected drug product, respectively, where the applicant does not own or have a legal right of reference to all the data required for approval. However, an application may be submitted after four years if it contains a certification of patent invalidity or non-infringement.</w:t>
      </w:r>
    </w:p>
    <w:p>
      <w:pPr>
        <w:spacing w:after="0" w:line="173"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FDCA also provides three years of non-patent exclusivity when an NDA, or a supplement to an existing NDA, includes new clinical investigations, other than bioavailability studies, conducted or sponsored by the applicant that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or follow-on 505(b)(2) NDAs if the protected clinical data are not referenced. Five-year and three-year exclusivity will not delay the submission or approval of a stand-alone NDA submitted under section 505(b)(1) of the FDCA. However, an applicant submitting a stand-alone NDA would be required to conduct or obtain a right of reference to all of the preclinical studies and adequate and well-controlled clinical trials necessary to demonstrate safety and effectiveness, if applicable.</w:t>
      </w:r>
    </w:p>
    <w:p>
      <w:pPr>
        <w:spacing w:after="0" w:line="383" w:lineRule="exact"/>
        <w:rPr>
          <w:sz w:val="20"/>
          <w:szCs w:val="20"/>
          <w:color w:val="auto"/>
        </w:rPr>
      </w:pPr>
    </w:p>
    <w:p>
      <w:pPr>
        <w:ind w:firstLine="393"/>
        <w:spacing w:after="0" w:line="271" w:lineRule="auto"/>
        <w:rPr>
          <w:sz w:val="20"/>
          <w:szCs w:val="20"/>
          <w:color w:val="auto"/>
        </w:rPr>
      </w:pPr>
      <w:r>
        <w:rPr>
          <w:rFonts w:ascii="Arial" w:cs="Arial" w:eastAsia="Arial" w:hAnsi="Arial"/>
          <w:sz w:val="17"/>
          <w:szCs w:val="17"/>
          <w:color w:val="auto"/>
        </w:rPr>
        <w:t>Pediatric exclusivity is another type of regulatory market exclusivity in the United States. Pediatric exclusivity, if granted, adds six months to existing regulatory exclusivity periods or patent terms. This six-month exclusivity may be granted based on the voluntary completion of a pediatric trial in accordance with an FDA-issued “Written Request” for such a trial. The FDA's issuance of a written request does not obligate the sponsor to complete the requested pediatric studies.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19"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Following approval of a new prescription drug product, the manufacturer and the approved drug are subject to pervasive and continuing regulation by the FDA, including, among other things, requirements relating to monitoring and recordkeeping, periodic reporting, product sampling and distribution, advertising and promotion and reporting of adverse experiences with the product. 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After approval, most changes to the approved product, such as adding new indications or other labeling claims or changes to the manufacturing processes or facilities, are subject to prior FDA review and approval. There are continuing, annual program fee requirements for any marketed products.</w:t>
      </w:r>
    </w:p>
    <w:p>
      <w:pPr>
        <w:spacing w:after="0" w:line="174" w:lineRule="exact"/>
        <w:rPr>
          <w:sz w:val="20"/>
          <w:szCs w:val="20"/>
          <w:color w:val="auto"/>
        </w:rPr>
      </w:pPr>
    </w:p>
    <w:p>
      <w:pPr>
        <w:ind w:right="80" w:firstLine="393"/>
        <w:spacing w:after="0" w:line="271" w:lineRule="auto"/>
        <w:rPr>
          <w:sz w:val="20"/>
          <w:szCs w:val="20"/>
          <w:color w:val="auto"/>
        </w:rPr>
      </w:pPr>
      <w:r>
        <w:rPr>
          <w:rFonts w:ascii="Arial" w:cs="Arial" w:eastAsia="Arial" w:hAnsi="Arial"/>
          <w:sz w:val="17"/>
          <w:szCs w:val="17"/>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114" w:lineRule="exact"/>
        <w:rPr>
          <w:sz w:val="20"/>
          <w:szCs w:val="20"/>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Imposition of post-marketing studies or clinical trials to assess new safety risks, or restrictions under a REMS program;</w:t>
      </w:r>
    </w:p>
    <w:p>
      <w:pPr>
        <w:spacing w:after="0" w:line="171"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Restrictions on the marketing, manufacturing or distribution of the product, complete withdrawal of the product from the market or product recalls;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Fines, warning letters, untitled letters or other enforcement-related letters or clinical holds on post-approval clinical trials;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approvals;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171" w:lineRule="exact"/>
        <w:rPr>
          <w:rFonts w:ascii="Arial" w:cs="Arial" w:eastAsia="Arial" w:hAnsi="Arial"/>
          <w:sz w:val="17"/>
          <w:szCs w:val="17"/>
          <w:color w:val="auto"/>
        </w:rPr>
      </w:pPr>
    </w:p>
    <w:p>
      <w:pPr>
        <w:ind w:left="640" w:right="20" w:hanging="320"/>
        <w:spacing w:after="0" w:line="300"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Issuance of safety alerts, Dear Healthcare Provider letters, press releases and other communications containing warnings or other safety information about the product;</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or</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4" w:lineRule="exact"/>
        <w:rPr>
          <w:sz w:val="20"/>
          <w:szCs w:val="20"/>
          <w:color w:val="auto"/>
        </w:rPr>
      </w:pPr>
    </w:p>
    <w:p>
      <w:pPr>
        <w:jc w:val="both"/>
        <w:ind w:right="700" w:firstLine="393"/>
        <w:spacing w:after="0" w:line="262"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Drugs must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Physicians may prescribe, in their independent professional medical judgment, legally available products for uses that are not described in the product’s labeling and that differ from those tested and approved by the FDA. The FDA does not regulate the behavior of physicians in their choice of treatments, but it does restrict the manufacturer’s communications on the subject of off-label use of their products. However, companies may share truthful and not misleading information that is otherwise consistent with a product’s FDA-approved labeling.</w:t>
      </w:r>
    </w:p>
    <w:p>
      <w:pPr>
        <w:spacing w:after="0" w:line="170" w:lineRule="exact"/>
        <w:rPr>
          <w:sz w:val="20"/>
          <w:szCs w:val="20"/>
          <w:color w:val="auto"/>
        </w:rPr>
      </w:pPr>
    </w:p>
    <w:p>
      <w:pPr>
        <w:ind w:right="180" w:firstLine="393"/>
        <w:spacing w:after="0" w:line="271"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Healthcare laws and regulations</w:t>
      </w:r>
    </w:p>
    <w:p>
      <w:pPr>
        <w:spacing w:after="0" w:line="121" w:lineRule="exact"/>
        <w:rPr>
          <w:sz w:val="20"/>
          <w:szCs w:val="20"/>
          <w:color w:val="auto"/>
        </w:rPr>
      </w:pPr>
    </w:p>
    <w:p>
      <w:pPr>
        <w:ind w:right="60" w:firstLine="393"/>
        <w:spacing w:after="0" w:line="262"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in which they conduct their business, which may constrain the financial arrangements and relationships through which these companies and their partners research, sell, market and distribute any products for which marketing approval is obtained. Such laws include, without limitation, state and federal anti-kickback, fraud and abuse, false claims and transparency laws regarding drug pricing and payments and other transfer of value to physicians and other healthcare providers. If their operations are found to be in violation of any of such laws or any other governmental regulations that apply, they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and future healthcare reform legislation</w:t>
      </w:r>
    </w:p>
    <w:p>
      <w:pPr>
        <w:spacing w:after="0" w:line="119"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In the United States, there have been, and likely will continue to be, a number of legislative and regulatory changes regarding the healthcare system directed at broadening the availability of health care, improving the quality of health care and containing or lowering the cost of health care. For example, in March 2010 the Affordable Care Act, or ACA, was enacted, which substantially changed the way health care is financed by both governmental and private insurers, and significantly impacted the U.S. pharmaceutical industry. The ACA, among other things, subjected biological products to potential competition by lower-cost biosimilars; expanded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80"/>
        <w:spacing w:after="0" w:line="300" w:lineRule="auto"/>
        <w:rPr>
          <w:sz w:val="20"/>
          <w:szCs w:val="20"/>
          <w:color w:val="auto"/>
        </w:rPr>
      </w:pPr>
      <w:r>
        <w:rPr>
          <w:rFonts w:ascii="Arial" w:cs="Arial" w:eastAsia="Arial" w:hAnsi="Arial"/>
          <w:sz w:val="17"/>
          <w:szCs w:val="17"/>
          <w:color w:val="auto"/>
        </w:rPr>
        <w:t>negotiated prices of applicable brand drugs to eligible beneficiaries during their coverage gap period, as a condition for the manufacturer’s outpatient drugs to be covered under Medicare Part D.</w:t>
      </w:r>
    </w:p>
    <w:p>
      <w:pPr>
        <w:spacing w:after="0" w:line="141" w:lineRule="exact"/>
        <w:rPr>
          <w:sz w:val="20"/>
          <w:szCs w:val="20"/>
          <w:color w:val="auto"/>
        </w:rPr>
      </w:pPr>
    </w:p>
    <w:p>
      <w:pPr>
        <w:ind w:right="80" w:firstLine="433"/>
        <w:spacing w:after="0" w:line="278" w:lineRule="auto"/>
        <w:rPr>
          <w:sz w:val="20"/>
          <w:szCs w:val="20"/>
          <w:color w:val="auto"/>
        </w:rPr>
      </w:pPr>
      <w:r>
        <w:rPr>
          <w:rFonts w:ascii="Arial" w:cs="Arial" w:eastAsia="Arial" w:hAnsi="Arial"/>
          <w:sz w:val="17"/>
          <w:szCs w:val="17"/>
          <w:color w:val="auto"/>
        </w:rPr>
        <w:t>Since its enactment, there have been judicial, administrative, executive and legislative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60"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in August 2011, the Budget Control Act of 2011, among other things, included aggregate reductions of Medicare payments to providers. These reductions went into effect on April 1, 2013, and, due to subsequent legislative amendments, will remain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173" w:lineRule="exact"/>
        <w:rPr>
          <w:sz w:val="20"/>
          <w:szCs w:val="20"/>
          <w:color w:val="auto"/>
        </w:rPr>
      </w:pPr>
    </w:p>
    <w:p>
      <w:pPr>
        <w:ind w:firstLine="433"/>
        <w:spacing w:after="0" w:line="259" w:lineRule="auto"/>
        <w:rPr>
          <w:sz w:val="20"/>
          <w:szCs w:val="20"/>
          <w:color w:val="auto"/>
        </w:rPr>
      </w:pPr>
      <w:r>
        <w:rPr>
          <w:rFonts w:ascii="Arial" w:cs="Arial" w:eastAsia="Arial" w:hAnsi="Arial"/>
          <w:sz w:val="17"/>
          <w:szCs w:val="17"/>
          <w:color w:val="auto"/>
        </w:rPr>
        <w:t>Moreover, on March 11, 2021, President Biden signed the American Rescue Plan Act of 2021 into law, which eliminated the statutory Medicaid drug rebate cap for single source and innovator multiple source drugs, beginning January 1, 2024. The rebate was previously capped at 100% of a drug's average manufacturer price. Payment methodologies may also be subject to changes in healthcare legislation and regulatory initiatives. For example, Centers for Medicare and Medicaid Services may develop new payment and delivery models, such as bundled payment models. There also has been heightened governmental scrutiny in the United States of pharmaceutical pricing practices in light of the rising cost of prescription drugs and biologics.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By way of example, in August 2022, the Inflation Reduction Act of 2022, or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These provisions started to take effect progressively starting in fiscal year 2023. On August 29, 2023, HHS announced the list of the first ten drugs that will be subject to price negotiations, although the Medicare drug price negotiation program is currently subject to legal challenges.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188"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At the state level, legislatures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167" w:lineRule="exact"/>
        <w:rPr>
          <w:sz w:val="20"/>
          <w:szCs w:val="20"/>
          <w:color w:val="auto"/>
        </w:rPr>
      </w:pPr>
    </w:p>
    <w:p>
      <w:pPr>
        <w:jc w:val="both"/>
        <w:ind w:right="160" w:firstLine="393"/>
        <w:spacing w:after="0" w:line="278" w:lineRule="auto"/>
        <w:rPr>
          <w:sz w:val="20"/>
          <w:szCs w:val="20"/>
          <w:color w:val="auto"/>
        </w:rPr>
      </w:pPr>
      <w:r>
        <w:rPr>
          <w:rFonts w:ascii="Arial" w:cs="Arial" w:eastAsia="Arial" w:hAnsi="Arial"/>
          <w:sz w:val="17"/>
          <w:szCs w:val="17"/>
          <w:color w:val="auto"/>
        </w:rPr>
        <w:t>We expect that additional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pricing and reimbursement</w:t>
      </w:r>
    </w:p>
    <w:p>
      <w:pPr>
        <w:spacing w:after="0" w:line="119" w:lineRule="exact"/>
        <w:rPr>
          <w:sz w:val="20"/>
          <w:szCs w:val="20"/>
          <w:color w:val="auto"/>
        </w:rPr>
      </w:pPr>
    </w:p>
    <w:p>
      <w:pPr>
        <w:ind w:right="660" w:firstLine="393"/>
        <w:spacing w:after="0" w:line="300"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Sales of any products for which we receive regulatory approval for commercial sale</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will depend, in part, on the extent to which third-party payors provide coverage and establish adequate reimbursement levels for such drug products. In the United States, third-party payors include federal and state healthcare programs, government authorities, private manage care providers, private health insurers and other organizations. For products administered under the supervision of a physician, obtaining coverage and adequate reimbursement may be particularly difficult because of the higher prices often associated with such drugs.</w:t>
      </w:r>
    </w:p>
    <w:p>
      <w:pPr>
        <w:spacing w:after="0" w:line="166"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may need to conduct expensive pharmaco-economic studies in order to demonstrate the medical necessity and cost-effectiveness of our product candidates, if approved,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79"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could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Regulations outside of the United States</w:t>
      </w:r>
    </w:p>
    <w:p>
      <w:pPr>
        <w:spacing w:after="0" w:line="119" w:lineRule="exact"/>
        <w:rPr>
          <w:sz w:val="20"/>
          <w:szCs w:val="20"/>
          <w:color w:val="auto"/>
        </w:rPr>
      </w:pPr>
    </w:p>
    <w:p>
      <w:pPr>
        <w:ind w:right="60" w:firstLine="393"/>
        <w:spacing w:after="0" w:line="263" w:lineRule="auto"/>
        <w:rPr>
          <w:sz w:val="20"/>
          <w:szCs w:val="20"/>
          <w:color w:val="auto"/>
        </w:rPr>
      </w:pPr>
      <w:r>
        <w:rPr>
          <w:rFonts w:ascii="Arial" w:cs="Arial" w:eastAsia="Arial" w:hAnsi="Arial"/>
          <w:sz w:val="17"/>
          <w:szCs w:val="17"/>
          <w:color w:val="auto"/>
        </w:rPr>
        <w:t>In addition to regulations in the United States, we may be subject to a variety of regulations in foreign jurisdictions that govern, among other things, preclinical and clinical studies, commercial sales and distribution of our future products. Most countries outside of the United States, including the European Union, or the EU, require that clinical trial applications be submitted to and approved by the local regulatory authority for each clinical study. In addition, whether or not we obtain FDA approval for a product candidate, we must obtain the requisite approval from comparable regulatory authorities outside the United States before we can commence clinical studies or marketing of the product candidate in those countries. The requirements and process governing the conduct of clinical trials, approval,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Non-clinical studies and clinical trials in the European Union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Similar to the United States, the various phases of non-clinical and clinical research in the EU are subject to significant regulatory controls.</w:t>
      </w:r>
    </w:p>
    <w:p>
      <w:pPr>
        <w:spacing w:after="0" w:line="22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Non-clinical studies are performed to demonstrate the health or environmental safety of new biological substances. Non-clinical (pharmaco-toxicological) studies must be conducted in compliance with the principles of good laboratory practice, or GLP, as set forth in EU Directive 2004/10/EC (unless otherwise justified for certain particular medical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Clinical trials of medicinal products in the EU must be conducted in accordance with EU and national regulations and the International Council for Harmonization of Technical Requirements for Pharmaceuticals for Human Use, or ICH, guidelines on good clinical practices, or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60"/>
        <w:spacing w:after="0" w:line="300" w:lineRule="auto"/>
        <w:rPr>
          <w:sz w:val="20"/>
          <w:szCs w:val="20"/>
          <w:color w:val="auto"/>
        </w:rPr>
      </w:pPr>
      <w:r>
        <w:rPr>
          <w:rFonts w:ascii="Arial" w:cs="Arial" w:eastAsia="Arial" w:hAnsi="Arial"/>
          <w:sz w:val="17"/>
          <w:szCs w:val="17"/>
          <w:color w:val="auto"/>
        </w:rPr>
        <w:t>a clinical trial insurance policy, and in most EU member states, the sponsor is liable to provide ‘no fault’ compensation to any study subject injured in the clinical trial.</w:t>
      </w:r>
    </w:p>
    <w:p>
      <w:pPr>
        <w:spacing w:after="0" w:line="14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While the Clinical Trials Directive required a separate clinical trial application, or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Medicines used in clinical trials must be manufactured in accordance with good manufacturing practice. Other national and EU-wide regulatory requirements may also apply.</w:t>
      </w:r>
    </w:p>
    <w:p>
      <w:pPr>
        <w:spacing w:after="0" w:line="141"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The aforementioned EU rules are generally applicable in the European Economic Area, which consists of the 27 EU member states plus Norway, Liechtenstein and Iceland.</w:t>
      </w:r>
    </w:p>
    <w:p>
      <w:pPr>
        <w:spacing w:after="0" w:line="141"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 In March 2016, the European Medicines Agency, or EMA, launched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contact and rapporteur from the Committee for Medicinal Products for Human Use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of drug products and healthcare laws and regulations outside of the United States</w:t>
      </w:r>
    </w:p>
    <w:p>
      <w:pPr>
        <w:spacing w:after="0" w:line="119" w:lineRule="exact"/>
        <w:rPr>
          <w:sz w:val="20"/>
          <w:szCs w:val="20"/>
          <w:color w:val="auto"/>
        </w:rPr>
      </w:pPr>
    </w:p>
    <w:p>
      <w:pPr>
        <w:ind w:right="340" w:firstLine="393"/>
        <w:spacing w:after="0" w:line="271" w:lineRule="auto"/>
        <w:rPr>
          <w:sz w:val="20"/>
          <w:szCs w:val="20"/>
          <w:color w:val="auto"/>
        </w:rPr>
      </w:pPr>
      <w:r>
        <w:rPr>
          <w:rFonts w:ascii="Arial" w:cs="Arial" w:eastAsia="Arial" w:hAnsi="Arial"/>
          <w:sz w:val="17"/>
          <w:szCs w:val="17"/>
          <w:color w:val="auto"/>
        </w:rPr>
        <w:t>Our product candidates may be subject in the future to laws and regulations related to drug products and health care imposed by jurisdictions outside of the United States, including the EU which may include, for instance, applicable post-marketing requirements, including safety surveillance, anti-fraud and abuse laws and implementation of corporate compliance programs and reporting of payments or other transfers of value to healthcare professionals. Outside of the United States, the provision of health care, including the pricing 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pharmaceutical products, is subject to governmental control in many countries, and efforts to control prices and costs, including legislative action, will likely continue as countries attempt to manage healthcare expenditures.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119" w:lineRule="exact"/>
        <w:rPr>
          <w:sz w:val="20"/>
          <w:szCs w:val="20"/>
          <w:color w:val="auto"/>
        </w:rPr>
      </w:pPr>
    </w:p>
    <w:p>
      <w:pPr>
        <w:ind w:firstLine="393"/>
        <w:spacing w:after="0" w:line="261" w:lineRule="auto"/>
        <w:rPr>
          <w:sz w:val="20"/>
          <w:szCs w:val="20"/>
          <w:color w:val="auto"/>
        </w:rPr>
      </w:pPr>
      <w:r>
        <w:rPr>
          <w:rFonts w:ascii="Arial" w:cs="Arial" w:eastAsia="Arial" w:hAnsi="Arial"/>
          <w:sz w:val="17"/>
          <w:szCs w:val="17"/>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the Health Insurance Portability and Accountability Act of 1996, or HIPAA, and federal and state consumer protection laws and regulations that govern the collection, use, disclosure, and protection of health-related and other personal information could apply now or in the future to our operations or the operations of our partners. In addition, certain state and non-U.S. laws, such as the California Consumer Privacy Act of 2018, or CCPA, the California Privacy Rights Act of 2020, or CPRA, and the General Data Protection Regulation, or GDPR, and the U.K.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and regulations governing international operations</w:t>
      </w:r>
    </w:p>
    <w:p>
      <w:pPr>
        <w:spacing w:after="0" w:line="119"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If we further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3"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by U.S. authorities that enforce the FCPA, including the Department of Justice, to be foreign officials. Certain payments to hospitals in connection with clinical trials and other work have been deemed to be improper payments to government officials and have led to FCPA enforcement actions.</w:t>
      </w:r>
    </w:p>
    <w:p>
      <w:pPr>
        <w:spacing w:after="0" w:line="167"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67" w:lineRule="exact"/>
        <w:rPr>
          <w:sz w:val="20"/>
          <w:szCs w:val="20"/>
          <w:color w:val="auto"/>
        </w:rPr>
      </w:pPr>
    </w:p>
    <w:p>
      <w:pPr>
        <w:ind w:right="80" w:firstLine="393"/>
        <w:spacing w:after="0" w:line="278" w:lineRule="auto"/>
        <w:rPr>
          <w:sz w:val="20"/>
          <w:szCs w:val="20"/>
          <w:color w:val="auto"/>
        </w:rPr>
      </w:pPr>
      <w:r>
        <w:rPr>
          <w:rFonts w:ascii="Arial" w:cs="Arial" w:eastAsia="Arial" w:hAnsi="Arial"/>
          <w:sz w:val="17"/>
          <w:szCs w:val="17"/>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1" w:lineRule="exact"/>
        <w:rPr>
          <w:sz w:val="20"/>
          <w:szCs w:val="20"/>
          <w:color w:val="auto"/>
        </w:rPr>
      </w:pPr>
    </w:p>
    <w:p>
      <w:pPr>
        <w:ind w:right="300" w:firstLine="433"/>
        <w:spacing w:after="0" w:line="278" w:lineRule="auto"/>
        <w:rPr>
          <w:sz w:val="20"/>
          <w:szCs w:val="20"/>
          <w:color w:val="auto"/>
        </w:rPr>
      </w:pPr>
      <w:r>
        <w:rPr>
          <w:rFonts w:ascii="Arial" w:cs="Arial" w:eastAsia="Arial" w:hAnsi="Arial"/>
          <w:sz w:val="17"/>
          <w:szCs w:val="17"/>
          <w:color w:val="auto"/>
        </w:rPr>
        <w:t>At Praxis, we are passionate about our mission to translate genetic insights into the development of therapies for CNS disorders characterized by neuronal imbalance. Our culture is designed to attract, develop and retain a talent-dense team that works tirelessly to deliver treatments to positively change the lives of patients with CNS disorders.</w:t>
      </w:r>
    </w:p>
    <w:p>
      <w:pPr>
        <w:spacing w:after="0" w:line="160" w:lineRule="exact"/>
        <w:rPr>
          <w:sz w:val="20"/>
          <w:szCs w:val="20"/>
          <w:color w:val="auto"/>
        </w:rPr>
      </w:pPr>
    </w:p>
    <w:p>
      <w:pPr>
        <w:ind w:right="520" w:firstLine="433"/>
        <w:spacing w:after="0" w:line="300" w:lineRule="auto"/>
        <w:rPr>
          <w:sz w:val="20"/>
          <w:szCs w:val="20"/>
          <w:color w:val="auto"/>
        </w:rPr>
      </w:pPr>
      <w:r>
        <w:rPr>
          <w:rFonts w:ascii="Arial" w:cs="Arial" w:eastAsia="Arial" w:hAnsi="Arial"/>
          <w:sz w:val="17"/>
          <w:szCs w:val="17"/>
          <w:color w:val="auto"/>
        </w:rPr>
        <w:t>It is the strength of our culture and our work environment that allow us to attract top talent to Praxis. As of March 1, 2024, we have 82 employees and plan to grow as we continue to realize the potential of our pipeline.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20" w:firstLine="433"/>
        <w:spacing w:after="0" w:line="310" w:lineRule="auto"/>
        <w:rPr>
          <w:sz w:val="20"/>
          <w:szCs w:val="20"/>
          <w:color w:val="auto"/>
        </w:rPr>
      </w:pPr>
      <w:r>
        <w:rPr>
          <w:rFonts w:ascii="Arial" w:cs="Arial" w:eastAsia="Arial" w:hAnsi="Arial"/>
          <w:sz w:val="17"/>
          <w:szCs w:val="17"/>
          <w:color w:val="auto"/>
        </w:rPr>
        <w:t xml:space="preserve">We are dedicated to developing our culture and our employees through our company core values –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Curiosity</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w:t>
      </w:r>
    </w:p>
    <w:p>
      <w:pPr>
        <w:spacing w:after="0" w:line="124"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b w:val="1"/>
          <w:bCs w:val="1"/>
          <w:i w:val="1"/>
          <w:iCs w:val="1"/>
          <w:color w:val="auto"/>
        </w:rPr>
        <w:t>Trust</w:t>
      </w:r>
      <w:r>
        <w:rPr>
          <w:rFonts w:ascii="Arial" w:cs="Arial" w:eastAsia="Arial" w:hAnsi="Arial"/>
          <w:sz w:val="17"/>
          <w:szCs w:val="17"/>
          <w:color w:val="auto"/>
        </w:rPr>
        <w:t xml:space="preserve"> each other’s judgement, which is why we do not have excessively prescriptive policies. We value transparency among team members that leads to direct, clear, and timely feedback so we can all improve together. We commit to be one another’s checks and balances. We respect all opinions and encourage diversity. Discrimination is never tolerated. Because we trust employees to have good judgment, freedom is built into our ways of working.</w:t>
      </w:r>
    </w:p>
    <w:p>
      <w:pPr>
        <w:spacing w:after="0" w:line="166" w:lineRule="exact"/>
        <w:rPr>
          <w:sz w:val="20"/>
          <w:szCs w:val="20"/>
          <w:color w:val="auto"/>
        </w:rPr>
      </w:pPr>
    </w:p>
    <w:p>
      <w:pPr>
        <w:ind w:right="180" w:firstLine="433"/>
        <w:spacing w:after="0" w:line="278" w:lineRule="auto"/>
        <w:rPr>
          <w:sz w:val="20"/>
          <w:szCs w:val="20"/>
          <w:color w:val="auto"/>
        </w:rPr>
      </w:pPr>
      <w:r>
        <w:rPr>
          <w:rFonts w:ascii="Arial" w:cs="Arial" w:eastAsia="Arial" w:hAnsi="Arial"/>
          <w:sz w:val="17"/>
          <w:szCs w:val="17"/>
          <w:color w:val="auto"/>
        </w:rPr>
        <w:t xml:space="preserve">We have adopted working methodologies that embrace a virtual and collaborative work environment while emphasizing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xml:space="preserve"> for actions and outcomes. We are a culture where employees have real accountability as we all work towards furthering achievement of ambitious goals.</w:t>
      </w:r>
    </w:p>
    <w:p>
      <w:pPr>
        <w:spacing w:after="0" w:line="16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b w:val="1"/>
          <w:bCs w:val="1"/>
          <w:i w:val="1"/>
          <w:iCs w:val="1"/>
          <w:color w:val="auto"/>
        </w:rPr>
        <w:t xml:space="preserve">Curiosity </w:t>
      </w:r>
      <w:r>
        <w:rPr>
          <w:rFonts w:ascii="Arial" w:cs="Arial" w:eastAsia="Arial" w:hAnsi="Arial"/>
          <w:sz w:val="17"/>
          <w:szCs w:val="17"/>
          <w:color w:val="auto"/>
        </w:rPr>
        <w:t>fuels innovation, and we continually challenge ourselves to better help our patients. Learning is a passion. We set aside one day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month known as “Curiosity Day,” in which employees are guided to step away from their day-to-day work, meetings and calls to focus on being curious. This could mean catching up on professional articles or journals, diving deeper into a rare disease we do not currently support, exploring an area outside our comfort zone, perfecting a new skill, or taking some time to enjoy the outdoors. These opportunities to be curious have a positive impact, and enabling our employees to bring fresh insights and learnings to the organization.</w:t>
      </w:r>
    </w:p>
    <w:p>
      <w:pPr>
        <w:spacing w:after="0" w:line="167"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 xml:space="preserve">As we pursue ambitious objectives to achieve </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 we challenge ourselves daily. By exemplifying our values of trust, ownership and curiosity, employees are positioned to propel us forward to deliver lasting results for the communities we serve. At the end of the day, the magic we witness when employees put their minds together is what we are most proud of as a company.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identifying our employer value proposition, we have highlighted the following aspects of working at Praxis:</w:t>
      </w:r>
    </w:p>
    <w:p>
      <w:pPr>
        <w:spacing w:after="0" w:line="170" w:lineRule="exact"/>
        <w:rPr>
          <w:sz w:val="20"/>
          <w:szCs w:val="20"/>
          <w:color w:val="auto"/>
        </w:rPr>
      </w:pPr>
    </w:p>
    <w:p>
      <w:pPr>
        <w:ind w:left="640" w:hanging="320"/>
        <w:spacing w:after="0" w:line="272"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Building. </w:t>
      </w:r>
      <w:r>
        <w:rPr>
          <w:rFonts w:ascii="Arial" w:cs="Arial" w:eastAsia="Arial" w:hAnsi="Arial"/>
          <w:sz w:val="17"/>
          <w:szCs w:val="17"/>
          <w:color w:val="auto"/>
        </w:rPr>
        <w:t>Our approach to build and progress a robust clinical pipeline provides a platform for exploration and innovation. At Praxis, we</w:t>
      </w:r>
      <w:r>
        <w:rPr>
          <w:rFonts w:ascii="Arial" w:cs="Arial" w:eastAsia="Arial" w:hAnsi="Arial"/>
          <w:sz w:val="17"/>
          <w:szCs w:val="17"/>
          <w:b w:val="1"/>
          <w:bCs w:val="1"/>
          <w:color w:val="auto"/>
        </w:rPr>
        <w:t xml:space="preserve"> </w:t>
      </w:r>
      <w:r>
        <w:rPr>
          <w:rFonts w:ascii="Arial" w:cs="Arial" w:eastAsia="Arial" w:hAnsi="Arial"/>
          <w:sz w:val="17"/>
          <w:szCs w:val="17"/>
          <w:color w:val="auto"/>
        </w:rPr>
        <w:t>are all involved in building the company together, and as a flat and agile organization, each employee has an impact. With our company values of Trust, Ownership, Curiosity and Results as the foundation of our efforts, we are challenged to question each other and our own assumptions to deliver treatments for patients and caregivers.</w:t>
      </w:r>
    </w:p>
    <w:p>
      <w:pPr>
        <w:spacing w:after="0" w:line="110" w:lineRule="exact"/>
        <w:rPr>
          <w:rFonts w:ascii="Arial" w:cs="Arial" w:eastAsia="Arial" w:hAnsi="Arial"/>
          <w:sz w:val="17"/>
          <w:szCs w:val="17"/>
          <w:color w:val="auto"/>
        </w:rPr>
      </w:pPr>
    </w:p>
    <w:p>
      <w:pPr>
        <w:ind w:left="640" w:right="240" w:hanging="320"/>
        <w:spacing w:after="0" w:line="272"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Caring. </w:t>
      </w:r>
      <w:r>
        <w:rPr>
          <w:rFonts w:ascii="Arial" w:cs="Arial" w:eastAsia="Arial" w:hAnsi="Arial"/>
          <w:sz w:val="17"/>
          <w:szCs w:val="17"/>
          <w:color w:val="auto"/>
        </w:rPr>
        <w:t>Our people, the patient communities we serve and their caregivers and families are at the forefront of our efforts. Our ways of</w:t>
      </w:r>
      <w:r>
        <w:rPr>
          <w:rFonts w:ascii="Arial" w:cs="Arial" w:eastAsia="Arial" w:hAnsi="Arial"/>
          <w:sz w:val="17"/>
          <w:szCs w:val="17"/>
          <w:b w:val="1"/>
          <w:bCs w:val="1"/>
          <w:color w:val="auto"/>
        </w:rPr>
        <w:t xml:space="preserve"> </w:t>
      </w:r>
      <w:r>
        <w:rPr>
          <w:rFonts w:ascii="Arial" w:cs="Arial" w:eastAsia="Arial" w:hAnsi="Arial"/>
          <w:sz w:val="17"/>
          <w:szCs w:val="17"/>
          <w:color w:val="auto"/>
        </w:rPr>
        <w:t>working are team-based and focused on co-creation, with respect for all opinions and points of view. We show we care by giving and receiving candid feedback, and we support curiosity and ownership for all aspects of our business. This environment fuels our growth and propels us forward.</w:t>
      </w:r>
    </w:p>
    <w:p>
      <w:pPr>
        <w:spacing w:after="0" w:line="110" w:lineRule="exact"/>
        <w:rPr>
          <w:rFonts w:ascii="Arial" w:cs="Arial" w:eastAsia="Arial" w:hAnsi="Arial"/>
          <w:sz w:val="17"/>
          <w:szCs w:val="17"/>
          <w:color w:val="auto"/>
        </w:rPr>
      </w:pPr>
    </w:p>
    <w:p>
      <w:pPr>
        <w:ind w:left="640" w:right="60" w:hanging="320"/>
        <w:spacing w:after="0" w:line="280"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Grit. </w:t>
      </w:r>
      <w:r>
        <w:rPr>
          <w:rFonts w:ascii="Arial" w:cs="Arial" w:eastAsia="Arial" w:hAnsi="Arial"/>
          <w:sz w:val="17"/>
          <w:szCs w:val="17"/>
          <w:color w:val="auto"/>
        </w:rPr>
        <w:t>Delivering life-altering treatments for CNS disorders is incredibly demanding, but our focus on patients with unmet needs highlights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urgency to deliver effective treatments faster and more effectively than ever before. Our employees are passionate and persistent about transforming neuroscience because of the incredible need to positively change the lives of patients with CNS disorders.</w:t>
      </w:r>
    </w:p>
    <w:p>
      <w:pPr>
        <w:spacing w:after="0" w:line="100" w:lineRule="exact"/>
        <w:rPr>
          <w:rFonts w:ascii="Arial" w:cs="Arial" w:eastAsia="Arial" w:hAnsi="Arial"/>
          <w:sz w:val="17"/>
          <w:szCs w:val="17"/>
          <w:color w:val="auto"/>
        </w:rPr>
      </w:pPr>
    </w:p>
    <w:p>
      <w:pPr>
        <w:ind w:left="640" w:right="80" w:hanging="320"/>
        <w:spacing w:after="0" w:line="245"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Dare For More</w:t>
      </w:r>
      <w:r>
        <w:rPr>
          <w:rFonts w:ascii="Arial" w:cs="Arial" w:eastAsia="Arial" w:hAnsi="Arial"/>
          <w:sz w:val="22"/>
          <w:szCs w:val="22"/>
          <w:b w:val="1"/>
          <w:bCs w:val="1"/>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We Dare For More</w:t>
      </w:r>
      <w:r>
        <w:rPr>
          <w:rFonts w:ascii="Arial" w:cs="Arial" w:eastAsia="Arial" w:hAnsi="Arial"/>
          <w:sz w:val="22"/>
          <w:szCs w:val="22"/>
          <w:color w:val="auto"/>
          <w:vertAlign w:val="superscript"/>
        </w:rPr>
        <w:t>TM</w:t>
      </w:r>
      <w:r>
        <w:rPr>
          <w:rFonts w:ascii="Arial" w:cs="Arial" w:eastAsia="Arial" w:hAnsi="Arial"/>
          <w:sz w:val="17"/>
          <w:szCs w:val="17"/>
          <w:b w:val="1"/>
          <w:bCs w:val="1"/>
          <w:color w:val="auto"/>
        </w:rPr>
        <w:t xml:space="preserve"> </w:t>
      </w:r>
      <w:r>
        <w:rPr>
          <w:rFonts w:ascii="Arial" w:cs="Arial" w:eastAsia="Arial" w:hAnsi="Arial"/>
          <w:sz w:val="17"/>
          <w:szCs w:val="17"/>
          <w:color w:val="auto"/>
        </w:rPr>
        <w:t>in every aspect of our journey, from the patients we are working for, to the portfolio we build and</w:t>
      </w:r>
      <w:r>
        <w:rPr>
          <w:rFonts w:ascii="Arial" w:cs="Arial" w:eastAsia="Arial" w:hAnsi="Arial"/>
          <w:sz w:val="17"/>
          <w:szCs w:val="17"/>
          <w:b w:val="1"/>
          <w:bCs w:val="1"/>
          <w:color w:val="auto"/>
        </w:rPr>
        <w:t xml:space="preserve"> </w:t>
      </w:r>
      <w:r>
        <w:rPr>
          <w:rFonts w:ascii="Arial" w:cs="Arial" w:eastAsia="Arial" w:hAnsi="Arial"/>
          <w:sz w:val="17"/>
          <w:szCs w:val="17"/>
          <w:color w:val="auto"/>
        </w:rPr>
        <w:t>advance every day, and quite importantly ourselves and our fellow team members. People stay at Praxis to surround themselves with exceedingly motivated and passionate peers who highly value consistent excellence in their colleagues.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1"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Our Internet address is http://praxismedicines.com. Our Annual Reports on Form 10-K, Quarterly Reports on Form 10-Q, Current Reports on Form 8-K, including exhibits, proxy and information statements and amendments to those reports filed or furnished pursuant to Sections 13(a) and 15(d) of the Exchange Act are available through the “Investors + Media” portion of our website free of charge as soon as reasonably practicable after we electronically file such material with, or furnish it to, the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1"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contained in this Annual Report on Form 10-K, including our consolidated financial statements and the related notes appearing elsewhere in this Annual Report on Form 10-K and in our other filings with the Securities and Exchange Commission, or SEC,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w:t>
      </w:r>
    </w:p>
    <w:p>
      <w:pPr>
        <w:spacing w:after="0" w:line="66" w:lineRule="exact"/>
        <w:rPr>
          <w:sz w:val="20"/>
          <w:szCs w:val="20"/>
          <w:color w:val="auto"/>
        </w:rPr>
      </w:pPr>
    </w:p>
    <w:p>
      <w:pPr>
        <w:ind w:right="5300"/>
        <w:spacing w:after="0" w:line="387" w:lineRule="auto"/>
        <w:rPr>
          <w:sz w:val="20"/>
          <w:szCs w:val="20"/>
          <w:color w:val="auto"/>
        </w:rPr>
      </w:pPr>
      <w:r>
        <w:rPr>
          <w:rFonts w:ascii="Arial" w:cs="Arial" w:eastAsia="Arial" w:hAnsi="Arial"/>
          <w:sz w:val="17"/>
          <w:szCs w:val="17"/>
          <w:b w:val="1"/>
          <w:bCs w:val="1"/>
          <w:color w:val="auto"/>
        </w:rPr>
        <w:t xml:space="preserve">Risks Related to Our Financial Position and Need for Additional Capital </w:t>
      </w:r>
      <w:r>
        <w:rPr>
          <w:rFonts w:ascii="Arial" w:cs="Arial" w:eastAsia="Arial" w:hAnsi="Arial"/>
          <w:sz w:val="17"/>
          <w:szCs w:val="17"/>
          <w:u w:val="single" w:color="auto"/>
          <w:color w:val="auto"/>
        </w:rPr>
        <w:t>Risks Related to Past Financial Condition</w:t>
      </w:r>
    </w:p>
    <w:p>
      <w:pPr>
        <w:spacing w:after="0" w:line="1"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We are a clinical-stage biopharmaceutical company and we have incurred significant losses since our inception. We anticipate that we will continue to incur significant losses for the foreseeable future.</w:t>
      </w:r>
    </w:p>
    <w:p>
      <w:pPr>
        <w:spacing w:after="0" w:line="20"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stockholders’ equity and working capital. Our net losses were $123.3 million and $214.0 million for the years ended December 31, 2023 and 2022, respectively. As of December 31, 2023, we had an accumulated deficit of $653.9 million. We expect to continue to incur significant losses for the foreseeable future, and we expect these losses to increase as we continue our research and development of and seek regulatory approvals for our product candidates in our initial and potential additional indications as well as for other product candidates.</w:t>
      </w:r>
    </w:p>
    <w:p>
      <w:pPr>
        <w:spacing w:after="0" w:line="28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19" w:lineRule="exact"/>
        <w:rPr>
          <w:sz w:val="20"/>
          <w:szCs w:val="20"/>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continue to develop and conduct clinical trials, including in expanded geographies such as Europe, for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initiate and continue research and development, including preclinical, clinical and discovery efforts for any future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seek to identify additional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seek regulatory approvals for our product candidates that may successfully complete clinical development;</w:t>
      </w:r>
    </w:p>
    <w:p>
      <w:pPr>
        <w:spacing w:after="0" w:line="119" w:lineRule="exact"/>
        <w:rPr>
          <w:rFonts w:ascii="Arial" w:cs="Arial" w:eastAsia="Arial" w:hAnsi="Arial"/>
          <w:sz w:val="17"/>
          <w:szCs w:val="17"/>
          <w:color w:val="auto"/>
        </w:rPr>
      </w:pPr>
    </w:p>
    <w:p>
      <w:pPr>
        <w:ind w:left="640" w:right="320" w:hanging="320"/>
        <w:spacing w:after="0" w:line="300"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help us comply with our obligations as a public company;</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hire and retain additional personnel, such as clinical, quality control, scientific, commercial and administrative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19" w:lineRule="exact"/>
        <w:rPr>
          <w:rFonts w:ascii="Arial" w:cs="Arial" w:eastAsia="Arial" w:hAnsi="Arial"/>
          <w:sz w:val="17"/>
          <w:szCs w:val="17"/>
          <w:color w:val="auto"/>
        </w:rPr>
      </w:pPr>
    </w:p>
    <w:p>
      <w:pPr>
        <w:ind w:left="640" w:right="240" w:hanging="320"/>
        <w:spacing w:after="0" w:line="300"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 sales, marketing, distribution, manufacturing, supply chain and other commercial infrastructure in the future to commercialize various products for which we may obtain regulatory approval;</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add equipment and physical infrastructure to support our research and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w:t>
      </w:r>
    </w:p>
    <w:p>
      <w:pPr>
        <w:spacing w:after="0" w:line="119"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Our expenses could increase beyond our expectations if we are required by the U.S. Food and Drug Administration, or the FDA, or other regulatory authorities to perform clinical trials in addition to those that we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currently expect, or if there are any delays in establishing appropriate manufacturing arrangements for or in completing our clinical trials or the development of any of our product candidates.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Future Financial Condition</w:t>
      </w:r>
    </w:p>
    <w:p>
      <w:pPr>
        <w:spacing w:after="0" w:line="119" w:lineRule="exact"/>
        <w:rPr>
          <w:sz w:val="20"/>
          <w:szCs w:val="20"/>
          <w:color w:val="auto"/>
        </w:rPr>
      </w:pPr>
    </w:p>
    <w:p>
      <w:pPr>
        <w:ind w:right="160"/>
        <w:spacing w:after="0" w:line="310"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20"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Our operations have consumed substantial amounts of cash since inception. We expect to continue to spend substantial amounts to continue the preclinical and clinical development of our current and future programs. If we are able to gain marketing approval for our product candidates, we will require significant additional amounts of cash in order to launch and commercialize such product candidates to the extent that such launch and commercialization are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19" w:lineRule="exact"/>
        <w:rPr>
          <w:sz w:val="20"/>
          <w:szCs w:val="20"/>
          <w:color w:val="auto"/>
        </w:rPr>
      </w:pPr>
    </w:p>
    <w:p>
      <w:pPr>
        <w:ind w:left="640" w:right="260" w:hanging="320"/>
        <w:spacing w:after="0" w:line="30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current product candidates and other product candidates we may develop and pursue, including drug product manufacturing;</w:t>
      </w:r>
    </w:p>
    <w:p>
      <w:pPr>
        <w:spacing w:after="0" w:line="35" w:lineRule="exact"/>
        <w:rPr>
          <w:rFonts w:ascii="Arial" w:cs="Arial" w:eastAsia="Arial" w:hAnsi="Arial"/>
          <w:sz w:val="17"/>
          <w:szCs w:val="17"/>
          <w:color w:val="auto"/>
        </w:rPr>
      </w:pPr>
    </w:p>
    <w:p>
      <w:pPr>
        <w:ind w:left="640" w:right="440" w:hanging="320"/>
        <w:spacing w:after="0" w:line="30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uncertainty of, and the costs involved in, obtaining marketing approvals for our current product candidates, and other product candidates we may develop and pursue;</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future product candidates that we may pursue and their development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jurisdictions in which we plan to seek regulatory approvals;</w:t>
      </w:r>
    </w:p>
    <w:p>
      <w:pPr>
        <w:spacing w:after="0" w:line="119" w:lineRule="exact"/>
        <w:rPr>
          <w:rFonts w:ascii="Arial" w:cs="Arial" w:eastAsia="Arial" w:hAnsi="Arial"/>
          <w:sz w:val="17"/>
          <w:szCs w:val="17"/>
          <w:color w:val="auto"/>
        </w:rPr>
      </w:pPr>
    </w:p>
    <w:p>
      <w:pPr>
        <w:ind w:left="640" w:right="260" w:hanging="320"/>
        <w:spacing w:after="0" w:line="278"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approved, the costs of commercialization activities for our product candidates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55" w:lineRule="exact"/>
        <w:rPr>
          <w:rFonts w:ascii="Arial" w:cs="Arial" w:eastAsia="Arial" w:hAnsi="Arial"/>
          <w:sz w:val="17"/>
          <w:szCs w:val="17"/>
          <w:color w:val="auto"/>
        </w:rPr>
      </w:pPr>
    </w:p>
    <w:p>
      <w:pPr>
        <w:ind w:left="640" w:right="360" w:hanging="320"/>
        <w:spacing w:after="0" w:line="30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receipt of regulatory approval, revenue, if any, received from commercial sales of our product candidates for any approved indications or any other product candidates;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19"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and maintaining and protecting our intellectual property rights, including enforcing and defending intellectual property related claims;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ongoing costs of operating as a public company.</w:t>
      </w:r>
    </w:p>
    <w:p>
      <w:pPr>
        <w:spacing w:after="0" w:line="119"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61"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We believe that our current cash and cash equivalents, which includes proceeds from our January 2024 public offering and at-the-market offerings, will be sufficient to fund our operating expenditures and capital expenditure requirements necessary to advance our research efforts and clinical trials into 2026.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63" w:lineRule="exact"/>
        <w:rPr>
          <w:sz w:val="20"/>
          <w:szCs w:val="20"/>
          <w:color w:val="auto"/>
        </w:rPr>
      </w:pPr>
    </w:p>
    <w:p>
      <w:pPr>
        <w:ind w:right="560"/>
        <w:spacing w:after="0" w:line="31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product candidates.</w:t>
      </w:r>
    </w:p>
    <w:p>
      <w:pPr>
        <w:spacing w:after="0" w:line="20" w:lineRule="exact"/>
        <w:rPr>
          <w:sz w:val="20"/>
          <w:szCs w:val="20"/>
          <w:color w:val="auto"/>
        </w:rPr>
      </w:pPr>
    </w:p>
    <w:p>
      <w:pPr>
        <w:ind w:right="140" w:firstLine="433"/>
        <w:spacing w:after="0" w:line="300" w:lineRule="auto"/>
        <w:rPr>
          <w:sz w:val="20"/>
          <w:szCs w:val="20"/>
          <w:color w:val="auto"/>
        </w:rPr>
      </w:pPr>
      <w:r>
        <w:rPr>
          <w:rFonts w:ascii="Arial" w:cs="Arial" w:eastAsia="Arial" w:hAnsi="Arial"/>
          <w:sz w:val="17"/>
          <w:szCs w:val="17"/>
          <w:color w:val="auto"/>
        </w:rPr>
        <w:t>We expect our expenses to increase in connection with our planned operations. Unless and until we can generate a substantial amount of revenue from our product candidates, we expect to finance our future cash needs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55"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To the extent that we raise additional capital through the sale of common stock, convertible securities or other equity securities, our existing stockholders' ownership interests may be diluted, and the terms of these securities could include liquidation or other preferences and anti-dilution protections that could adversely affect the rights of our stockholders.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70"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If we raise additional funds through collaborations or marketing, distribution, licensing and royalty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63" w:lineRule="exact"/>
        <w:rPr>
          <w:sz w:val="20"/>
          <w:szCs w:val="20"/>
          <w:color w:val="auto"/>
        </w:rPr>
      </w:pPr>
    </w:p>
    <w:p>
      <w:pPr>
        <w:ind w:right="340"/>
        <w:spacing w:after="0" w:line="310" w:lineRule="auto"/>
        <w:rPr>
          <w:sz w:val="20"/>
          <w:szCs w:val="20"/>
          <w:color w:val="auto"/>
        </w:rPr>
      </w:pPr>
      <w:r>
        <w:rPr>
          <w:rFonts w:ascii="Arial" w:cs="Arial" w:eastAsia="Arial" w:hAnsi="Arial"/>
          <w:sz w:val="17"/>
          <w:szCs w:val="17"/>
          <w:b w:val="1"/>
          <w:bCs w:val="1"/>
          <w:i w:val="1"/>
          <w:iCs w:val="1"/>
          <w:color w:val="auto"/>
        </w:rPr>
        <w:t>We are a clinical-stage biopharmaceutical company with a very limited operating history and no products approved for commercial sale, which may make it difficult to evaluate our current business and predict our future success and viability.</w:t>
      </w:r>
    </w:p>
    <w:p>
      <w:pPr>
        <w:spacing w:after="0" w:line="20"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We are a clinical-stage biopharmaceutical company, focused on translating genetic insights into the development of therapies for CNS disorders characterized by neuronal imbalance. We commenced operations in 2016, have no products approved for commercial sale and have not generated any revenue from product sales. Our operations have been focused on developing and conducting preclinical and clinical studies of our product candidates. To date,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development is a highly uncertain undertaking and involves a substantial degree of risk.</w:t>
      </w:r>
    </w:p>
    <w:p>
      <w:pPr>
        <w:spacing w:after="0" w:line="119" w:lineRule="exact"/>
        <w:rPr>
          <w:sz w:val="20"/>
          <w:szCs w:val="20"/>
          <w:color w:val="auto"/>
        </w:rPr>
      </w:pPr>
    </w:p>
    <w:p>
      <w:pPr>
        <w:ind w:right="380" w:firstLine="433"/>
        <w:spacing w:after="0" w:line="271" w:lineRule="auto"/>
        <w:rPr>
          <w:sz w:val="20"/>
          <w:szCs w:val="20"/>
          <w:color w:val="auto"/>
        </w:rPr>
      </w:pPr>
      <w:r>
        <w:rPr>
          <w:rFonts w:ascii="Arial" w:cs="Arial" w:eastAsia="Arial" w:hAnsi="Arial"/>
          <w:sz w:val="17"/>
          <w:szCs w:val="17"/>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our product candidates. Our ability to generate revenue and achieve profitability depends on many factors, including:</w:t>
      </w:r>
    </w:p>
    <w:p>
      <w:pPr>
        <w:spacing w:after="0" w:line="61" w:lineRule="exact"/>
        <w:rPr>
          <w:sz w:val="20"/>
          <w:szCs w:val="20"/>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initiating and successfully completing research and preclinical and clinical development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obtaining regulatory approvals for product candidates for which we successfully complete clinical development and clinical trials, if any;</w:t>
      </w:r>
    </w:p>
    <w:p>
      <w:pPr>
        <w:spacing w:after="0" w:line="119" w:lineRule="exact"/>
        <w:rPr>
          <w:rFonts w:ascii="Arial" w:cs="Arial" w:eastAsia="Arial" w:hAnsi="Arial"/>
          <w:sz w:val="17"/>
          <w:szCs w:val="17"/>
          <w:color w:val="auto"/>
        </w:rPr>
      </w:pPr>
    </w:p>
    <w:p>
      <w:pPr>
        <w:ind w:left="640" w:right="220" w:hanging="320"/>
        <w:spacing w:after="0" w:line="278"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of our product candidates;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identifying, assessing, acquiring and/or developing new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w:t>
      </w:r>
    </w:p>
    <w:p>
      <w:pPr>
        <w:spacing w:after="0" w:line="119" w:lineRule="exact"/>
        <w:rPr>
          <w:rFonts w:ascii="Arial" w:cs="Arial" w:eastAsia="Arial" w:hAnsi="Arial"/>
          <w:sz w:val="17"/>
          <w:szCs w:val="17"/>
          <w:color w:val="auto"/>
        </w:rPr>
      </w:pPr>
    </w:p>
    <w:p>
      <w:pPr>
        <w:ind w:left="640" w:right="280" w:hanging="320"/>
        <w:spacing w:after="0" w:line="300"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launching and successfully commercializing product candidates for which we obtain regulatory approval, if any, either by collaborating with a partner or, if launched independently, by establishing a sales, marketing and distribution infrastructure;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an adequate price for our product candidates in the countries where our products are commercialized, if any;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adequate reimbursement for our product candidates from payors;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viable treatment options;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receiving milestone and other payments under any future collaboration arrangements;</w:t>
      </w:r>
    </w:p>
    <w:p>
      <w:pPr>
        <w:spacing w:after="0" w:line="119" w:lineRule="exact"/>
        <w:rPr>
          <w:rFonts w:ascii="Arial" w:cs="Arial" w:eastAsia="Arial" w:hAnsi="Arial"/>
          <w:sz w:val="17"/>
          <w:szCs w:val="17"/>
          <w:color w:val="auto"/>
        </w:rPr>
      </w:pPr>
    </w:p>
    <w:p>
      <w:pPr>
        <w:ind w:left="640" w:right="240" w:hanging="320"/>
        <w:spacing w:after="0" w:line="300"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protecting, expanding and enforcing our portfolio of intellectual property rights, including patents, trade secrets and know-how;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11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64" w:lineRule="exact"/>
        <w:rPr>
          <w:sz w:val="20"/>
          <w:szCs w:val="20"/>
          <w:color w:val="auto"/>
        </w:rPr>
      </w:pPr>
    </w:p>
    <w:p>
      <w:pPr>
        <w:ind w:right="360"/>
        <w:spacing w:after="0" w:line="310" w:lineRule="auto"/>
        <w:rPr>
          <w:sz w:val="20"/>
          <w:szCs w:val="20"/>
          <w:color w:val="auto"/>
        </w:rPr>
      </w:pPr>
      <w:r>
        <w:rPr>
          <w:rFonts w:ascii="Arial" w:cs="Arial" w:eastAsia="Arial" w:hAnsi="Arial"/>
          <w:sz w:val="17"/>
          <w:szCs w:val="17"/>
          <w:b w:val="1"/>
          <w:bCs w:val="1"/>
          <w:i w:val="1"/>
          <w:iCs w:val="1"/>
          <w:color w:val="auto"/>
        </w:rPr>
        <w:t>We may expend our limited resources on programs that do not yield a successful product candidate or fail to capitalize on product candidates or indications that may be more profitable or for which there is a greater likelihood of success.</w:t>
      </w:r>
    </w:p>
    <w:p>
      <w:pPr>
        <w:spacing w:after="0" w:line="20"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We are currently evaluating (i) ulixacaltamide for the treatment of essential tremor, or ET, (ii) PRAX-628 for the treatment of focal epilepsy, (iii) PRAX-562 for the treatment of SCN2A development and epileptic encephalopathy, or SCN2A-DEE, and SCN8A development and epileptic encephalopathy, or SCN8A-DEE; and (iv) elsunersen for the treatment of SCN2A-DEE. Our drug development strategy is to clinically test and seek regulatory approval for our product candidates in indications in which we believe we will be able to efficiently generate proof-of-concept data. If any of our product candidates is approved, we then intend to expand to clinical testing and potentially seek regulatory approvals in other neurological disease indications based on genetic and mechanistic overlap with the primary indication. However, even if our product candidates are able to gain regulatory approval in one indication, there is no guarantee that we will be able to gain regulatory approval in another indication or expand to other indications.</w:t>
      </w:r>
    </w:p>
    <w:p>
      <w:pPr>
        <w:spacing w:after="0" w:line="69" w:lineRule="exact"/>
        <w:rPr>
          <w:sz w:val="20"/>
          <w:szCs w:val="20"/>
          <w:color w:val="auto"/>
        </w:rPr>
      </w:pPr>
    </w:p>
    <w:p>
      <w:pPr>
        <w:ind w:right="80" w:firstLine="433"/>
        <w:spacing w:after="0" w:line="260" w:lineRule="auto"/>
        <w:rPr>
          <w:sz w:val="20"/>
          <w:szCs w:val="20"/>
          <w:color w:val="auto"/>
        </w:rPr>
      </w:pPr>
      <w:r>
        <w:rPr>
          <w:rFonts w:ascii="Arial" w:cs="Arial" w:eastAsia="Arial" w:hAnsi="Arial"/>
          <w:sz w:val="17"/>
          <w:szCs w:val="17"/>
          <w:color w:val="auto"/>
        </w:rPr>
        <w:t>In addition, we may focus resources on pursuing indications outside of neurology based on the same strategic approach (</w:t>
      </w:r>
      <w:r>
        <w:rPr>
          <w:rFonts w:ascii="Arial" w:cs="Arial" w:eastAsia="Arial" w:hAnsi="Arial"/>
          <w:sz w:val="17"/>
          <w:szCs w:val="17"/>
          <w:i w:val="1"/>
          <w:iCs w:val="1"/>
          <w:color w:val="auto"/>
        </w:rPr>
        <w:t>e.g.</w:t>
      </w:r>
      <w:r>
        <w:rPr>
          <w:rFonts w:ascii="Arial" w:cs="Arial" w:eastAsia="Arial" w:hAnsi="Arial"/>
          <w:sz w:val="17"/>
          <w:szCs w:val="17"/>
          <w:color w:val="auto"/>
        </w:rPr>
        <w:t>, human genetics,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neurological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76" w:lineRule="exact"/>
        <w:rPr>
          <w:sz w:val="20"/>
          <w:szCs w:val="20"/>
          <w:color w:val="auto"/>
        </w:rPr>
      </w:pPr>
    </w:p>
    <w:p>
      <w:pPr>
        <w:ind w:right="4500"/>
        <w:spacing w:after="0" w:line="431" w:lineRule="auto"/>
        <w:rPr>
          <w:sz w:val="20"/>
          <w:szCs w:val="20"/>
          <w:color w:val="auto"/>
        </w:rPr>
      </w:pPr>
      <w:r>
        <w:rPr>
          <w:rFonts w:ascii="Arial" w:cs="Arial" w:eastAsia="Arial" w:hAnsi="Arial"/>
          <w:sz w:val="17"/>
          <w:szCs w:val="17"/>
          <w:b w:val="1"/>
          <w:bCs w:val="1"/>
          <w:color w:val="auto"/>
        </w:rPr>
        <w:t xml:space="preserve">Risks Related to Research and Development and the Biopharmaceutical Industry </w:t>
      </w:r>
      <w:r>
        <w:rPr>
          <w:rFonts w:ascii="Arial" w:cs="Arial" w:eastAsia="Arial" w:hAnsi="Arial"/>
          <w:sz w:val="17"/>
          <w:szCs w:val="17"/>
          <w:u w:val="single" w:color="auto"/>
          <w:color w:val="auto"/>
        </w:rPr>
        <w:t>Risks Related to Preclinical and Clinical Development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b w:val="1"/>
          <w:bCs w:val="1"/>
          <w:i w:val="1"/>
          <w:iCs w:val="1"/>
          <w:color w:val="auto"/>
        </w:rPr>
        <w:t>The development and commercialization of drug products is subject to extensive regulation, and the regulatory approval processes of the FDA and comparable foreign regulatory authorities are lengthy, time-consuming, and inherently unpredictable. If we are ultimately unable to obtain regulatory approval for our product candidates on a timely basis if at all, our business will be substantially harmed.</w:t>
      </w:r>
    </w:p>
    <w:p>
      <w:pPr>
        <w:spacing w:after="0" w:line="43"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or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spacing w:after="0" w:line="68"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We have not previously submitted an NDA to the FDA or similar marketing authorization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authorization application.</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product candidates could fail to receive regulatory approval for many reasons, including the following:</w:t>
      </w:r>
    </w:p>
    <w:p>
      <w:pPr>
        <w:spacing w:after="0" w:line="119" w:lineRule="exact"/>
        <w:rPr>
          <w:sz w:val="20"/>
          <w:szCs w:val="20"/>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119" w:lineRule="exact"/>
        <w:rPr>
          <w:rFonts w:ascii="Arial" w:cs="Arial" w:eastAsia="Arial" w:hAnsi="Arial"/>
          <w:sz w:val="17"/>
          <w:szCs w:val="17"/>
          <w:color w:val="auto"/>
        </w:rPr>
      </w:pPr>
    </w:p>
    <w:p>
      <w:pPr>
        <w:ind w:left="640" w:right="10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for its proposed indication;</w:t>
      </w:r>
    </w:p>
    <w:p>
      <w:pPr>
        <w:spacing w:after="0" w:line="35" w:lineRule="exact"/>
        <w:rPr>
          <w:rFonts w:ascii="Arial" w:cs="Arial" w:eastAsia="Arial" w:hAnsi="Arial"/>
          <w:sz w:val="17"/>
          <w:szCs w:val="17"/>
          <w:color w:val="auto"/>
        </w:rPr>
      </w:pPr>
    </w:p>
    <w:p>
      <w:pPr>
        <w:ind w:left="640" w:right="64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19"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spacing w:after="0" w:line="55" w:lineRule="exact"/>
        <w:rPr>
          <w:rFonts w:ascii="Arial" w:cs="Arial" w:eastAsia="Arial" w:hAnsi="Arial"/>
          <w:sz w:val="17"/>
          <w:szCs w:val="17"/>
          <w:color w:val="auto"/>
        </w:rPr>
      </w:pPr>
    </w:p>
    <w:p>
      <w:pPr>
        <w:ind w:left="640" w:right="6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our manufacturing processes or facilities or those of third-party manufacturers with which we contract for clinical and commercial supplies; and</w:t>
      </w:r>
    </w:p>
    <w:p>
      <w:pPr>
        <w:spacing w:after="0" w:line="35" w:lineRule="exact"/>
        <w:rPr>
          <w:rFonts w:ascii="Arial" w:cs="Arial" w:eastAsia="Arial" w:hAnsi="Arial"/>
          <w:sz w:val="17"/>
          <w:szCs w:val="17"/>
          <w:color w:val="auto"/>
        </w:rPr>
      </w:pPr>
    </w:p>
    <w:p>
      <w:pPr>
        <w:ind w:left="640" w:right="62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36"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preclinical and 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w:t>
      </w:r>
    </w:p>
    <w:p>
      <w:pPr>
        <w:spacing w:after="0" w:line="73" w:lineRule="exact"/>
        <w:rPr>
          <w:sz w:val="20"/>
          <w:szCs w:val="20"/>
          <w:color w:val="auto"/>
        </w:rPr>
      </w:pPr>
    </w:p>
    <w:p>
      <w:pPr>
        <w:jc w:val="both"/>
        <w:ind w:right="80" w:firstLine="433"/>
        <w:spacing w:after="0" w:line="278"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6"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43"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pivotal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w:t>
      </w:r>
    </w:p>
    <w:p>
      <w:pPr>
        <w:spacing w:after="0" w:line="279" w:lineRule="exact"/>
        <w:rPr>
          <w:sz w:val="20"/>
          <w:szCs w:val="20"/>
          <w:color w:val="auto"/>
        </w:rPr>
      </w:pPr>
    </w:p>
    <w:p>
      <w:pPr>
        <w:jc w:val="both"/>
        <w:ind w:right="180" w:firstLine="393"/>
        <w:spacing w:after="0" w:line="266" w:lineRule="auto"/>
        <w:rPr>
          <w:sz w:val="20"/>
          <w:szCs w:val="20"/>
          <w:color w:val="auto"/>
        </w:rPr>
      </w:pPr>
      <w:r>
        <w:rPr>
          <w:rFonts w:ascii="Arial" w:cs="Arial" w:eastAsia="Arial" w:hAnsi="Arial"/>
          <w:sz w:val="17"/>
          <w:szCs w:val="17"/>
          <w:color w:val="auto"/>
        </w:rPr>
        <w:t>There is typically an extremely high rate of attrition from the failure of product candidates proceeding through clinical trials. Certain of our product candidates failed to meet the primary endpoint in later stage clinical trials and we may in the future have product candidates that fail to show the desired safety and efficacy results in later stage clinical trials despite having progressed through preclinical studies and initial clinical trials. There can be no assurance that any of our future clinical trials will ultimately be successful or support further clinical development of our product candidates. The commencement and rate of completion of preclinical studies and clinical trials for a product candidate may be delayed by many factors, including, for example:</w:t>
      </w:r>
    </w:p>
    <w:p>
      <w:pPr>
        <w:spacing w:after="0" w:line="64" w:lineRule="exact"/>
        <w:rPr>
          <w:sz w:val="20"/>
          <w:szCs w:val="20"/>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generate sufficient preclinical or other in vivo or in vitro data to support the initiation of clinical studies;</w:t>
      </w:r>
    </w:p>
    <w:p>
      <w:pPr>
        <w:spacing w:after="0" w:line="119" w:lineRule="exact"/>
        <w:rPr>
          <w:rFonts w:ascii="Arial" w:cs="Arial" w:eastAsia="Arial" w:hAnsi="Arial"/>
          <w:sz w:val="17"/>
          <w:szCs w:val="17"/>
          <w:color w:val="auto"/>
        </w:rPr>
      </w:pPr>
    </w:p>
    <w:p>
      <w:pPr>
        <w:jc w:val="both"/>
        <w:ind w:left="640" w:right="60" w:hanging="320"/>
        <w:spacing w:after="0" w:line="27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timely completion of preclinical laboratory tests, animal studies and formulation studies in accordance with the Good Laboratory Practice requirements and other applicable regulations of the U.S. Food and Drug Administration, or the FDA, and comparable foreign regulatory authorities;</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obtaining approval from independent Institutional Review Boards, or IRBs, or ethics committees at the clinical sites we intend to utilize in our clinical trials;</w:t>
      </w:r>
    </w:p>
    <w:p>
      <w:pPr>
        <w:spacing w:after="0" w:line="35" w:lineRule="exact"/>
        <w:rPr>
          <w:rFonts w:ascii="Arial" w:cs="Arial" w:eastAsia="Arial" w:hAnsi="Arial"/>
          <w:sz w:val="17"/>
          <w:szCs w:val="17"/>
          <w:color w:val="auto"/>
        </w:rPr>
      </w:pPr>
    </w:p>
    <w:p>
      <w:pPr>
        <w:ind w:left="640" w:right="100" w:hanging="320"/>
        <w:spacing w:after="0" w:line="27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 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identifying, recruiting and training suitable clinical investigators;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recruiting suitable patients to participate in our clinical trials;</w:t>
      </w:r>
    </w:p>
    <w:p>
      <w:pPr>
        <w:spacing w:after="0" w:line="119"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manufacturing, testing, releasing, validating or importing/exporting sufficient stable quantities of our product candidates for use in clinical trials or the inability to do any of the foregoing;</w:t>
      </w:r>
    </w:p>
    <w:p>
      <w:pPr>
        <w:spacing w:after="0" w:line="35" w:lineRule="exact"/>
        <w:rPr>
          <w:rFonts w:ascii="Arial" w:cs="Arial" w:eastAsia="Arial" w:hAnsi="Arial"/>
          <w:sz w:val="17"/>
          <w:szCs w:val="17"/>
          <w:color w:val="auto"/>
        </w:rPr>
      </w:pPr>
    </w:p>
    <w:p>
      <w:pPr>
        <w:ind w:left="640" w:right="600" w:hanging="320"/>
        <w:spacing w:after="0" w:line="30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imposition of a temporary or permanent clinical hold by regulatory authorities;</w:t>
      </w:r>
    </w:p>
    <w:p>
      <w:pPr>
        <w:spacing w:after="0" w:line="119" w:lineRule="exact"/>
        <w:rPr>
          <w:rFonts w:ascii="Arial" w:cs="Arial" w:eastAsia="Arial" w:hAnsi="Arial"/>
          <w:sz w:val="17"/>
          <w:szCs w:val="17"/>
          <w:color w:val="auto"/>
        </w:rPr>
      </w:pPr>
    </w:p>
    <w:p>
      <w:pPr>
        <w:jc w:val="both"/>
        <w:ind w:left="640" w:right="220" w:hanging="320"/>
        <w:spacing w:after="0" w:line="27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55"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recruiting, screening and enrolling patients and delays caused by patients withdrawing from clinical trials or failing to return for post-treatment follow-up;</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caused by operational issues at clinical sites or the use of a decentralized clinical trial model;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difficulty collaborating with patient groups and investigators;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by our CROs, other third parties or us to adhere to clinical trial protocols;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52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to perform in accordance with the FDA’s or any other regulatory authority’s Good Clinical Practice, or GCP, requirements, or applicable regulatory guidelines in other countries;</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 or occurrence of adverse events in trials of the same class of agents conducted by other companies;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to the clinical trial protocols;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sites deviating from trial protocol or dropping out of a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standard of care on which a clinical development plan was based, which may require new or additional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observation or analyses of resulting data;</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being greater than we anticipated;</w:t>
      </w:r>
    </w:p>
    <w:p>
      <w:pPr>
        <w:spacing w:after="0" w:line="119" w:lineRule="exact"/>
        <w:rPr>
          <w:rFonts w:ascii="Arial" w:cs="Arial" w:eastAsia="Arial" w:hAnsi="Arial"/>
          <w:sz w:val="17"/>
          <w:szCs w:val="17"/>
          <w:color w:val="auto"/>
        </w:rPr>
      </w:pPr>
    </w:p>
    <w:p>
      <w:pPr>
        <w:ind w:left="640" w:right="68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35" w:lineRule="exact"/>
        <w:rPr>
          <w:rFonts w:ascii="Arial" w:cs="Arial" w:eastAsia="Arial" w:hAnsi="Arial"/>
          <w:sz w:val="17"/>
          <w:szCs w:val="17"/>
          <w:color w:val="auto"/>
        </w:rPr>
      </w:pPr>
    </w:p>
    <w:p>
      <w:pPr>
        <w:ind w:left="640" w:right="380" w:hanging="320"/>
        <w:spacing w:after="0" w:line="300" w:lineRule="auto"/>
        <w:tabs>
          <w:tab w:leader="none" w:pos="6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transfer of manufacturing processes to larger-scale facilities operated by a contract development and manufacturing organization, or CDMO, and delays or failure by our CDMOs or us to make any necessary changes to such manufacturing process;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third parties being unwilling or unable to satisfy their contractual obligations to us.</w:t>
      </w:r>
    </w:p>
    <w:p>
      <w:pPr>
        <w:spacing w:after="0" w:line="119"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Before commencing a clinical trial, the FDA or comparable foreign regulatory authorities could raise questions about or concerns with our proposed clinical protocol. For example, the FDA has previously issued clinical holds on certain of our product candidates, and we could not commence the respective clinical trial until such questions or concerns were resolved.</w:t>
      </w:r>
    </w:p>
    <w:p>
      <w:pPr>
        <w:spacing w:after="0" w:line="63" w:lineRule="exact"/>
        <w:rPr>
          <w:sz w:val="20"/>
          <w:szCs w:val="20"/>
          <w:color w:val="auto"/>
        </w:rPr>
      </w:pPr>
    </w:p>
    <w:p>
      <w:pPr>
        <w:ind w:right="40" w:firstLine="393"/>
        <w:spacing w:after="0" w:line="263"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we may need to amend clinical trial protocols that could require us to resubmit our clinical trial protocols to IRBs or ethics committees for reexamination, which may impact the costs, timing or successful completion of a clinical trial.</w:t>
      </w:r>
    </w:p>
    <w:p>
      <w:pPr>
        <w:spacing w:after="0" w:line="7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Some of our trials are, have been, and may in the future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w:t>
      </w:r>
    </w:p>
    <w:p>
      <w:pPr>
        <w:spacing w:after="0" w:line="73" w:lineRule="exact"/>
        <w:rPr>
          <w:sz w:val="20"/>
          <w:szCs w:val="20"/>
          <w:color w:val="auto"/>
        </w:rPr>
      </w:pPr>
    </w:p>
    <w:p>
      <w:pPr>
        <w:ind w:right="140" w:firstLine="393"/>
        <w:spacing w:after="0" w:line="271" w:lineRule="auto"/>
        <w:rPr>
          <w:sz w:val="20"/>
          <w:szCs w:val="20"/>
          <w:color w:val="auto"/>
        </w:rPr>
      </w:pPr>
      <w:r>
        <w:rPr>
          <w:rFonts w:ascii="Arial" w:cs="Arial" w:eastAsia="Arial" w:hAnsi="Arial"/>
          <w:sz w:val="17"/>
          <w:szCs w:val="17"/>
          <w:color w:val="auto"/>
        </w:rPr>
        <w:t>In addition, we plan to conduct clinical trials of certain of our product candidates, including ulixacaltamide, utilizing novel primary endpoints for which the FDA and other regulatory authorities may have limited experience in interpreting and reviewing. Although we have sought consensus with FDA and other regulatory authorities in connection with the design and implementation of our clinical studies, utilizing novel trial endpoints may increase the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risk that the FDA and other regulatory authorities will consider the results from such trials, even if successful, insufficient to establish the safety or efficacy of our product candidates, which could require us to conduct additional studies beyond those we currently contemplate for our product candidates.</w:t>
      </w:r>
    </w:p>
    <w:p>
      <w:pPr>
        <w:spacing w:after="0" w:line="55" w:lineRule="exact"/>
        <w:rPr>
          <w:sz w:val="20"/>
          <w:szCs w:val="20"/>
          <w:color w:val="auto"/>
        </w:rPr>
      </w:pPr>
    </w:p>
    <w:p>
      <w:pPr>
        <w:ind w:right="120" w:firstLine="393"/>
        <w:spacing w:after="0" w:line="271" w:lineRule="auto"/>
        <w:rPr>
          <w:sz w:val="20"/>
          <w:szCs w:val="20"/>
          <w:color w:val="auto"/>
        </w:rPr>
      </w:pPr>
      <w:r>
        <w:rPr>
          <w:rFonts w:ascii="Arial" w:cs="Arial" w:eastAsia="Arial" w:hAnsi="Arial"/>
          <w:sz w:val="17"/>
          <w:szCs w:val="17"/>
          <w:color w:val="auto"/>
        </w:rPr>
        <w:t>Further, conducting clinical trials in foreign countries, such as the European Union, or EU,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1"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278"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68" w:lineRule="exact"/>
        <w:rPr>
          <w:sz w:val="20"/>
          <w:szCs w:val="20"/>
          <w:color w:val="auto"/>
        </w:rPr>
      </w:pPr>
    </w:p>
    <w:p>
      <w:pPr>
        <w:ind w:firstLine="393"/>
        <w:spacing w:after="0" w:line="260" w:lineRule="auto"/>
        <w:rPr>
          <w:sz w:val="20"/>
          <w:szCs w:val="20"/>
          <w:color w:val="auto"/>
        </w:rPr>
      </w:pPr>
      <w:r>
        <w:rPr>
          <w:rFonts w:ascii="Arial" w:cs="Arial" w:eastAsia="Arial" w:hAnsi="Arial"/>
          <w:sz w:val="17"/>
          <w:szCs w:val="17"/>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 If we are slow or unable to adapt to changes in existing requirements or the adoption of new requirements or policies governing clinical trials, our development plans may be impacted.</w:t>
      </w:r>
    </w:p>
    <w:p>
      <w:pPr>
        <w:spacing w:after="0" w:line="284" w:lineRule="exact"/>
        <w:rPr>
          <w:sz w:val="20"/>
          <w:szCs w:val="20"/>
          <w:color w:val="auto"/>
        </w:rPr>
      </w:pPr>
    </w:p>
    <w:p>
      <w:pPr>
        <w:ind w:right="400"/>
        <w:spacing w:after="0" w:line="310" w:lineRule="auto"/>
        <w:rPr>
          <w:sz w:val="20"/>
          <w:szCs w:val="20"/>
          <w:color w:val="auto"/>
        </w:rPr>
      </w:pPr>
      <w:r>
        <w:rPr>
          <w:rFonts w:ascii="Arial" w:cs="Arial" w:eastAsia="Arial" w:hAnsi="Arial"/>
          <w:sz w:val="17"/>
          <w:szCs w:val="17"/>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20" w:lineRule="exact"/>
        <w:rPr>
          <w:sz w:val="20"/>
          <w:szCs w:val="20"/>
          <w:color w:val="auto"/>
        </w:rPr>
      </w:pPr>
    </w:p>
    <w:p>
      <w:pPr>
        <w:jc w:val="both"/>
        <w:ind w:right="340" w:firstLine="433"/>
        <w:spacing w:after="0" w:line="264"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w:t>
      </w:r>
    </w:p>
    <w:p>
      <w:pPr>
        <w:ind w:right="640"/>
        <w:spacing w:after="0" w:line="280"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In addition, many compounds that have initially showed promise in clinical or earlier stage testing are later found to cause</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undesirable or unexpected side effects that prevented further development of the compound. Additionally, the composition of our product candidates or learnings in preclinical studies or clinical trials may result in contraindications for any product candidates for which we may obtain regulatory approval.</w:t>
      </w:r>
    </w:p>
    <w:p>
      <w:pPr>
        <w:spacing w:after="0" w:line="55"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If unacceptable side effects arise in the development of our product candidates, we, foreign regulatory authorities, or the FDA, the IRBs or DSMBs at the institutions in which our trials are conducted could suspend or terminate our preclinical studies or clinical trials or foreign regulatory authorities or the FDA could order us to cease preclinical studies or clinical trials or deny approval of our product candidates for any or all targeted indications.</w:t>
      </w:r>
    </w:p>
    <w:p>
      <w:pPr>
        <w:spacing w:after="0" w:line="61"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Treatment-emergent side effects that are deemed to be drug-related could also affect patient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6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addition to side effects caused by our product candidates, the administration process or related procedures of our product candidates could cause adverse side effects, such as the intrathecal or intravitreal administration process or related procedures for antisense oligonucleotide drugs, or ASOs. If any such adverse events occur, our clinical trials could be suspended or terminated. Even if we can demonstrate that adverse events are not product-related, such occurrences could affect patient recruitment or the ability of enrolled patients to complete the clinical trial. Additionally, other ASOs in clinical development utilizing intrathecal delivery could also generate data that could adversely affect the clinical, regulatory or commercial perception of our product candidates.</w:t>
      </w:r>
    </w:p>
    <w:p>
      <w:pPr>
        <w:spacing w:after="0" w:line="64" w:lineRule="exact"/>
        <w:rPr>
          <w:sz w:val="20"/>
          <w:szCs w:val="20"/>
          <w:color w:val="auto"/>
        </w:rPr>
      </w:pPr>
    </w:p>
    <w:p>
      <w:pPr>
        <w:ind w:right="100" w:firstLine="433"/>
        <w:spacing w:after="0" w:line="264" w:lineRule="auto"/>
        <w:rPr>
          <w:sz w:val="20"/>
          <w:szCs w:val="20"/>
          <w:color w:val="auto"/>
        </w:rPr>
      </w:pPr>
      <w:r>
        <w:rPr>
          <w:rFonts w:ascii="Arial" w:cs="Arial" w:eastAsia="Arial" w:hAnsi="Arial"/>
          <w:sz w:val="17"/>
          <w:szCs w:val="17"/>
          <w:color w:val="auto"/>
        </w:rPr>
        <w:t>Moreover, 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68" w:lineRule="exact"/>
        <w:rPr>
          <w:sz w:val="20"/>
          <w:szCs w:val="20"/>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contraindications;</w:t>
      </w:r>
    </w:p>
    <w:p>
      <w:pPr>
        <w:spacing w:after="0" w:line="119" w:lineRule="exact"/>
        <w:rPr>
          <w:rFonts w:ascii="Arial" w:cs="Arial" w:eastAsia="Arial" w:hAnsi="Arial"/>
          <w:sz w:val="17"/>
          <w:szCs w:val="17"/>
          <w:color w:val="auto"/>
        </w:rPr>
      </w:pPr>
    </w:p>
    <w:p>
      <w:pPr>
        <w:ind w:left="640" w:right="30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such product candidates are distributed or administered, or change the labeling of the product candidates;</w:t>
      </w:r>
    </w:p>
    <w:p>
      <w:pPr>
        <w:spacing w:after="0" w:line="35" w:lineRule="exact"/>
        <w:rPr>
          <w:rFonts w:ascii="Arial" w:cs="Arial" w:eastAsia="Arial" w:hAnsi="Arial"/>
          <w:sz w:val="17"/>
          <w:szCs w:val="17"/>
          <w:color w:val="auto"/>
        </w:rPr>
      </w:pPr>
    </w:p>
    <w:p>
      <w:pPr>
        <w:jc w:val="both"/>
        <w:ind w:left="640" w:right="140" w:hanging="320"/>
        <w:spacing w:after="0" w:line="27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may require a Risk Evaluation and Mitigation Strategy, or REMS, plan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19"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or a comparable foreign regulatory authority may require us to conduct additional clinical trials or costly post-marketing testing and surveillance to monitor the safety and efficacy of the product;</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 candidates;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19" w:lineRule="exact"/>
        <w:rPr>
          <w:sz w:val="20"/>
          <w:szCs w:val="20"/>
          <w:color w:val="auto"/>
        </w:rPr>
      </w:pPr>
    </w:p>
    <w:p>
      <w:pPr>
        <w:jc w:val="both"/>
        <w:ind w:right="580" w:firstLine="433"/>
        <w:spacing w:after="0" w:line="27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55" w:lineRule="exact"/>
        <w:rPr>
          <w:sz w:val="20"/>
          <w:szCs w:val="20"/>
          <w:color w:val="auto"/>
        </w:rPr>
      </w:pPr>
    </w:p>
    <w:p>
      <w:pPr>
        <w:ind w:right="700"/>
        <w:spacing w:after="0" w:line="310" w:lineRule="auto"/>
        <w:rPr>
          <w:sz w:val="20"/>
          <w:szCs w:val="20"/>
          <w:color w:val="auto"/>
        </w:rPr>
      </w:pPr>
      <w:r>
        <w:rPr>
          <w:rFonts w:ascii="Arial" w:cs="Arial" w:eastAsia="Arial" w:hAnsi="Arial"/>
          <w:sz w:val="17"/>
          <w:szCs w:val="17"/>
          <w:b w:val="1"/>
          <w:bCs w:val="1"/>
          <w:i w:val="1"/>
          <w:iCs w:val="1"/>
          <w:color w:val="auto"/>
        </w:rPr>
        <w:t>If we encounter difficulties enrolling patients in our future clinical trials, our clinical development activities could be delayed or otherwise adversely affected.</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We have, and may in the future,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Patient enrollment is affected by many factors, including:</w:t>
      </w:r>
    </w:p>
    <w:p>
      <w:pPr>
        <w:spacing w:after="0" w:line="119" w:lineRule="exact"/>
        <w:rPr>
          <w:sz w:val="20"/>
          <w:szCs w:val="20"/>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patient eligibility criteria defined in the protocol;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size and nature of the patient population;</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case clinical trials focused on rare disease, the small size of the patient population and the potential of a patient being undiagnosed or misdiagnosed;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proximity of patients to trial sites;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9" w:lineRule="exact"/>
        <w:rPr>
          <w:rFonts w:ascii="Arial" w:cs="Arial" w:eastAsia="Arial" w:hAnsi="Arial"/>
          <w:sz w:val="17"/>
          <w:szCs w:val="17"/>
          <w:color w:val="auto"/>
        </w:rPr>
      </w:pPr>
    </w:p>
    <w:p>
      <w:pPr>
        <w:ind w:left="640" w:right="160" w:hanging="320"/>
        <w:spacing w:after="0" w:line="291"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260"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drop out of the trials before completion.</w:t>
      </w:r>
    </w:p>
    <w:p>
      <w:pPr>
        <w:spacing w:after="0" w:line="119"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63"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63"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0" w:lineRule="exact"/>
        <w:rPr>
          <w:sz w:val="20"/>
          <w:szCs w:val="20"/>
          <w:color w:val="auto"/>
        </w:rPr>
      </w:pPr>
    </w:p>
    <w:p>
      <w:pPr>
        <w:ind w:right="40" w:firstLine="393"/>
        <w:spacing w:after="0" w:line="263" w:lineRule="auto"/>
        <w:rPr>
          <w:sz w:val="20"/>
          <w:szCs w:val="20"/>
          <w:color w:val="auto"/>
        </w:rPr>
      </w:pPr>
      <w:r>
        <w:rPr>
          <w:rFonts w:ascii="Arial" w:cs="Arial" w:eastAsia="Arial" w:hAnsi="Arial"/>
          <w:sz w:val="17"/>
          <w:szCs w:val="17"/>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reported. As a result, topline and preliminary data should be viewed with caution until the final data are available.</w:t>
      </w:r>
    </w:p>
    <w:p>
      <w:pPr>
        <w:spacing w:after="0" w:line="70" w:lineRule="exact"/>
        <w:rPr>
          <w:sz w:val="20"/>
          <w:szCs w:val="20"/>
          <w:color w:val="auto"/>
        </w:rPr>
      </w:pPr>
    </w:p>
    <w:p>
      <w:pPr>
        <w:ind w:right="120" w:firstLine="393"/>
        <w:spacing w:after="0" w:line="271" w:lineRule="auto"/>
        <w:rPr>
          <w:sz w:val="20"/>
          <w:szCs w:val="20"/>
          <w:color w:val="auto"/>
        </w:rPr>
      </w:pPr>
      <w:r>
        <w:rPr>
          <w:rFonts w:ascii="Arial" w:cs="Arial" w:eastAsia="Arial" w:hAnsi="Arial"/>
          <w:sz w:val="17"/>
          <w:szCs w:val="17"/>
          <w:color w:val="auto"/>
        </w:rPr>
        <w:t>From time to time, we disclose interim data from our preclinical studies and clinical trials. Interim data from clinical trials that we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61" w:lineRule="exact"/>
        <w:rPr>
          <w:sz w:val="20"/>
          <w:szCs w:val="20"/>
          <w:color w:val="auto"/>
        </w:rPr>
      </w:pPr>
    </w:p>
    <w:p>
      <w:pPr>
        <w:ind w:right="120" w:firstLine="393"/>
        <w:spacing w:after="0" w:line="27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or clinical trial is typically selected from a more extensive amount of available information.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later, final or actual results, or if others, including the FDA and comparable foreign regulatory authorities, disagree with the conclusions reached, our ability to obtain approval for, and commercialize our product candidates may be harmed, which could harm our business, financial condition, results of operations and prospects.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markets for our product candidates may be smaller than we expect.</w:t>
      </w:r>
    </w:p>
    <w:p>
      <w:pPr>
        <w:spacing w:after="0" w:line="119"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Our estimates of the potential market opportunities in each of our platforms include several key assumptions based on our industry knowledge, industry publications and third-party research reports and other data sources and estimates. There can be no assurance that any of these assumptions are, or will remain, accurate. If the actual markets identified for our product candidates, or for any other product candidate we may develop in the future, is smaller than we expect, our revenues, if any, may be limited and it may be more difficult for us to achieve or maintain profitability.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in the future.</w:t>
      </w:r>
    </w:p>
    <w:p>
      <w:pPr>
        <w:spacing w:after="0" w:line="119" w:lineRule="exact"/>
        <w:rPr>
          <w:sz w:val="20"/>
          <w:szCs w:val="20"/>
          <w:color w:val="auto"/>
        </w:rPr>
      </w:pPr>
    </w:p>
    <w:p>
      <w:pPr>
        <w:ind w:right="100" w:firstLine="433"/>
        <w:spacing w:after="0" w:line="300" w:lineRule="auto"/>
        <w:rPr>
          <w:sz w:val="20"/>
          <w:szCs w:val="20"/>
          <w:color w:val="auto"/>
        </w:rPr>
      </w:pPr>
      <w:r>
        <w:rPr>
          <w:rFonts w:ascii="Arial" w:cs="Arial" w:eastAsia="Arial" w:hAnsi="Arial"/>
          <w:sz w:val="17"/>
          <w:szCs w:val="17"/>
          <w:color w:val="auto"/>
        </w:rPr>
        <w:t>Our research programs may initially show promise in identifying potential product candidates, yet fail to yield product candidates for clinical development or commercialization for a number of reasons, including:</w:t>
      </w:r>
    </w:p>
    <w:p>
      <w:pPr>
        <w:spacing w:after="0" w:line="36" w:lineRule="exact"/>
        <w:rPr>
          <w:sz w:val="20"/>
          <w:szCs w:val="20"/>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inability to design such product candidates with the pharmacological or pharmacokinetic properties that we desire; or</w:t>
      </w:r>
    </w:p>
    <w:p>
      <w:pPr>
        <w:spacing w:after="0" w:line="119"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36" w:lineRule="exact"/>
        <w:rPr>
          <w:sz w:val="20"/>
          <w:szCs w:val="20"/>
          <w:color w:val="auto"/>
        </w:rPr>
      </w:pPr>
    </w:p>
    <w:p>
      <w:pPr>
        <w:ind w:right="200" w:firstLine="433"/>
        <w:spacing w:after="0" w:line="278" w:lineRule="auto"/>
        <w:rPr>
          <w:sz w:val="20"/>
          <w:szCs w:val="20"/>
          <w:color w:val="auto"/>
        </w:rPr>
      </w:pPr>
      <w:r>
        <w:rPr>
          <w:rFonts w:ascii="Arial" w:cs="Arial" w:eastAsia="Arial" w:hAnsi="Arial"/>
          <w:sz w:val="17"/>
          <w:szCs w:val="17"/>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55"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i w:val="1"/>
          <w:iCs w:val="1"/>
          <w:color w:val="auto"/>
        </w:rPr>
        <w:t>We conduct clinical trials for our product candidates in the United States, Europe and other jurisdictions, and the FDA, the European Medicines Agency, or EMA, and applicable foreign regulatory authorities may not accept data from trials conducted outside those respective jurisdictions.</w:t>
      </w:r>
    </w:p>
    <w:p>
      <w:pPr>
        <w:spacing w:after="0" w:line="43"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acceptance of study data from preclinical studies and clinical trials conducted outside the United States may be subject to certain conditions for acceptance. For example, in cases where data from foreign clinical trials are intended to serve as the basis for marketing approval in the United States, regardless of whether the trials were subject to an IND,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review the clinical protocols for the trials, and therefore there is an additional potential risk that the FDA could determine that the trial design or protocol for a non-United States clinical trial was inadequate, which could require us to conduct additional clinical trials.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2" w:lineRule="exact"/>
        <w:rPr>
          <w:sz w:val="20"/>
          <w:szCs w:val="20"/>
          <w:color w:val="auto"/>
        </w:rPr>
      </w:pPr>
    </w:p>
    <w:p>
      <w:pPr>
        <w:ind w:right="520"/>
        <w:spacing w:after="0" w:line="310" w:lineRule="auto"/>
        <w:rPr>
          <w:sz w:val="20"/>
          <w:szCs w:val="20"/>
          <w:color w:val="auto"/>
        </w:rPr>
      </w:pPr>
      <w:r>
        <w:rPr>
          <w:rFonts w:ascii="Arial" w:cs="Arial" w:eastAsia="Arial" w:hAnsi="Arial"/>
          <w:sz w:val="17"/>
          <w:szCs w:val="17"/>
          <w:b w:val="1"/>
          <w:bCs w:val="1"/>
          <w:i w:val="1"/>
          <w:iCs w:val="1"/>
          <w:color w:val="auto"/>
        </w:rPr>
        <w:t>We obtained orphan drug designation for PRAX-562 and elsunersen and may plan to seek orphan drug designation for additional product candidates, but we may be unable to obtain or maintain such a</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310" w:lineRule="auto"/>
        <w:rPr>
          <w:sz w:val="20"/>
          <w:szCs w:val="20"/>
          <w:color w:val="auto"/>
        </w:rPr>
      </w:pPr>
      <w:r>
        <w:rPr>
          <w:rFonts w:ascii="Arial" w:cs="Arial" w:eastAsia="Arial" w:hAnsi="Arial"/>
          <w:sz w:val="17"/>
          <w:szCs w:val="17"/>
          <w:b w:val="1"/>
          <w:bCs w:val="1"/>
          <w:i w:val="1"/>
          <w:iCs w:val="1"/>
          <w:color w:val="auto"/>
        </w:rPr>
        <w:t>designation or the benefits associated with orphan drug status, including marketing exclusivity, which may cause our revenue, if any, to be reduced.</w:t>
      </w:r>
    </w:p>
    <w:p>
      <w:pPr>
        <w:spacing w:after="0" w:line="6" w:lineRule="exact"/>
        <w:rPr>
          <w:sz w:val="20"/>
          <w:szCs w:val="20"/>
          <w:color w:val="auto"/>
        </w:rPr>
      </w:pPr>
    </w:p>
    <w:p>
      <w:pPr>
        <w:ind w:right="140" w:firstLine="433"/>
        <w:spacing w:after="0" w:line="244" w:lineRule="auto"/>
        <w:rPr>
          <w:sz w:val="20"/>
          <w:szCs w:val="20"/>
          <w:color w:val="auto"/>
        </w:rPr>
      </w:pPr>
      <w:r>
        <w:rPr>
          <w:rFonts w:ascii="Arial" w:cs="Arial" w:eastAsia="Arial" w:hAnsi="Arial"/>
          <w:sz w:val="17"/>
          <w:szCs w:val="17"/>
          <w:color w:val="auto"/>
        </w:rPr>
        <w:t>In the United States,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Orphan drug designation must be requested and granted by the FDA before a new NDA is submitted. After the FDA grants orphan drug designation, it will disclose publicly the generic identity of the drug and its potential orphan use. In the EU, the European Commission grants orphan designation on the basis of the EMA’s Committee for Orphan</w:t>
      </w:r>
    </w:p>
    <w:p>
      <w:pPr>
        <w:spacing w:after="0" w:line="4"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Medicinal Products opinion. A medicinal product may be designated as orphan if (1) it is intended for the diagnosis, prevention or treatment of a life-threatening or chronically debilitating condition; (2) either (a) such condition affects no more than five in 10,000 persons in the EU when the</w:t>
      </w:r>
    </w:p>
    <w:p>
      <w:pPr>
        <w:spacing w:after="0" w:line="1" w:lineRule="exact"/>
        <w:rPr>
          <w:sz w:val="20"/>
          <w:szCs w:val="20"/>
          <w:color w:val="auto"/>
        </w:rPr>
      </w:pPr>
    </w:p>
    <w:p>
      <w:pPr>
        <w:jc w:val="both"/>
        <w:ind w:right="280"/>
        <w:spacing w:after="0" w:line="253" w:lineRule="auto"/>
        <w:rPr>
          <w:sz w:val="20"/>
          <w:szCs w:val="20"/>
          <w:color w:val="auto"/>
        </w:rPr>
      </w:pPr>
      <w:r>
        <w:rPr>
          <w:rFonts w:ascii="Arial" w:cs="Arial" w:eastAsia="Arial" w:hAnsi="Arial"/>
          <w:sz w:val="17"/>
          <w:szCs w:val="17"/>
          <w:color w:val="auto"/>
        </w:rPr>
        <w:t>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74"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disease or condition for seven years, except in limited circumstances, such as a showing of clinical superiority to the product with orphan drug exclusivity or where the manufacturer is unable to assure sufficient product quantity. The applicable exclusivity period is ten years in the EU, but such exclusivity period can be reduced to six years if, at the end of the fifth year, a product no longer meets the criteria for orphan designation or if the product is sufficiently profitable that market exclusivity is no longer justified.</w:t>
      </w:r>
    </w:p>
    <w:p>
      <w:pPr>
        <w:spacing w:after="0" w:line="57" w:lineRule="exact"/>
        <w:rPr>
          <w:sz w:val="20"/>
          <w:szCs w:val="20"/>
          <w:color w:val="auto"/>
        </w:rPr>
      </w:pPr>
    </w:p>
    <w:p>
      <w:pPr>
        <w:ind w:firstLine="433"/>
        <w:spacing w:after="0" w:line="257" w:lineRule="auto"/>
        <w:rPr>
          <w:sz w:val="20"/>
          <w:szCs w:val="20"/>
          <w:color w:val="auto"/>
        </w:rPr>
      </w:pPr>
      <w:r>
        <w:rPr>
          <w:rFonts w:ascii="Arial" w:cs="Arial" w:eastAsia="Arial" w:hAnsi="Arial"/>
          <w:sz w:val="17"/>
          <w:szCs w:val="17"/>
          <w:color w:val="auto"/>
        </w:rPr>
        <w:t>The FDA granted orphan drug designation to PRAX-562 for the treatment of SCN2A-DEE and SCN8A-DEE, respectively, and to elsunersen for the treatment of SCN2A-DEE. We also obtained orphan designation in the EU for PRAX-562 for the treatment of SCN2A-DEE and SCN8A-DEE, and for elsunersen for the treatment of SCN2A-DEE. We may seek orphan drug designation for other current and future product candidates.</w:t>
      </w:r>
    </w:p>
    <w:p>
      <w:pPr>
        <w:spacing w:after="0" w:line="277"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because it is shown to be safer, more effective or makes a major contribution to patient care. Orphan drug exclusivity may also be lost if the FDA or comparable foreign regulatory authority later determines that the initial request for designation was materially defective. In addition, orphan drug exclusivity does not prevent the FDA from approving competing drugs for the same or similar disease or condition containing a different active ingredient. In addition, if a subsequent drug is approved for marketing for the same or a similar disease or condition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69" w:lineRule="exact"/>
        <w:rPr>
          <w:sz w:val="20"/>
          <w:szCs w:val="20"/>
          <w:color w:val="auto"/>
        </w:rPr>
      </w:pPr>
    </w:p>
    <w:p>
      <w:pPr>
        <w:ind w:right="500"/>
        <w:spacing w:after="0" w:line="310" w:lineRule="auto"/>
        <w:rPr>
          <w:sz w:val="20"/>
          <w:szCs w:val="20"/>
          <w:color w:val="auto"/>
        </w:rPr>
      </w:pPr>
      <w:r>
        <w:rPr>
          <w:rFonts w:ascii="Arial" w:cs="Arial" w:eastAsia="Arial" w:hAnsi="Arial"/>
          <w:sz w:val="17"/>
          <w:szCs w:val="17"/>
          <w:b w:val="1"/>
          <w:bCs w:val="1"/>
          <w:i w:val="1"/>
          <w:iCs w:val="1"/>
          <w:color w:val="auto"/>
        </w:rPr>
        <w:t>We received rare pediatric disease designation for PRAX-562 and elsunersen. However, a marketing application for these product candidates, if approved, may not meet the eligibility criteria for a rare pediatric disease priority review voucher.</w:t>
      </w:r>
    </w:p>
    <w:p>
      <w:pPr>
        <w:spacing w:after="0" w:line="20"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In 2012,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70" w:lineRule="exact"/>
        <w:rPr>
          <w:sz w:val="20"/>
          <w:szCs w:val="20"/>
          <w:color w:val="auto"/>
        </w:rPr>
      </w:pPr>
    </w:p>
    <w:p>
      <w:pPr>
        <w:ind w:right="280" w:firstLine="433"/>
        <w:spacing w:after="0" w:line="300" w:lineRule="auto"/>
        <w:rPr>
          <w:sz w:val="20"/>
          <w:szCs w:val="20"/>
          <w:color w:val="auto"/>
        </w:rPr>
      </w:pPr>
      <w:r>
        <w:rPr>
          <w:rFonts w:ascii="Arial" w:cs="Arial" w:eastAsia="Arial" w:hAnsi="Arial"/>
          <w:sz w:val="17"/>
          <w:szCs w:val="17"/>
          <w:color w:val="auto"/>
        </w:rPr>
        <w:t>We received rare pediatric disease designation for PRAX-562 for the treatment of SCN2A-DEE and SCN8A-DEE, and for elsunersen for the treatment of SCN2A-DEE. Designation of a drug product as a product for a rare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pediatric disease does not guarantee that a NDA for such drug product will meet the eligibility criteria for a rare pediatric disease priority review voucher at the time the application is approved. Under the Federal Food, Drug, and Cosmetic Act, or FDCA, we will need to request a rare pediatric disease priority review voucher in our original NDA for our product candidates for which we have received rare pediatric disease designation. The FDA may determine that a NDA for any such product candidates, if approved, do not meet the eligibility criteria for a priority review voucher.</w:t>
      </w:r>
    </w:p>
    <w:p>
      <w:pPr>
        <w:spacing w:after="0" w:line="63"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The authority for the FDA to award rare pediatric disease priority review vouchers for drug products after September 30, 2024 is currently limited to product candidates that receive rare pediatric disease designation on or prior to September 30, 2024, and the FDA may only award rare pediatric disease priority review vouchers through September 30, 2026. However, it is possible the authority for the FDA to award rare pediatric disease priority review vouchers will be further extended by Congress.</w:t>
      </w:r>
    </w:p>
    <w:p>
      <w:pPr>
        <w:spacing w:after="0" w:line="6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received PRIME designation by the EMA for elsunersen and we may seek PRIME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262"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The PRIority Medicines, or PRIME,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70" w:lineRule="exact"/>
        <w:rPr>
          <w:sz w:val="20"/>
          <w:szCs w:val="20"/>
          <w:color w:val="auto"/>
        </w:rPr>
      </w:pPr>
    </w:p>
    <w:p>
      <w:pPr>
        <w:ind w:firstLine="393"/>
        <w:spacing w:after="0" w:line="267" w:lineRule="auto"/>
        <w:rPr>
          <w:sz w:val="20"/>
          <w:szCs w:val="20"/>
          <w:color w:val="auto"/>
        </w:rPr>
      </w:pPr>
      <w:r>
        <w:rPr>
          <w:rFonts w:ascii="Arial" w:cs="Arial" w:eastAsia="Arial" w:hAnsi="Arial"/>
          <w:sz w:val="17"/>
          <w:szCs w:val="17"/>
          <w:color w:val="auto"/>
        </w:rPr>
        <w:t>In November 2023, elsunersen was granted PRIME designation by the EMA’s Committee for Medicinal Products for Human Use, or CHMP, for the treatment of SCN2A-DEE. Acknowledging that elsunersen targets an unmet medical need, the EMA offers enhanced support in the development of the medicinal product through enhanced interaction and early dialogue to optimize our development plans and speed up regulatory evaluation in the EU. The PRIME designation does not, however, guarantee that the regulatory review process in the EU will be shorter or less demanding. Neither does the PRIME designation guarantee that the European Commission will grant a marketing authorization for elsunersen.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Re</w:t>
      </w:r>
      <w:r>
        <w:rPr>
          <w:rFonts w:ascii="Arial" w:cs="Arial" w:eastAsia="Arial" w:hAnsi="Arial"/>
          <w:sz w:val="17"/>
          <w:szCs w:val="17"/>
          <w:color w:val="auto"/>
        </w:rPr>
        <w:t>g</w:t>
      </w:r>
      <w:r>
        <w:rPr>
          <w:rFonts w:ascii="Arial" w:cs="Arial" w:eastAsia="Arial" w:hAnsi="Arial"/>
          <w:sz w:val="17"/>
          <w:szCs w:val="17"/>
          <w:u w:val="single" w:color="auto"/>
          <w:color w:val="auto"/>
        </w:rPr>
        <w:t>ulatory Approval</w:t>
      </w:r>
    </w:p>
    <w:p>
      <w:pPr>
        <w:spacing w:after="0" w:line="119"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comparable regulatory authorities in other jurisdictions, including Australia and Europe, must also approve the manufacturing, marketing and sale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also be approved for reimbursement before it can be approved for sale in that jurisdiction. In some cases, the price that we intend to charge for our products is also subject to governmental approval.</w:t>
      </w:r>
    </w:p>
    <w:p>
      <w:pPr>
        <w:spacing w:after="0" w:line="73"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61"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b w:val="1"/>
          <w:bCs w:val="1"/>
          <w:i w:val="1"/>
          <w:iCs w:val="1"/>
          <w:color w:val="auto"/>
        </w:rPr>
        <w:t>Our product candidates may be regulated as controlled substances, the making, use, sale, importation, exportation, and distribution of which are subject to significant regulation by the U.S. Drug Enforcement Administration, or DEA, and other regulatory agencies.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firstLine="433"/>
        <w:spacing w:after="0" w:line="278" w:lineRule="auto"/>
        <w:rPr>
          <w:sz w:val="20"/>
          <w:szCs w:val="20"/>
          <w:color w:val="auto"/>
        </w:rPr>
      </w:pPr>
      <w:r>
        <w:rPr>
          <w:rFonts w:ascii="Arial" w:cs="Arial" w:eastAsia="Arial" w:hAnsi="Arial"/>
          <w:sz w:val="17"/>
          <w:szCs w:val="17"/>
          <w:color w:val="auto"/>
        </w:rPr>
        <w:t>Our product candidates may be classified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and regulations of the DEA.</w:t>
      </w:r>
    </w:p>
    <w:p>
      <w:pPr>
        <w:spacing w:after="0" w:line="55"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Prior to commercialization, centrally acting drugs, such as those we are developing, are generally subject to review and potential scheduling by the DEA. It is possible that our product candidates may be regulated by the DEA as controlled substances, which would subject such product candidates to additional restrictions regarding their manufacture, shipment, storage, sale and use, depending on the scheduling of the active ingredients, and may limit the commercial potential of any of our product candidates, if approved.</w:t>
      </w:r>
    </w:p>
    <w:p>
      <w:pPr>
        <w:spacing w:after="0" w:line="68" w:lineRule="exact"/>
        <w:rPr>
          <w:sz w:val="20"/>
          <w:szCs w:val="20"/>
          <w:color w:val="auto"/>
        </w:rPr>
      </w:pPr>
    </w:p>
    <w:p>
      <w:pPr>
        <w:ind w:right="360" w:firstLine="433"/>
        <w:spacing w:after="0" w:line="264" w:lineRule="auto"/>
        <w:rPr>
          <w:sz w:val="20"/>
          <w:szCs w:val="20"/>
          <w:color w:val="auto"/>
        </w:rPr>
      </w:pPr>
      <w:r>
        <w:rPr>
          <w:rFonts w:ascii="Arial" w:cs="Arial" w:eastAsia="Arial" w:hAnsi="Arial"/>
          <w:sz w:val="17"/>
          <w:szCs w:val="17"/>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 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68"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For any of our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 candidates that are classified as controlled substances.</w:t>
      </w:r>
    </w:p>
    <w:p>
      <w:pPr>
        <w:spacing w:after="0" w:line="6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48"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by us and any collaborators in clinical trials may expose us to liability claims. We will face an even greater risk if product candidates are approved by regulatory authorities and introduced commercially. Product liability claims may be brought against us or our partners if any product candidate we develop allegedly causes injury or is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 care providers, biopharmaceutical companies, our collaborators or others using, administering or selling any of our future approved products. If we cannot successfully defend ourselves against any such claims, we may incur substantial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40"/>
        <w:spacing w:after="0" w:line="300" w:lineRule="auto"/>
        <w:rPr>
          <w:sz w:val="20"/>
          <w:szCs w:val="20"/>
          <w:color w:val="auto"/>
        </w:rPr>
      </w:pPr>
      <w:r>
        <w:rPr>
          <w:rFonts w:ascii="Arial" w:cs="Arial" w:eastAsia="Arial" w:hAnsi="Arial"/>
          <w:sz w:val="17"/>
          <w:szCs w:val="17"/>
          <w:color w:val="auto"/>
        </w:rPr>
        <w:t>liabilities or be required to limit commercialization of our product candidates. Even successful defense would require significant financial and management resources.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Regardless of the merits or eventual outcome, product liability claims may result in:</w:t>
      </w:r>
    </w:p>
    <w:p>
      <w:pPr>
        <w:spacing w:after="0" w:line="119" w:lineRule="exact"/>
        <w:rPr>
          <w:sz w:val="20"/>
          <w:szCs w:val="20"/>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decreased demand for any of our future approved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significant litigation costs;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substantial monetary awards to, or costly settlements with, patients or other claimants;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product recalls or a change in the indications for which any approved drug products may be used;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to commercialize our product candidates.</w:t>
      </w:r>
    </w:p>
    <w:p>
      <w:pPr>
        <w:spacing w:after="0" w:line="11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70"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Although we maintain product liability insurance coverage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48"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may face competition with respect to any product candidates that we seek to develop or commercialize in the future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1"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Specifically, we face competition with T-type calcium channel inhibitor programs in development targeting ET, including that of Jazz Pharmaceuticals, as well as other programs in clinical development targeting other mechanisms of action, such as GABA by Sage Therapeutics, and approved therapies, such as propranolol, and off-label therapies, such as primidone; and sodium channel blocker or similar programs in development for focal epilepsy and DEEs, including those of SK-Pharma, Xenon Pharmaceuticals, and Biohaven Pharmaceuticals , as well as other programs in clinical development targeting other mechanisms of action including those from Longboard Pharmaceuticals, Marinus Pharmaceuticals and Stoke Therapeutics, and approved therapies including other existing ion channel blockers.</w:t>
      </w:r>
    </w:p>
    <w:p>
      <w:pPr>
        <w:spacing w:after="0" w:line="64" w:lineRule="exact"/>
        <w:rPr>
          <w:sz w:val="20"/>
          <w:szCs w:val="20"/>
          <w:color w:val="auto"/>
        </w:rPr>
      </w:pPr>
    </w:p>
    <w:p>
      <w:pPr>
        <w:ind w:right="400" w:firstLine="433"/>
        <w:spacing w:after="0" w:line="300" w:lineRule="auto"/>
        <w:rPr>
          <w:sz w:val="20"/>
          <w:szCs w:val="20"/>
          <w:color w:val="auto"/>
        </w:rPr>
      </w:pPr>
      <w:r>
        <w:rPr>
          <w:rFonts w:ascii="Arial" w:cs="Arial" w:eastAsia="Arial" w:hAnsi="Arial"/>
          <w:sz w:val="17"/>
          <w:szCs w:val="17"/>
          <w:color w:val="auto"/>
        </w:rPr>
        <w:t>If any of these competitors or competitors for our other product candidates receive FDA approval before we do, our product candidates would not be the first treatment on the market, and our market share may be limited. In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addition to competition from other companies targeting our target indications, any products we may develop may also face competition from other types of therapies.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Many of our current or potential competitors, either alone or with their strategic partners, have:</w:t>
      </w:r>
    </w:p>
    <w:p>
      <w:pPr>
        <w:spacing w:after="0" w:line="119" w:lineRule="exact"/>
        <w:rPr>
          <w:sz w:val="20"/>
          <w:szCs w:val="20"/>
          <w:color w:val="auto"/>
        </w:rPr>
      </w:pPr>
    </w:p>
    <w:p>
      <w:pPr>
        <w:ind w:left="640" w:right="840" w:hanging="320"/>
        <w:spacing w:after="0" w:line="300"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greater financial, technical and human resources than we have at every stage of the discovery, development, manufacture and commercialization of products;</w:t>
      </w:r>
    </w:p>
    <w:p>
      <w:pPr>
        <w:spacing w:after="0" w:line="35" w:lineRule="exact"/>
        <w:rPr>
          <w:rFonts w:ascii="Arial" w:cs="Arial" w:eastAsia="Arial" w:hAnsi="Arial"/>
          <w:sz w:val="17"/>
          <w:szCs w:val="17"/>
          <w:color w:val="auto"/>
        </w:rPr>
      </w:pPr>
    </w:p>
    <w:p>
      <w:pPr>
        <w:ind w:left="640" w:right="800" w:hanging="320"/>
        <w:spacing w:after="0" w:line="300"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more extensive experience in preclinical testing, conducting clinical trials, obtaining regulatory approvals, and in manufacturing, marketing and selling drug products;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products that have been approved or are in late stages of development;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collaborative arrangements in our target markets with leading companies and research institutions.</w:t>
      </w:r>
    </w:p>
    <w:p>
      <w:pPr>
        <w:spacing w:after="0" w:line="11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Mergers and acquisitions in the biopharmaceutical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282" w:lineRule="exact"/>
        <w:rPr>
          <w:sz w:val="20"/>
          <w:szCs w:val="20"/>
          <w:color w:val="auto"/>
        </w:rPr>
      </w:pPr>
    </w:p>
    <w:p>
      <w:pPr>
        <w:ind w:right="240" w:firstLine="433"/>
        <w:spacing w:after="0" w:line="271" w:lineRule="auto"/>
        <w:rPr>
          <w:sz w:val="20"/>
          <w:szCs w:val="20"/>
          <w:color w:val="auto"/>
        </w:rPr>
      </w:pPr>
      <w:r>
        <w:rPr>
          <w:rFonts w:ascii="Arial" w:cs="Arial" w:eastAsia="Arial" w:hAnsi="Arial"/>
          <w:sz w:val="17"/>
          <w:szCs w:val="17"/>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Post-Marketin</w:t>
      </w:r>
      <w:r>
        <w:rPr>
          <w:rFonts w:ascii="Arial" w:cs="Arial" w:eastAsia="Arial" w:hAnsi="Arial"/>
          <w:sz w:val="17"/>
          <w:szCs w:val="17"/>
          <w:color w:val="auto"/>
        </w:rPr>
        <w:t xml:space="preserve">g </w:t>
      </w:r>
      <w:r>
        <w:rPr>
          <w:rFonts w:ascii="Arial" w:cs="Arial" w:eastAsia="Arial" w:hAnsi="Arial"/>
          <w:sz w:val="17"/>
          <w:szCs w:val="17"/>
          <w:u w:val="single" w:color="auto"/>
          <w:color w:val="auto"/>
        </w:rPr>
        <w:t>Regulatory Requirements</w:t>
      </w:r>
    </w:p>
    <w:p>
      <w:pPr>
        <w:spacing w:after="0" w:line="119"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48"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Even if the FDA or a comparable foreign regulatory authority approves any of our product candidates, we will be subject to ongoing regulatory requirements in the applicable jurisdictions for manufacturing, labeling, packaging, storage, advertising, promotion, sampling, record-keeping, conduct of post-marketing studies and submission of safety, efficacy and other post-market information. In addition, we will be subject to continued compliance with cGMP or similar regulatory requirements outside the United States and GCP requirements for any clinical trials that we conduct post-approval.</w:t>
      </w:r>
    </w:p>
    <w:p>
      <w:pPr>
        <w:spacing w:after="0" w:line="63"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Manufacturers and their facilities are required to comply with extensive regulatory authority requirements, including ensuring that quality control and manufacturing procedures conform to cGMP or other similar regulations. As such, we and our contract manufacturers will be subject to continual review and inspections to assess compliance with cGMP or similar regulatory requirements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63" w:lineRule="exact"/>
        <w:rPr>
          <w:sz w:val="20"/>
          <w:szCs w:val="20"/>
          <w:color w:val="auto"/>
        </w:rPr>
      </w:pPr>
    </w:p>
    <w:p>
      <w:pPr>
        <w:ind w:right="100" w:firstLine="433"/>
        <w:spacing w:after="0" w:line="278"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monitor the safety and efficacy of the product candidate. In the United States,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Similar requirements may apply in foreign jurisdictions. In addition, if the FDA or a comparable foreign regulatory authority approves our product candidates, we will have to comply with requirements including submissions of safety and other post-marketing information and reports and registration.</w:t>
      </w:r>
    </w:p>
    <w:p>
      <w:pPr>
        <w:spacing w:after="0" w:line="276"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In the United States and elsewhere, the FDA and foreign regulatory authorities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or similar program. Other potential consequences include, among other things:</w:t>
      </w:r>
    </w:p>
    <w:p>
      <w:pPr>
        <w:spacing w:after="0" w:line="64" w:lineRule="exact"/>
        <w:rPr>
          <w:sz w:val="20"/>
          <w:szCs w:val="20"/>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the manufacturing of our products, the approved manufacturers or the manufacturing process;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withdrawal of the product from the market or voluntary product recalls;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requirements to conduct post-marketing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fines, restitution or disgorgement of profits or revenues;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warning or untitled letters from the FDA or comparable notice of violations from foreign regulatory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suspensions of any of our ongoing clinical trials;</w:t>
      </w:r>
    </w:p>
    <w:p>
      <w:pPr>
        <w:spacing w:after="0" w:line="119" w:lineRule="exact"/>
        <w:rPr>
          <w:rFonts w:ascii="Arial" w:cs="Arial" w:eastAsia="Arial" w:hAnsi="Arial"/>
          <w:sz w:val="17"/>
          <w:szCs w:val="17"/>
          <w:color w:val="auto"/>
        </w:rPr>
      </w:pPr>
    </w:p>
    <w:p>
      <w:pPr>
        <w:ind w:left="640" w:right="160" w:hanging="320"/>
        <w:spacing w:after="0" w:line="300"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refusal by the FDA or foreign regulatory authorities to approve pending applications or supplements to approved applications filed by us or suspension or withdrawal of marketing approvals;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products;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consent decrees, injunctions or the imposition of civil or criminal penalties.</w:t>
      </w:r>
    </w:p>
    <w:p>
      <w:pPr>
        <w:spacing w:after="0" w:line="119"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Violations of the FDCA relating to the promotion of prescription drugs may also lead to investigations alleging violations of federal and state health 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7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63" w:lineRule="exact"/>
        <w:rPr>
          <w:sz w:val="20"/>
          <w:szCs w:val="20"/>
          <w:color w:val="auto"/>
        </w:rPr>
      </w:pPr>
    </w:p>
    <w:p>
      <w:pPr>
        <w:ind w:right="140"/>
        <w:spacing w:after="0" w:line="310" w:lineRule="auto"/>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20"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While physicians in the United States may choose, and are generally permitted, to prescribe products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Sales, Marketing and Competition</w:t>
      </w:r>
    </w:p>
    <w:p>
      <w:pPr>
        <w:spacing w:after="0" w:line="119" w:lineRule="exact"/>
        <w:rPr>
          <w:sz w:val="20"/>
          <w:szCs w:val="20"/>
          <w:color w:val="auto"/>
        </w:rPr>
      </w:pPr>
    </w:p>
    <w:p>
      <w:pPr>
        <w:ind w:right="260"/>
        <w:spacing w:after="0" w:line="310" w:lineRule="auto"/>
        <w:rPr>
          <w:sz w:val="20"/>
          <w:szCs w:val="20"/>
          <w:color w:val="auto"/>
        </w:rPr>
      </w:pPr>
      <w:r>
        <w:rPr>
          <w:rFonts w:ascii="Arial" w:cs="Arial" w:eastAsia="Arial" w:hAnsi="Arial"/>
          <w:sz w:val="17"/>
          <w:szCs w:val="17"/>
          <w:b w:val="1"/>
          <w:bCs w:val="1"/>
          <w:i w:val="1"/>
          <w:iCs w:val="1"/>
          <w:color w:val="auto"/>
        </w:rPr>
        <w:t>Our commercial success depends upon attaining significant market acceptance of our drug product candidates, if approved, among physicians, patients, third-party payors and other members of the medical community.</w:t>
      </w:r>
    </w:p>
    <w:p>
      <w:pPr>
        <w:spacing w:after="0" w:line="20"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degree of market acceptance of any product candidate, if approved for commercial sale, will depend on a number of factors, including:</w:t>
      </w:r>
    </w:p>
    <w:p>
      <w:pPr>
        <w:spacing w:after="0" w:line="119"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efficacy and potential advantages compared to alternative treatments;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relative convenience and ease of administration compared to alternative treatments;</w:t>
      </w:r>
    </w:p>
    <w:p>
      <w:pPr>
        <w:spacing w:after="0" w:line="119" w:lineRule="exact"/>
        <w:rPr>
          <w:rFonts w:ascii="Arial" w:cs="Arial" w:eastAsia="Arial" w:hAnsi="Arial"/>
          <w:sz w:val="17"/>
          <w:szCs w:val="17"/>
          <w:color w:val="auto"/>
        </w:rPr>
      </w:pPr>
    </w:p>
    <w:p>
      <w:pPr>
        <w:ind w:left="640" w:right="800" w:hanging="320"/>
        <w:spacing w:after="0" w:line="300"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35" w:lineRule="exact"/>
        <w:rPr>
          <w:rFonts w:ascii="Arial" w:cs="Arial" w:eastAsia="Arial" w:hAnsi="Arial"/>
          <w:sz w:val="17"/>
          <w:szCs w:val="17"/>
          <w:color w:val="auto"/>
        </w:rPr>
      </w:pPr>
    </w:p>
    <w:p>
      <w:pPr>
        <w:ind w:left="640" w:right="460" w:hanging="320"/>
        <w:spacing w:after="0" w:line="300"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size of the market for such product candidate, based on the size of the patient subsets that we are targeting, in the territories for which we gain regulatory approval;</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recommendations with respect to our product candidates in guidelines published by various scientific organizations applicable to us and our product candidates;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strength of sales, marketing and distribution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any such marketing approval in relation to other product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restrictions on concomitant use of other medications;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support from patient advocacy groups;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19" w:lineRule="exact"/>
        <w:rPr>
          <w:sz w:val="20"/>
          <w:szCs w:val="20"/>
          <w:color w:val="auto"/>
        </w:rPr>
      </w:pPr>
    </w:p>
    <w:p>
      <w:pPr>
        <w:ind w:firstLine="433"/>
        <w:spacing w:after="0" w:line="300" w:lineRule="auto"/>
        <w:rPr>
          <w:sz w:val="20"/>
          <w:szCs w:val="20"/>
          <w:color w:val="auto"/>
        </w:rPr>
      </w:pPr>
      <w:r>
        <w:rPr>
          <w:rFonts w:ascii="Arial" w:cs="Arial" w:eastAsia="Arial" w:hAnsi="Arial"/>
          <w:sz w:val="17"/>
          <w:szCs w:val="17"/>
          <w:color w:val="auto"/>
        </w:rPr>
        <w:t>If government and other third-party payors do not provide coverage and adequate reimbursement levels for any products we commercialize, market acceptance and commercial success would be reduced.</w:t>
      </w:r>
    </w:p>
    <w:p>
      <w:pPr>
        <w:spacing w:after="0" w:line="3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w:t>
      </w:r>
      <w:r>
        <w:rPr>
          <w:rFonts w:ascii="Arial" w:cs="Arial" w:eastAsia="Arial" w:hAnsi="Arial"/>
          <w:sz w:val="17"/>
          <w:szCs w:val="17"/>
          <w:i w:val="1"/>
          <w:iCs w:val="1"/>
          <w:color w:val="auto"/>
        </w:rPr>
        <w:t>e.g.</w:t>
      </w:r>
      <w:r>
        <w:rPr>
          <w:rFonts w:ascii="Arial" w:cs="Arial" w:eastAsia="Arial" w:hAnsi="Arial"/>
          <w:sz w:val="17"/>
          <w:szCs w:val="17"/>
          <w:color w:val="auto"/>
        </w:rPr>
        <w:t>,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68" w:lineRule="exact"/>
        <w:rPr>
          <w:sz w:val="20"/>
          <w:szCs w:val="20"/>
          <w:color w:val="auto"/>
        </w:rPr>
      </w:pPr>
    </w:p>
    <w:p>
      <w:pPr>
        <w:jc w:val="both"/>
        <w:ind w:right="80" w:firstLine="433"/>
        <w:spacing w:after="0" w:line="278" w:lineRule="auto"/>
        <w:rPr>
          <w:sz w:val="20"/>
          <w:szCs w:val="20"/>
          <w:color w:val="auto"/>
        </w:rPr>
      </w:pPr>
      <w:r>
        <w:rPr>
          <w:rFonts w:ascii="Arial" w:cs="Arial" w:eastAsia="Arial" w:hAnsi="Arial"/>
          <w:sz w:val="17"/>
          <w:szCs w:val="17"/>
          <w:color w:val="auto"/>
        </w:rPr>
        <w:t>In the United States, the Centers for Medicare &amp; Medicaid Services, or CMS, an agency within the U.S. Department of Health and Human Services, or HHS, determines whether and to what extent new products will be covered and reimbursed under Medicare and private payors tend to follow CMS to a substantial degree. Factors payors consider in determining reimbursement are based on whether the product is:</w:t>
      </w:r>
    </w:p>
    <w:p>
      <w:pPr>
        <w:spacing w:after="0" w:line="55" w:lineRule="exact"/>
        <w:rPr>
          <w:sz w:val="20"/>
          <w:szCs w:val="20"/>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9" w:lineRule="exact"/>
        <w:rPr>
          <w:sz w:val="20"/>
          <w:szCs w:val="20"/>
          <w:color w:val="auto"/>
        </w:rPr>
      </w:pPr>
    </w:p>
    <w:p>
      <w:pPr>
        <w:ind w:firstLine="433"/>
        <w:spacing w:after="0" w:line="267" w:lineRule="auto"/>
        <w:rPr>
          <w:sz w:val="20"/>
          <w:szCs w:val="20"/>
          <w:color w:val="auto"/>
        </w:rPr>
      </w:pPr>
      <w:r>
        <w:rPr>
          <w:rFonts w:ascii="Arial" w:cs="Arial" w:eastAsia="Arial" w:hAnsi="Arial"/>
          <w:sz w:val="17"/>
          <w:szCs w:val="17"/>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276"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68"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64"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Governments outside the United States tend to impose strict price controls, which may adversely affect our revenues, if 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some foreign countries, the proposed pricing for a drug must be approved before it may be lawfully marketed. The requirements governing drug pricing vary widely from country to country. For example, in the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Approaches between member states are diverging. For example, in France, effective market access will be supported by agreements with hospitals and products may be reimbursed by the Social Security Fund. The price of reimbursed medicines is negotiated with the Economic Committee for Health Products, or CEPS. There can be no assurance that any country that has price controls or reimbursement limitations for biopharmaceutical products will allow favorable reimbursement and pricing arrangements for any of our product candidates. Historically, products launched in the EU do not follow price structures of the United States and generally prices tend to be significantly lower.</w:t>
      </w:r>
    </w:p>
    <w:p>
      <w:pPr>
        <w:spacing w:after="0" w:line="75" w:lineRule="exact"/>
        <w:rPr>
          <w:sz w:val="20"/>
          <w:szCs w:val="20"/>
          <w:color w:val="auto"/>
        </w:rPr>
      </w:pPr>
    </w:p>
    <w:p>
      <w:pPr>
        <w:ind w:right="900"/>
        <w:spacing w:after="0" w:line="310" w:lineRule="auto"/>
        <w:rPr>
          <w:sz w:val="20"/>
          <w:szCs w:val="20"/>
          <w:color w:val="auto"/>
        </w:rPr>
      </w:pPr>
      <w:r>
        <w:rPr>
          <w:rFonts w:ascii="Arial" w:cs="Arial" w:eastAsia="Arial" w:hAnsi="Arial"/>
          <w:sz w:val="17"/>
          <w:szCs w:val="17"/>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2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order to market any products in the United States or Europe,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2"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262"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Ongoing Regulatory and Legal Compliance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Healthcare and Related Laws</w:t>
      </w:r>
    </w:p>
    <w:p>
      <w:pPr>
        <w:spacing w:after="0" w:line="119"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43"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Although we do not currently have any products on the market, upon commercialization of our product candidates, if approved, we will be subject to additional healthcare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69" w:lineRule="exact"/>
        <w:rPr>
          <w:sz w:val="20"/>
          <w:szCs w:val="20"/>
          <w:color w:val="auto"/>
        </w:rPr>
      </w:pPr>
    </w:p>
    <w:p>
      <w:pPr>
        <w:ind w:right="420" w:firstLine="433"/>
        <w:spacing w:after="0" w:line="300" w:lineRule="auto"/>
        <w:rPr>
          <w:sz w:val="20"/>
          <w:szCs w:val="20"/>
          <w:color w:val="auto"/>
        </w:rPr>
      </w:pPr>
      <w:r>
        <w:rPr>
          <w:rFonts w:ascii="Arial" w:cs="Arial" w:eastAsia="Arial" w:hAnsi="Arial"/>
          <w:sz w:val="17"/>
          <w:szCs w:val="17"/>
          <w:color w:val="auto"/>
        </w:rPr>
        <w:t>The applicable federal, state and foreign healthcare laws and regulations laws that may affect our ability to operate include, but are not limited to:</w:t>
      </w:r>
    </w:p>
    <w:p>
      <w:pPr>
        <w:spacing w:after="0" w:line="36" w:lineRule="exact"/>
        <w:rPr>
          <w:sz w:val="20"/>
          <w:szCs w:val="20"/>
          <w:color w:val="auto"/>
        </w:rPr>
      </w:pPr>
    </w:p>
    <w:p>
      <w:pPr>
        <w:ind w:left="640" w:right="40" w:hanging="320"/>
        <w:spacing w:after="0" w:line="262"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69" w:lineRule="exact"/>
        <w:rPr>
          <w:rFonts w:ascii="Arial" w:cs="Arial" w:eastAsia="Arial" w:hAnsi="Arial"/>
          <w:sz w:val="17"/>
          <w:szCs w:val="17"/>
          <w:color w:val="auto"/>
        </w:rPr>
      </w:pPr>
    </w:p>
    <w:p>
      <w:pPr>
        <w:ind w:left="640" w:right="120" w:hanging="320"/>
        <w:spacing w:after="0" w:line="262"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In addition,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w:t>
      </w:r>
    </w:p>
    <w:p>
      <w:pPr>
        <w:spacing w:after="0" w:line="69" w:lineRule="exact"/>
        <w:rPr>
          <w:rFonts w:ascii="Arial" w:cs="Arial" w:eastAsia="Arial" w:hAnsi="Arial"/>
          <w:sz w:val="17"/>
          <w:szCs w:val="17"/>
          <w:color w:val="auto"/>
        </w:rPr>
      </w:pPr>
    </w:p>
    <w:p>
      <w:pPr>
        <w:ind w:left="640" w:right="180" w:hanging="320"/>
        <w:spacing w:after="0" w:line="262"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80" w:hanging="320"/>
        <w:spacing w:after="0" w:line="266"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Payments Sunshine Act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certain non-physician providers including physician providers including physician assistants and nurse practitioners, and teaching hospitals, as well as ownership and investment interests held by the physicians and their immediate family members;</w:t>
      </w:r>
    </w:p>
    <w:p>
      <w:pPr>
        <w:spacing w:after="0" w:line="63" w:lineRule="exact"/>
        <w:rPr>
          <w:rFonts w:ascii="Arial" w:cs="Arial" w:eastAsia="Arial" w:hAnsi="Arial"/>
          <w:sz w:val="17"/>
          <w:szCs w:val="17"/>
          <w:color w:val="auto"/>
        </w:rPr>
      </w:pPr>
    </w:p>
    <w:p>
      <w:pPr>
        <w:ind w:left="640" w:right="40" w:hanging="320"/>
        <w:spacing w:after="0" w:line="300"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 and</w:t>
      </w:r>
    </w:p>
    <w:p>
      <w:pPr>
        <w:spacing w:after="0" w:line="35" w:lineRule="exact"/>
        <w:rPr>
          <w:rFonts w:ascii="Arial" w:cs="Arial" w:eastAsia="Arial" w:hAnsi="Arial"/>
          <w:sz w:val="17"/>
          <w:szCs w:val="17"/>
          <w:color w:val="auto"/>
        </w:rPr>
      </w:pPr>
    </w:p>
    <w:p>
      <w:pPr>
        <w:ind w:left="640" w:hanging="320"/>
        <w:spacing w:after="0" w:line="263"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and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w:t>
      </w:r>
    </w:p>
    <w:p>
      <w:pPr>
        <w:spacing w:after="0" w:line="70" w:lineRule="exact"/>
        <w:rPr>
          <w:sz w:val="20"/>
          <w:szCs w:val="20"/>
          <w:color w:val="auto"/>
        </w:rPr>
      </w:pPr>
    </w:p>
    <w:p>
      <w:pPr>
        <w:ind w:right="60" w:firstLine="433"/>
        <w:spacing w:after="0" w:line="263"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70"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w:t>
      </w:r>
    </w:p>
    <w:p>
      <w:pPr>
        <w:spacing w:after="0" w:line="70"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63"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63" w:lineRule="exact"/>
        <w:rPr>
          <w:sz w:val="20"/>
          <w:szCs w:val="20"/>
          <w:color w:val="auto"/>
        </w:rPr>
      </w:pPr>
    </w:p>
    <w:p>
      <w:pPr>
        <w:ind w:right="620"/>
        <w:spacing w:after="0" w:line="310" w:lineRule="auto"/>
        <w:rPr>
          <w:sz w:val="20"/>
          <w:szCs w:val="20"/>
          <w:color w:val="auto"/>
        </w:rPr>
      </w:pPr>
      <w:r>
        <w:rPr>
          <w:rFonts w:ascii="Arial" w:cs="Arial" w:eastAsia="Arial" w:hAnsi="Arial"/>
          <w:sz w:val="17"/>
          <w:szCs w:val="17"/>
          <w:b w:val="1"/>
          <w:bCs w:val="1"/>
          <w:i w:val="1"/>
          <w:iCs w:val="1"/>
          <w:color w:val="auto"/>
        </w:rPr>
        <w:t>We may be subject to, or may in the future become subject to, U.S. federal and state, and foreign laws and regulations imposing obligations on how we collect, use, disclose, store and process personal information.</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i w:val="1"/>
          <w:iCs w:val="1"/>
          <w:color w:val="auto"/>
        </w:rPr>
        <w:t>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43"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perceptions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79" w:lineRule="exact"/>
        <w:rPr>
          <w:sz w:val="20"/>
          <w:szCs w:val="20"/>
          <w:color w:val="auto"/>
        </w:rPr>
      </w:pPr>
    </w:p>
    <w:p>
      <w:pPr>
        <w:ind w:right="60" w:firstLine="433"/>
        <w:spacing w:after="0" w:line="260" w:lineRule="auto"/>
        <w:rPr>
          <w:sz w:val="20"/>
          <w:szCs w:val="20"/>
          <w:color w:val="auto"/>
        </w:rPr>
      </w:pPr>
      <w:r>
        <w:rPr>
          <w:rFonts w:ascii="Arial" w:cs="Arial" w:eastAsia="Arial" w:hAnsi="Arial"/>
          <w:sz w:val="17"/>
          <w:szCs w:val="17"/>
          <w:color w:val="auto"/>
        </w:rPr>
        <w:t>In Europe, the GDPR took effect in May 2018. The GDPR imposes stringent requirements on entities that process personal data of individuals in the European Economic Area, or EEA. These requirements include, for example, establishing a legal basis for processing, providing notice to data subjects about how personal data is collected and processed, developing procedures to vindicate expanded data subject rights, implementing appropriate technical and organizational measures to safeguard personal data,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principal of accountability and the obligation to demonstrate compliance through policies, procedures, training and audit. In addition, the GDPR establishes obligations for entities that process “special categories” of personal data, such as health data. Nearly all clinical trials involve the processing of these “special categories” of personal data, and processing of personal data collected during the course of clinical trials is therefore subject to heightened protections under the GDPR. Violations of the GDPR can lead to potential fines of up to €20 million or 4% of the annual global revenues of the noncompliant undertaking, whichever is greater. In addition to the foregoing, a breach of the GDPR could result in regulatory investigations, reputational damage, orders to cease /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78" w:lineRule="exact"/>
        <w:rPr>
          <w:sz w:val="20"/>
          <w:szCs w:val="20"/>
          <w:color w:val="auto"/>
        </w:rPr>
      </w:pPr>
    </w:p>
    <w:p>
      <w:pPr>
        <w:ind w:right="20" w:firstLine="433"/>
        <w:spacing w:after="0" w:line="260" w:lineRule="auto"/>
        <w:rPr>
          <w:sz w:val="20"/>
          <w:szCs w:val="20"/>
          <w:color w:val="auto"/>
        </w:rPr>
      </w:pPr>
      <w:r>
        <w:rPr>
          <w:rFonts w:ascii="Arial" w:cs="Arial" w:eastAsia="Arial" w:hAnsi="Arial"/>
          <w:sz w:val="17"/>
          <w:szCs w:val="17"/>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or the CJEU, states that reliance on the standard contractual clauses, or SCCs — a standard form of contract approved by the European Commission as an adequate personal data transfer mechanism —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European Commission adopted its Adequacy Decision in relation to the new EU-U.S. Data Privacy Framework, or DPF, on July 10, 2023, rendering the DPF effective as a GDPR transfer mechanism to U.S. entities self-certified under the DPF. We currently rely on the EU standard contractual clauses and the UK Addendum to the EU standard contractual clauses to transfer personal data outside the EEA and the UK, including to the United States, with respect to both intragroup and third party transfers. The existing legal complexity and uncertainty regarding international personal data transfers may continue, and in particular, the DPF Adequacy Decision could be challenged and international transfers to the United States and to other jurisdictions more generally could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Further, since January 2021, we may also be subject to the UK GDPR, which, together with the UK Data Protection Act 2018, retains the GDPR in UK national law. The UK GDPR mirrors the fines under the GDPR, meaning the potential of parallel fines of up to the greater of £17.5 million or 4% of a non-compliant undertaking's global annual revenue for the preceding financial year. On October 12, 2023, the UK Extension to the DPF came into effect (as approve by the UK government) as a data transfer mechanism from the UK to U.S. entities self-certified under the DPF.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 relationship between the UK and the EU in relation to certain aspects of data protection law remains uncertain, and it is unclear how UK data protection laws and regulations will develop in the medium to longer term.</w:t>
      </w:r>
    </w:p>
    <w:p>
      <w:pPr>
        <w:spacing w:after="0" w:line="72"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In the United States, HIPAA establishes a set of national privacy and security standards for the protection of individually identifiable health information, including protected health information, or PHI, by health plans, certain health care clearinghouses and health 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as well as their covered subcontractors. While we do not believe that we are currently acting as a covered entity or business associate under HIPAA, we may receive individually identifiable health information from these entities. Failure to receive this information properly could subject us to HIPAA’s criminal penalties. Further, any person may be prosecuted under HIPAA’s criminal provisions either directly or under aiding-and-abetting or conspiracy principles.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59" w:lineRule="exact"/>
        <w:rPr>
          <w:sz w:val="20"/>
          <w:szCs w:val="20"/>
          <w:color w:val="auto"/>
        </w:rPr>
      </w:pPr>
    </w:p>
    <w:p>
      <w:pPr>
        <w:ind w:firstLine="433"/>
        <w:spacing w:after="0" w:line="244" w:lineRule="auto"/>
        <w:rPr>
          <w:sz w:val="20"/>
          <w:szCs w:val="20"/>
          <w:color w:val="auto"/>
        </w:rPr>
      </w:pPr>
      <w:r>
        <w:rPr>
          <w:rFonts w:ascii="Arial" w:cs="Arial" w:eastAsia="Arial" w:hAnsi="Arial"/>
          <w:sz w:val="17"/>
          <w:szCs w:val="17"/>
          <w:color w:val="auto"/>
        </w:rPr>
        <w:t>Various states, such as California and Massachusetts, have also implemented similar privacy laws and regulations, such as the California Confidentiality of Medical Information Act, or the CMIA, that impose restrictive requirements regulating the use and disclosure of health information and other personally identifiable information. In addition to imposing fines and penalties, some of these state laws afford private rights of action to individuals who believe their personal information has been misused. California’s patient privacy laws, for example, provide for significant penalties and permit injured parties to sue for damages. In addition to the CMIA, California also enacted the CCPA, which went into effect on January 1, 2020. The CCPA creates individual privacy rights for California consumers and increases the privacy and security obligations</w:t>
      </w:r>
    </w:p>
    <w:p>
      <w:pPr>
        <w:spacing w:after="0" w:line="4"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of entities handling certain personal information. The CCPA provides for civil penalties for violations, as well as a private right of action for data breaches that is expected to increase data breach litigation. The CCPA may increase our compliance costs and potential liability. Further, the</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CPRA, which generally went into effect on January 1, 2023, significantly amends the CCPA and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the CCPA, the CPRA or other domestic privacy and data protection laws, any liability from failure to comply with the requirements of these laws could adversely affect our financial condition.</w:t>
      </w:r>
    </w:p>
    <w:p>
      <w:pPr>
        <w:spacing w:after="0" w:line="282"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The legislative and regulatory landscape for privacy and data security continues to evolve, and there has been an increasing focus on privacy and data security issues which may affect our business. Any</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failure or perceived failure by us or our employees, representatives, contractors, consultants, collaborators, or other third parties to comply with current and future laws and regulations could result in government enforcement actions (including the imposition of significant penalties), criminal and/or civil liability for us and our officers and directors, private litigation and/or adverse publicity that negatively affects our business.</w:t>
      </w:r>
    </w:p>
    <w:p>
      <w:pPr>
        <w:spacing w:after="0" w:line="55" w:lineRule="exact"/>
        <w:rPr>
          <w:sz w:val="20"/>
          <w:szCs w:val="20"/>
          <w:color w:val="auto"/>
        </w:rPr>
      </w:pPr>
    </w:p>
    <w:p>
      <w:pPr>
        <w:ind w:right="440"/>
        <w:spacing w:after="0" w:line="310" w:lineRule="auto"/>
        <w:rPr>
          <w:sz w:val="20"/>
          <w:szCs w:val="20"/>
          <w:color w:val="auto"/>
        </w:rPr>
      </w:pPr>
      <w:r>
        <w:rPr>
          <w:rFonts w:ascii="Arial" w:cs="Arial" w:eastAsia="Arial" w:hAnsi="Arial"/>
          <w:sz w:val="17"/>
          <w:szCs w:val="17"/>
          <w:b w:val="1"/>
          <w:bCs w:val="1"/>
          <w:i w:val="1"/>
          <w:iCs w:val="1"/>
          <w:color w:val="auto"/>
        </w:rPr>
        <w:t>Ongoing healthcare legislative and regulatory reform measures may have a material adverse effect on our business and results of operations.</w:t>
      </w:r>
    </w:p>
    <w:p>
      <w:pPr>
        <w:spacing w:after="0" w:line="20"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72" w:lineRule="exact"/>
        <w:rPr>
          <w:sz w:val="20"/>
          <w:szCs w:val="20"/>
          <w:color w:val="auto"/>
        </w:rPr>
      </w:pPr>
    </w:p>
    <w:p>
      <w:pPr>
        <w:jc w:val="both"/>
        <w:ind w:right="40" w:firstLine="433"/>
        <w:spacing w:after="0" w:line="278"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On June 17, 2021 the U.S. Supreme Court dismissed the recent judicial challenge to the ACA brought by several states without specifically ruling on the constitutionality of the ACA. Thus, the ACA will remain in effect in its current form.</w:t>
      </w:r>
    </w:p>
    <w:p>
      <w:pPr>
        <w:spacing w:after="0" w:line="55"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For example,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55" w:lineRule="exact"/>
        <w:rPr>
          <w:sz w:val="20"/>
          <w:szCs w:val="20"/>
          <w:color w:val="auto"/>
        </w:rPr>
      </w:pPr>
    </w:p>
    <w:p>
      <w:pPr>
        <w:ind w:firstLine="433"/>
        <w:spacing w:after="0" w:line="244" w:lineRule="auto"/>
        <w:rPr>
          <w:sz w:val="20"/>
          <w:szCs w:val="20"/>
          <w:color w:val="auto"/>
        </w:rPr>
      </w:pPr>
      <w:r>
        <w:rPr>
          <w:rFonts w:ascii="Arial" w:cs="Arial" w:eastAsia="Arial" w:hAnsi="Arial"/>
          <w:sz w:val="17"/>
          <w:szCs w:val="17"/>
          <w:color w:val="auto"/>
        </w:rPr>
        <w:t>Moreover, on March 11, 2021, President Biden signed the American Rescue Plan Act of 2021 into law, which eliminated the statutory Medicaid drug rebate cap for single source and innovator multiple source drugs, beginning January 1, 2024. The rebate was previously capped at 100% of a drug's average manufacturer price. Payment methodologies may also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w:t>
      </w:r>
    </w:p>
    <w:p>
      <w:pPr>
        <w:spacing w:after="0" w:line="4" w:lineRule="exact"/>
        <w:rPr>
          <w:sz w:val="20"/>
          <w:szCs w:val="20"/>
          <w:color w:val="auto"/>
        </w:rPr>
      </w:pPr>
    </w:p>
    <w:p>
      <w:pPr>
        <w:ind w:right="340"/>
        <w:spacing w:after="0" w:line="233" w:lineRule="auto"/>
        <w:rPr>
          <w:sz w:val="20"/>
          <w:szCs w:val="20"/>
          <w:color w:val="auto"/>
        </w:rPr>
      </w:pPr>
      <w:r>
        <w:rPr>
          <w:rFonts w:ascii="Arial" w:cs="Arial" w:eastAsia="Arial" w:hAnsi="Arial"/>
          <w:sz w:val="17"/>
          <w:szCs w:val="17"/>
          <w:color w:val="auto"/>
        </w:rPr>
        <w:t>transparency to drug pricing, reduce the cost of prescription drugs under Medicare, review the relationship between pricing and manufacturer patient programs, and reform government program reimbursement methodologies for drugs. By way of example, in August 2022, the Inflation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These provisions started to take effect progressively starting in fiscal year 2023. On August 29, 2023, HHS announced the list of the first ten drugs that will be subject to price negotiations, although the Medicare drug price negotiation program is currently subject to legal challenges.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firstLine="433"/>
        <w:spacing w:after="0" w:line="263" w:lineRule="auto"/>
        <w:rPr>
          <w:sz w:val="20"/>
          <w:szCs w:val="20"/>
          <w:color w:val="auto"/>
        </w:rPr>
      </w:pPr>
      <w:r>
        <w:rPr>
          <w:rFonts w:ascii="Arial" w:cs="Arial" w:eastAsia="Arial" w:hAnsi="Arial"/>
          <w:sz w:val="17"/>
          <w:szCs w:val="17"/>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70" w:lineRule="exact"/>
        <w:rPr>
          <w:sz w:val="20"/>
          <w:szCs w:val="20"/>
          <w:color w:val="auto"/>
        </w:rPr>
      </w:pPr>
    </w:p>
    <w:p>
      <w:pPr>
        <w:jc w:val="both"/>
        <w:ind w:firstLine="433"/>
        <w:spacing w:after="0" w:line="271"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6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In the United States, 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48"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60" w:lineRule="exact"/>
        <w:rPr>
          <w:sz w:val="20"/>
          <w:szCs w:val="20"/>
          <w:color w:val="auto"/>
        </w:rPr>
      </w:pPr>
    </w:p>
    <w:p>
      <w:pPr>
        <w:ind w:right="180" w:firstLine="433"/>
        <w:spacing w:after="0" w:line="250" w:lineRule="auto"/>
        <w:rPr>
          <w:sz w:val="20"/>
          <w:szCs w:val="20"/>
          <w:color w:val="auto"/>
        </w:rPr>
      </w:pPr>
      <w:r>
        <w:rPr>
          <w:rFonts w:ascii="Arial" w:cs="Arial" w:eastAsia="Arial" w:hAnsi="Arial"/>
          <w:sz w:val="17"/>
          <w:szCs w:val="17"/>
          <w:color w:val="auto"/>
        </w:rPr>
        <w:t>Separately, in response to the COVID-19 pandemic, the FDA postponed most inspections of domestic and foreign manufacturing facilities at various points. Even though the FDA has since resumed standard inspection operations of domestic facilities, any resurgence of the virus or emergence of new variants may lead to inspectional or administrative delays. If a prolonged government shutdown occurs, or if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International Re</w:t>
      </w:r>
      <w:r>
        <w:rPr>
          <w:rFonts w:ascii="Arial" w:cs="Arial" w:eastAsia="Arial" w:hAnsi="Arial"/>
          <w:sz w:val="17"/>
          <w:szCs w:val="17"/>
          <w:color w:val="auto"/>
        </w:rPr>
        <w:t>g</w:t>
      </w:r>
      <w:r>
        <w:rPr>
          <w:rFonts w:ascii="Arial" w:cs="Arial" w:eastAsia="Arial" w:hAnsi="Arial"/>
          <w:sz w:val="17"/>
          <w:szCs w:val="17"/>
          <w:u w:val="single" w:color="auto"/>
          <w:color w:val="auto"/>
        </w:rPr>
        <w:t>ulations</w:t>
      </w:r>
    </w:p>
    <w:p>
      <w:pPr>
        <w:spacing w:after="0" w:line="119" w:lineRule="exact"/>
        <w:rPr>
          <w:sz w:val="20"/>
          <w:szCs w:val="20"/>
          <w:color w:val="auto"/>
        </w:rPr>
      </w:pPr>
    </w:p>
    <w:p>
      <w:pPr>
        <w:ind w:right="80"/>
        <w:spacing w:after="0" w:line="310" w:lineRule="auto"/>
        <w:rPr>
          <w:sz w:val="20"/>
          <w:szCs w:val="20"/>
          <w:color w:val="auto"/>
        </w:rPr>
      </w:pPr>
      <w:r>
        <w:rPr>
          <w:rFonts w:ascii="Arial" w:cs="Arial" w:eastAsia="Arial" w:hAnsi="Arial"/>
          <w:sz w:val="17"/>
          <w:szCs w:val="17"/>
          <w:b w:val="1"/>
          <w:bCs w:val="1"/>
          <w:i w:val="1"/>
          <w:iCs w:val="1"/>
          <w:color w:val="auto"/>
        </w:rPr>
        <w:t>EU drug marketing and reimbursement regulations may materially affect our ability to market and receive coverage for our products in the European member states.</w:t>
      </w:r>
    </w:p>
    <w:p>
      <w:pPr>
        <w:spacing w:after="0" w:line="20"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68"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laws of EU member states, and in respect of the United Kingdom (which is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longer a member of the EU), the U.K. Bribery Act of 2010. Infringement of these laws could result in substantial fines and imprisonment.</w:t>
      </w:r>
    </w:p>
    <w:p>
      <w:pPr>
        <w:spacing w:after="0" w:line="119"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must often be subject to a prior notification and/or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63"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addition,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6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206"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In December 2021, Regulation No 2021/2282 on Health Technology Assessment, or HTA, amending Directive 2011/24/EU, was adopted. While the Regulation entered into force in January 2022, it will only begin to apply from January 12,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w:t>
      </w:r>
      <w:r>
        <w:rPr>
          <w:rFonts w:ascii="Arial" w:cs="Arial" w:eastAsia="Arial" w:hAnsi="Arial"/>
          <w:sz w:val="17"/>
          <w:szCs w:val="17"/>
          <w:i w:val="1"/>
          <w:iCs w:val="1"/>
          <w:color w:val="auto"/>
        </w:rPr>
        <w:t>e.g.</w:t>
      </w:r>
      <w:r>
        <w:rPr>
          <w:rFonts w:ascii="Arial" w:cs="Arial" w:eastAsia="Arial" w:hAnsi="Arial"/>
          <w:sz w:val="17"/>
          <w:szCs w:val="17"/>
          <w:color w:val="auto"/>
        </w:rPr>
        <w:t>, economic, social, ethical) aspects of health technology, and making decisions on pricing and reimbursement.</w:t>
      </w:r>
    </w:p>
    <w:p>
      <w:pPr>
        <w:spacing w:after="0" w:line="69"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433"/>
        <w:spacing w:after="0" w:line="244" w:lineRule="auto"/>
        <w:rPr>
          <w:sz w:val="20"/>
          <w:szCs w:val="20"/>
          <w:color w:val="auto"/>
        </w:rPr>
      </w:pPr>
      <w:r>
        <w:rPr>
          <w:rFonts w:ascii="Arial" w:cs="Arial" w:eastAsia="Arial" w:hAnsi="Arial"/>
          <w:sz w:val="17"/>
          <w:szCs w:val="17"/>
          <w:color w:val="auto"/>
        </w:rPr>
        <w:t>Following Brexit, and since January 1, 2021, the United Kingdom, or UK, has operated under a separate regulatory regime to the EU. EU laws regarding medicinal products only apply in respect of the UK to Northern Ireland (as set out in the Protocol on Ireland/Northern Ireland, or the Protocol). However, on February 27, 2023, the UK government and the European Commission reached a political agreement in the “Windsor Framework” to address discrepancies in the Protocol’s operation. This new framework fundamentally changes the existing system under the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w:t>
      </w:r>
    </w:p>
    <w:p>
      <w:pPr>
        <w:spacing w:after="0" w:line="4"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medicinal products destined for Northern Ireland. A single UK-wide MA will be granted by the MHRA for all medicinal products to be sold in the UK, enabling products to be sold in a single pack and under a single authorization throughout the UK. The Windsor Framework was approved by</w:t>
      </w:r>
    </w:p>
    <w:p>
      <w:pPr>
        <w:spacing w:after="0" w:line="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EU-UK Joint Committee on March 24, 2023, and the UK government and the EU will enact legislative measures to bring it into law. On June 9, 2023, the MHRA announced that the medicines aspects of the Windsor Framework will apply from January 1, 2025.</w:t>
      </w:r>
    </w:p>
    <w:p>
      <w:pPr>
        <w:spacing w:after="0" w:line="65"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EU laws that have been transposed into UK law through secondary legislation remain applicable as “retained EU law;” however, EU laws that have taken effect since Brexit do not apply in Great Britain (England, Scotland and Wales). A Trade and Cooperation Agreement, or TCA, was agreed to between the UK and EU to facilitate continuing free trade between the parties, and includes specific provisions concerning medicinal products, which include the mutual recognition of Good Manufacturing Practice, or GMP, inspections of manufacturing facilities for medicinal products and GMP documents issued (such mutual recognition can be rejected by either party in certain circumstances), but does not foresee wholesale mutual recognition of U.K. and EU pharmaceutical regulations. Therefore, there remains political and economic uncertainty regarding to what extent the regulation of medicinal products will differ between the UK and the EU in the future. The UK government has passed the Medicines and Medical Devices Act 2021, which introduced delegated powers in favor of the Secretary of State or an ‘appropriate authority’ to amend or supplement existing regulations in the area of medicines and medical devices. This allows new rules to be introduced in the future by way of secondary legislation, which aims to allow flexibility in addressing regulatory gaps. There is a possibility that over time, national laws will be amended and that consequently the regulatory framework in Great Britain will diverge from that of the EU. Any divergences will increase the cost and complexity of running our business, including with respect to the conduct of clinical trials. Since a significant proportion of the regulatory framework in the UK applicable to our business and our drug candidates is derived from EU directives and regulations, Brexit could materially impact the regulatory regime with respect to the development, manufacture, importation, approval and commercialization of our drug candidates in the UK or the EU.</w:t>
      </w:r>
    </w:p>
    <w:p>
      <w:pPr>
        <w:spacing w:after="0" w:line="287"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Great Britain is no longer covered by the EU’s procedures for the grant of marketing authorizations (Northern Ireland is currently covered by the centralized authorization procedure and can be covered under the decentralized or mutual recognition procedures). A separate marketing authorization will be required to market medicinal products in Great Britain. As of January 1, 2021, the Medicines and Healthcare Products regulatory Agency, or MHRA, is the UK's standalone medicines and medical devices regulator. It is currently unclear whether the MHRA is sufficiently prepared to handle the increased volume of marketing authorization applications that it is likely to receive. Any delay in obtaining, or an inability to obtain, any marketing approvals, as a result of Brexit or otherwise, could prevent us and our collaborators or delay us and our collaborators from commercializing our drug candidates in the UK and/or the EEA and restrict our ability to generate revenue and achieve and sustain profitability.</w:t>
      </w:r>
    </w:p>
    <w:p>
      <w:pPr>
        <w:spacing w:after="0" w:line="278" w:lineRule="exact"/>
        <w:rPr>
          <w:sz w:val="20"/>
          <w:szCs w:val="20"/>
          <w:color w:val="auto"/>
        </w:rPr>
      </w:pPr>
    </w:p>
    <w:p>
      <w:pPr>
        <w:ind w:right="200" w:firstLine="433"/>
        <w:spacing w:after="0" w:line="278" w:lineRule="auto"/>
        <w:rPr>
          <w:sz w:val="20"/>
          <w:szCs w:val="20"/>
          <w:color w:val="auto"/>
        </w:rPr>
      </w:pPr>
      <w:r>
        <w:rPr>
          <w:rFonts w:ascii="Arial" w:cs="Arial" w:eastAsia="Arial" w:hAnsi="Arial"/>
          <w:sz w:val="17"/>
          <w:szCs w:val="17"/>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55"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63" w:lineRule="exact"/>
        <w:rPr>
          <w:sz w:val="20"/>
          <w:szCs w:val="20"/>
          <w:color w:val="auto"/>
        </w:rPr>
      </w:pPr>
    </w:p>
    <w:p>
      <w:pPr>
        <w:ind w:right="40" w:firstLine="433"/>
        <w:spacing w:after="0" w:line="278" w:lineRule="auto"/>
        <w:rPr>
          <w:sz w:val="20"/>
          <w:szCs w:val="20"/>
          <w:color w:val="auto"/>
        </w:rPr>
      </w:pPr>
      <w:r>
        <w:rPr>
          <w:rFonts w:ascii="Arial" w:cs="Arial" w:eastAsia="Arial" w:hAnsi="Arial"/>
          <w:sz w:val="17"/>
          <w:szCs w:val="17"/>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laws and regulations governing international operations could negatively impact or restrict our operations.</w:t>
      </w:r>
    </w:p>
    <w:p>
      <w:pPr>
        <w:spacing w:after="0" w:line="119" w:lineRule="exact"/>
        <w:rPr>
          <w:sz w:val="20"/>
          <w:szCs w:val="20"/>
          <w:color w:val="auto"/>
        </w:rPr>
      </w:pPr>
    </w:p>
    <w:p>
      <w:pPr>
        <w:ind w:right="300" w:firstLine="433"/>
        <w:spacing w:after="0" w:line="264" w:lineRule="auto"/>
        <w:rPr>
          <w:sz w:val="20"/>
          <w:szCs w:val="20"/>
          <w:color w:val="auto"/>
        </w:rPr>
      </w:pPr>
      <w:r>
        <w:rPr>
          <w:rFonts w:ascii="Arial" w:cs="Arial" w:eastAsia="Arial" w:hAnsi="Arial"/>
          <w:sz w:val="17"/>
          <w:szCs w:val="17"/>
          <w:color w:val="auto"/>
        </w:rPr>
        <w:t>For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68"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w:t>
      </w:r>
    </w:p>
    <w:p>
      <w:pPr>
        <w:spacing w:after="0" w:line="68"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continue and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63"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 The SEC also may suspend or bar issuers from trading securities on U.S. exchanges for violations of the FCPA’s accounting provisions.</w:t>
      </w:r>
    </w:p>
    <w:p>
      <w:pPr>
        <w:spacing w:after="0" w:line="64"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harm our business.</w:t>
      </w:r>
    </w:p>
    <w:p>
      <w:pPr>
        <w:spacing w:after="0" w:line="20" w:lineRule="exact"/>
        <w:rPr>
          <w:sz w:val="20"/>
          <w:szCs w:val="20"/>
          <w:color w:val="auto"/>
        </w:rPr>
      </w:pPr>
    </w:p>
    <w:p>
      <w:pPr>
        <w:ind w:right="120" w:firstLine="433"/>
        <w:spacing w:after="0" w:line="26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68" w:lineRule="exact"/>
        <w:rPr>
          <w:sz w:val="20"/>
          <w:szCs w:val="20"/>
          <w:color w:val="auto"/>
        </w:rPr>
      </w:pPr>
    </w:p>
    <w:p>
      <w:pPr>
        <w:ind w:right="180" w:firstLine="433"/>
        <w:spacing w:after="0" w:line="278" w:lineRule="auto"/>
        <w:rPr>
          <w:sz w:val="20"/>
          <w:szCs w:val="20"/>
          <w:color w:val="auto"/>
        </w:rPr>
      </w:pPr>
      <w:r>
        <w:rPr>
          <w:rFonts w:ascii="Arial" w:cs="Arial" w:eastAsia="Arial" w:hAnsi="Arial"/>
          <w:sz w:val="17"/>
          <w:szCs w:val="17"/>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55"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Licensed Intellectual Property</w:t>
      </w:r>
    </w:p>
    <w:p>
      <w:pPr>
        <w:spacing w:after="0" w:line="119" w:lineRule="exact"/>
        <w:rPr>
          <w:sz w:val="20"/>
          <w:szCs w:val="20"/>
          <w:color w:val="auto"/>
        </w:rPr>
      </w:pPr>
    </w:p>
    <w:p>
      <w:pPr>
        <w:ind w:right="120"/>
        <w:spacing w:after="0" w:line="31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20"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Our business depends in large part on obtaining and maintaining patent, trademark and trade secret protection of our proprietary technologies and our product candidates, their respective components, synthetic intermediates,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or obtain, maintain and/or enforce patents or trademarks that may issue or be registered based on our applications, at a reasonable cost or in a timely manner. In addition, our pending and future patent applications may not result in issued patents that protect our technology or products, in whole or in part, or may not effectively prevent others from commercializing competitive technologies and products. Changes in either patent laws or interpretation of patent laws in the United States and other countries may diminish the value of our patents or narrow the scope of our patent protection. Further, we may not pursue, obtain, or maintain patent protection in all relevant markets.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69" w:lineRule="exact"/>
        <w:rPr>
          <w:sz w:val="20"/>
          <w:szCs w:val="20"/>
          <w:color w:val="auto"/>
        </w:rPr>
      </w:pPr>
    </w:p>
    <w:p>
      <w:pPr>
        <w:ind w:right="120" w:firstLine="433"/>
        <w:spacing w:after="0" w:line="262"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that we hold with respect to our product candidates is threatened, it could dissuade companies from collaborating with us to develop new or improved products and threaten our ability to commercialize our product candidates. Further, if we encounter delays in our clinical trials, the period of time during which we could market our product candidates under patent protection would be reduced.</w:t>
      </w:r>
    </w:p>
    <w:p>
      <w:pPr>
        <w:spacing w:after="0" w:line="73" w:lineRule="exact"/>
        <w:rPr>
          <w:sz w:val="20"/>
          <w:szCs w:val="20"/>
          <w:color w:val="auto"/>
        </w:rPr>
      </w:pPr>
    </w:p>
    <w:p>
      <w:pPr>
        <w:ind w:right="140" w:firstLine="433"/>
        <w:spacing w:after="0" w:line="300"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36"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64"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68"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2" w:lineRule="exact"/>
        <w:rPr>
          <w:sz w:val="20"/>
          <w:szCs w:val="20"/>
          <w:color w:val="auto"/>
        </w:rPr>
      </w:pPr>
    </w:p>
    <w:p>
      <w:pPr>
        <w:ind w:right="580" w:firstLine="433"/>
        <w:spacing w:after="0" w:line="300"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5" w:lineRule="exact"/>
        <w:rPr>
          <w:sz w:val="20"/>
          <w:szCs w:val="20"/>
          <w:color w:val="auto"/>
        </w:rPr>
      </w:pPr>
    </w:p>
    <w:p>
      <w:pPr>
        <w:ind w:left="640" w:right="40" w:hanging="320"/>
        <w:spacing w:after="0" w:line="243"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121" w:lineRule="exact"/>
        <w:rPr>
          <w:rFonts w:ascii="Arial" w:cs="Arial" w:eastAsia="Arial" w:hAnsi="Arial"/>
          <w:sz w:val="21"/>
          <w:szCs w:val="21"/>
          <w:color w:val="auto"/>
        </w:rPr>
      </w:pPr>
    </w:p>
    <w:p>
      <w:pPr>
        <w:ind w:left="640" w:right="300" w:hanging="320"/>
        <w:spacing w:after="0" w:line="243"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36" w:lineRule="exact"/>
        <w:rPr>
          <w:rFonts w:ascii="Arial" w:cs="Arial" w:eastAsia="Arial" w:hAnsi="Arial"/>
          <w:sz w:val="21"/>
          <w:szCs w:val="21"/>
          <w:color w:val="auto"/>
        </w:rPr>
      </w:pPr>
    </w:p>
    <w:p>
      <w:pPr>
        <w:ind w:left="640" w:right="820" w:hanging="320"/>
        <w:spacing w:after="0" w:line="243"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it is possible that our pending patent applications will not result in issued patents;</w:t>
      </w:r>
    </w:p>
    <w:p>
      <w:pPr>
        <w:spacing w:after="0" w:line="123" w:lineRule="exact"/>
        <w:rPr>
          <w:rFonts w:ascii="Arial" w:cs="Arial" w:eastAsia="Arial" w:hAnsi="Arial"/>
          <w:sz w:val="21"/>
          <w:szCs w:val="21"/>
          <w:color w:val="auto"/>
        </w:rPr>
      </w:pPr>
    </w:p>
    <w:p>
      <w:pPr>
        <w:ind w:left="640" w:right="120" w:hanging="320"/>
        <w:spacing w:after="0" w:line="243"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it is possible that others may circumvent our owned or in-licensed patents;</w:t>
      </w:r>
    </w:p>
    <w:p>
      <w:pPr>
        <w:spacing w:after="0" w:line="123" w:lineRule="exact"/>
        <w:rPr>
          <w:rFonts w:ascii="Arial" w:cs="Arial" w:eastAsia="Arial" w:hAnsi="Arial"/>
          <w:sz w:val="21"/>
          <w:szCs w:val="21"/>
          <w:color w:val="auto"/>
        </w:rPr>
      </w:pPr>
    </w:p>
    <w:p>
      <w:pPr>
        <w:ind w:left="640" w:right="680" w:hanging="320"/>
        <w:spacing w:after="0" w:line="259"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105" w:lineRule="exact"/>
        <w:rPr>
          <w:rFonts w:ascii="Arial" w:cs="Arial" w:eastAsia="Arial" w:hAnsi="Arial"/>
          <w:sz w:val="21"/>
          <w:szCs w:val="21"/>
          <w:color w:val="auto"/>
        </w:rPr>
      </w:pPr>
    </w:p>
    <w:p>
      <w:pPr>
        <w:ind w:left="640" w:right="140" w:hanging="320"/>
        <w:spacing w:after="0" w:line="243"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23" w:lineRule="exact"/>
        <w:rPr>
          <w:rFonts w:ascii="Arial" w:cs="Arial" w:eastAsia="Arial" w:hAnsi="Arial"/>
          <w:sz w:val="21"/>
          <w:szCs w:val="21"/>
          <w:color w:val="auto"/>
        </w:rPr>
      </w:pPr>
    </w:p>
    <w:p>
      <w:pPr>
        <w:ind w:left="640" w:right="20" w:hanging="320"/>
        <w:spacing w:after="0" w:line="243" w:lineRule="auto"/>
        <w:tabs>
          <w:tab w:leader="none" w:pos="635" w:val="left"/>
        </w:tabs>
        <w:numPr>
          <w:ilvl w:val="0"/>
          <w:numId w:val="30"/>
        </w:numPr>
        <w:rPr>
          <w:rFonts w:ascii="Arial" w:cs="Arial" w:eastAsia="Arial" w:hAnsi="Arial"/>
          <w:sz w:val="21"/>
          <w:szCs w:val="21"/>
          <w:color w:val="auto"/>
        </w:rPr>
      </w:pPr>
      <w:r>
        <w:rPr>
          <w:rFonts w:ascii="Arial" w:cs="Arial" w:eastAsia="Arial" w:hAnsi="Arial"/>
          <w:sz w:val="17"/>
          <w:szCs w:val="17"/>
          <w:color w:val="auto"/>
        </w:rPr>
        <w:t>our owned or in-licensed issued patents may not provide us with any competitive advantages, may be narrowed in scope, or may be held invalid or unenforceable as a result of legal challenges by third parties;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right="280" w:hanging="320"/>
        <w:spacing w:after="0" w:line="249" w:lineRule="auto"/>
        <w:tabs>
          <w:tab w:leader="none" w:pos="635" w:val="left"/>
        </w:tabs>
        <w:numPr>
          <w:ilvl w:val="0"/>
          <w:numId w:val="31"/>
        </w:numPr>
        <w:rPr>
          <w:rFonts w:ascii="Arial" w:cs="Arial" w:eastAsia="Arial" w:hAnsi="Arial"/>
          <w:sz w:val="21"/>
          <w:szCs w:val="21"/>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17" w:lineRule="exact"/>
        <w:rPr>
          <w:rFonts w:ascii="Arial" w:cs="Arial" w:eastAsia="Arial" w:hAnsi="Arial"/>
          <w:sz w:val="21"/>
          <w:szCs w:val="21"/>
          <w:color w:val="auto"/>
        </w:rPr>
      </w:pPr>
    </w:p>
    <w:p>
      <w:pPr>
        <w:jc w:val="both"/>
        <w:ind w:left="640" w:right="100" w:hanging="320"/>
        <w:spacing w:after="0" w:line="249" w:lineRule="auto"/>
        <w:tabs>
          <w:tab w:leader="none" w:pos="635" w:val="left"/>
        </w:tabs>
        <w:numPr>
          <w:ilvl w:val="0"/>
          <w:numId w:val="31"/>
        </w:numPr>
        <w:rPr>
          <w:rFonts w:ascii="Arial" w:cs="Arial" w:eastAsia="Arial" w:hAnsi="Arial"/>
          <w:sz w:val="21"/>
          <w:szCs w:val="21"/>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17" w:lineRule="exact"/>
        <w:rPr>
          <w:rFonts w:ascii="Arial" w:cs="Arial" w:eastAsia="Arial" w:hAnsi="Arial"/>
          <w:sz w:val="21"/>
          <w:szCs w:val="21"/>
          <w:color w:val="auto"/>
        </w:rPr>
      </w:pPr>
    </w:p>
    <w:p>
      <w:pPr>
        <w:ind w:left="640" w:right="40" w:hanging="320"/>
        <w:spacing w:after="0" w:line="259" w:lineRule="auto"/>
        <w:tabs>
          <w:tab w:leader="none" w:pos="635" w:val="left"/>
        </w:tabs>
        <w:numPr>
          <w:ilvl w:val="0"/>
          <w:numId w:val="31"/>
        </w:numPr>
        <w:rPr>
          <w:rFonts w:ascii="Arial" w:cs="Arial" w:eastAsia="Arial" w:hAnsi="Arial"/>
          <w:sz w:val="21"/>
          <w:szCs w:val="21"/>
          <w:color w:val="auto"/>
        </w:rPr>
      </w:pPr>
      <w:r>
        <w:rPr>
          <w:rFonts w:ascii="Arial" w:cs="Arial" w:eastAsia="Arial" w:hAnsi="Arial"/>
          <w:sz w:val="17"/>
          <w:szCs w:val="17"/>
          <w:color w:val="auto"/>
        </w:rPr>
        <w:t>we have engaged in scientific collaborations in the past, and are likely to continue to do so in the future. Such collaborators may develop adjacent or competing products to ours that are outside the scope of our patents;</w:t>
      </w:r>
    </w:p>
    <w:p>
      <w:pPr>
        <w:spacing w:after="0" w:line="94" w:lineRule="exact"/>
        <w:rPr>
          <w:rFonts w:ascii="Arial" w:cs="Arial" w:eastAsia="Arial" w:hAnsi="Arial"/>
          <w:sz w:val="21"/>
          <w:szCs w:val="21"/>
          <w:color w:val="auto"/>
        </w:rPr>
      </w:pPr>
    </w:p>
    <w:p>
      <w:pPr>
        <w:ind w:left="620" w:hanging="300"/>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we may not develop additional proprietary technologies for which we can obtain patent protection;</w:t>
      </w:r>
    </w:p>
    <w:p>
      <w:pPr>
        <w:spacing w:after="0" w:line="123" w:lineRule="exact"/>
        <w:rPr>
          <w:rFonts w:ascii="Arial" w:cs="Arial" w:eastAsia="Arial" w:hAnsi="Arial"/>
          <w:sz w:val="21"/>
          <w:szCs w:val="21"/>
          <w:color w:val="auto"/>
        </w:rPr>
      </w:pPr>
    </w:p>
    <w:p>
      <w:pPr>
        <w:ind w:left="640" w:right="460" w:hanging="320"/>
        <w:spacing w:after="0" w:line="243" w:lineRule="auto"/>
        <w:tabs>
          <w:tab w:leader="none" w:pos="635" w:val="left"/>
        </w:tabs>
        <w:numPr>
          <w:ilvl w:val="0"/>
          <w:numId w:val="31"/>
        </w:numPr>
        <w:rPr>
          <w:rFonts w:ascii="Arial" w:cs="Arial" w:eastAsia="Arial" w:hAnsi="Arial"/>
          <w:sz w:val="21"/>
          <w:szCs w:val="21"/>
          <w:color w:val="auto"/>
        </w:rPr>
      </w:pPr>
      <w:r>
        <w:rPr>
          <w:rFonts w:ascii="Arial" w:cs="Arial" w:eastAsia="Arial" w:hAnsi="Arial"/>
          <w:sz w:val="17"/>
          <w:szCs w:val="17"/>
          <w:color w:val="auto"/>
        </w:rPr>
        <w:t>it is possible that product candidates or diagnostic tests that we develop may be covered by third parties’ patents or other exclusive rights; or</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1"/>
        </w:numPr>
        <w:rPr>
          <w:rFonts w:ascii="Arial" w:cs="Arial" w:eastAsia="Arial" w:hAnsi="Arial"/>
          <w:sz w:val="21"/>
          <w:szCs w:val="21"/>
          <w:color w:val="auto"/>
        </w:rPr>
      </w:pPr>
      <w:r>
        <w:rPr>
          <w:rFonts w:ascii="Arial" w:cs="Arial" w:eastAsia="Arial" w:hAnsi="Arial"/>
          <w:sz w:val="17"/>
          <w:szCs w:val="17"/>
          <w:color w:val="auto"/>
        </w:rPr>
        <w:t>the patents of others may have an adverse effect on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License and Collaboration A</w:t>
      </w:r>
      <w:r>
        <w:rPr>
          <w:rFonts w:ascii="Arial" w:cs="Arial" w:eastAsia="Arial" w:hAnsi="Arial"/>
          <w:sz w:val="17"/>
          <w:szCs w:val="17"/>
          <w:color w:val="auto"/>
        </w:rPr>
        <w:t>g</w:t>
      </w:r>
      <w:r>
        <w:rPr>
          <w:rFonts w:ascii="Arial" w:cs="Arial" w:eastAsia="Arial" w:hAnsi="Arial"/>
          <w:sz w:val="17"/>
          <w:szCs w:val="17"/>
          <w:u w:val="single" w:color="auto"/>
          <w:color w:val="auto"/>
        </w:rPr>
        <w:t>reements</w:t>
      </w:r>
    </w:p>
    <w:p>
      <w:pPr>
        <w:spacing w:after="0" w:line="119"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We have entered into, and may enter into, license or other collaboration agreements that impose certain obligations on us. If we fail to comply with our obligations under such agreements with third parties or otherwise experience disruptions to our business relationships with our current or future licensors, we could lose rights that may be important to our business.</w:t>
      </w:r>
    </w:p>
    <w:p>
      <w:pPr>
        <w:spacing w:after="0" w:line="43"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connection with our efforts to expand our pipeline of product candidates, we have entered into and may further enter into certain licenses or other collaboration agreements in the future pertaining to the in-license of rights to additional candidates. Such agreements may impose various reporting,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 or to pursue other remedies.</w:t>
      </w:r>
    </w:p>
    <w:p>
      <w:pPr>
        <w:spacing w:after="0" w:line="63" w:lineRule="exact"/>
        <w:rPr>
          <w:sz w:val="20"/>
          <w:szCs w:val="20"/>
          <w:color w:val="auto"/>
        </w:rPr>
      </w:pPr>
    </w:p>
    <w:p>
      <w:pPr>
        <w:ind w:firstLine="393"/>
        <w:spacing w:after="0" w:line="266" w:lineRule="auto"/>
        <w:rPr>
          <w:sz w:val="20"/>
          <w:szCs w:val="20"/>
          <w:color w:val="auto"/>
        </w:rPr>
      </w:pPr>
      <w:r>
        <w:rPr>
          <w:rFonts w:ascii="Arial" w:cs="Arial" w:eastAsia="Arial" w:hAnsi="Arial"/>
          <w:sz w:val="17"/>
          <w:szCs w:val="17"/>
          <w:color w:val="auto"/>
        </w:rPr>
        <w:t>We may not be able to obtain licenses at a reasonable cost or on reasonable terms, if at all. Furthermore, if we lose intellectual property rights licensed under existing agreements or fail to obtain future licenses, we may be required to expend considerable time and resources to develop or license replacement technology. If we are unable to do so, we may be unable to develop or commercialize the affected proprietary technologies and product candidates, which could harm our business significantly. Third-party patents may exist which might be enforced against our current or future proprietary technologies and product candidates, resulting in either an injunction prohibiting our sales, or, with respect to our sales, an obligation on our part to pay royalties and/or other forms of compensation to third parties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47" w:lineRule="exact"/>
        <w:rPr>
          <w:sz w:val="20"/>
          <w:szCs w:val="20"/>
          <w:color w:val="auto"/>
        </w:rPr>
      </w:pPr>
    </w:p>
    <w:p>
      <w:pPr>
        <w:ind w:left="620" w:hanging="300"/>
        <w:spacing w:after="0"/>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the scope of rights granted under the license agreement and other interpretation-related issues;</w:t>
      </w:r>
    </w:p>
    <w:p>
      <w:pPr>
        <w:spacing w:after="0" w:line="123" w:lineRule="exact"/>
        <w:rPr>
          <w:rFonts w:ascii="Arial" w:cs="Arial" w:eastAsia="Arial" w:hAnsi="Arial"/>
          <w:sz w:val="21"/>
          <w:szCs w:val="21"/>
          <w:color w:val="auto"/>
        </w:rPr>
      </w:pPr>
    </w:p>
    <w:p>
      <w:pPr>
        <w:ind w:left="640" w:hanging="320"/>
        <w:spacing w:after="0" w:line="259"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94" w:lineRule="exact"/>
        <w:rPr>
          <w:rFonts w:ascii="Arial" w:cs="Arial" w:eastAsia="Arial" w:hAnsi="Arial"/>
          <w:sz w:val="21"/>
          <w:szCs w:val="21"/>
          <w:color w:val="auto"/>
        </w:rPr>
      </w:pPr>
    </w:p>
    <w:p>
      <w:pPr>
        <w:ind w:left="620" w:hanging="300"/>
        <w:spacing w:after="0"/>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the sublicensing of patent and other rights under our collaborative development relationships;</w:t>
      </w:r>
    </w:p>
    <w:p>
      <w:pPr>
        <w:spacing w:after="0" w:line="112" w:lineRule="exact"/>
        <w:rPr>
          <w:rFonts w:ascii="Arial" w:cs="Arial" w:eastAsia="Arial" w:hAnsi="Arial"/>
          <w:sz w:val="21"/>
          <w:szCs w:val="21"/>
          <w:color w:val="auto"/>
        </w:rPr>
      </w:pPr>
    </w:p>
    <w:p>
      <w:pPr>
        <w:ind w:left="620" w:hanging="300"/>
        <w:spacing w:after="0"/>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23" w:lineRule="exact"/>
        <w:rPr>
          <w:rFonts w:ascii="Arial" w:cs="Arial" w:eastAsia="Arial" w:hAnsi="Arial"/>
          <w:sz w:val="21"/>
          <w:szCs w:val="21"/>
          <w:color w:val="auto"/>
        </w:rPr>
      </w:pPr>
    </w:p>
    <w:p>
      <w:pPr>
        <w:ind w:left="640" w:right="680" w:hanging="320"/>
        <w:spacing w:after="0" w:line="243"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110" w:lineRule="exact"/>
        <w:rPr>
          <w:rFonts w:ascii="Arial" w:cs="Arial" w:eastAsia="Arial" w:hAnsi="Arial"/>
          <w:sz w:val="21"/>
          <w:szCs w:val="21"/>
          <w:color w:val="auto"/>
        </w:rPr>
      </w:pPr>
    </w:p>
    <w:p>
      <w:pPr>
        <w:ind w:left="620" w:hanging="300"/>
        <w:spacing w:after="0"/>
        <w:tabs>
          <w:tab w:leader="none" w:pos="620" w:val="left"/>
        </w:tabs>
        <w:numPr>
          <w:ilvl w:val="0"/>
          <w:numId w:val="32"/>
        </w:numPr>
        <w:rPr>
          <w:rFonts w:ascii="Arial" w:cs="Arial" w:eastAsia="Arial" w:hAnsi="Arial"/>
          <w:sz w:val="21"/>
          <w:szCs w:val="21"/>
          <w:color w:val="auto"/>
        </w:rPr>
      </w:pPr>
      <w:r>
        <w:rPr>
          <w:rFonts w:ascii="Arial" w:cs="Arial" w:eastAsia="Arial" w:hAnsi="Arial"/>
          <w:sz w:val="17"/>
          <w:szCs w:val="17"/>
          <w:color w:val="auto"/>
        </w:rPr>
        <w:t>the priority of invention of patented technology.</w:t>
      </w:r>
    </w:p>
    <w:p>
      <w:pPr>
        <w:spacing w:after="0" w:line="85"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could increase what we believe to be our financial or other obligations under the relevant agreement, either of which could have a material adverse effect on our</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61"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If any of our current or future licensors fail to obtain and maintain patent or other protection for the proprietary intellectual property we license from them, we could lose our rights to the intellectual property, these patents and applications may not be prosecuted and enforced in a manner consistent with the best interests of our business and our competitors could market competing products using the intellectual property. In the event we breach any of our obligations related to such prosecution, we may incur significant liability to our licensing partners, including loss of our right to prosecute the licensed patent applications or early termination of the license by our licensor. We also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technology licensed from third parties may be subject to retained rights.</w:t>
      </w:r>
    </w:p>
    <w:p>
      <w:pPr>
        <w:spacing w:after="0" w:line="119"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Any license we may enter into could provide for the retention by the licensor of certain rights under their agreements with us, including for example,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any future licensors will limit their use of the technology to these uses, and we may incur substantial expenses to enforce our rights to our licensed technology in the event of misuse.</w:t>
      </w:r>
    </w:p>
    <w:p>
      <w:pPr>
        <w:spacing w:after="0" w:line="63" w:lineRule="exact"/>
        <w:rPr>
          <w:sz w:val="20"/>
          <w:szCs w:val="20"/>
          <w:color w:val="auto"/>
        </w:rPr>
      </w:pPr>
    </w:p>
    <w:p>
      <w:pPr>
        <w:ind w:right="120" w:firstLine="433"/>
        <w:spacing w:after="0" w:line="265" w:lineRule="auto"/>
        <w:rPr>
          <w:sz w:val="20"/>
          <w:szCs w:val="20"/>
          <w:color w:val="auto"/>
        </w:rPr>
      </w:pPr>
      <w:r>
        <w:rPr>
          <w:rFonts w:ascii="Arial" w:cs="Arial" w:eastAsia="Arial" w:hAnsi="Arial"/>
          <w:sz w:val="17"/>
          <w:szCs w:val="17"/>
          <w:color w:val="auto"/>
        </w:rPr>
        <w:t>In addition, the U.S. government retains certain rights in inventions produced with its financial assistance under the Patent and Trademark Law Amendments Act, or the Bayh-Dole Act. The U.S.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The Bayh-Dole Act also imposes other obligations, including the requirement that products covered by the government funded patents be manufactured in the United</w:t>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States. We sometimes collaborate with academic institutions to accelerate our preclinical research or development. In the future, we may own or license technology which is critical to our business that is developed in whole or in part with federal funds subject to the Bayh-Dole Act. If the federal government exercises its rights under the Bayh-Dole Act, our ability to enforce or otherwise exploit patents covering such technology may be adversely affected.</w:t>
      </w:r>
    </w:p>
    <w:p>
      <w:pPr>
        <w:spacing w:after="0" w:line="61"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b w:val="1"/>
          <w:bCs w:val="1"/>
          <w:i w:val="1"/>
          <w:iCs w:val="1"/>
          <w:color w:val="auto"/>
        </w:rPr>
        <w:t>We may rely on trade secrets and proprietary know-how, which can be difficult to trace and enforce and, if we are unable to protect the confidentiality of our trade secrets and proprietary know-how, our business and competitive position would be harmed.</w:t>
      </w:r>
    </w:p>
    <w:p>
      <w:pPr>
        <w:spacing w:after="0" w:line="20"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Additionally, because we expect to rely on third parties in the development and manufacture of our product candidates, we must, at times, share trade secrets with them.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0"/>
        <w:spacing w:after="0" w:line="300" w:lineRule="auto"/>
        <w:rPr>
          <w:sz w:val="20"/>
          <w:szCs w:val="20"/>
          <w:color w:val="auto"/>
        </w:rPr>
      </w:pPr>
      <w:r>
        <w:rPr>
          <w:rFonts w:ascii="Arial" w:cs="Arial" w:eastAsia="Arial" w:hAnsi="Arial"/>
          <w:sz w:val="17"/>
          <w:szCs w:val="17"/>
          <w:color w:val="auto"/>
        </w:rPr>
        <w:t>cybersecurity breach) of our trade secrets or proprietary information could enable competitors to duplicate or surpass our technological achievements.</w:t>
      </w:r>
    </w:p>
    <w:p>
      <w:pPr>
        <w:spacing w:after="0" w:line="36"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61"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Potential Third-Party Claims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19" w:lineRule="exact"/>
        <w:rPr>
          <w:sz w:val="20"/>
          <w:szCs w:val="20"/>
          <w:color w:val="auto"/>
        </w:rPr>
      </w:pPr>
    </w:p>
    <w:p>
      <w:pPr>
        <w:ind w:right="200" w:firstLine="433"/>
        <w:spacing w:after="0" w:line="273"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3"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We also may be subject to, or threatened with, other third-party claims relating to alleged infringement of intellectual property or other proprietary rights, including breach of nondisclosure, nonuse, noncompetition and non-solicitation provisions, intellectual property assignment and ownership, and misuse or misappropriation of intellectual property, trade secrets and other confidential information, among others. If a court of competent jurisdiction finds us liable for any such claims, we may be prohibited from using certain intellectual property, trade secrets and confidential information, effectively blocking our ability to seek patent protection for our inventions and slowing or halting the progress of our clinical development and commercialization efforts.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59" w:lineRule="exact"/>
        <w:rPr>
          <w:sz w:val="20"/>
          <w:szCs w:val="20"/>
          <w:color w:val="auto"/>
        </w:rPr>
      </w:pPr>
    </w:p>
    <w:p>
      <w:pPr>
        <w:ind w:left="640" w:right="40" w:hanging="320"/>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121" w:lineRule="exact"/>
        <w:rPr>
          <w:rFonts w:ascii="Arial" w:cs="Arial" w:eastAsia="Arial" w:hAnsi="Arial"/>
          <w:sz w:val="21"/>
          <w:szCs w:val="21"/>
          <w:color w:val="auto"/>
        </w:rPr>
      </w:pPr>
    </w:p>
    <w:p>
      <w:pPr>
        <w:ind w:left="640" w:right="200" w:hanging="320"/>
        <w:spacing w:after="0" w:line="256"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112" w:lineRule="exact"/>
        <w:rPr>
          <w:rFonts w:ascii="Arial" w:cs="Arial" w:eastAsia="Arial" w:hAnsi="Arial"/>
          <w:sz w:val="21"/>
          <w:szCs w:val="21"/>
          <w:color w:val="auto"/>
        </w:rPr>
      </w:pPr>
    </w:p>
    <w:p>
      <w:pPr>
        <w:ind w:left="640" w:right="720" w:hanging="320"/>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21" w:lineRule="exact"/>
        <w:rPr>
          <w:rFonts w:ascii="Arial" w:cs="Arial" w:eastAsia="Arial" w:hAnsi="Arial"/>
          <w:sz w:val="21"/>
          <w:szCs w:val="21"/>
          <w:color w:val="auto"/>
        </w:rPr>
      </w:pPr>
    </w:p>
    <w:p>
      <w:pPr>
        <w:ind w:left="640" w:right="140" w:hanging="320"/>
        <w:spacing w:after="0" w:line="243"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available may be non-exclusive, which could result in our competitors gaining access to the same intellectual property; and</w:t>
      </w:r>
    </w:p>
    <w:p>
      <w:pPr>
        <w:spacing w:after="0" w:line="159" w:lineRule="exact"/>
        <w:rPr>
          <w:sz w:val="20"/>
          <w:szCs w:val="20"/>
          <w:color w:val="auto"/>
        </w:rPr>
      </w:pPr>
    </w:p>
    <w:p>
      <w:pPr>
        <w:ind w:left="640" w:right="500" w:hanging="320"/>
        <w:spacing w:after="0" w:line="243" w:lineRule="auto"/>
        <w:tabs>
          <w:tab w:leader="none" w:pos="635" w:val="left"/>
        </w:tabs>
        <w:numPr>
          <w:ilvl w:val="0"/>
          <w:numId w:val="34"/>
        </w:numPr>
        <w:rPr>
          <w:rFonts w:ascii="Arial" w:cs="Arial" w:eastAsia="Arial" w:hAnsi="Arial"/>
          <w:sz w:val="21"/>
          <w:szCs w:val="21"/>
          <w:color w:val="auto"/>
        </w:rPr>
      </w:pPr>
      <w:r>
        <w:rPr>
          <w:rFonts w:ascii="Arial" w:cs="Arial" w:eastAsia="Arial" w:hAnsi="Arial"/>
          <w:sz w:val="17"/>
          <w:szCs w:val="17"/>
          <w:color w:val="auto"/>
        </w:rPr>
        <w:t>redesigning our product candidates or processes so that they do not infringe, which may not be possible or may require substantial monetary expenditures and time.</w:t>
      </w:r>
    </w:p>
    <w:p>
      <w:pPr>
        <w:spacing w:after="0" w:line="82" w:lineRule="exact"/>
        <w:rPr>
          <w:sz w:val="20"/>
          <w:szCs w:val="20"/>
          <w:color w:val="auto"/>
        </w:rPr>
      </w:pPr>
    </w:p>
    <w:p>
      <w:pPr>
        <w:ind w:right="160" w:firstLine="433"/>
        <w:spacing w:after="0" w:line="266"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64"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If we are found to infringe a third-party’s intellectual property rights, we could be forced, including by court order, to cease developing, manufacturing or commercializing the infringing technologies, product candidates or products. Alternatively, we may be required to obtain a license from such third-party in order to use the infringing technology and continue developing, manufacturing or marketing the infringing technologies, product candidates or products. However, we may not be able to obtain any required license on commercially reasonable terms or at all. Even if we were able to obtain a license, it could be non-exclusive, thereby giving our competitors access to the same technologies licensed to us. A finding of infringement could prevent us from commercializing our technologies, product candidates or products or force us to cease some of our business operations, and could divert the time and attention of our technical personnel and management, cause development delays, and/or require us to develop non-infringing technology, which may not be possible on a cost-effective basis, any of which could materially harm our business. In the event of a successful claim of infringement against us, we may have to pay substantial monetary damages, including treble damages and attorneys’ fees for willful infringement, pay royalties and other fees, redesign our infringing drug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72"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or otherwise arising from the collaboration.</w:t>
      </w:r>
    </w:p>
    <w:p>
      <w:pPr>
        <w:spacing w:after="0" w:line="20"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We collaborate with various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in cases where written agreements either do or do not exist, we may be limited in our ability to capitalize on the market potential of these inventions or developments.</w:t>
      </w:r>
    </w:p>
    <w:p>
      <w:pPr>
        <w:spacing w:after="0" w:line="68"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Additionally, our licensors may have relied on third-party consultants or collaborators or on funds from third parties, such as the U.S. government, such that our licensors are not the sole and exclusive owners of the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claims challenging the inventorship or ownership of our patents and other intellectual property.</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We may be subject to claims that employees, former employees or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or not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or portion of</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55"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In addition, while we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competitive position, business, financial conditions, results of operations, and prospects.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19"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There may be third-party patents of which we are currently unaware with claims to compounds, compositions of matter, materials, formulations, methods of manufacture or methods of use that encompass the composition, use or manufacture of our product candidates. There may be currently pending patent applications of which we are currently unaware which may later result in issued patents that our product candidates or their use or manufacture may infringe. It is also possible that patents owned by third parties of which we are aware, but which we do not believe are relevant to our product candidates and other proprietary technologies we may develop, could be found to be infringed by our product candidates.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8"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3" w:lineRule="exact"/>
        <w:rPr>
          <w:sz w:val="20"/>
          <w:szCs w:val="20"/>
          <w:color w:val="auto"/>
        </w:rPr>
      </w:pPr>
    </w:p>
    <w:p>
      <w:pPr>
        <w:ind w:right="1120"/>
        <w:spacing w:after="0" w:line="31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or misappropriated trade secrets.</w:t>
      </w:r>
    </w:p>
    <w:p>
      <w:pPr>
        <w:spacing w:after="0" w:line="20"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A court could also prohibit us from using technologies or features that are essential to our product candidates, if such technologies or features are found to incorporate or be derived from the trade secrets or other proprietary information of the former employers. Even if we are successful in defending against such claims, litigation or other legal proceedings relating to intellectual property claims may cause us to incur significant expenses and could distract our technical and</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19" w:lineRule="exact"/>
        <w:rPr>
          <w:sz w:val="20"/>
          <w:szCs w:val="20"/>
          <w:color w:val="auto"/>
        </w:rPr>
      </w:pPr>
    </w:p>
    <w:p>
      <w:pPr>
        <w:ind w:right="340" w:firstLine="433"/>
        <w:spacing w:after="0" w:line="300"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36"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compounds, compositions, formulations,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compounds, compositions formulations, methods of use or processes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83"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68" w:lineRule="exact"/>
        <w:rPr>
          <w:sz w:val="20"/>
          <w:szCs w:val="20"/>
          <w:color w:val="auto"/>
        </w:rPr>
      </w:pPr>
    </w:p>
    <w:p>
      <w:pPr>
        <w:ind w:right="80" w:firstLine="433"/>
        <w:spacing w:after="0" w:line="266"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different or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64" w:lineRule="exact"/>
        <w:rPr>
          <w:sz w:val="20"/>
          <w:szCs w:val="20"/>
          <w:color w:val="auto"/>
        </w:rPr>
      </w:pPr>
    </w:p>
    <w:p>
      <w:pPr>
        <w:ind w:right="40"/>
        <w:spacing w:after="0" w:line="31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other intellectual property, or the patents or intellectual property of our licensors, which could be expensive, time-consuming and unsuccessful.</w:t>
      </w:r>
    </w:p>
    <w:p>
      <w:pPr>
        <w:spacing w:after="0" w:line="20"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Competitors or other third parties may infringe our patents, trademarks, copyrights or other intellectual property, or the intellectual property of our current or future licensors. To counter infringement or unauthorized use, we may be required to file infringement claims, which can be expensive and time-consuming and divert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addition, in any infringement proceeding, a court may decide that one or more of our patents is not valid or is unenforceable, in whole or in part, and that we do not have the right to stop the other party from using the technology at issue on the grounds that our patents do not cover the technology in question or for other reasons. An adverse result in any litigation or defense proceedings could put one or more of our patents at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55"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 xml:space="preserve">We may choose to challenge the patentability of claims in a third-party’s U.S. patent by requesting that the USPTO review the patent claims in an </w:t>
      </w:r>
      <w:r>
        <w:rPr>
          <w:rFonts w:ascii="Arial" w:cs="Arial" w:eastAsia="Arial" w:hAnsi="Arial"/>
          <w:sz w:val="17"/>
          <w:szCs w:val="17"/>
          <w:i w:val="1"/>
          <w:iCs w:val="1"/>
          <w:color w:val="auto"/>
        </w:rPr>
        <w:t>ex-parte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64" w:lineRule="exact"/>
        <w:rPr>
          <w:sz w:val="20"/>
          <w:szCs w:val="20"/>
          <w:color w:val="auto"/>
        </w:rPr>
      </w:pPr>
    </w:p>
    <w:p>
      <w:pPr>
        <w:ind w:right="40" w:firstLine="433"/>
        <w:spacing w:after="0" w:line="261"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or, in some cases, not at all,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6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70" w:lineRule="exact"/>
        <w:rPr>
          <w:sz w:val="20"/>
          <w:szCs w:val="20"/>
          <w:color w:val="auto"/>
        </w:rPr>
      </w:pPr>
    </w:p>
    <w:p>
      <w:pPr>
        <w:ind w:right="80" w:firstLine="433"/>
        <w:spacing w:after="0" w:line="263"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we may not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70" w:lineRule="exact"/>
        <w:rPr>
          <w:sz w:val="20"/>
          <w:szCs w:val="20"/>
          <w:color w:val="auto"/>
        </w:rPr>
      </w:pPr>
    </w:p>
    <w:p>
      <w:pPr>
        <w:ind w:right="240" w:firstLine="433"/>
        <w:spacing w:after="0" w:line="271"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Patent Laws and Protection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right="80"/>
        <w:spacing w:after="0" w:line="283"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Periodic maintenance fees, renewal fees, annuities fees and various other governmental fees on any issued patent and/or patent application are due to be paid to the USPTO and foreign patent agencies in several stages over the lifetime of the patent and/or patent application.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patents, if issued, covering our product candidates could be found invalid or unenforceable if challenged in court or the USPTO.</w:t>
      </w:r>
    </w:p>
    <w:p>
      <w:pPr>
        <w:spacing w:after="0" w:line="119"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patent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business, financial conditions,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2"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 xml:space="preserve">Third parties may also raise similar claims before administrative bodies in the United States or abroad, even outside the context of litigation. Such mechanisms include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280"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Likewise, our current licensed or owned patents are expected to expire between 2029 and 2043,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financial condition and prospects. Our current licensed or owned pending patent applications covering our proprietary technologies or our product candidates that if issued as patents are expected to expire from 2029 through 2043, without taking into account any possible patent term adjustments or extensions. However, we cannot be assured that the USPTO or relevant foreign patent offices will grant any of these patent applications not already granted or that a court will uphold any patents already issued.</w:t>
      </w:r>
    </w:p>
    <w:p>
      <w:pPr>
        <w:spacing w:after="0" w:line="61"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i w:val="1"/>
          <w:iCs w:val="1"/>
          <w:color w:val="auto"/>
        </w:rPr>
        <w:t>Changes in patent law in the United States and in foreign jurisdictions could diminish the value of patents in general, thereby impairing our ability to protect our products.</w:t>
      </w:r>
    </w:p>
    <w:p>
      <w:pPr>
        <w:spacing w:after="0" w:line="20"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Our success is heavily dependent on intellectual property, particularly patents. Obtaining and enforcing patents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72"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inter-parties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27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64" w:lineRule="exact"/>
        <w:rPr>
          <w:sz w:val="20"/>
          <w:szCs w:val="20"/>
          <w:color w:val="auto"/>
        </w:rPr>
      </w:pPr>
    </w:p>
    <w:p>
      <w:pPr>
        <w:ind w:firstLine="393"/>
        <w:spacing w:after="0" w:line="250" w:lineRule="auto"/>
        <w:rPr>
          <w:sz w:val="20"/>
          <w:szCs w:val="20"/>
          <w:color w:val="auto"/>
        </w:rPr>
      </w:pPr>
      <w:r>
        <w:rPr>
          <w:rFonts w:ascii="Arial" w:cs="Arial" w:eastAsia="Arial" w:hAnsi="Arial"/>
          <w:sz w:val="17"/>
          <w:szCs w:val="17"/>
          <w:color w:val="auto"/>
        </w:rPr>
        <w:t>Further, on June 1, 2023, the European Union Patent Package, or the EU Patent Package, regulations were implemented with the goal of providing a single pan-European Unitary Patent and a new European Unified Patent Court, or UPC, for litigation involving European patents.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 but doing so may preclude us from realizing the benefits of the UPC. Moreover, if we do not meet all of the formalities and requirements for opt-out under the UPC, our future European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19" w:lineRule="exact"/>
        <w:rPr>
          <w:sz w:val="20"/>
          <w:szCs w:val="20"/>
          <w:color w:val="auto"/>
        </w:rPr>
      </w:pPr>
    </w:p>
    <w:p>
      <w:pPr>
        <w:ind w:right="60" w:firstLine="433"/>
        <w:spacing w:after="0" w:line="262"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3"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w:t>
      </w:r>
    </w:p>
    <w:p>
      <w:pPr>
        <w:spacing w:after="0" w:line="63" w:lineRule="exact"/>
        <w:rPr>
          <w:sz w:val="20"/>
          <w:szCs w:val="20"/>
          <w:color w:val="auto"/>
        </w:rPr>
      </w:pPr>
    </w:p>
    <w:p>
      <w:pPr>
        <w:ind w:right="180" w:firstLine="433"/>
        <w:spacing w:after="0" w:line="264" w:lineRule="auto"/>
        <w:rPr>
          <w:sz w:val="20"/>
          <w:szCs w:val="20"/>
          <w:color w:val="auto"/>
        </w:rPr>
      </w:pPr>
      <w:r>
        <w:rPr>
          <w:rFonts w:ascii="Arial" w:cs="Arial" w:eastAsia="Arial" w:hAnsi="Arial"/>
          <w:sz w:val="17"/>
          <w:szCs w:val="17"/>
          <w:color w:val="auto"/>
        </w:rPr>
        <w:t>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5" w:lineRule="exact"/>
        <w:rPr>
          <w:sz w:val="20"/>
          <w:szCs w:val="20"/>
          <w:color w:val="auto"/>
        </w:rPr>
      </w:pPr>
    </w:p>
    <w:p>
      <w:pPr>
        <w:ind w:right="20" w:firstLine="433"/>
        <w:spacing w:after="0" w:line="244" w:lineRule="auto"/>
        <w:rPr>
          <w:sz w:val="20"/>
          <w:szCs w:val="20"/>
          <w:color w:val="auto"/>
        </w:rPr>
      </w:pPr>
      <w:r>
        <w:rPr>
          <w:rFonts w:ascii="Arial" w:cs="Arial" w:eastAsia="Arial" w:hAnsi="Arial"/>
          <w:sz w:val="17"/>
          <w:szCs w:val="17"/>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w:t>
      </w:r>
    </w:p>
    <w:p>
      <w:pPr>
        <w:spacing w:after="0" w:line="4"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business. In addition, a decree was adopted by the Russian government in March 2022, allowing Russian companies and individuals to exploit inventions owned by patentees from the United States without consent or compensation. Consequently, we would not be able to prevent third</w:t>
      </w:r>
    </w:p>
    <w:p>
      <w:pPr>
        <w:spacing w:after="0" w:line="1"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color w:val="auto"/>
        </w:rPr>
        <w:t>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technologies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8" w:lineRule="exact"/>
        <w:rPr>
          <w:sz w:val="20"/>
          <w:szCs w:val="20"/>
          <w:color w:val="auto"/>
        </w:rPr>
      </w:pPr>
    </w:p>
    <w:p>
      <w:pPr>
        <w:ind w:right="600"/>
        <w:spacing w:after="0" w:line="31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the period during which we will have the right to exclusively market our product will be shortened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w:t>
      </w:r>
    </w:p>
    <w:p>
      <w:pPr>
        <w:spacing w:after="0" w:line="72" w:lineRule="exact"/>
        <w:rPr>
          <w:sz w:val="20"/>
          <w:szCs w:val="20"/>
          <w:color w:val="auto"/>
        </w:rPr>
      </w:pPr>
    </w:p>
    <w:p>
      <w:pPr>
        <w:ind w:right="140"/>
        <w:spacing w:after="0" w:line="31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0"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Our current or future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of our applications by the USPTO or in other foreign jurisdictions.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that may be costly and time-consuming,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tradenames.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 Parties Generally</w:t>
      </w:r>
    </w:p>
    <w:p>
      <w:pPr>
        <w:spacing w:after="0" w:line="119"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We rely on third parties to assist in conducting our preclinical studies and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43"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We have relied upon and plan to continue to rely on third parties, such as laboratories, CROs, clinical data management organizations, medical institutions and clinical investigators, to conduct our preclinical studies and clinical trials and expect to rely on these third parties to conduct preclinical studies and clinical trials of any other product candidate that we develop. Any of these third parties may terminate their engagements with us under certain circumstances. We may not be able to enter into alternative arrangements or do so on commercially reasonable terms. Moreover, delays may occur, which could negatively impact our ability to meet our expected clinical development timelines and harm our business, financial condition and prospects.</w:t>
      </w:r>
    </w:p>
    <w:p>
      <w:pPr>
        <w:spacing w:after="0" w:line="64"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Although our reliance on these third parties for preclinical and clinical development activities limits our control over these activities, we remain responsible for ensuring that each of our preclinical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79" w:lineRule="exact"/>
        <w:rPr>
          <w:sz w:val="20"/>
          <w:szCs w:val="20"/>
          <w:color w:val="auto"/>
        </w:rPr>
      </w:pPr>
    </w:p>
    <w:p>
      <w:pPr>
        <w:ind w:right="160" w:firstLine="433"/>
        <w:spacing w:after="0" w:line="264" w:lineRule="auto"/>
        <w:rPr>
          <w:sz w:val="20"/>
          <w:szCs w:val="20"/>
          <w:color w:val="auto"/>
        </w:rPr>
      </w:pPr>
      <w:r>
        <w:rPr>
          <w:rFonts w:ascii="Arial" w:cs="Arial" w:eastAsia="Arial" w:hAnsi="Arial"/>
          <w:sz w:val="17"/>
          <w:szCs w:val="17"/>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preclinical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68" w:lineRule="exact"/>
        <w:rPr>
          <w:sz w:val="20"/>
          <w:szCs w:val="20"/>
          <w:color w:val="auto"/>
        </w:rPr>
      </w:pPr>
    </w:p>
    <w:p>
      <w:pPr>
        <w:ind w:right="380" w:firstLine="433"/>
        <w:spacing w:after="0" w:line="278" w:lineRule="auto"/>
        <w:rPr>
          <w:sz w:val="20"/>
          <w:szCs w:val="20"/>
          <w:color w:val="auto"/>
        </w:rPr>
      </w:pPr>
      <w:r>
        <w:rPr>
          <w:rFonts w:ascii="Arial" w:cs="Arial" w:eastAsia="Arial" w:hAnsi="Arial"/>
          <w:sz w:val="17"/>
          <w:szCs w:val="17"/>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Manufacturers</w:t>
      </w:r>
    </w:p>
    <w:p>
      <w:pPr>
        <w:spacing w:after="0" w:line="119"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43" w:lineRule="exact"/>
        <w:rPr>
          <w:sz w:val="20"/>
          <w:szCs w:val="20"/>
          <w:color w:val="auto"/>
        </w:rPr>
      </w:pPr>
    </w:p>
    <w:p>
      <w:pPr>
        <w:ind w:firstLine="393"/>
        <w:spacing w:after="0" w:line="266" w:lineRule="auto"/>
        <w:rPr>
          <w:sz w:val="20"/>
          <w:szCs w:val="20"/>
          <w:color w:val="auto"/>
        </w:rPr>
      </w:pPr>
      <w:r>
        <w:rPr>
          <w:rFonts w:ascii="Arial" w:cs="Arial" w:eastAsia="Arial" w:hAnsi="Arial"/>
          <w:sz w:val="17"/>
          <w:szCs w:val="17"/>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64" w:lineRule="exact"/>
        <w:rPr>
          <w:sz w:val="20"/>
          <w:szCs w:val="20"/>
          <w:color w:val="auto"/>
        </w:rPr>
      </w:pPr>
    </w:p>
    <w:p>
      <w:pPr>
        <w:ind w:right="160" w:firstLine="393"/>
        <w:spacing w:after="0" w:line="271" w:lineRule="auto"/>
        <w:rPr>
          <w:sz w:val="20"/>
          <w:szCs w:val="20"/>
          <w:color w:val="auto"/>
        </w:rPr>
      </w:pPr>
      <w:r>
        <w:rPr>
          <w:rFonts w:ascii="Arial" w:cs="Arial" w:eastAsia="Arial" w:hAnsi="Arial"/>
          <w:sz w:val="17"/>
          <w:szCs w:val="17"/>
          <w:color w:val="auto"/>
        </w:rPr>
        <w:t>We expect to continue to rely on third -party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61" w:lineRule="exact"/>
        <w:rPr>
          <w:sz w:val="20"/>
          <w:szCs w:val="20"/>
          <w:color w:val="auto"/>
        </w:rPr>
      </w:pPr>
    </w:p>
    <w:p>
      <w:pPr>
        <w:ind w:left="640" w:right="360" w:hanging="320"/>
        <w:spacing w:after="0" w:line="278"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termination or nonrenewal of arrangements or agreements by our third-party contractors at a time that is costly or inconvenient for us;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breach by the third-party contractors of our agreements with them;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failure of third-party contractors to comply with applicable regulatory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failure of the third party to manufacture our product candidates according to our specifications;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0" w:right="340" w:hanging="320"/>
        <w:spacing w:after="0" w:line="300"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mislabeling of clinical supplies, potentially resulting in the wrong dose amounts being supplied or study drug or placebo not being properly identified;</w:t>
      </w:r>
    </w:p>
    <w:p>
      <w:pPr>
        <w:spacing w:after="0" w:line="35"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clinical supplies not being delivered to clinical sites on time and at expected cost due to inflationary impacts, leading to clinical trial interruptions, or of drug supplies not being distributed to commercial vendors in a timely manner, resulting in lost sales;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misappropriation of our proprietary information, including our trade secrets and know-how.</w:t>
      </w:r>
    </w:p>
    <w:p>
      <w:pPr>
        <w:spacing w:after="0" w:line="119"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We do not have complete control over all aspects of the manufacturing process of, and are dependent on, our contract manufacturing partners for compliance with cGMP or similar regulations for manufacturing both active drug substances and finished drug products. Third-party manufacturers may not be able to comply with cGMP or similar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36"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43"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 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Third-Party Suppliers</w:t>
      </w:r>
    </w:p>
    <w:p>
      <w:pPr>
        <w:spacing w:after="0" w:line="119" w:lineRule="exact"/>
        <w:rPr>
          <w:sz w:val="20"/>
          <w:szCs w:val="20"/>
          <w:color w:val="auto"/>
        </w:rPr>
      </w:pPr>
    </w:p>
    <w:p>
      <w:pPr>
        <w:jc w:val="both"/>
        <w:ind w:right="80"/>
        <w:spacing w:after="0" w:line="310" w:lineRule="auto"/>
        <w:rPr>
          <w:sz w:val="20"/>
          <w:szCs w:val="20"/>
          <w:color w:val="auto"/>
        </w:rPr>
      </w:pPr>
      <w:r>
        <w:rPr>
          <w:rFonts w:ascii="Arial" w:cs="Arial" w:eastAsia="Arial" w:hAnsi="Arial"/>
          <w:sz w:val="17"/>
          <w:szCs w:val="17"/>
          <w:b w:val="1"/>
          <w:bCs w:val="1"/>
          <w:i w:val="1"/>
          <w:iCs w:val="1"/>
          <w:color w:val="auto"/>
        </w:rPr>
        <w:t>We depend on third-party suppliers for key raw materials used in our manufacturing processes, some of which are our sole source of supply, and the loss of these third-party suppliers or their inability to supply us with adequate raw materials could harm our business.</w:t>
      </w:r>
    </w:p>
    <w:p>
      <w:pPr>
        <w:spacing w:after="0" w:line="20"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Any significant delay in the supply of a product candidate or the raw material components thereof for an ongoing clinical trial due to a manufacturer’s need to replace a third-party supplier of raw materials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the commercial launch of our product candidates would be delayed or there would be a shortage in supply, which would impair our ability to generate revenues from the sale of our product candidates.</w:t>
      </w:r>
    </w:p>
    <w:p>
      <w:pPr>
        <w:spacing w:after="0" w:line="70" w:lineRule="exact"/>
        <w:rPr>
          <w:sz w:val="20"/>
          <w:szCs w:val="20"/>
          <w:color w:val="auto"/>
        </w:rPr>
      </w:pPr>
    </w:p>
    <w:p>
      <w:pPr>
        <w:ind w:right="220" w:firstLine="433"/>
        <w:spacing w:after="0" w:line="271" w:lineRule="auto"/>
        <w:rPr>
          <w:sz w:val="20"/>
          <w:szCs w:val="20"/>
          <w:color w:val="auto"/>
        </w:rPr>
      </w:pPr>
      <w:r>
        <w:rPr>
          <w:rFonts w:ascii="Arial" w:cs="Arial" w:eastAsia="Arial" w:hAnsi="Arial"/>
          <w:sz w:val="17"/>
          <w:szCs w:val="17"/>
          <w:color w:val="auto"/>
        </w:rPr>
        <w:t>Furthermore, for those third-party suppliers who may be our sole source of supply of certain materials, we may not have arrangements in place for a redundant or second-source supply of any such materials in the event any of our current suppliers cease their operations for any reason. Establishing additional or replacement suppliers for the raw materials used in our product candidates, if required, may not be accomplished quickly. If we are able to find a</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replacement supplier, such replacement supplier would need to be qualified and may require additional regulatory inspection or approval, which could result in further delay.</w:t>
      </w:r>
    </w:p>
    <w:p>
      <w:pPr>
        <w:spacing w:after="0" w:line="36"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43"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We have, and may seek in the future, third-party collaborators for the research, development and commercialization of certain of the product candidates we may develop. For example, we have a collaboration with Ionis Pharmaceuticals, Inc. to further our development of product candidates and to enhance our research efforts directed to developing a product candidate for the treatment of epilepsy. Our likely collaborators for any other collaboration arrangements include large and mid-size pharmaceutical companies, regional and national pharmaceutical companies, biotechnology companies and academic institutions, such as The Florey Institute of Neuroscience.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Collaborations involving our research programs, or any product candidates we may develop, pose the following risks to us:</w:t>
      </w:r>
    </w:p>
    <w:p>
      <w:pPr>
        <w:spacing w:after="0" w:line="119" w:lineRule="exact"/>
        <w:rPr>
          <w:sz w:val="20"/>
          <w:szCs w:val="20"/>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19" w:lineRule="exact"/>
        <w:rPr>
          <w:rFonts w:ascii="Arial" w:cs="Arial" w:eastAsia="Arial" w:hAnsi="Arial"/>
          <w:sz w:val="17"/>
          <w:szCs w:val="17"/>
          <w:color w:val="auto"/>
        </w:rPr>
      </w:pPr>
    </w:p>
    <w:p>
      <w:pPr>
        <w:ind w:left="640" w:right="340" w:hanging="320"/>
        <w:spacing w:after="0" w:line="271"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61" w:lineRule="exact"/>
        <w:rPr>
          <w:rFonts w:ascii="Arial" w:cs="Arial" w:eastAsia="Arial" w:hAnsi="Arial"/>
          <w:sz w:val="17"/>
          <w:szCs w:val="17"/>
          <w:color w:val="auto"/>
        </w:rPr>
      </w:pPr>
    </w:p>
    <w:p>
      <w:pPr>
        <w:ind w:left="640" w:right="480" w:hanging="320"/>
        <w:spacing w:after="0" w:line="278"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55"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need the cooperation of our collaborators to enforce or defend any intellectual property we contribute to or that arises out of our collaborations, which may not be provided to us;</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control certain interactions with regulatory authorities, which may impact our ability to obtain and maintain regulatory approval of our products candidates;</w:t>
      </w:r>
    </w:p>
    <w:p>
      <w:pPr>
        <w:spacing w:after="0" w:line="35" w:lineRule="exact"/>
        <w:rPr>
          <w:rFonts w:ascii="Arial" w:cs="Arial" w:eastAsia="Arial" w:hAnsi="Arial"/>
          <w:sz w:val="17"/>
          <w:szCs w:val="17"/>
          <w:color w:val="auto"/>
        </w:rPr>
      </w:pPr>
    </w:p>
    <w:p>
      <w:pPr>
        <w:ind w:left="640" w:right="60" w:hanging="320"/>
        <w:spacing w:after="0" w:line="278"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55" w:lineRule="exact"/>
        <w:rPr>
          <w:rFonts w:ascii="Arial" w:cs="Arial" w:eastAsia="Arial" w:hAnsi="Arial"/>
          <w:sz w:val="17"/>
          <w:szCs w:val="17"/>
          <w:color w:val="auto"/>
        </w:rPr>
      </w:pPr>
    </w:p>
    <w:p>
      <w:pPr>
        <w:ind w:left="640" w:right="280" w:hanging="320"/>
        <w:spacing w:after="0" w:line="278"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5" w:lineRule="exact"/>
        <w:rPr>
          <w:rFonts w:ascii="Arial" w:cs="Arial" w:eastAsia="Arial" w:hAnsi="Arial"/>
          <w:sz w:val="17"/>
          <w:szCs w:val="17"/>
          <w:color w:val="auto"/>
        </w:rPr>
      </w:pPr>
    </w:p>
    <w:p>
      <w:pPr>
        <w:ind w:left="640" w:right="400" w:hanging="320"/>
        <w:spacing w:after="0" w:line="300"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7"/>
          <w:szCs w:val="17"/>
          <w:color w:val="auto"/>
        </w:rPr>
      </w:pPr>
    </w:p>
    <w:p>
      <w:pPr>
        <w:ind w:left="640" w:right="280" w:hanging="320"/>
        <w:spacing w:after="0" w:line="278"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restrict us from researching, developing or commercializing certain products or technologies without their involvement;</w:t>
      </w:r>
    </w:p>
    <w:p>
      <w:pPr>
        <w:spacing w:after="0" w:line="119" w:lineRule="exact"/>
        <w:rPr>
          <w:rFonts w:ascii="Arial" w:cs="Arial" w:eastAsia="Arial" w:hAnsi="Arial"/>
          <w:sz w:val="17"/>
          <w:szCs w:val="17"/>
          <w:color w:val="auto"/>
        </w:rPr>
      </w:pPr>
    </w:p>
    <w:p>
      <w:pPr>
        <w:ind w:left="640" w:right="680" w:hanging="320"/>
        <w:spacing w:after="0" w:line="300" w:lineRule="auto"/>
        <w:tabs>
          <w:tab w:leader="none" w:pos="635"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product candidates may not commit sufficient resources to the marketing and distribution of such product candidates;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35" w:lineRule="exact"/>
        <w:rPr>
          <w:rFonts w:ascii="Arial" w:cs="Arial" w:eastAsia="Arial" w:hAnsi="Arial"/>
          <w:sz w:val="17"/>
          <w:szCs w:val="17"/>
          <w:color w:val="auto"/>
        </w:rPr>
      </w:pPr>
    </w:p>
    <w:p>
      <w:pPr>
        <w:ind w:left="640" w:right="46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key personnel at our collaborators may leave, which could negatively impact our ability to productively work with our collaborators;</w:t>
      </w:r>
    </w:p>
    <w:p>
      <w:pPr>
        <w:spacing w:after="0" w:line="119" w:lineRule="exact"/>
        <w:rPr>
          <w:rFonts w:ascii="Arial" w:cs="Arial" w:eastAsia="Arial" w:hAnsi="Arial"/>
          <w:sz w:val="17"/>
          <w:szCs w:val="17"/>
          <w:color w:val="auto"/>
        </w:rPr>
      </w:pPr>
    </w:p>
    <w:p>
      <w:pPr>
        <w:ind w:left="640" w:right="56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collaborations may require us to incur short and long-term expenditures, issue securities that dilute our stockholders or disrupt our management and business;</w:t>
      </w:r>
    </w:p>
    <w:p>
      <w:pPr>
        <w:spacing w:after="0" w:line="35" w:lineRule="exact"/>
        <w:rPr>
          <w:rFonts w:ascii="Arial" w:cs="Arial" w:eastAsia="Arial" w:hAnsi="Arial"/>
          <w:sz w:val="17"/>
          <w:szCs w:val="17"/>
          <w:color w:val="auto"/>
        </w:rPr>
      </w:pPr>
    </w:p>
    <w:p>
      <w:pPr>
        <w:ind w:left="640" w:right="140" w:hanging="320"/>
        <w:spacing w:after="0" w:line="300"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our collaborators do not satisfy their obligations under our agreements with them, or if they terminate our collaborations with them, we may not be able to develop or commercialize product candidates as planned;</w:t>
      </w:r>
    </w:p>
    <w:p>
      <w:pPr>
        <w:spacing w:after="0" w:line="35" w:lineRule="exact"/>
        <w:rPr>
          <w:rFonts w:ascii="Arial" w:cs="Arial" w:eastAsia="Arial" w:hAnsi="Arial"/>
          <w:sz w:val="17"/>
          <w:szCs w:val="17"/>
          <w:color w:val="auto"/>
        </w:rPr>
      </w:pPr>
    </w:p>
    <w:p>
      <w:pPr>
        <w:jc w:val="both"/>
        <w:ind w:left="640" w:right="10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55" w:lineRule="exact"/>
        <w:rPr>
          <w:rFonts w:ascii="Arial" w:cs="Arial" w:eastAsia="Arial" w:hAnsi="Arial"/>
          <w:sz w:val="17"/>
          <w:szCs w:val="17"/>
          <w:color w:val="auto"/>
        </w:rPr>
      </w:pPr>
    </w:p>
    <w:p>
      <w:pPr>
        <w:ind w:left="640" w:right="4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55" w:lineRule="exact"/>
        <w:rPr>
          <w:rFonts w:ascii="Arial" w:cs="Arial" w:eastAsia="Arial" w:hAnsi="Arial"/>
          <w:sz w:val="17"/>
          <w:szCs w:val="17"/>
          <w:color w:val="auto"/>
        </w:rPr>
      </w:pPr>
    </w:p>
    <w:p>
      <w:pPr>
        <w:ind w:left="640" w:right="100" w:hanging="320"/>
        <w:spacing w:after="0" w:line="278" w:lineRule="auto"/>
        <w:tabs>
          <w:tab w:leader="none" w:pos="63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55"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3"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75" w:lineRule="exact"/>
        <w:rPr>
          <w:sz w:val="20"/>
          <w:szCs w:val="20"/>
          <w:color w:val="auto"/>
        </w:rPr>
      </w:pPr>
    </w:p>
    <w:p>
      <w:pPr>
        <w:ind w:right="780"/>
        <w:spacing w:after="0" w:line="310" w:lineRule="auto"/>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 or alliances.</w:t>
      </w:r>
    </w:p>
    <w:p>
      <w:pPr>
        <w:spacing w:after="0" w:line="20" w:lineRule="exact"/>
        <w:rPr>
          <w:sz w:val="20"/>
          <w:szCs w:val="20"/>
          <w:color w:val="auto"/>
        </w:rPr>
      </w:pPr>
    </w:p>
    <w:p>
      <w:pPr>
        <w:ind w:right="340" w:firstLine="433"/>
        <w:spacing w:after="0" w:line="300"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Our Business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Business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economic, political, regulatory and other risks associated with international operations.</w:t>
      </w:r>
    </w:p>
    <w:p>
      <w:pPr>
        <w:spacing w:after="0" w:line="119"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36" w:lineRule="exact"/>
        <w:rPr>
          <w:sz w:val="20"/>
          <w:szCs w:val="20"/>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non-U.S. economies and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differing and changing regulatory requirements in non-U.S. countries;</w:t>
      </w:r>
    </w:p>
    <w:p>
      <w:pPr>
        <w:spacing w:after="0" w:line="119" w:lineRule="exact"/>
        <w:rPr>
          <w:rFonts w:ascii="Arial" w:cs="Arial" w:eastAsia="Arial" w:hAnsi="Arial"/>
          <w:sz w:val="17"/>
          <w:szCs w:val="17"/>
          <w:color w:val="auto"/>
        </w:rPr>
      </w:pPr>
    </w:p>
    <w:p>
      <w:pPr>
        <w:ind w:left="640" w:right="40" w:hanging="320"/>
        <w:spacing w:after="0" w:line="266"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 including our ability to prosecute or maintain patents in Russia due to the sanctions imposed by the United States and other countries on Russia as a result of Russia’s invasion of Ukraine and our ability to enforce patents due to Russia's March 2022 decree that allows the use of inventions, utility models and industrial designs that are held by intellectual property owners from "unfriendly countries," including the United States, without the consent of or payment of any compensation to such owners;</w:t>
      </w:r>
    </w:p>
    <w:p>
      <w:pPr>
        <w:spacing w:after="0" w:line="63"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difficulties in compliance with non-U.S. laws and regulations;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non-U.S. regulations and customs, tariffs and trade barriers;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non-U.S. currency exchange rates and currency controls;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a specific country’s or region’s political or economic environment;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U.S. or non-U.S. governments;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negative consequences from changes in tax laws;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difficulties associated with staffing and managing international operations, including differing labor relations</w:t>
      </w:r>
    </w:p>
    <w:p>
      <w:pPr>
        <w:spacing w:after="0" w:line="119" w:lineRule="exact"/>
        <w:rPr>
          <w:rFonts w:ascii="Arial" w:cs="Arial" w:eastAsia="Arial" w:hAnsi="Arial"/>
          <w:sz w:val="17"/>
          <w:szCs w:val="17"/>
          <w:color w:val="auto"/>
        </w:rPr>
      </w:pPr>
    </w:p>
    <w:p>
      <w:pPr>
        <w:ind w:left="640" w:right="480" w:hanging="320"/>
        <w:spacing w:after="0" w:line="300"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potential liability under the Foreign Corrupt Practices Act, U.K. Bribery Act of 2010 or comparable foreign laws, including expanded sanctions imposed by the United States and other countries on Russia due to Russia's invasion of Ukraine;</w:t>
      </w:r>
    </w:p>
    <w:p>
      <w:pPr>
        <w:spacing w:after="0" w:line="35" w:lineRule="exact"/>
        <w:rPr>
          <w:rFonts w:ascii="Arial" w:cs="Arial" w:eastAsia="Arial" w:hAnsi="Arial"/>
          <w:sz w:val="17"/>
          <w:szCs w:val="17"/>
          <w:color w:val="auto"/>
        </w:rPr>
      </w:pPr>
    </w:p>
    <w:p>
      <w:pPr>
        <w:ind w:left="640" w:right="420" w:hanging="320"/>
        <w:spacing w:after="0" w:line="300"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such as Russia's invasion of Ukraine, natural disasters including earthquakes, typhoons, floods and fires, or health epidemics such as COVID-19; and</w:t>
      </w:r>
    </w:p>
    <w:p>
      <w:pPr>
        <w:spacing w:after="0" w:line="35"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cyberattacks, which are growing in frequency, sophistication and intensity, and are becoming increasingly difficult to detect, including an increased likelihood that Russia's invasion of Ukraine could result in more cyberattacks or cybersecurity incidents.</w:t>
      </w:r>
    </w:p>
    <w:p>
      <w:pPr>
        <w:spacing w:after="0" w:line="36"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These and other risks associated with our planned international operations may materially adversely affect our ability to attain profitable operations.</w:t>
      </w:r>
    </w:p>
    <w:p>
      <w:pPr>
        <w:spacing w:after="0" w:line="36" w:lineRule="exact"/>
        <w:rPr>
          <w:sz w:val="20"/>
          <w:szCs w:val="20"/>
          <w:color w:val="auto"/>
        </w:rPr>
      </w:pPr>
    </w:p>
    <w:p>
      <w:pPr>
        <w:ind w:right="420"/>
        <w:spacing w:after="0" w:line="310"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natural disasters, health epidemics or other business interruptions and our business continuity and disaster recovery plans may not adequately protect us from a serious disaster.</w:t>
      </w:r>
    </w:p>
    <w:p>
      <w:pPr>
        <w:spacing w:after="0" w:line="20"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7"/>
          <w:szCs w:val="17"/>
          <w:color w:val="auto"/>
        </w:rPr>
        <w:t>Natural disasters or health epidemics could severely disrupt our operations, and have a material adverse impact on our business, results of operations, financial condition, and prospects. If a natural disaster, power outage, health epidemic or other event occurred that prevented us from conducting our clinical trials, releasing clinical trial</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results or delaying our ability to obtain regulatory approval for our product candidates, it may be difficult or, in certain cases, impossible for us to continue our business for a substantial period of time.</w:t>
      </w:r>
    </w:p>
    <w:p>
      <w:pPr>
        <w:spacing w:after="0" w:line="36" w:lineRule="exact"/>
        <w:rPr>
          <w:sz w:val="20"/>
          <w:szCs w:val="20"/>
          <w:color w:val="auto"/>
        </w:rPr>
      </w:pPr>
    </w:p>
    <w:p>
      <w:pPr>
        <w:ind w:right="40" w:firstLine="433"/>
        <w:spacing w:after="0" w:line="260" w:lineRule="auto"/>
        <w:rPr>
          <w:sz w:val="20"/>
          <w:szCs w:val="20"/>
          <w:color w:val="auto"/>
        </w:rPr>
      </w:pPr>
      <w:r>
        <w:rPr>
          <w:rFonts w:ascii="Arial" w:cs="Arial" w:eastAsia="Arial" w:hAnsi="Arial"/>
          <w:sz w:val="17"/>
          <w:szCs w:val="17"/>
          <w:color w:val="auto"/>
        </w:rPr>
        <w:t>For example, since December 2019, several novel strains of coronavirus have been identified and continue to spread globally, including in the United States, and the disease they cause, COVID-19, has been declared a pandemic by the World Health Organization. The COVID-19 pandemic and government measures taken in response thereto have impacted the global economy and may impact our operations, including the potential interruption of our clinical trial activities, regulatory reviews and our supply chain. As a result of stringent COVID-19 lockdown restrictions, we had previously observed delays in trial enrollment for our Phase 2a trial for ulixacaltamide in Australia. While these lockdowns did not lead to a material impact on our business, we cannot predict the scope and severity of potential shutdowns or disruptions of businesses due to COVID-19 or another pandemic, epidemic or outbreak of an infectious disease in the future. At present, we are not experiencing significant impact or delays from the COVID-19 pandemic on our business, operations and, if our product candidates are approved, commercialization plans.We continue to closely monitor the COVID-19 pandemic as we evolve our clinical development plans. The extent to which the COVID-19 pandemic impacts our business will depend on future developments, which are highly uncertain and cannot be predicted, including new information which may emerge concerning the severity of the novel coronavirus strains, and of any future-identified novel coronavirus strains, the effectiveness of actions taken in the United States and other countries to contain the coronavirus strains or treat their impact, including the adoption and effectiveness of vaccines and vaccine distribution efforts and the extent and duration of the pandemic's impact on economic conditions and social activity, including with respect to inflationary pressures and supply chain shortages and disruptions, among others.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Employees</w:t>
      </w:r>
    </w:p>
    <w:p>
      <w:pPr>
        <w:spacing w:after="0" w:line="119" w:lineRule="exact"/>
        <w:rPr>
          <w:sz w:val="20"/>
          <w:szCs w:val="20"/>
          <w:color w:val="auto"/>
        </w:rPr>
      </w:pPr>
    </w:p>
    <w:p>
      <w:pPr>
        <w:ind w:right="20"/>
        <w:spacing w:after="0" w:line="310" w:lineRule="auto"/>
        <w:rPr>
          <w:sz w:val="20"/>
          <w:szCs w:val="20"/>
          <w:color w:val="auto"/>
        </w:rPr>
      </w:pPr>
      <w:r>
        <w:rPr>
          <w:rFonts w:ascii="Arial" w:cs="Arial" w:eastAsia="Arial" w:hAnsi="Arial"/>
          <w:sz w:val="17"/>
          <w:szCs w:val="17"/>
          <w:b w:val="1"/>
          <w:bCs w:val="1"/>
          <w:i w:val="1"/>
          <w:iCs w:val="1"/>
          <w:color w:val="auto"/>
        </w:rPr>
        <w:t>We depend heavily on our executive officers, principal consultants and others, and the loss of their services would materially harm our business.</w:t>
      </w:r>
    </w:p>
    <w:p>
      <w:pPr>
        <w:spacing w:after="0" w:line="20"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Our success depends, and will likely continue to depend, upon our ability to retain the services of our current executive officers, principal consultants and others, including Marcio Souza, our President and Chief Executive Officer, and Timothy Kelly, our Chief Financial Officer. We have entered into employment agreements with Mr. Souza and Mr. Kelly, but they may terminate their employment with us at any time. The loss of their services might impede the achievement of our research, development and commercialization objectives. We do not maintain “key person” insurance for any of our executives or other employees.</w:t>
      </w:r>
    </w:p>
    <w:p>
      <w:pPr>
        <w:spacing w:after="0" w:line="63"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Our ability to compete in the biotechnology and pharmaceuticals industries depends upon our ability to attract and retain highly qualified managerial, scientific and medical personnel. Our industry has experienced significant demand for, and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63"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55" w:lineRule="exact"/>
        <w:rPr>
          <w:sz w:val="20"/>
          <w:szCs w:val="20"/>
          <w:color w:val="auto"/>
        </w:rPr>
      </w:pPr>
    </w:p>
    <w:p>
      <w:pPr>
        <w:ind w:right="540" w:firstLine="433"/>
        <w:spacing w:after="0" w:line="278" w:lineRule="auto"/>
        <w:rPr>
          <w:sz w:val="20"/>
          <w:szCs w:val="20"/>
          <w:color w:val="auto"/>
        </w:rPr>
      </w:pPr>
      <w:r>
        <w:rPr>
          <w:rFonts w:ascii="Arial" w:cs="Arial" w:eastAsia="Arial" w:hAnsi="Arial"/>
          <w:sz w:val="17"/>
          <w:szCs w:val="17"/>
          <w:color w:val="auto"/>
        </w:rPr>
        <w:t>In addition, we have a limited number of employees to manage and operate our business. We cannot ensure that we will be able to maintain adequate staff to develop our product candidates, to run our operations or accomplish our objectives. If we are unable to maintain adequate staffing levels, our business and operations could be materially adversely affected.</w:t>
      </w:r>
    </w:p>
    <w:p>
      <w:pPr>
        <w:spacing w:after="0" w:line="55"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61"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43"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We are exposed to the risk that our employees, independent contractors, consultants, collaborators and contract research organizations may engage in fraudulent conduct or other illegal activity. Misconduct by those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parties could include intentional, reckless and/or negligent conduct or disclosure of unauthorized activities to us that violates:</w:t>
      </w:r>
    </w:p>
    <w:p>
      <w:pPr>
        <w:spacing w:after="0" w:line="119" w:lineRule="exact"/>
        <w:rPr>
          <w:sz w:val="20"/>
          <w:szCs w:val="20"/>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authorities, including those laws requiring the reporting of true, complete and accurate information to such authorities;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manufacturing standards;</w:t>
      </w:r>
    </w:p>
    <w:p>
      <w:pPr>
        <w:spacing w:after="0" w:line="119" w:lineRule="exact"/>
        <w:rPr>
          <w:rFonts w:ascii="Arial" w:cs="Arial" w:eastAsia="Arial" w:hAnsi="Arial"/>
          <w:sz w:val="17"/>
          <w:szCs w:val="17"/>
          <w:color w:val="auto"/>
        </w:rPr>
      </w:pPr>
    </w:p>
    <w:p>
      <w:pPr>
        <w:ind w:left="640" w:right="680" w:hanging="320"/>
        <w:spacing w:after="0" w:line="300" w:lineRule="auto"/>
        <w:tabs>
          <w:tab w:leader="none" w:pos="6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federal and state healthcare fraud and abuse laws and regulations and similar laws and regulations established and enforced by comparable non-U.S. regulatory authorities;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laws that require the accurate reporting of financial information or data.</w:t>
      </w:r>
    </w:p>
    <w:p>
      <w:pPr>
        <w:spacing w:after="0" w:line="119" w:lineRule="exact"/>
        <w:rPr>
          <w:sz w:val="20"/>
          <w:szCs w:val="20"/>
          <w:color w:val="auto"/>
        </w:rPr>
      </w:pPr>
    </w:p>
    <w:p>
      <w:pPr>
        <w:ind w:right="140" w:firstLine="433"/>
        <w:spacing w:after="0" w:line="261" w:lineRule="auto"/>
        <w:rPr>
          <w:sz w:val="20"/>
          <w:szCs w:val="20"/>
          <w:color w:val="auto"/>
        </w:rPr>
      </w:pPr>
      <w:r>
        <w:rPr>
          <w:rFonts w:ascii="Arial" w:cs="Arial" w:eastAsia="Arial" w:hAnsi="Arial"/>
          <w:sz w:val="17"/>
          <w:szCs w:val="17"/>
          <w:color w:val="auto"/>
        </w:rPr>
        <w:t>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75" w:lineRule="exact"/>
        <w:rPr>
          <w:sz w:val="20"/>
          <w:szCs w:val="20"/>
          <w:color w:val="auto"/>
        </w:rPr>
      </w:pPr>
    </w:p>
    <w:p>
      <w:pPr>
        <w:ind w:right="60"/>
        <w:spacing w:after="0" w:line="310" w:lineRule="auto"/>
        <w:rPr>
          <w:sz w:val="20"/>
          <w:szCs w:val="20"/>
          <w:color w:val="auto"/>
        </w:rPr>
      </w:pPr>
      <w:r>
        <w:rPr>
          <w:rFonts w:ascii="Arial" w:cs="Arial" w:eastAsia="Arial" w:hAnsi="Arial"/>
          <w:sz w:val="17"/>
          <w:szCs w:val="17"/>
          <w:b w:val="1"/>
          <w:bCs w:val="1"/>
          <w:i w:val="1"/>
          <w:iCs w:val="1"/>
          <w:color w:val="auto"/>
        </w:rPr>
        <w:t>We expect to expand our organization, and as a result, we may encounter difficulties in managing our growth, which could disrupt our operations.</w:t>
      </w:r>
    </w:p>
    <w:p>
      <w:pPr>
        <w:spacing w:after="0" w:line="20" w:lineRule="exact"/>
        <w:rPr>
          <w:sz w:val="20"/>
          <w:szCs w:val="20"/>
          <w:color w:val="auto"/>
        </w:rPr>
      </w:pPr>
    </w:p>
    <w:p>
      <w:pPr>
        <w:ind w:right="100" w:firstLine="433"/>
        <w:spacing w:after="0" w:line="261"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Data Privacy and Cybersecurity</w:t>
      </w:r>
    </w:p>
    <w:p>
      <w:pPr>
        <w:spacing w:after="0" w:line="119"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i w:val="1"/>
          <w:iCs w:val="1"/>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43"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We, our collaborators, our CROs, third-party logistics providers, distributors and other contractors and consultants utilize information technology, or IT, systems and networks to process, transmit and store electronic information in connection with our business activities. As use of digital technologies has increased, our IT systems and those of such third parties, are increasingly vulnerable to attack, damage and interruption from natural disasters, terrorism, war, telecommunication and electrical failures, hacking, cyber incidents, including third parties gaining access to employee accounts using stolen or inferred credentials, malicious code, malware, viruses (e.g., ransomware), spamming, phishing attacks and other social engineering schemes, employee theft or misuse, human error, fraud, denial or degradation of service attacks, and sophisticated nation-state and nation-state-supported actors or other deliberate attacks and attempts to gain unauthorized access to IT systems and networks, as such attacks have increased in frequency and sophistication. Attacks upon IT systems are also increasing in their levels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of persistence and intensity, and are being conducted by sophisticated and organized groups and individuals with a wide range of motives and expertise. We may also face increased cybersecurity risks due to our reliance on internet technology and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57" w:lineRule="exact"/>
        <w:rPr>
          <w:sz w:val="20"/>
          <w:szCs w:val="20"/>
          <w:color w:val="auto"/>
        </w:rPr>
      </w:pPr>
    </w:p>
    <w:p>
      <w:pPr>
        <w:ind w:firstLine="433"/>
        <w:spacing w:after="0" w:line="244"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do not believe that we have experienced any such system failure, accident or security breach to date, if such an event were to occur and cause interruptions in our operations, it could result in a material disruption of our business operations and drug development programs. These threats pose a risk to the security of our, our collaborators’, our CROs’, third-party logistics providers’, distributors’ and other contractors’ and consultants’ systems and networks, and the confidentiality, availability and integrity of our data. There can be no assurance that our cybersecurity risk management program and processes, including our policies, controls or procedures, will be fully implemented, complied with or successful in preventing</w:t>
      </w:r>
    </w:p>
    <w:p>
      <w:pPr>
        <w:spacing w:after="0" w:line="4" w:lineRule="exact"/>
        <w:rPr>
          <w:sz w:val="20"/>
          <w:szCs w:val="20"/>
          <w:color w:val="auto"/>
        </w:rPr>
      </w:pPr>
    </w:p>
    <w:p>
      <w:pPr>
        <w:ind w:right="180"/>
        <w:spacing w:after="0" w:line="233" w:lineRule="auto"/>
        <w:rPr>
          <w:sz w:val="20"/>
          <w:szCs w:val="20"/>
          <w:color w:val="auto"/>
        </w:rPr>
      </w:pPr>
      <w:r>
        <w:rPr>
          <w:rFonts w:ascii="Arial" w:cs="Arial" w:eastAsia="Arial" w:hAnsi="Arial"/>
          <w:sz w:val="17"/>
          <w:szCs w:val="17"/>
          <w:color w:val="auto"/>
        </w:rPr>
        <w:t>cyberattacks or other IT disruptions, or in mitigating their effects. Similarly, there can be no assurance that our collaborators, CROs, third-party logistics providers, distributors and other contractors and consultants will be successful in protecting our clinical and other data that is stored on</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their systems. Further, the costs associated with the investigation, remediation and potential notification of a breach to counterparties and data subjects could be material.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82" w:lineRule="exact"/>
        <w:rPr>
          <w:sz w:val="20"/>
          <w:szCs w:val="20"/>
          <w:color w:val="auto"/>
        </w:rPr>
      </w:pPr>
    </w:p>
    <w:p>
      <w:pPr>
        <w:jc w:val="both"/>
        <w:ind w:right="320"/>
        <w:spacing w:after="0" w:line="283" w:lineRule="auto"/>
        <w:rPr>
          <w:sz w:val="20"/>
          <w:szCs w:val="20"/>
          <w:color w:val="auto"/>
        </w:rPr>
      </w:pPr>
      <w:r>
        <w:rPr>
          <w:rFonts w:ascii="Arial" w:cs="Arial" w:eastAsia="Arial" w:hAnsi="Arial"/>
          <w:sz w:val="17"/>
          <w:szCs w:val="17"/>
          <w:b w:val="1"/>
          <w:bCs w:val="1"/>
          <w:i w:val="1"/>
          <w:iCs w:val="1"/>
          <w:color w:val="auto"/>
        </w:rPr>
        <w:t>We rely on a set of cloud-based software services and access these services via the Internet for the vast majority of our computing, storage, bandwidth and other services. Any disruption of or interference with our use of our cloud-based services would negatively affect our operations and could seriously harm our business.</w:t>
      </w:r>
    </w:p>
    <w:p>
      <w:pPr>
        <w:spacing w:after="0" w:line="43"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We use several distributed computing infrastructure platforms for business operations, or what is commonly referred to as “cloud” computing services and we access these services via the Internet. Any transition of the cloud services currently provided by an existing vendor to another cloud provider would be difficult to implement and will cause us to incur significant time and expense. Given this, any significant disruption of or interference with our use of these cloud computing services would negatively impact our operations and our business would be seriously harmed. If our employees or partners are not able to access our cloud computing services or encounter difficulties in doing so, we may experience business disruption. The level of service provided by our cloud computing vendors, including the ability to secure our confidential information and the confidential information of third parties that is shared with us, may also impact the perception of our company and could seriously harm our business and reputation and create liability for us. If a cloud computing service that we use experiences interruptions in service regularly or for a prolonged basis, or other similar issues, our business could be seriously harmed.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a cloud computing service may take actions beyond our control that could seriously harm our business, including:</w:t>
      </w:r>
    </w:p>
    <w:p>
      <w:pPr>
        <w:spacing w:after="0" w:line="119" w:lineRule="exact"/>
        <w:rPr>
          <w:sz w:val="20"/>
          <w:szCs w:val="20"/>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discontinuing or limiting our access to its platform;</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increasing pricing terms;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terminating or seeking to terminate our contractual relationship altogether; 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modifying or interpreting its terms of service or other policies in a manner that impacts our ability to run our business and operations.</w:t>
      </w:r>
    </w:p>
    <w:p>
      <w:pPr>
        <w:spacing w:after="0" w:line="119" w:lineRule="exact"/>
        <w:rPr>
          <w:sz w:val="20"/>
          <w:szCs w:val="20"/>
          <w:color w:val="auto"/>
        </w:rPr>
      </w:pPr>
    </w:p>
    <w:p>
      <w:pPr>
        <w:ind w:right="220" w:firstLine="433"/>
        <w:spacing w:after="0" w:line="300" w:lineRule="auto"/>
        <w:rPr>
          <w:sz w:val="20"/>
          <w:szCs w:val="20"/>
          <w:color w:val="auto"/>
        </w:rPr>
      </w:pPr>
      <w:r>
        <w:rPr>
          <w:rFonts w:ascii="Arial" w:cs="Arial" w:eastAsia="Arial" w:hAnsi="Arial"/>
          <w:sz w:val="17"/>
          <w:szCs w:val="17"/>
          <w:color w:val="auto"/>
        </w:rPr>
        <w:t>Our cloud computing services have broad discretion to change and interpret its terms of service and other policies with respect to us, and those actions may be unfavorable to us. Our cloud computing services may also</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color w:val="auto"/>
        </w:rPr>
        <w:t>alter how we are able to process data on the platform. If a cloud computing services makes changes or interpretations that are unfavorable to us, our business could be seriously harmed.</w:t>
      </w:r>
    </w:p>
    <w:p>
      <w:pPr>
        <w:spacing w:after="0" w:line="36"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Our efforts to protect the information shared with us may be unsuccessful due to the actions of third parties, software bugs or other technical malfunctions, employee error or malfeasance or other factors. In addition, third parties may attempt to fraudulently induce employees or users to disclose information to gain access to our data or third-party data entrusted to us. If any of these events occur, our or third-party information could be accessed or disclosed improperly. Some partners or collaborators may store information that we share with them on their own computing system. If these third parties fail to implement adequate data-security practices or fail to comply with our policies, our data may be improperly accessed or disclosed. And even if these third parties take all of these steps, their networks may still suffer a breach, which could compromise our data.</w:t>
      </w:r>
    </w:p>
    <w:p>
      <w:pPr>
        <w:spacing w:after="0" w:line="279" w:lineRule="exact"/>
        <w:rPr>
          <w:sz w:val="20"/>
          <w:szCs w:val="20"/>
          <w:color w:val="auto"/>
        </w:rPr>
      </w:pPr>
    </w:p>
    <w:p>
      <w:pPr>
        <w:ind w:right="180" w:firstLine="433"/>
        <w:spacing w:after="0" w:line="266" w:lineRule="auto"/>
        <w:rPr>
          <w:sz w:val="20"/>
          <w:szCs w:val="20"/>
          <w:color w:val="auto"/>
        </w:rPr>
      </w:pPr>
      <w:r>
        <w:rPr>
          <w:rFonts w:ascii="Arial" w:cs="Arial" w:eastAsia="Arial" w:hAnsi="Arial"/>
          <w:sz w:val="17"/>
          <w:szCs w:val="17"/>
          <w:color w:val="auto"/>
        </w:rPr>
        <w:t>Any incidents where our information is accessed without authorization, or is improperly used, or incidents that violate our policies, could damage our reputation and our brand and diminish our competitive position. In addition, affected parties or government authorities could initiate legal or regulatory action against us over those incidents, which could cause us to incur significant expense and liability or result in orders or consent decrees forcing us to modify our business practices. Concerns over our privacy practices, whether actual or unfounded, could damage our reputation and brand and deter users, advertisers and partners from using our products and services. Any of these occurrences could seriously harm our business.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Tax Laws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Legislation or other changes in tax law could adversely affect our business and financial condition.</w:t>
      </w:r>
    </w:p>
    <w:p>
      <w:pPr>
        <w:spacing w:after="0" w:line="119"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The legislation, regulations and rules regarding U.S. federal, state and local and non-U.S.taxation are constantly under review by persons involved in the legislative process and by the Internal Revenue Service and the U.S. Treasury Department and by state and local and non-U.S. tax agencies. Changes to tax laws (which changes may have retroactive application) could adversely affect us or holders of our common stock. In recent years, many changes have been made to applicable tax laws and changes are likely to continue to occur in the future.</w:t>
      </w:r>
    </w:p>
    <w:p>
      <w:pPr>
        <w:spacing w:after="0" w:line="61"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It cannot be predicted whether, when, in what form or with what effective dates changes in tax laws, regulations or rules promulgated or issued under existing or new tax laws may take place. Any such changes could result in an increase in our or our shareholders’ tax liability or require changes in the manner in which we operate in order to minimize or mitigate any adverse effects of changes in tax law or in the interpretation thereof. If any such changes are enacted or implemented, we are currently unable to predict the ultimate impact on our business or holders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U.S. federal and state net operating loss carryforwards and certain other tax attributes may be limited.</w:t>
      </w:r>
    </w:p>
    <w:p>
      <w:pPr>
        <w:spacing w:after="0" w:line="119" w:lineRule="exact"/>
        <w:rPr>
          <w:sz w:val="20"/>
          <w:szCs w:val="20"/>
          <w:color w:val="auto"/>
        </w:rPr>
      </w:pPr>
    </w:p>
    <w:p>
      <w:pPr>
        <w:jc w:val="both"/>
        <w:ind w:right="80" w:firstLine="433"/>
        <w:spacing w:after="0" w:line="278" w:lineRule="auto"/>
        <w:rPr>
          <w:sz w:val="20"/>
          <w:szCs w:val="20"/>
          <w:color w:val="auto"/>
        </w:rPr>
      </w:pPr>
      <w:r>
        <w:rPr>
          <w:rFonts w:ascii="Arial" w:cs="Arial" w:eastAsia="Arial" w:hAnsi="Arial"/>
          <w:sz w:val="17"/>
          <w:szCs w:val="17"/>
          <w:color w:val="auto"/>
        </w:rPr>
        <w:t>Our ability to use our U.S. federal and state net operating losses and tax credits is dependent upon our generation of future taxable income and income tax liabilities. We cannot predict with certainty when, or whether, we will generate sufficient taxable income or income tax liabilities to use any or all of our net operating losses or tax credits.</w:t>
      </w:r>
    </w:p>
    <w:p>
      <w:pPr>
        <w:spacing w:after="0" w:line="42" w:lineRule="exact"/>
        <w:rPr>
          <w:sz w:val="20"/>
          <w:szCs w:val="20"/>
          <w:color w:val="auto"/>
        </w:rPr>
      </w:pPr>
    </w:p>
    <w:p>
      <w:pPr>
        <w:ind w:right="140" w:firstLine="433"/>
        <w:spacing w:after="0" w:line="244" w:lineRule="auto"/>
        <w:rPr>
          <w:sz w:val="20"/>
          <w:szCs w:val="20"/>
          <w:color w:val="auto"/>
        </w:rPr>
      </w:pPr>
      <w:r>
        <w:rPr>
          <w:rFonts w:ascii="Arial" w:cs="Arial" w:eastAsia="Arial" w:hAnsi="Arial"/>
          <w:sz w:val="17"/>
          <w:szCs w:val="17"/>
          <w:color w:val="auto"/>
        </w:rPr>
        <w:t>Our unused U.S. federal net operating losses generated in tax years beginning before January 1, 2018, and unused state net operating losses subject to expiration, will carry forward to offset future taxable income, if any, until such unused net operating losses expire. Our unused U.S. federal net operating losses generated in tax years beginning after December 31, 2017 will not expire and may be carried forward indefinitely, although, for taxable years beginning after December 31, 2020, U.S. federal net operating losses may only be used to offset 80% of our taxable income in such taxable year. As a result, we may be required to pay U.S. federal income taxes in future years even if we generated net losses for U.S. federal income tax purposes in prior years. Although our U.S. federal and state tax credits generally will carry forward and be</w:t>
      </w:r>
    </w:p>
    <w:p>
      <w:pPr>
        <w:spacing w:after="0" w:line="4"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available to offset future income tax liabilities, certain of such tax credits may be subject to expiration. Accordingly, our U.S. federal and state net operating losses and tax credits subject to expiration could expire unused.</w:t>
      </w:r>
    </w:p>
    <w:p>
      <w:pPr>
        <w:spacing w:after="0" w:line="78" w:lineRule="exact"/>
        <w:rPr>
          <w:sz w:val="20"/>
          <w:szCs w:val="20"/>
          <w:color w:val="auto"/>
        </w:rPr>
      </w:pPr>
    </w:p>
    <w:p>
      <w:pPr>
        <w:ind w:right="100" w:firstLine="433"/>
        <w:spacing w:after="0" w:line="266" w:lineRule="auto"/>
        <w:rPr>
          <w:sz w:val="20"/>
          <w:szCs w:val="20"/>
          <w:color w:val="auto"/>
        </w:rPr>
      </w:pPr>
      <w:r>
        <w:rPr>
          <w:rFonts w:ascii="Arial" w:cs="Arial" w:eastAsia="Arial" w:hAnsi="Arial"/>
          <w:sz w:val="17"/>
          <w:szCs w:val="17"/>
          <w:color w:val="auto"/>
        </w:rPr>
        <w:t>In addition, both our current and future U.S. federal net operating losses and U.S. federal tax credits may be subject to limitation under Sections 382 and 383 of the Internal Revenue Code of 1986, as amended, or the Code, if we undergo an “ownership change,” generally defined as a greater than 50 percentage point change (by value) in our equity ownership by certain stockholders or groups of stockholders over a rolling three-year period. We have not conducted a study to assess whether a change of control has occurred or whether there have been multiple changes of control since inception, and our existing U.S. federal net operating losses and U.S. federal tax credits may be subject to limitations arising from previous ownership changes. In addition, future changes in our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0"/>
        <w:spacing w:after="0" w:line="300" w:lineRule="auto"/>
        <w:rPr>
          <w:sz w:val="20"/>
          <w:szCs w:val="20"/>
          <w:color w:val="auto"/>
        </w:rPr>
      </w:pPr>
      <w:r>
        <w:rPr>
          <w:rFonts w:ascii="Arial" w:cs="Arial" w:eastAsia="Arial" w:hAnsi="Arial"/>
          <w:sz w:val="17"/>
          <w:szCs w:val="17"/>
          <w:color w:val="auto"/>
        </w:rPr>
        <w:t>ownership, many of which are outside of our control, could result in an ownership change. Our net operating losses and tax credits may be similarly limited under state law.</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Investment in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stock has been and may in the future be volatile, and you could lose all or part of your investment.</w:t>
      </w:r>
    </w:p>
    <w:p>
      <w:pPr>
        <w:spacing w:after="0" w:line="119"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has been subject to wide fluctuations in response to various factors, some of which are beyond our control, including limited trading volume. For example, the trading price of our common stock experienced a significant decline after our June 2022 announcement of the Phase 2/3 Aria Study results. In addition to the factors discussed in this “Risk Factors” section, factors that may affect the trading price of our common stock include:</w:t>
      </w:r>
    </w:p>
    <w:p>
      <w:pPr>
        <w:spacing w:after="0" w:line="61" w:lineRule="exact"/>
        <w:rPr>
          <w:sz w:val="20"/>
          <w:szCs w:val="20"/>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commencement, enrollment, completion or results of our current clinical trials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delay in identifying and advancing a clinical candidate for our other programs;</w:t>
      </w:r>
    </w:p>
    <w:p>
      <w:pPr>
        <w:spacing w:after="0" w:line="119"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adverse results or delays, suspensions or terminations in future preclinical studies or clinical trials;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decision to initiate a clinical trial, not to initiate a clinical trial or to terminate an existing clinical trial;</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adverse regulatory decisions, including failure to receive regulatory approval of any of our product candidates or the failure of a regulatory authority to accept data from preclinical studies or clinical trials conducted in other countries;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 candidates, including but not limited to clinical trial requirements for approvals;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adverse developments concerning our manufacturers;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any approved product or inability to do so at acceptable prices;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inability to establish collaborations, if needed;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failure to commercialize our product candidates, if approved;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unanticipated serious safety concerns related to the use of our product candidates;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introduction of new products or services offered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variations in quarterly operating results;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cash position;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failure to meet the estimates and projections of the investment community or that we may otherwise provide to the public;</w:t>
      </w:r>
    </w:p>
    <w:p>
      <w:pPr>
        <w:spacing w:after="0" w:line="119" w:lineRule="exact"/>
        <w:rPr>
          <w:rFonts w:ascii="Arial" w:cs="Arial" w:eastAsia="Arial" w:hAnsi="Arial"/>
          <w:sz w:val="17"/>
          <w:szCs w:val="17"/>
          <w:color w:val="auto"/>
        </w:rPr>
      </w:pPr>
    </w:p>
    <w:p>
      <w:pPr>
        <w:ind w:left="640" w:right="220" w:hanging="320"/>
        <w:spacing w:after="0" w:line="300" w:lineRule="auto"/>
        <w:tabs>
          <w:tab w:leader="none" w:pos="6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publication of research reports about us or our industry, or product candidates in particular, or positive or negative recommendations or withdrawal of research coverage by securities analysts;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the structure of the healthcare payment systems;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overall performance of the equity markets;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 in the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accounting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ineffectiveness of our internal controls;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general political and economic conditions;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11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and general economic conditions. Broad market and industry factors have negatively affected and may continue to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64" w:lineRule="exact"/>
        <w:rPr>
          <w:sz w:val="20"/>
          <w:szCs w:val="20"/>
          <w:color w:val="auto"/>
        </w:rPr>
      </w:pPr>
    </w:p>
    <w:p>
      <w:pPr>
        <w:ind w:right="100"/>
        <w:spacing w:after="0" w:line="31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20" w:lineRule="exact"/>
        <w:rPr>
          <w:sz w:val="20"/>
          <w:szCs w:val="20"/>
          <w:color w:val="auto"/>
        </w:rPr>
      </w:pPr>
    </w:p>
    <w:p>
      <w:pPr>
        <w:ind w:right="140" w:firstLine="433"/>
        <w:spacing w:after="0" w:line="266"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may never obtain research coverage by industry or financial analysts.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19" w:lineRule="exact"/>
        <w:rPr>
          <w:sz w:val="20"/>
          <w:szCs w:val="20"/>
          <w:color w:val="auto"/>
        </w:rPr>
      </w:pPr>
    </w:p>
    <w:p>
      <w:pPr>
        <w:ind w:right="200" w:firstLine="433"/>
        <w:spacing w:after="0" w:line="271" w:lineRule="auto"/>
        <w:rPr>
          <w:sz w:val="20"/>
          <w:szCs w:val="20"/>
          <w:color w:val="auto"/>
        </w:rPr>
      </w:pPr>
      <w:r>
        <w:rPr>
          <w:rFonts w:ascii="Arial" w:cs="Arial" w:eastAsia="Arial" w:hAnsi="Arial"/>
          <w:sz w:val="17"/>
          <w:szCs w:val="17"/>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61"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i w:val="1"/>
          <w:iCs w:val="1"/>
          <w:color w:val="auto"/>
        </w:rPr>
        <w:t>Future issuances of our common stock or the issuance of shares of common stock upon the exercise or conversion of securities that are exercisable or convertible into shares of common stock, such as our pre-funded warrants, or upon the exercise or vesting of incentive awards, may result in dilution for our stockholders.</w:t>
      </w:r>
    </w:p>
    <w:p>
      <w:pPr>
        <w:spacing w:after="0" w:line="43" w:lineRule="exact"/>
        <w:rPr>
          <w:sz w:val="20"/>
          <w:szCs w:val="20"/>
          <w:color w:val="auto"/>
        </w:rPr>
      </w:pPr>
    </w:p>
    <w:p>
      <w:pPr>
        <w:ind w:right="140" w:firstLine="393"/>
        <w:spacing w:after="0" w:line="264" w:lineRule="auto"/>
        <w:rPr>
          <w:sz w:val="20"/>
          <w:szCs w:val="20"/>
          <w:color w:val="auto"/>
        </w:rPr>
      </w:pPr>
      <w:r>
        <w:rPr>
          <w:rFonts w:ascii="Arial" w:cs="Arial" w:eastAsia="Arial" w:hAnsi="Arial"/>
          <w:sz w:val="17"/>
          <w:szCs w:val="17"/>
          <w:color w:val="auto"/>
        </w:rPr>
        <w:t>We have needed and anticipate we will need additional capital in the future to continue our planned operations. To the extent that we raise additional capital by issuing equity securities, our stockholders may experience substantial dilution. We may sell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200"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As of December 31, 2023, we have outstanding pre-funded warrants to purchase 470,000 shares of common stock at an exercise price of $0.0001 per share,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be issued for nominal or no additional consideration, which could result in substantial dilution to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55" w:lineRule="exact"/>
        <w:rPr>
          <w:sz w:val="20"/>
          <w:szCs w:val="20"/>
          <w:color w:val="auto"/>
        </w:rPr>
      </w:pPr>
    </w:p>
    <w:p>
      <w:pPr>
        <w:ind w:right="780"/>
        <w:spacing w:after="0" w:line="310" w:lineRule="auto"/>
        <w:rPr>
          <w:sz w:val="20"/>
          <w:szCs w:val="20"/>
          <w:color w:val="auto"/>
        </w:rPr>
      </w:pPr>
      <w:r>
        <w:rPr>
          <w:rFonts w:ascii="Arial" w:cs="Arial" w:eastAsia="Arial" w:hAnsi="Arial"/>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20"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Arial" w:cs="Arial" w:eastAsia="Arial" w:hAnsi="Arial"/>
          <w:sz w:val="17"/>
          <w:szCs w:val="17"/>
          <w:i w:val="1"/>
          <w:iCs w:val="1"/>
          <w:color w:val="auto"/>
        </w:rPr>
        <w:t>.</w:t>
      </w:r>
    </w:p>
    <w:p>
      <w:pPr>
        <w:spacing w:after="0" w:line="63" w:lineRule="exact"/>
        <w:rPr>
          <w:sz w:val="20"/>
          <w:szCs w:val="20"/>
          <w:color w:val="auto"/>
        </w:rPr>
      </w:pPr>
    </w:p>
    <w:p>
      <w:pPr>
        <w:ind w:right="220"/>
        <w:spacing w:after="0" w:line="310" w:lineRule="auto"/>
        <w:rPr>
          <w:sz w:val="20"/>
          <w:szCs w:val="20"/>
          <w:color w:val="auto"/>
        </w:rPr>
      </w:pPr>
      <w:r>
        <w:rPr>
          <w:rFonts w:ascii="Arial" w:cs="Arial" w:eastAsia="Arial" w:hAnsi="Arial"/>
          <w:sz w:val="17"/>
          <w:szCs w:val="17"/>
          <w:b w:val="1"/>
          <w:bCs w:val="1"/>
          <w:i w:val="1"/>
          <w:iCs w:val="1"/>
          <w:color w:val="auto"/>
        </w:rPr>
        <w:t>Our executive officers, directors and their affiliates and our principal stockholders own a significant percentage of our stock and will be able to exert significant influence over matters subject to stockholder approval.</w:t>
      </w:r>
    </w:p>
    <w:p>
      <w:pPr>
        <w:spacing w:after="0" w:line="20"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Based on shares outstanding as of December 31, 2023, our executive officers, directors and their affiliates and our principal stockholders beneficially hold, in the aggregate, approximately 38.2% of our outstanding voting stock. These stockholders, acting together, would be able to exert significant influence over all matters requiring stockholder approval. The concentration of voting power among these stockholders may have an adverse effect on the price of our common stock. This concentration of ownership control may adversely affect the market price of our common stock by:</w:t>
      </w:r>
    </w:p>
    <w:p>
      <w:pPr>
        <w:spacing w:after="0" w:line="63" w:lineRule="exact"/>
        <w:rPr>
          <w:sz w:val="20"/>
          <w:szCs w:val="20"/>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delaying, deferring or preventing a change in control;</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entrenching our management and the board of directors;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that other stockholders may desire; and/or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Our Controls and Reporting Requirements</w:t>
      </w:r>
    </w:p>
    <w:p>
      <w:pPr>
        <w:spacing w:after="0" w:line="119" w:lineRule="exact"/>
        <w:rPr>
          <w:sz w:val="20"/>
          <w:szCs w:val="20"/>
          <w:color w:val="auto"/>
        </w:rPr>
      </w:pPr>
    </w:p>
    <w:p>
      <w:pPr>
        <w:ind w:right="700"/>
        <w:spacing w:after="0" w:line="310" w:lineRule="auto"/>
        <w:rPr>
          <w:sz w:val="20"/>
          <w:szCs w:val="20"/>
          <w:color w:val="auto"/>
        </w:rPr>
      </w:pPr>
      <w:r>
        <w:rPr>
          <w:rFonts w:ascii="Arial" w:cs="Arial" w:eastAsia="Arial" w:hAnsi="Arial"/>
          <w:sz w:val="17"/>
          <w:szCs w:val="17"/>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20"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 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69" w:lineRule="exact"/>
        <w:rPr>
          <w:sz w:val="20"/>
          <w:szCs w:val="20"/>
          <w:color w:val="auto"/>
        </w:rPr>
      </w:pPr>
    </w:p>
    <w:p>
      <w:pPr>
        <w:ind w:right="140" w:firstLine="433"/>
        <w:spacing w:after="0" w:line="263" w:lineRule="auto"/>
        <w:rPr>
          <w:sz w:val="20"/>
          <w:szCs w:val="20"/>
          <w:color w:val="auto"/>
        </w:rPr>
      </w:pPr>
      <w:r>
        <w:rPr>
          <w:rFonts w:ascii="Arial" w:cs="Arial" w:eastAsia="Arial" w:hAnsi="Arial"/>
          <w:sz w:val="17"/>
          <w:szCs w:val="17"/>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310" w:lineRule="auto"/>
        <w:rPr>
          <w:sz w:val="20"/>
          <w:szCs w:val="20"/>
          <w:color w:val="auto"/>
        </w:rPr>
      </w:pPr>
      <w:r>
        <w:rPr>
          <w:rFonts w:ascii="Arial" w:cs="Arial" w:eastAsia="Arial" w:hAnsi="Arial"/>
          <w:sz w:val="17"/>
          <w:szCs w:val="17"/>
          <w:b w:val="1"/>
          <w:bCs w:val="1"/>
          <w:i w:val="1"/>
          <w:iCs w:val="1"/>
          <w:color w:val="auto"/>
        </w:rPr>
        <w:t>We are a smaller reporting company, and we cannot be certain if the reduced reporting requirements applicable to smaller reporting companies will make our common stock less attractive to investors.</w:t>
      </w:r>
    </w:p>
    <w:p>
      <w:pPr>
        <w:spacing w:after="0" w:line="20"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We are a smaller reporting company as defined under SEC rules. As a smaller reporting company, we are able to take advantage of certain exemptions from disclosure requirements, including reduced disclosure obligations regarding executive compensation in our periodic reports and proxy statements and providing only two years of audited financial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63"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43"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68"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1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over the use of our cash and cash equivalents and may not use them effectively.</w:t>
      </w:r>
    </w:p>
    <w:p>
      <w:pPr>
        <w:spacing w:after="0" w:line="119"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Our management has broad discretion to use our cash and cash equivalents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Risks Related to Charter and Bylaws</w:t>
      </w:r>
    </w:p>
    <w:p>
      <w:pPr>
        <w:spacing w:after="0" w:line="119"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3" w:lineRule="exact"/>
        <w:rPr>
          <w:sz w:val="20"/>
          <w:szCs w:val="20"/>
          <w:color w:val="auto"/>
        </w:rPr>
      </w:pPr>
    </w:p>
    <w:p>
      <w:pPr>
        <w:jc w:val="both"/>
        <w:ind w:right="140" w:firstLine="433"/>
        <w:spacing w:after="0" w:line="278"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5" w:lineRule="exact"/>
        <w:rPr>
          <w:sz w:val="20"/>
          <w:szCs w:val="20"/>
          <w:color w:val="auto"/>
        </w:rPr>
      </w:pPr>
    </w:p>
    <w:p>
      <w:pPr>
        <w:ind w:left="640" w:right="80" w:hanging="320"/>
        <w:spacing w:after="0" w:line="300"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40" w:right="52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35" w:lineRule="exact"/>
        <w:rPr>
          <w:rFonts w:ascii="Arial" w:cs="Arial" w:eastAsia="Arial" w:hAnsi="Arial"/>
          <w:sz w:val="17"/>
          <w:szCs w:val="17"/>
          <w:color w:val="auto"/>
        </w:rPr>
      </w:pPr>
    </w:p>
    <w:p>
      <w:pPr>
        <w:ind w:left="640" w:right="14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9"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55" w:lineRule="exact"/>
        <w:rPr>
          <w:rFonts w:ascii="Arial" w:cs="Arial" w:eastAsia="Arial" w:hAnsi="Arial"/>
          <w:sz w:val="17"/>
          <w:szCs w:val="17"/>
          <w:color w:val="auto"/>
        </w:rPr>
      </w:pPr>
    </w:p>
    <w:p>
      <w:pPr>
        <w:ind w:left="640" w:right="28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35" w:lineRule="exact"/>
        <w:rPr>
          <w:rFonts w:ascii="Arial" w:cs="Arial" w:eastAsia="Arial" w:hAnsi="Arial"/>
          <w:sz w:val="17"/>
          <w:szCs w:val="17"/>
          <w:color w:val="auto"/>
        </w:rPr>
      </w:pPr>
    </w:p>
    <w:p>
      <w:pPr>
        <w:ind w:left="640" w:right="400" w:hanging="320"/>
        <w:spacing w:after="0" w:line="300"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36" w:lineRule="exact"/>
        <w:rPr>
          <w:sz w:val="20"/>
          <w:szCs w:val="20"/>
          <w:color w:val="auto"/>
        </w:rPr>
      </w:pPr>
    </w:p>
    <w:p>
      <w:pPr>
        <w:ind w:right="40" w:firstLine="433"/>
        <w:spacing w:after="0" w:line="26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0"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3" w:lineRule="exact"/>
        <w:rPr>
          <w:sz w:val="20"/>
          <w:szCs w:val="20"/>
          <w:color w:val="auto"/>
        </w:rPr>
      </w:pPr>
    </w:p>
    <w:p>
      <w:pPr>
        <w:ind w:right="40" w:firstLine="433"/>
        <w:spacing w:after="0" w:line="259" w:lineRule="auto"/>
        <w:rPr>
          <w:sz w:val="20"/>
          <w:szCs w:val="20"/>
          <w:color w:val="auto"/>
        </w:rPr>
      </w:pPr>
      <w:r>
        <w:rPr>
          <w:rFonts w:ascii="Arial" w:cs="Arial" w:eastAsia="Arial" w:hAnsi="Arial"/>
          <w:sz w:val="17"/>
          <w:szCs w:val="17"/>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DGCL, our amended and restated certificate of incorporation or our bylaws (in each case, as they may be amended from time to time) or (iv) any action asserting a claim that is governed by the internal affairs doctrine, in each case subject to the Court of Chancery having personal jurisdiction over the indispensable parties named as defendants therein; provided, however, that this exclusive forum provision will not apply to any causes of action arising under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specify that unless we consent in writing to the selection of an alternate forum, the federal district courts of the United States shall be the exclusive forum for the resolution of any complaint asserting a cause of action arising under the Securities Act.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such claims.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enforceability of similar choice of forum provisions in other companies’ governing documents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 contained in our bylaws to be inapplicable or unenforceable in an action, we may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60"/>
        <w:spacing w:after="0" w:line="300" w:lineRule="auto"/>
        <w:rPr>
          <w:sz w:val="20"/>
          <w:szCs w:val="20"/>
          <w:color w:val="auto"/>
        </w:rPr>
      </w:pPr>
      <w:r>
        <w:rPr>
          <w:rFonts w:ascii="Arial" w:cs="Arial" w:eastAsia="Arial" w:hAnsi="Arial"/>
          <w:sz w:val="17"/>
          <w:szCs w:val="17"/>
          <w:color w:val="auto"/>
        </w:rPr>
        <w:t>additional costs associated with resolving such action in other jurisdictions, which could adversely affect our business, financial condition, or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Strategy</w:t>
      </w:r>
    </w:p>
    <w:p>
      <w:pPr>
        <w:spacing w:after="0" w:line="121" w:lineRule="exact"/>
        <w:rPr>
          <w:sz w:val="20"/>
          <w:szCs w:val="20"/>
          <w:color w:val="auto"/>
        </w:rPr>
      </w:pPr>
    </w:p>
    <w:p>
      <w:pPr>
        <w:ind w:firstLine="393"/>
        <w:spacing w:after="0" w:line="300" w:lineRule="auto"/>
        <w:rPr>
          <w:sz w:val="20"/>
          <w:szCs w:val="20"/>
          <w:color w:val="auto"/>
        </w:rPr>
      </w:pPr>
      <w:r>
        <w:rPr>
          <w:rFonts w:ascii="Arial" w:cs="Arial" w:eastAsia="Arial" w:hAnsi="Arial"/>
          <w:sz w:val="17"/>
          <w:szCs w:val="17"/>
          <w:color w:val="auto"/>
        </w:rPr>
        <w:t>We have developed and implemented a cybersecurity risk management program intended to protect the confidentiality, integrity and availability of our critical systems and information. Our cybersecurity risk-management program includes a cybersecurity incident response plan.</w:t>
      </w:r>
    </w:p>
    <w:p>
      <w:pPr>
        <w:spacing w:after="0" w:line="36" w:lineRule="exact"/>
        <w:rPr>
          <w:sz w:val="20"/>
          <w:szCs w:val="20"/>
          <w:color w:val="auto"/>
        </w:rPr>
      </w:pPr>
    </w:p>
    <w:p>
      <w:pPr>
        <w:ind w:right="200" w:firstLine="393"/>
        <w:spacing w:after="0" w:line="268" w:lineRule="auto"/>
        <w:rPr>
          <w:sz w:val="20"/>
          <w:szCs w:val="20"/>
          <w:color w:val="auto"/>
        </w:rPr>
      </w:pPr>
      <w:r>
        <w:rPr>
          <w:rFonts w:ascii="Arial" w:cs="Arial" w:eastAsia="Arial" w:hAnsi="Arial"/>
          <w:sz w:val="17"/>
          <w:szCs w:val="17"/>
          <w:color w:val="auto"/>
        </w:rPr>
        <w:t>We design and assess our program based on the National Institute of Standards and Technology Cybersecurity Framework, or NIST CSF, also integrating security best practices typically used to support the Health Insurance Portability and Accountability Act, or HIPAA, and General Data Protection Regulation, or GDPR, implementations. We use the NIST CSF and such security best practices as a guide to help us monitor, identify, assess and manage cybersecurity risks relevant to our business; however, this does not imply that we meet any particular technical standards, specifications or compliance requirements.</w:t>
      </w:r>
    </w:p>
    <w:p>
      <w:pPr>
        <w:spacing w:after="0" w:line="63" w:lineRule="exact"/>
        <w:rPr>
          <w:sz w:val="20"/>
          <w:szCs w:val="20"/>
          <w:color w:val="auto"/>
        </w:rPr>
      </w:pPr>
    </w:p>
    <w:p>
      <w:pPr>
        <w:ind w:right="600" w:firstLine="393"/>
        <w:spacing w:after="0" w:line="278" w:lineRule="auto"/>
        <w:rPr>
          <w:sz w:val="20"/>
          <w:szCs w:val="20"/>
          <w:color w:val="auto"/>
        </w:rPr>
      </w:pPr>
      <w:r>
        <w:rPr>
          <w:rFonts w:ascii="Arial" w:cs="Arial" w:eastAsia="Arial" w:hAnsi="Arial"/>
          <w:sz w:val="17"/>
          <w:szCs w:val="17"/>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cybersecurity risk management program includes:</w:t>
      </w:r>
    </w:p>
    <w:p>
      <w:pPr>
        <w:spacing w:after="0" w:line="119" w:lineRule="exact"/>
        <w:rPr>
          <w:sz w:val="20"/>
          <w:szCs w:val="20"/>
          <w:color w:val="auto"/>
        </w:rPr>
      </w:pPr>
    </w:p>
    <w:p>
      <w:pPr>
        <w:ind w:left="640" w:right="34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risk assessments designed to help identify material cybersecurity risks to our critical systems, information, products, services and our broader enterprise-IT environment;</w:t>
      </w:r>
    </w:p>
    <w:p>
      <w:pPr>
        <w:spacing w:after="0" w:line="35" w:lineRule="exact"/>
        <w:rPr>
          <w:rFonts w:ascii="Arial" w:cs="Arial" w:eastAsia="Arial" w:hAnsi="Arial"/>
          <w:sz w:val="17"/>
          <w:szCs w:val="17"/>
          <w:color w:val="auto"/>
        </w:rPr>
      </w:pPr>
    </w:p>
    <w:p>
      <w:pPr>
        <w:ind w:left="640" w:right="66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adoption of various cybersecurity software, including but not limited to cloud-based malware, ransomware and antivirus software, phishing monitoring and artificial intelligence-based anomaly detection;</w:t>
      </w:r>
    </w:p>
    <w:p>
      <w:pPr>
        <w:spacing w:after="0" w:line="35" w:lineRule="exact"/>
        <w:rPr>
          <w:rFonts w:ascii="Arial" w:cs="Arial" w:eastAsia="Arial" w:hAnsi="Arial"/>
          <w:sz w:val="17"/>
          <w:szCs w:val="17"/>
          <w:color w:val="auto"/>
        </w:rPr>
      </w:pPr>
    </w:p>
    <w:p>
      <w:pPr>
        <w:ind w:left="640" w:right="220" w:hanging="320"/>
        <w:spacing w:after="0" w:line="300"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security team principally responsible for managing (1) our cybersecurity risk-assessment processes, (2) our security controls, and (3) our response to cybersecurity incidents;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use of external service providers, where appropriate, to assess, test or otherwise assist with aspects of our security controls;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cybersecurity awareness training of our employees, incident response personnel and senior management;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cybersecurity incident response plan that includes procedures for responding to cybersecurity incidents;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security audits and a third-party risk assessment process for key service providers, suppliers and vendors.</w:t>
      </w:r>
    </w:p>
    <w:p>
      <w:pPr>
        <w:spacing w:after="0" w:line="119" w:lineRule="exact"/>
        <w:rPr>
          <w:sz w:val="20"/>
          <w:szCs w:val="20"/>
          <w:color w:val="auto"/>
        </w:rPr>
      </w:pPr>
    </w:p>
    <w:p>
      <w:pPr>
        <w:ind w:firstLine="393"/>
        <w:spacing w:after="0" w:line="266" w:lineRule="auto"/>
        <w:rPr>
          <w:sz w:val="20"/>
          <w:szCs w:val="20"/>
          <w:color w:val="auto"/>
        </w:rPr>
      </w:pPr>
      <w:r>
        <w:rPr>
          <w:rFonts w:ascii="Arial" w:cs="Arial" w:eastAsia="Arial" w:hAnsi="Arial"/>
          <w:sz w:val="17"/>
          <w:szCs w:val="17"/>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Factor—Risks Related to Data Privacy and Cybersecurity—Cyberattacks or other failures in our telecommunications or information technology, or IT,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21"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Our Board of Directors considers cybersecurity risk as part of its risk oversight function and has delegated to the Audit Committee oversight of cybersecurity and other IT risks as well as management’s implementation of our cybersecurity risk management program. The Audit Committee receives periodic reports from management on our cybersecurity risks. In addition, management updates the Audit Committee, as necessary, regarding any material cybersecurity incidents, as well as any incidents with lesser impact potential. The Audit Committee reports to the full Board regarding its activities, including those related to cybersecurity.</w:t>
      </w:r>
    </w:p>
    <w:p>
      <w:pPr>
        <w:spacing w:after="0" w:line="63" w:lineRule="exact"/>
        <w:rPr>
          <w:sz w:val="20"/>
          <w:szCs w:val="20"/>
          <w:color w:val="auto"/>
        </w:rPr>
      </w:pPr>
    </w:p>
    <w:p>
      <w:pPr>
        <w:ind w:right="20" w:firstLine="393"/>
        <w:spacing w:after="0" w:line="300" w:lineRule="auto"/>
        <w:rPr>
          <w:sz w:val="20"/>
          <w:szCs w:val="20"/>
          <w:color w:val="auto"/>
        </w:rPr>
      </w:pPr>
      <w:r>
        <w:rPr>
          <w:rFonts w:ascii="Arial" w:cs="Arial" w:eastAsia="Arial" w:hAnsi="Arial"/>
          <w:sz w:val="17"/>
          <w:szCs w:val="17"/>
          <w:color w:val="auto"/>
        </w:rPr>
        <w:t>We have an internal cybersecurity team, led by our Chief Financial Officer, who is responsible for (i) managing our overall cybersecurity risk-management program; (ii) assessing and managing our risks from cybersecurity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color w:val="auto"/>
        </w:rPr>
        <w:t>threats; and (iii) overseeing retained cybersecurity consultants and providers for additional external expertise. This internal team's experience includes over 30 years in cybersecurity implementation, testing and management.</w:t>
      </w:r>
    </w:p>
    <w:p>
      <w:pPr>
        <w:spacing w:after="0" w:line="36"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We have an Executive Compliance Committee consisting of executive officers and members from senior management across the regulatory, quality, legal, finance and people operations functions that supervises efforts to prevent, detect, mitigate and remediate cybersecurity risks and incidents through various means, which includes updates from our internal cybersecurity team, as relevant; review of any threat intelligence and other information obtained from governmental, public or private sources, including external consultants engaged by us; and alerts and reports produced by security tools deployed in the IT environment.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82" w:lineRule="exact"/>
        <w:rPr>
          <w:sz w:val="20"/>
          <w:szCs w:val="20"/>
          <w:color w:val="auto"/>
        </w:rPr>
      </w:pPr>
    </w:p>
    <w:p>
      <w:pPr>
        <w:jc w:val="both"/>
        <w:ind w:right="20" w:firstLine="433"/>
        <w:spacing w:after="0" w:line="278" w:lineRule="auto"/>
        <w:rPr>
          <w:sz w:val="20"/>
          <w:szCs w:val="20"/>
          <w:color w:val="auto"/>
        </w:rPr>
      </w:pPr>
      <w:r>
        <w:rPr>
          <w:rFonts w:ascii="Arial" w:cs="Arial" w:eastAsia="Arial" w:hAnsi="Arial"/>
          <w:sz w:val="17"/>
          <w:szCs w:val="17"/>
          <w:color w:val="auto"/>
        </w:rPr>
        <w:t>We sublease a facility containing 25,445 square feet of office space, which is located at 99 High Street, Boston, Massachusetts 02110. Our sublease expires on January 31, 2026. We believe that our current facility is sufficient to meet our current and near-term needs and that, should it be needed, suitable additional space will be available.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1" w:lineRule="exact"/>
        <w:rPr>
          <w:sz w:val="20"/>
          <w:szCs w:val="20"/>
          <w:color w:val="auto"/>
        </w:rPr>
      </w:pPr>
    </w:p>
    <w:p>
      <w:pPr>
        <w:ind w:right="260" w:firstLine="433"/>
        <w:spacing w:after="0" w:line="275" w:lineRule="auto"/>
        <w:rPr>
          <w:sz w:val="20"/>
          <w:szCs w:val="20"/>
          <w:color w:val="auto"/>
        </w:rPr>
      </w:pPr>
      <w:r>
        <w:rPr>
          <w:rFonts w:ascii="Arial" w:cs="Arial" w:eastAsia="Arial" w:hAnsi="Arial"/>
          <w:sz w:val="17"/>
          <w:szCs w:val="17"/>
          <w:color w:val="auto"/>
        </w:rPr>
        <w:t>We are not currently a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329" w:lineRule="exact"/>
        <w:rPr>
          <w:sz w:val="20"/>
          <w:szCs w:val="20"/>
          <w:color w:val="auto"/>
        </w:rPr>
      </w:pPr>
    </w:p>
    <w:p>
      <w:pPr>
        <w:ind w:right="1280"/>
        <w:spacing w:after="0" w:line="452" w:lineRule="auto"/>
        <w:rPr>
          <w:sz w:val="20"/>
          <w:szCs w:val="20"/>
          <w:color w:val="auto"/>
        </w:rPr>
      </w:pPr>
      <w:r>
        <w:rPr>
          <w:rFonts w:ascii="Arial" w:cs="Arial" w:eastAsia="Arial" w:hAnsi="Arial"/>
          <w:sz w:val="17"/>
          <w:szCs w:val="17"/>
          <w:b w:val="1"/>
          <w:bCs w:val="1"/>
          <w:color w:val="auto"/>
        </w:rPr>
        <w:t xml:space="preserve">Item 5. Market for Registrant's Common Equity, Related Stockholder Matters and Issuer Purchases of Equity Securities </w:t>
      </w:r>
      <w:r>
        <w:rPr>
          <w:rFonts w:ascii="Arial" w:cs="Arial" w:eastAsia="Arial" w:hAnsi="Arial"/>
          <w:sz w:val="17"/>
          <w:szCs w:val="17"/>
          <w:b w:val="1"/>
          <w:bCs w:val="1"/>
          <w:i w:val="1"/>
          <w:iCs w:val="1"/>
          <w:color w:val="auto"/>
        </w:rPr>
        <w:t>Certain Information Regarding the Trading of Our Common Stock</w:t>
      </w:r>
    </w:p>
    <w:p>
      <w:pPr>
        <w:ind w:left="440"/>
        <w:spacing w:after="0"/>
        <w:rPr>
          <w:sz w:val="20"/>
          <w:szCs w:val="20"/>
          <w:color w:val="auto"/>
        </w:rPr>
      </w:pPr>
      <w:r>
        <w:rPr>
          <w:rFonts w:ascii="Arial" w:cs="Arial" w:eastAsia="Arial" w:hAnsi="Arial"/>
          <w:sz w:val="17"/>
          <w:szCs w:val="17"/>
          <w:color w:val="auto"/>
        </w:rPr>
        <w:t>Our common stock trades under the symbol “PRAX” on the Nasdaq Global Select Market.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Common Stock</w:t>
      </w:r>
    </w:p>
    <w:p>
      <w:pPr>
        <w:spacing w:after="0" w:line="119"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As of March 1, 2024, there were approximately four holders of record of shares of our common stock. The actual number of stockholders is greater than this number of record holders, and includes stockholders who are beneficial owners, but whose shares are held in street name by brokers and other nominees.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Policy</w:t>
      </w:r>
    </w:p>
    <w:p>
      <w:pPr>
        <w:spacing w:after="0" w:line="119" w:lineRule="exact"/>
        <w:rPr>
          <w:sz w:val="20"/>
          <w:szCs w:val="20"/>
          <w:color w:val="auto"/>
        </w:rPr>
      </w:pPr>
    </w:p>
    <w:p>
      <w:pPr>
        <w:ind w:right="60" w:firstLine="433"/>
        <w:spacing w:after="0" w:line="278"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did not make any sales of unregistered securities during the three months ended December 31, 2023.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were no repurchases of shares of common stock made during the three months ended December 31, 2023.</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financing needs,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As noted in our Company Overview in Part I of this report, 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16" w:lineRule="exact"/>
        <w:rPr>
          <w:sz w:val="20"/>
          <w:szCs w:val="20"/>
          <w:color w:val="auto"/>
        </w:rPr>
      </w:pPr>
    </w:p>
    <w:p>
      <w:pPr>
        <w:ind w:left="640" w:right="440" w:hanging="320"/>
        <w:spacing w:after="0" w:line="300"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our small molecule platform, utilizes deep understanding of neuronal excitability and neuronal networks and applies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of computational and experimental tools to develop orally available precision therapies</w:t>
      </w:r>
    </w:p>
    <w:p>
      <w:pPr>
        <w:spacing w:after="0" w:line="88" w:lineRule="exact"/>
        <w:rPr>
          <w:rFonts w:ascii="Arial" w:cs="Arial" w:eastAsia="Arial" w:hAnsi="Arial"/>
          <w:sz w:val="17"/>
          <w:szCs w:val="17"/>
          <w:color w:val="auto"/>
        </w:rPr>
      </w:pPr>
    </w:p>
    <w:p>
      <w:pPr>
        <w:ind w:left="640" w:right="500" w:hanging="320"/>
        <w:spacing w:after="0" w:line="300"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our antisense oligonucleotide, or ASO, platform, is an efficient, targeted precision medicine discovery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 anchored on a proprietary, computational methodology</w:t>
      </w:r>
    </w:p>
    <w:p>
      <w:pPr>
        <w:spacing w:after="0" w:line="141" w:lineRule="exact"/>
        <w:rPr>
          <w:sz w:val="20"/>
          <w:szCs w:val="20"/>
          <w:color w:val="auto"/>
        </w:rPr>
      </w:pPr>
    </w:p>
    <w:p>
      <w:pPr>
        <w:ind w:right="60" w:firstLine="433"/>
        <w:spacing w:after="0" w:line="261" w:lineRule="auto"/>
        <w:rPr>
          <w:sz w:val="20"/>
          <w:szCs w:val="20"/>
          <w:color w:val="auto"/>
        </w:rPr>
      </w:pPr>
      <w:r>
        <w:rPr>
          <w:rFonts w:ascii="Arial" w:cs="Arial" w:eastAsia="Arial" w:hAnsi="Arial"/>
          <w:sz w:val="17"/>
          <w:szCs w:val="17"/>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 For our most advanced product candidate under the Cerebrum™ platform, ulixacaltamide (formerly known as PRAX-944), we expect to announce topline results from the Phase 3 Essential3 clinical trial in essential tremor, or ET, in the second half of 2024. Within our PRAX-628 program, we initiated a Phase 2a Photo-Paroxysmal Response, or PPR, study of PRAX-628 in the second quarter of 2023 and expect to report topline results in the first quarter of 2024. We also plan to initiate a Phase 2b study of PRAX-628 in focal epilepsy in the second half of 2024. Our PRAX-562 Phase 2 EMBOLD study was initiated in the first quarter of 2023, with initial cohorts in SCN2A-DEE and SCN8A-DEE, and we expect to announce topline results for both cohorts in mid-2024. For our most advanced product candidate under the Solidus™ platform, PRAX-222, we initiated the EMBRAVE study in the second quarter of 2023, which was completed in the fourth quarter of 2023. For further details on our business, refer to the Business section of Part I of this report.</w:t>
      </w:r>
    </w:p>
    <w:p>
      <w:pPr>
        <w:spacing w:after="0" w:line="179" w:lineRule="exact"/>
        <w:rPr>
          <w:sz w:val="20"/>
          <w:szCs w:val="20"/>
          <w:color w:val="auto"/>
        </w:rPr>
      </w:pPr>
    </w:p>
    <w:p>
      <w:pPr>
        <w:ind w:right="80" w:firstLine="393"/>
        <w:spacing w:after="0" w:line="266" w:lineRule="auto"/>
        <w:rPr>
          <w:sz w:val="20"/>
          <w:szCs w:val="20"/>
          <w:color w:val="auto"/>
        </w:rPr>
      </w:pPr>
      <w:r>
        <w:rPr>
          <w:rFonts w:ascii="Arial" w:cs="Arial" w:eastAsia="Arial" w:hAnsi="Arial"/>
          <w:sz w:val="17"/>
          <w:szCs w:val="17"/>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6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net losses of $123.3 million and $214.0 million for the years ended December 31, 2023 and 2022, respectively. As of December 31, 2023, we had an accumulated deficit of $653.9 million. We expect to incur significant expenses and operating losses for the foreseeable future as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increase significantly in connection with our ongoing activities, as we:</w:t>
      </w:r>
    </w:p>
    <w:p>
      <w:pPr>
        <w:spacing w:after="0" w:line="108" w:lineRule="exact"/>
        <w:rPr>
          <w:sz w:val="20"/>
          <w:szCs w:val="20"/>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advance our lead product candidate, ulixacaltamide, through the Phase 3 Essential3 clinical trial program for ET;</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advance our PRAX-562 product candidate in the EMBOLD clinical trial;</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advance our PRAX-222 product candidate in the EMBRAVE clinical trial;</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advance our PRAX-628 product candidate in the Phase 2a PPR clinical trial and begin the Phase 2 focal epilepsy clinical trial;</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advance our preclinical candidates to clinical trials;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further invest in our pipeline;</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further invest in our manufacturing capabilities;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seek regulatory approval for our product candidates;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maintain, expand, protect and defend our IP portfolio;</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acquire or in-license technology;</w:t>
      </w:r>
    </w:p>
    <w:p>
      <w:pPr>
        <w:spacing w:after="0" w:line="171" w:lineRule="exact"/>
        <w:rPr>
          <w:rFonts w:ascii="Arial" w:cs="Arial" w:eastAsia="Arial" w:hAnsi="Arial"/>
          <w:sz w:val="17"/>
          <w:szCs w:val="17"/>
          <w:color w:val="auto"/>
        </w:rPr>
      </w:pPr>
    </w:p>
    <w:p>
      <w:pPr>
        <w:ind w:left="800" w:right="60" w:hanging="323"/>
        <w:spacing w:after="0" w:line="300" w:lineRule="auto"/>
        <w:tabs>
          <w:tab w:leader="none" w:pos="7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 and</w:t>
      </w:r>
    </w:p>
    <w:p>
      <w:pPr>
        <w:spacing w:after="0" w:line="88" w:lineRule="exact"/>
        <w:rPr>
          <w:rFonts w:ascii="Arial" w:cs="Arial" w:eastAsia="Arial" w:hAnsi="Arial"/>
          <w:sz w:val="17"/>
          <w:szCs w:val="17"/>
          <w:color w:val="auto"/>
        </w:rPr>
      </w:pPr>
    </w:p>
    <w:p>
      <w:pPr>
        <w:ind w:left="780" w:hanging="303"/>
        <w:spacing w:after="0"/>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when needed, increase our headcount to support our development efforts and any future commercialization efforts.</w:t>
      </w:r>
    </w:p>
    <w:p>
      <w:pPr>
        <w:spacing w:after="0" w:line="224"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69" w:lineRule="exact"/>
        <w:rPr>
          <w:sz w:val="20"/>
          <w:szCs w:val="20"/>
          <w:color w:val="auto"/>
        </w:rPr>
      </w:pPr>
    </w:p>
    <w:p>
      <w:pPr>
        <w:jc w:val="both"/>
        <w:ind w:right="200" w:firstLine="433"/>
        <w:spacing w:after="0" w:line="271" w:lineRule="auto"/>
        <w:rPr>
          <w:sz w:val="20"/>
          <w:szCs w:val="20"/>
          <w:color w:val="auto"/>
        </w:rPr>
      </w:pPr>
      <w:r>
        <w:rPr>
          <w:rFonts w:ascii="Arial" w:cs="Arial" w:eastAsia="Arial" w:hAnsi="Arial"/>
          <w:sz w:val="17"/>
          <w:szCs w:val="17"/>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November 2021, we entered into an Open Market Sale Agreement, or the 2021 Sales Agreement, with Jefferies LLC, or Jefferies,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provide for the offering, issuance and sale of up to an aggregate amount of $125.0 million of common stock from time to time in at-the-market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offerings for which Jefferies acted as sales agent. The 2021 Sales Agreement was terminated in June 2023. During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 we issued and sold an aggregate of 952,794 shares under the 2021 Sales Agreement for aggregate net proceeds of $24.1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million, after deducting commissions and offering expenses payable by us. During the year ended December 31, 2022, we issued and sold 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aggregate of 239,684 shares under the 2021 Sales Agreement for aggregate net proceeds of $9.6 million, after deducting commissions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offering expenses payable by us.</w:t>
      </w:r>
    </w:p>
    <w:p>
      <w:pPr>
        <w:spacing w:after="0" w:line="208"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In June 2023, we completed a public offering of: (i) an aggregate of 4,296,646 shares of common stock at a public offering price of $14.25 per share, including the underwriters' full exercise of their option to purchase 619,979 additional shares of common stock, and (ii) pre-funded warrants to purchase 470,000 shares of common stock at a public offering price of $14.2485 per share. The purchase price per share for each pre-funded warrant represents the per share offering price for the common stock, less the $0.0015 per share exercise price for each underlying</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300" w:lineRule="auto"/>
        <w:rPr>
          <w:sz w:val="20"/>
          <w:szCs w:val="20"/>
          <w:color w:val="auto"/>
        </w:rPr>
      </w:pPr>
      <w:r>
        <w:rPr>
          <w:rFonts w:ascii="Arial" w:cs="Arial" w:eastAsia="Arial" w:hAnsi="Arial"/>
          <w:sz w:val="17"/>
          <w:szCs w:val="17"/>
          <w:color w:val="auto"/>
        </w:rPr>
        <w:t>share. Total net proceeds generated from the offering were approximately $63.4 million, after deducting underwriting discounts, commissions and other offering expenses payable by us.</w:t>
      </w:r>
    </w:p>
    <w:p>
      <w:pPr>
        <w:spacing w:after="0" w:line="141"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In December 2023, we entered into an Open Market Sale Agreement, or the 2023 Sales Agreement, with Jefferies, to provide for the offering, issuance and sale of up to an aggregate amount of $75.0 million of common stock in at-the-market offerings. The 2023 Sales Agreement was terminated in January 2024. During the year ended December 31, 2023, we issued and sold an aggregate of 212,453 shares under the 2023 Sales Agreement for aggregate net proceeds of $4.0 million, after deducting commissions and offering expenses payable by us. In January 2024, we issued and sold 192,190 shares under the 2023 Sales Agreement for aggregate net proceeds of $5.3 million, after deducting commissions and offering expenses payable by us.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January 2024, we completed a public offering of: (i) an aggregate of 3,802,025 shares of our common stock at a public offering price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$35.50 per share, including the underwriters' full exercise of their option to purchase 633,750 additional shares of common stock, and (ii) pre-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funded warrants to purchase 1,056,725 shares of common stock at a public offering price of $35.4999 per share of common stock underlying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warrants. The purchase price per share for each pre-funded warrant represents the per share offering price for the common stock, less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$0.0001 per share exercise price of each underlying share. Total net proceeds generated from the offering were approximately $161.7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after deducting underwriting discounts, commissions and other offering expenses payable by us.</w:t>
      </w:r>
    </w:p>
    <w:p>
      <w:pPr>
        <w:spacing w:after="0" w:line="208"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As of December 31, 2023, we had cash and cash equivalents of $81.3 million. We expect that our current cash and cash equivalents, which includes proceeds from our January 2024 public offering and at-the-market offerings, will be sufficient to fund our operating expenditures and capital expenditure requirements necessary to advance our research efforts and clinical trials into 2026. The analysis included consideration of our current financial needs and ongoing research and development plans. We have based this estimate on assumptions that may provide to be wrong, and we could exhaust our available capital resources sooner than we expect. See “—Liquidity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224"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On November 28, 2023, we filed a Certificate of Amendment to our Amended and Restated Certificate of Incorporation with the Secretary of State of the State of Delaware to effect a 1-for-15 reverse stock split of our common stock, or the Reverse Stock Split. The Reverse Stock Split became effective at 5:00 p.m., Eastern Time, on November 28, 2023, or the Effective Time.</w:t>
      </w:r>
    </w:p>
    <w:p>
      <w:pPr>
        <w:spacing w:after="0" w:line="160"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As a result of the Reverse Stock Split, every 15 shares of our issued and outstanding common stock were automatically reclassified into one validly issued, fully-paid and non-assessable share of common stock, subject to the treatment of fractional shares as described below, without any action on the part of the holders thereof. The Reverse Stock Split did not affect the number of authorized shares of common stock or the par value of the common stock.</w:t>
      </w:r>
    </w:p>
    <w:p>
      <w:pPr>
        <w:spacing w:after="0" w:line="166"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No fractional shares were issued in connection with the Reverse Stock Split. Stockholders who would otherwise be entitled to receive fractional shares as a result of the Reverse Stock Split were entitled to a cash payment in lieu thereof at a price equal to the fraction to which the stockholder would otherwise be entitled multiplied by the closing price per share of the common stock (as adjusted for the Reverse Stock Split) on the Nasdaq Global Select Market on November 28, 2023, the last trading day immediately preceding the Effective Time.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w:t>
      </w:r>
    </w:p>
    <w:p>
      <w:pPr>
        <w:spacing w:after="0" w:line="119" w:lineRule="exact"/>
        <w:rPr>
          <w:sz w:val="20"/>
          <w:szCs w:val="20"/>
          <w:color w:val="auto"/>
        </w:rPr>
      </w:pPr>
    </w:p>
    <w:p>
      <w:pPr>
        <w:ind w:right="540" w:firstLine="433"/>
        <w:spacing w:after="0" w:line="300" w:lineRule="auto"/>
        <w:rPr>
          <w:sz w:val="20"/>
          <w:szCs w:val="20"/>
          <w:color w:val="auto"/>
        </w:rPr>
      </w:pPr>
      <w:r>
        <w:rPr>
          <w:rFonts w:ascii="Arial" w:cs="Arial" w:eastAsia="Arial" w:hAnsi="Arial"/>
          <w:sz w:val="17"/>
          <w:szCs w:val="17"/>
          <w:color w:val="auto"/>
        </w:rPr>
        <w:t>In June 2022, we began a strategic realignment across our Cerebrum™ and Solidus™ platforms, which resulted in a reduction of our workforce.</w:t>
      </w:r>
    </w:p>
    <w:p>
      <w:pPr>
        <w:spacing w:after="0" w:line="141" w:lineRule="exact"/>
        <w:rPr>
          <w:sz w:val="20"/>
          <w:szCs w:val="20"/>
          <w:color w:val="auto"/>
        </w:rPr>
      </w:pPr>
    </w:p>
    <w:p>
      <w:pPr>
        <w:ind w:right="220" w:firstLine="433"/>
        <w:spacing w:after="0" w:line="271" w:lineRule="auto"/>
        <w:rPr>
          <w:sz w:val="20"/>
          <w:szCs w:val="20"/>
          <w:color w:val="auto"/>
        </w:rPr>
      </w:pPr>
      <w:r>
        <w:rPr>
          <w:rFonts w:ascii="Arial" w:cs="Arial" w:eastAsia="Arial" w:hAnsi="Arial"/>
          <w:sz w:val="17"/>
          <w:szCs w:val="17"/>
          <w:color w:val="auto"/>
        </w:rPr>
        <w:t>We incurred $1.0 million of costs related to the realignment, of which $0.6 million was recognized in research and development expenses and $0.4 million was recognized in general and administrative expenses in the consolidated statement of operations during the year ended December 31, 2022. These costs related to employee severance, benefits and related costs. As of December 31, 2022, all costs related to the strategic realignment had been paid.</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We have not generated any revenue since inception and do not expect to generate any revenue from the sale of products for several years, if at all. As discussed in Note 9 to our audited consolidated financial statements, we entered into an Option and License Agreement, or the Collaboration Agreement, with UCB Biopharma SRL, or UCB, in December 2022. We recognized $2.4 million of collaboration revenue from the Collaboration Agreement during the year ended December 31, 2023 and did not recognize any revenue from the Collaboration Agreement during the year ended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119"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The nature of our business and primary focus of our activities generate a significant amount of research and development costs. Research and development expenses represent costs incurred by us for the following:</w:t>
      </w:r>
    </w:p>
    <w:p>
      <w:pPr>
        <w:spacing w:after="0" w:line="88" w:lineRule="exact"/>
        <w:rPr>
          <w:sz w:val="20"/>
          <w:szCs w:val="20"/>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to develop our portfolio;</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discovery efforts leading to development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clinical development costs for our product candidates; and</w:t>
      </w:r>
    </w:p>
    <w:p>
      <w:pPr>
        <w:spacing w:after="0" w:line="171" w:lineRule="exact"/>
        <w:rPr>
          <w:rFonts w:ascii="Arial" w:cs="Arial" w:eastAsia="Arial" w:hAnsi="Arial"/>
          <w:sz w:val="17"/>
          <w:szCs w:val="17"/>
          <w:color w:val="auto"/>
        </w:rPr>
      </w:pPr>
    </w:p>
    <w:p>
      <w:pPr>
        <w:ind w:left="440" w:right="5540" w:hanging="120"/>
        <w:spacing w:after="0" w:line="450" w:lineRule="auto"/>
        <w:tabs>
          <w:tab w:leader="none" w:pos="6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to develop our manufacturing technology and infrastructure. The costs above comprise the following categories: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personnel-related expenses, including salaries, benefits and stock-based compensation expense;</w:t>
      </w:r>
    </w:p>
    <w:p>
      <w:pPr>
        <w:spacing w:after="0" w:line="171" w:lineRule="exact"/>
        <w:rPr>
          <w:rFonts w:ascii="Arial" w:cs="Arial" w:eastAsia="Arial" w:hAnsi="Arial"/>
          <w:sz w:val="17"/>
          <w:szCs w:val="17"/>
          <w:color w:val="auto"/>
        </w:rPr>
      </w:pPr>
    </w:p>
    <w:p>
      <w:pPr>
        <w:ind w:left="640" w:right="26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such as consultants, investigative sites and CROs, that conduct our preclinical and clinical studies and in-licensing arrangements;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incurred to maintain compliance with regulatory requirements;</w:t>
      </w:r>
    </w:p>
    <w:p>
      <w:pPr>
        <w:spacing w:after="0" w:line="171"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incurred with third-party contract development and manufacturing organizations to acquire, develop and manufacture materials for preclinical and clinical studies; and</w:t>
      </w:r>
    </w:p>
    <w:p>
      <w:pPr>
        <w:spacing w:after="0" w:line="88" w:lineRule="exact"/>
        <w:rPr>
          <w:rFonts w:ascii="Arial" w:cs="Arial" w:eastAsia="Arial" w:hAnsi="Arial"/>
          <w:sz w:val="17"/>
          <w:szCs w:val="17"/>
          <w:color w:val="auto"/>
        </w:rPr>
      </w:pPr>
    </w:p>
    <w:p>
      <w:pPr>
        <w:ind w:left="640" w:right="700" w:hanging="320"/>
        <w:spacing w:after="0" w:line="300"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depreciation, amortization and other direct and allocated expenses, including rent and other operating costs, such as information technology, incurred as a result of our research and development activities.</w:t>
      </w:r>
    </w:p>
    <w:p>
      <w:pPr>
        <w:spacing w:after="0" w:line="141"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69"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As a company operating in a virtual environment, a significant portion of our research and development costs have been external costs.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66" w:lineRule="exact"/>
        <w:rPr>
          <w:sz w:val="20"/>
          <w:szCs w:val="20"/>
          <w:color w:val="auto"/>
        </w:rPr>
      </w:pPr>
    </w:p>
    <w:p>
      <w:pPr>
        <w:ind w:right="380" w:firstLine="433"/>
        <w:spacing w:after="0" w:line="300" w:lineRule="auto"/>
        <w:rPr>
          <w:sz w:val="20"/>
          <w:szCs w:val="20"/>
          <w:color w:val="auto"/>
        </w:rPr>
      </w:pPr>
      <w:r>
        <w:rPr>
          <w:rFonts w:ascii="Arial" w:cs="Arial" w:eastAsia="Arial" w:hAnsi="Arial"/>
          <w:sz w:val="17"/>
          <w:szCs w:val="17"/>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3220" w:type="dxa"/>
            <w:vAlign w:val="bottom"/>
            <w:tcBorders>
              <w:bottom w:val="single" w:sz="8" w:color="auto"/>
            </w:tcBorders>
            <w:gridSpan w:val="5"/>
          </w:tcPr>
          <w:p>
            <w:pPr>
              <w:jc w:val="right"/>
              <w:ind w:right="56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79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92,708</w:t>
            </w: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color w:val="auto"/>
              </w:rPr>
              <w:t>Solidus™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18,449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17,500</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37,392</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7,440</w:t>
            </w: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86,766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155,040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67"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14" w:lineRule="exact"/>
        <w:rPr>
          <w:sz w:val="20"/>
          <w:szCs w:val="20"/>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add and retain key research and development personnel;</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timing and progress of preclinical and clinical development activities;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number and scope of preclinical and clinical programs we decide to pursue;</w:t>
      </w:r>
    </w:p>
    <w:p>
      <w:pPr>
        <w:spacing w:after="0" w:line="171" w:lineRule="exact"/>
        <w:rPr>
          <w:rFonts w:ascii="Arial" w:cs="Arial" w:eastAsia="Arial" w:hAnsi="Arial"/>
          <w:sz w:val="17"/>
          <w:szCs w:val="17"/>
          <w:color w:val="auto"/>
        </w:rPr>
      </w:pPr>
    </w:p>
    <w:p>
      <w:pPr>
        <w:ind w:left="640" w:right="600" w:hanging="320"/>
        <w:spacing w:after="0" w:line="300"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successfully complete clinical trials with safety, tolerability and efficacy profiles that are satisfactory to the FDA or any comparable foreign regulatory authority;</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successfully develop, obtain regulatory approval for, and then successfully commercialize, our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successful enrollment in and completion of clinical trials;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costs associated with the development of any additional product candidates we identify in-house or acquire through collaborations;</w:t>
      </w:r>
    </w:p>
    <w:p>
      <w:pPr>
        <w:spacing w:after="0" w:line="171" w:lineRule="exact"/>
        <w:rPr>
          <w:rFonts w:ascii="Arial" w:cs="Arial" w:eastAsia="Arial" w:hAnsi="Arial"/>
          <w:sz w:val="17"/>
          <w:szCs w:val="17"/>
          <w:color w:val="auto"/>
        </w:rPr>
      </w:pPr>
    </w:p>
    <w:p>
      <w:pPr>
        <w:ind w:left="640" w:right="580" w:hanging="320"/>
        <w:spacing w:after="0" w:line="300"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discover, develop and utilize biomarkers to demonstrate target engagement, pathway engagement and the impact on disease progression of our product candidates;</w:t>
      </w:r>
    </w:p>
    <w:p>
      <w:pPr>
        <w:spacing w:after="0" w:line="88" w:lineRule="exact"/>
        <w:rPr>
          <w:rFonts w:ascii="Arial" w:cs="Arial" w:eastAsia="Arial" w:hAnsi="Arial"/>
          <w:sz w:val="17"/>
          <w:szCs w:val="17"/>
          <w:color w:val="auto"/>
        </w:rPr>
      </w:pPr>
    </w:p>
    <w:p>
      <w:pPr>
        <w:ind w:left="640" w:right="340" w:hanging="320"/>
        <w:spacing w:after="0" w:line="300"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establish and maintain agreements with third-party manufacturers for clinical supply for our clinical trials and commercial manufacturing, if our product candidates are approved;</w:t>
      </w:r>
    </w:p>
    <w:p>
      <w:pPr>
        <w:spacing w:after="0" w:line="88" w:lineRule="exact"/>
        <w:rPr>
          <w:rFonts w:ascii="Arial" w:cs="Arial" w:eastAsia="Arial" w:hAnsi="Arial"/>
          <w:sz w:val="17"/>
          <w:szCs w:val="17"/>
          <w:color w:val="auto"/>
        </w:rPr>
      </w:pPr>
    </w:p>
    <w:p>
      <w:pPr>
        <w:ind w:left="640" w:right="580" w:hanging="320"/>
        <w:spacing w:after="0" w:line="300"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terms and timing of any collaboration, license or other arrangement, including the terms and timing of any milestone payments thereunder;</w:t>
      </w:r>
    </w:p>
    <w:p>
      <w:pPr>
        <w:spacing w:after="0" w:line="88" w:lineRule="exact"/>
        <w:rPr>
          <w:rFonts w:ascii="Arial" w:cs="Arial" w:eastAsia="Arial" w:hAnsi="Arial"/>
          <w:sz w:val="17"/>
          <w:szCs w:val="17"/>
          <w:color w:val="auto"/>
        </w:rPr>
      </w:pPr>
    </w:p>
    <w:p>
      <w:pPr>
        <w:ind w:left="640" w:right="440" w:hanging="320"/>
        <w:spacing w:after="0" w:line="300"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obtain and maintain patent, trade secret and other IP protection and regulatory exclusivity for our product candidates, if approved;</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receipt of marketing approvals from applicable regulatory authorities;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commercialize products, if approved, whether alone or in collaboration with others;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continued acceptable safety profiles of our product candidates.</w:t>
      </w:r>
    </w:p>
    <w:p>
      <w:pPr>
        <w:spacing w:after="0" w:line="224" w:lineRule="exact"/>
        <w:rPr>
          <w:sz w:val="20"/>
          <w:szCs w:val="20"/>
          <w:color w:val="auto"/>
        </w:rPr>
      </w:pPr>
    </w:p>
    <w:p>
      <w:pPr>
        <w:ind w:right="200" w:firstLine="433"/>
        <w:spacing w:after="0" w:line="271" w:lineRule="auto"/>
        <w:rPr>
          <w:sz w:val="20"/>
          <w:szCs w:val="20"/>
          <w:color w:val="auto"/>
        </w:rPr>
      </w:pPr>
      <w:r>
        <w:rPr>
          <w:rFonts w:ascii="Arial" w:cs="Arial" w:eastAsia="Arial" w:hAnsi="Arial"/>
          <w:sz w:val="17"/>
          <w:szCs w:val="17"/>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resources and time to complete our clinical development activities. We may never obtain regulatory approval for any of our product candidates.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Drug commercialization will take several years and require significant development costs.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383" w:lineRule="exact"/>
        <w:rPr>
          <w:sz w:val="20"/>
          <w:szCs w:val="20"/>
          <w:color w:val="auto"/>
        </w:rPr>
      </w:pPr>
    </w:p>
    <w:p>
      <w:pPr>
        <w:ind w:right="180" w:firstLine="433"/>
        <w:spacing w:after="0" w:line="271" w:lineRule="auto"/>
        <w:rPr>
          <w:sz w:val="20"/>
          <w:szCs w:val="20"/>
          <w:color w:val="auto"/>
        </w:rPr>
      </w:pPr>
      <w:r>
        <w:rPr>
          <w:rFonts w:ascii="Arial" w:cs="Arial" w:eastAsia="Arial" w:hAnsi="Arial"/>
          <w:sz w:val="17"/>
          <w:szCs w:val="17"/>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Net</w:t>
      </w:r>
    </w:p>
    <w:p>
      <w:pPr>
        <w:spacing w:after="0" w:line="119"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Other income, net consists of interest income from our cash, cash equivalents and marketable securities and amortization of investment premiums and discounts.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Since our inception, we have not recorded any U.S. federal or state income tax benefits for the net losses we have incurred in each year or for our earned research and development tax credits due to our uncertainty of realizing a benefit from those items. As of December 31, 2023 and 2022, we had U.S. federal and state net operating loss carryforwards which may be available to offset future taxable income and which begin to expire in 2035. As of December 31, 2023 and 2022, we also had federal and state research and development tax credit carryforwards which may be available to offset future income tax liabilities and which begin to expire in 2031.</w:t>
      </w:r>
    </w:p>
    <w:p>
      <w:pPr>
        <w:spacing w:after="0" w:line="167" w:lineRule="exact"/>
        <w:rPr>
          <w:sz w:val="20"/>
          <w:szCs w:val="20"/>
          <w:color w:val="auto"/>
        </w:rPr>
      </w:pPr>
    </w:p>
    <w:p>
      <w:pPr>
        <w:ind w:right="200" w:firstLine="433"/>
        <w:spacing w:after="0" w:line="278" w:lineRule="auto"/>
        <w:rPr>
          <w:sz w:val="20"/>
          <w:szCs w:val="20"/>
          <w:color w:val="auto"/>
        </w:rPr>
      </w:pPr>
      <w:r>
        <w:rPr>
          <w:rFonts w:ascii="Arial" w:cs="Arial" w:eastAsia="Arial" w:hAnsi="Arial"/>
          <w:sz w:val="17"/>
          <w:szCs w:val="17"/>
          <w:color w:val="auto"/>
        </w:rPr>
        <w:t>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years ended December 31, 2023 and 2022.</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2023 and 2022</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consolidated statements of operations for each period presented (in thousands):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160" w:type="dxa"/>
            <w:vAlign w:val="bottom"/>
          </w:tcPr>
          <w:p>
            <w:pPr>
              <w:jc w:val="right"/>
              <w:ind w:right="341"/>
              <w:spacing w:after="0"/>
              <w:rPr>
                <w:sz w:val="20"/>
                <w:szCs w:val="20"/>
                <w:color w:val="auto"/>
              </w:rPr>
            </w:pPr>
            <w:r>
              <w:rPr>
                <w:rFonts w:ascii="Arial" w:cs="Arial" w:eastAsia="Arial" w:hAnsi="Arial"/>
                <w:sz w:val="16"/>
                <w:szCs w:val="16"/>
                <w:b w:val="1"/>
                <w:bCs w:val="1"/>
                <w:color w:val="auto"/>
              </w:rPr>
              <w:t>Change</w:t>
            </w:r>
          </w:p>
        </w:tc>
      </w:tr>
      <w:tr>
        <w:trPr>
          <w:trHeight w:val="203"/>
        </w:trPr>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155,040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(68,274)</w:t>
            </w:r>
          </w:p>
        </w:tc>
      </w:tr>
      <w:tr>
        <w:trPr>
          <w:trHeight w:val="209"/>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59,946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(17,892)</w:t>
            </w:r>
          </w:p>
        </w:tc>
      </w:tr>
      <w:tr>
        <w:trPr>
          <w:trHeight w:val="204"/>
        </w:trPr>
        <w:tc>
          <w:tcPr>
            <w:tcW w:w="6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128,820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214,986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(86,166)</w:t>
            </w:r>
          </w:p>
        </w:tc>
      </w:tr>
      <w:tr>
        <w:trPr>
          <w:trHeight w:val="202"/>
        </w:trPr>
        <w:tc>
          <w:tcPr>
            <w:tcW w:w="67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(126,373)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(214,986)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88,613</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957</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w:t>
            </w:r>
          </w:p>
        </w:tc>
      </w:tr>
      <w:tr>
        <w:trPr>
          <w:trHeight w:val="203"/>
        </w:trPr>
        <w:tc>
          <w:tcPr>
            <w:tcW w:w="6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other income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w:t>
            </w: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(123,277)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(214,029)</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90,752</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Revenue</w:t>
      </w:r>
    </w:p>
    <w:p>
      <w:pPr>
        <w:spacing w:after="0" w:line="224" w:lineRule="exact"/>
        <w:rPr>
          <w:sz w:val="20"/>
          <w:szCs w:val="20"/>
          <w:color w:val="auto"/>
        </w:rPr>
      </w:pPr>
    </w:p>
    <w:p>
      <w:pPr>
        <w:ind w:right="600" w:firstLine="472"/>
        <w:spacing w:after="0" w:line="300" w:lineRule="auto"/>
        <w:rPr>
          <w:sz w:val="20"/>
          <w:szCs w:val="20"/>
          <w:color w:val="auto"/>
        </w:rPr>
      </w:pPr>
      <w:r>
        <w:rPr>
          <w:rFonts w:ascii="Arial" w:cs="Arial" w:eastAsia="Arial" w:hAnsi="Arial"/>
          <w:sz w:val="17"/>
          <w:szCs w:val="17"/>
          <w:color w:val="auto"/>
        </w:rPr>
        <w:t>The $2.4 million increase in collaboration revenue is associated with the revenue recorded as research services provided and costs incurred under the Collaboration Agreement with UCB that was executed in December 2022.</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w:t>
      </w:r>
    </w:p>
    <w:p>
      <w:pPr>
        <w:spacing w:after="0" w:line="119" w:lineRule="exact"/>
        <w:rPr>
          <w:sz w:val="20"/>
          <w:szCs w:val="20"/>
          <w:color w:val="auto"/>
        </w:rPr>
      </w:pPr>
    </w:p>
    <w:p>
      <w:pPr>
        <w:ind w:right="60" w:firstLine="433"/>
        <w:spacing w:after="0" w:line="300" w:lineRule="auto"/>
        <w:rPr>
          <w:sz w:val="20"/>
          <w:szCs w:val="20"/>
          <w:color w:val="auto"/>
        </w:rPr>
      </w:pPr>
      <w:r>
        <w:rPr>
          <w:rFonts w:ascii="Arial" w:cs="Arial" w:eastAsia="Arial" w:hAnsi="Arial"/>
          <w:sz w:val="17"/>
          <w:szCs w:val="17"/>
          <w:color w:val="auto"/>
        </w:rPr>
        <w:t>The following table summarizes our research and development expenses for each period presented, along with the changes in those items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8"/>
                <w:szCs w:val="18"/>
                <w:color w:val="auto"/>
              </w:rPr>
            </w:pPr>
          </w:p>
        </w:tc>
        <w:tc>
          <w:tcPr>
            <w:tcW w:w="1160" w:type="dxa"/>
            <w:vAlign w:val="bottom"/>
          </w:tcPr>
          <w:p>
            <w:pPr>
              <w:jc w:val="right"/>
              <w:ind w:right="341"/>
              <w:spacing w:after="0"/>
              <w:rPr>
                <w:sz w:val="20"/>
                <w:szCs w:val="20"/>
                <w:color w:val="auto"/>
              </w:rPr>
            </w:pPr>
            <w:r>
              <w:rPr>
                <w:rFonts w:ascii="Arial" w:cs="Arial" w:eastAsia="Arial" w:hAnsi="Arial"/>
                <w:sz w:val="16"/>
                <w:szCs w:val="16"/>
                <w:b w:val="1"/>
                <w:bCs w:val="1"/>
                <w:color w:val="auto"/>
              </w:rPr>
              <w:t>Change</w:t>
            </w:r>
          </w:p>
        </w:tc>
      </w:tr>
      <w:tr>
        <w:trPr>
          <w:trHeight w:val="203"/>
        </w:trPr>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CCEEFF"/>
            </w:tcBorders>
          </w:tcPr>
          <w:p>
            <w:pPr>
              <w:spacing w:after="0"/>
              <w:rPr>
                <w:sz w:val="17"/>
                <w:szCs w:val="17"/>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92,708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(61,418)</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Solidus™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18,449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17,500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37,392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(8,289)</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7,440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86,766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155,040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(68,274)</w:t>
            </w:r>
          </w:p>
        </w:tc>
      </w:tr>
    </w:tbl>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$68.3 million decrease in research and development expenses was primarily attributable to the following:</w:t>
      </w:r>
    </w:p>
    <w:p>
      <w:pPr>
        <w:spacing w:after="0" w:line="172" w:lineRule="exact"/>
        <w:rPr>
          <w:sz w:val="20"/>
          <w:szCs w:val="20"/>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$61.4 million decrease in expense related to our Cerebrum™ platform, driven primarily by:</w:t>
      </w:r>
    </w:p>
    <w:p>
      <w:pPr>
        <w:spacing w:after="0" w:line="171" w:lineRule="exact"/>
        <w:rPr>
          <w:rFonts w:ascii="Arial" w:cs="Arial" w:eastAsia="Arial" w:hAnsi="Arial"/>
          <w:sz w:val="17"/>
          <w:szCs w:val="17"/>
          <w:color w:val="auto"/>
        </w:rPr>
      </w:pPr>
    </w:p>
    <w:p>
      <w:pPr>
        <w:ind w:left="1260" w:right="20" w:hanging="311"/>
        <w:spacing w:after="0" w:line="300" w:lineRule="auto"/>
        <w:tabs>
          <w:tab w:leader="none" w:pos="12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$29.9 million decrease in clinical-related spend for our PRAX-114 program due to our strategic realignment in the second quarter of 2022;</w:t>
      </w:r>
    </w:p>
    <w:p>
      <w:pPr>
        <w:spacing w:after="0" w:line="88" w:lineRule="exact"/>
        <w:rPr>
          <w:rFonts w:ascii="Arial" w:cs="Arial" w:eastAsia="Arial" w:hAnsi="Arial"/>
          <w:sz w:val="17"/>
          <w:szCs w:val="17"/>
          <w:color w:val="auto"/>
        </w:rPr>
      </w:pPr>
    </w:p>
    <w:p>
      <w:pPr>
        <w:ind w:left="1260" w:right="100" w:hanging="311"/>
        <w:spacing w:after="0" w:line="300" w:lineRule="auto"/>
        <w:tabs>
          <w:tab w:leader="none" w:pos="12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$15.5 million decrease in spend for our PRAX-562 program primarily related to the prior year manufacturing spend and Phase 1 trial spending, partially offset by costs related to our EMBOLD Phase 2 clinical trial in 2023;</w:t>
      </w:r>
    </w:p>
    <w:p>
      <w:pPr>
        <w:spacing w:after="0" w:line="88" w:lineRule="exact"/>
        <w:rPr>
          <w:rFonts w:ascii="Arial" w:cs="Arial" w:eastAsia="Arial" w:hAnsi="Arial"/>
          <w:sz w:val="17"/>
          <w:szCs w:val="17"/>
          <w:color w:val="auto"/>
        </w:rPr>
      </w:pPr>
    </w:p>
    <w:p>
      <w:pPr>
        <w:ind w:left="1260" w:right="120" w:hanging="311"/>
        <w:spacing w:after="0" w:line="278" w:lineRule="auto"/>
        <w:tabs>
          <w:tab w:leader="none" w:pos="12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$11.3 million decrease in spend for our ulixacaltamide program, primarily due to prior year Phase 2a and Phase 1 trial spend, prior year manufacturing costs, and decreased spend in the current year related to our Essential1 study, partially offset by costs related to our Essential3 study, which we initiated in the fourth quarter of 2023;</w:t>
      </w:r>
    </w:p>
    <w:p>
      <w:pPr>
        <w:spacing w:after="0" w:line="107" w:lineRule="exact"/>
        <w:rPr>
          <w:rFonts w:ascii="Arial" w:cs="Arial" w:eastAsia="Arial" w:hAnsi="Arial"/>
          <w:sz w:val="17"/>
          <w:szCs w:val="17"/>
          <w:color w:val="auto"/>
        </w:rPr>
      </w:pPr>
    </w:p>
    <w:p>
      <w:pPr>
        <w:ind w:left="1260" w:hanging="311"/>
        <w:spacing w:after="0"/>
        <w:tabs>
          <w:tab w:leader="none" w:pos="12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$6.7 million decrease in activities for our earlier stage assets due to prioritization of our clinical-stage programs; and</w:t>
      </w:r>
    </w:p>
    <w:p>
      <w:pPr>
        <w:spacing w:after="0" w:line="171" w:lineRule="exact"/>
        <w:rPr>
          <w:rFonts w:ascii="Arial" w:cs="Arial" w:eastAsia="Arial" w:hAnsi="Arial"/>
          <w:sz w:val="17"/>
          <w:szCs w:val="17"/>
          <w:color w:val="auto"/>
        </w:rPr>
      </w:pPr>
    </w:p>
    <w:p>
      <w:pPr>
        <w:ind w:left="1260" w:right="380" w:hanging="311"/>
        <w:spacing w:after="0" w:line="300" w:lineRule="auto"/>
        <w:tabs>
          <w:tab w:leader="none" w:pos="1256" w:val="left"/>
        </w:tabs>
        <w:numPr>
          <w:ilvl w:val="1"/>
          <w:numId w:val="52"/>
        </w:numPr>
        <w:rPr>
          <w:rFonts w:ascii="Arial" w:cs="Arial" w:eastAsia="Arial" w:hAnsi="Arial"/>
          <w:sz w:val="17"/>
          <w:szCs w:val="17"/>
          <w:color w:val="auto"/>
        </w:rPr>
      </w:pPr>
      <w:r>
        <w:rPr>
          <w:rFonts w:ascii="Arial" w:cs="Arial" w:eastAsia="Arial" w:hAnsi="Arial"/>
          <w:sz w:val="17"/>
          <w:szCs w:val="17"/>
          <w:color w:val="auto"/>
        </w:rPr>
        <w:t>$2.0 million increase in clinical-related spend for our PRAX-628 program driven by our Phase 1 clinical trial and our Phase 2 PPR clinical trial.</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$8.3 million decrease in personnel-related costs due to decreased headcount;</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$0.9 million increase in expense related to our Solidus™ platform for our PRAX-222 EMBRAVE study; and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hanging="300"/>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$0.5 million increase in indirect expenses, none of which were individually significant.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$17.9 million decrease in general and administrative expenses was primarily attributable to the following:</w:t>
      </w:r>
    </w:p>
    <w:p>
      <w:pPr>
        <w:spacing w:after="0" w:line="119" w:lineRule="exact"/>
        <w:rPr>
          <w:sz w:val="20"/>
          <w:szCs w:val="20"/>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$7.6 million decrease in professional fees and consulting expenses;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$7.4 million decrease in personnel-related costs due to decreased headcount;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$2.9 million decrease in other general and administrative expenses.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9" w:lineRule="exact"/>
        <w:rPr>
          <w:sz w:val="20"/>
          <w:szCs w:val="20"/>
          <w:color w:val="auto"/>
        </w:rPr>
      </w:pPr>
    </w:p>
    <w:p>
      <w:pPr>
        <w:jc w:val="both"/>
        <w:ind w:right="340" w:firstLine="433"/>
        <w:spacing w:after="0" w:line="278" w:lineRule="auto"/>
        <w:rPr>
          <w:sz w:val="20"/>
          <w:szCs w:val="20"/>
          <w:color w:val="auto"/>
        </w:rPr>
      </w:pPr>
      <w:r>
        <w:rPr>
          <w:rFonts w:ascii="Arial" w:cs="Arial" w:eastAsia="Arial" w:hAnsi="Arial"/>
          <w:sz w:val="17"/>
          <w:szCs w:val="17"/>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60"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To date, we have financed our operations primarily with proceeds from the issuance of redeemable convertible preferred stock and from the sale of common stock through an initial public offering, follow-on public offerings and at-the-market offerings under our shelf registration statement. From inception through December 31, 2023, we have raised $617.5 million in aggregate cash proceeds from such transactions, net of issuance costs. As of December 31, 2023, we had cash and cash equivalents of $81.3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November 2021, we entered into an Open Market Sale Agreement, or the 2021 Sales Agreement, with Jefferies LLC, or Jefferies, to</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provide for the offering, issuance and sale of up to an aggregate amount of $125.0 million of common stock from time to time in at-the-market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offerings for which Jefferies acted as sales agent. The 2021 Sales Agreement was terminated in June 2023. During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 we issued and sold an aggregate of 952,794 shares under the 2021 Sales Agreement for aggregate net proceeds of $24.1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million, after deducting commissions and offering expenses payable by us. During the year ended December 31, 2022, we issued and sold an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aggregate of 239,684 shares under the 2021 Sales Agreement for aggregate net proceeds of $9.6 million, after deducting commissions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offering expenses payable by us.</w:t>
      </w:r>
    </w:p>
    <w:p>
      <w:pPr>
        <w:spacing w:after="0" w:line="208"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On June 21, 2023, we completed a public offering of: (i) an aggregate of 4,296,646 shares of common stock at a public offering price of $14.25 per share, including the underwriters' full exercise of their option to purchase 619,979 additional shares of common stock, and (ii) pre-funded warrants to purchase 470,000 shares of common stock at a public offering price of $ 14.2485 per share. The purchase prices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us.</w:t>
      </w:r>
    </w:p>
    <w:p>
      <w:pPr>
        <w:spacing w:after="0" w:line="16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In December 2023, we entered into an Open Market Sale Agreement, or the 2023 Sales Agreement, with Jefferies, to provide for the offering, issuance and sale of up to an aggregate amount of $75.0 million of common stock in at-the-market offerings. The 2023 Sales Agreement was terminated in January 2024. During the year ended December 31, 2023, we issued and sold an aggregate of 212,453 shares under the 2023 Sales Agreement for aggregate net proceeds of $4.0 million, after deducting commissions and offering expenses payable by us. In January 2024, we issued and sold 192,190 shares under the 2023 Sales Agreement for aggregate net proceeds of $5.3 million, after deducting commissions and offering expenses payable by us.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January 2024, we completed a public offering of: (i) an aggregate of 3,802,025 shares of our common stock at a public offering price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$35.5 per share, including the underwriters' full exercise of their option to purchase 633,750 additional shares of common stock, and (ii) pre-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funded warrants to purchase 1,056,725 shares of common stock at a public offering price of $35.4999 per share of common stock underlying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warrants. The purchase price per share for each pre-funded warrant represents the per share offering price for the common stock, less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$0.0001 per share exercise price of each underlying share. Total net proceeds generated from the offering were approximately $161.7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after deducting underwriting discounts, commissions and other offering expenses payable by us.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regarding our cash flows for each period presented (in thousands):</w:t>
      </w:r>
    </w:p>
    <w:p>
      <w:pPr>
        <w:spacing w:after="0" w:line="148" w:lineRule="exact"/>
        <w:rPr>
          <w:sz w:val="20"/>
          <w:szCs w:val="20"/>
          <w:color w:val="auto"/>
        </w:rPr>
      </w:pPr>
    </w:p>
    <w:tbl>
      <w:tblPr>
        <w:tblLayout w:type="fixed"/>
        <w:tblInd w:w="80" w:type="dxa"/>
        <w:tblCellMar>
          <w:top w:w="0" w:type="dxa"/>
          <w:left w:w="0" w:type="dxa"/>
          <w:bottom w:w="0" w:type="dxa"/>
          <w:right w:w="0" w:type="dxa"/>
        </w:tblCellMar>
      </w:tblPr>
      <w:tr>
        <w:trPr>
          <w:trHeight w:val="211"/>
        </w:trPr>
        <w:tc>
          <w:tcPr>
            <w:tcW w:w="7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78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2022</w:t>
            </w:r>
          </w:p>
        </w:tc>
      </w:tr>
      <w:tr>
        <w:trPr>
          <w:trHeight w:val="19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9"/>
        </w:trPr>
        <w:tc>
          <w:tcPr>
            <w:tcW w:w="788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(111,136)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(185,043)</w:t>
            </w:r>
          </w:p>
        </w:tc>
      </w:tr>
      <w:tr>
        <w:trPr>
          <w:trHeight w:val="21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38,950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96,889</w:t>
            </w:r>
          </w:p>
        </w:tc>
      </w:tr>
      <w:tr>
        <w:trPr>
          <w:trHeight w:val="20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91,871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10,465</w:t>
            </w:r>
          </w:p>
        </w:tc>
      </w:tr>
      <w:tr>
        <w:trPr>
          <w:trHeight w:val="22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19,685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(77,689)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119"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Our cash flows from operating activities are greatly influenced by our use of cash for operating expenses and working capital requirements to support the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w:t>
      </w:r>
    </w:p>
    <w:p>
      <w:pPr>
        <w:spacing w:after="0" w:line="166"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During the year ended December 31, 2023, net cash used in operating activities of $111.1 million was primarily due to our $123.3 million net loss and $14.0 million in changes in operating assets and liabilities primarily related to a decrease in accrued expenses and accounts payable, partially offset by $26.2 million of non-cash charges primarily related to stock-based compensation.</w:t>
      </w:r>
    </w:p>
    <w:p>
      <w:pPr>
        <w:spacing w:after="0" w:line="160" w:lineRule="exact"/>
        <w:rPr>
          <w:sz w:val="20"/>
          <w:szCs w:val="20"/>
          <w:color w:val="auto"/>
        </w:rPr>
      </w:pPr>
    </w:p>
    <w:p>
      <w:pPr>
        <w:ind w:right="280" w:firstLine="433"/>
        <w:spacing w:after="0" w:line="278" w:lineRule="auto"/>
        <w:rPr>
          <w:sz w:val="20"/>
          <w:szCs w:val="20"/>
          <w:color w:val="auto"/>
        </w:rPr>
      </w:pPr>
      <w:r>
        <w:rPr>
          <w:rFonts w:ascii="Arial" w:cs="Arial" w:eastAsia="Arial" w:hAnsi="Arial"/>
          <w:sz w:val="17"/>
          <w:szCs w:val="17"/>
          <w:color w:val="auto"/>
        </w:rPr>
        <w:t>During the year ended December 31, 2022, net cash used in operating activities of $185.0 million was primarily due to our $214.0 million net loss and $1.8 million in changes in operating assets and liabilities primarily related to a decrease in accrued expenses, partially offset by $30.8 million of non-cash charges primarily related to stock-based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119" w:lineRule="exact"/>
        <w:rPr>
          <w:sz w:val="20"/>
          <w:szCs w:val="20"/>
          <w:color w:val="auto"/>
        </w:rPr>
      </w:pPr>
    </w:p>
    <w:p>
      <w:pPr>
        <w:ind w:right="620" w:firstLine="433"/>
        <w:spacing w:after="0" w:line="300" w:lineRule="auto"/>
        <w:rPr>
          <w:sz w:val="20"/>
          <w:szCs w:val="20"/>
          <w:color w:val="auto"/>
        </w:rPr>
      </w:pPr>
      <w:r>
        <w:rPr>
          <w:rFonts w:ascii="Arial" w:cs="Arial" w:eastAsia="Arial" w:hAnsi="Arial"/>
          <w:sz w:val="17"/>
          <w:szCs w:val="17"/>
          <w:color w:val="auto"/>
        </w:rPr>
        <w:t>During the year ended December 31, 2023, net cash provided by investing activities of $39.0 million primarily related to maturities of marketable securities.</w:t>
      </w:r>
    </w:p>
    <w:p>
      <w:pPr>
        <w:spacing w:after="0" w:line="141" w:lineRule="exact"/>
        <w:rPr>
          <w:sz w:val="20"/>
          <w:szCs w:val="20"/>
          <w:color w:val="auto"/>
        </w:rPr>
      </w:pPr>
    </w:p>
    <w:p>
      <w:pPr>
        <w:ind w:right="620" w:firstLine="433"/>
        <w:spacing w:after="0" w:line="300" w:lineRule="auto"/>
        <w:rPr>
          <w:sz w:val="20"/>
          <w:szCs w:val="20"/>
          <w:color w:val="auto"/>
        </w:rPr>
      </w:pPr>
      <w:r>
        <w:rPr>
          <w:rFonts w:ascii="Arial" w:cs="Arial" w:eastAsia="Arial" w:hAnsi="Arial"/>
          <w:sz w:val="17"/>
          <w:szCs w:val="17"/>
          <w:color w:val="auto"/>
        </w:rPr>
        <w:t>During the year ended December 31, 2022, net cash provided by investing activities of $96.9 million primarily related to maturities of marketable securities, partially offset by purchases of marketable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119" w:lineRule="exact"/>
        <w:rPr>
          <w:sz w:val="20"/>
          <w:szCs w:val="20"/>
          <w:color w:val="auto"/>
        </w:rPr>
      </w:pPr>
    </w:p>
    <w:p>
      <w:pPr>
        <w:ind w:right="340" w:firstLine="433"/>
        <w:spacing w:after="0" w:line="300" w:lineRule="auto"/>
        <w:rPr>
          <w:sz w:val="20"/>
          <w:szCs w:val="20"/>
          <w:color w:val="auto"/>
        </w:rPr>
      </w:pPr>
      <w:r>
        <w:rPr>
          <w:rFonts w:ascii="Arial" w:cs="Arial" w:eastAsia="Arial" w:hAnsi="Arial"/>
          <w:sz w:val="17"/>
          <w:szCs w:val="17"/>
          <w:color w:val="auto"/>
        </w:rPr>
        <w:t>During the year ended December 31, 2023, net cash provided by financing activities of $91.9 million consisted primarily of net proceeds from our June 2023 follow-on public offering of $63.4 million and from at-the-market offerings of $28.2 million.</w:t>
      </w:r>
    </w:p>
    <w:p>
      <w:pPr>
        <w:spacing w:after="0" w:line="141" w:lineRule="exact"/>
        <w:rPr>
          <w:sz w:val="20"/>
          <w:szCs w:val="20"/>
          <w:color w:val="auto"/>
        </w:rPr>
      </w:pPr>
    </w:p>
    <w:p>
      <w:pPr>
        <w:jc w:val="both"/>
        <w:ind w:right="280" w:firstLine="433"/>
        <w:spacing w:after="0" w:line="278" w:lineRule="auto"/>
        <w:rPr>
          <w:sz w:val="20"/>
          <w:szCs w:val="20"/>
          <w:color w:val="auto"/>
        </w:rPr>
      </w:pPr>
      <w:r>
        <w:rPr>
          <w:rFonts w:ascii="Arial" w:cs="Arial" w:eastAsia="Arial" w:hAnsi="Arial"/>
          <w:sz w:val="17"/>
          <w:szCs w:val="17"/>
          <w:color w:val="auto"/>
        </w:rPr>
        <w:t>During the year ended December 31, 2022, net cash provided by financing activities of $10.5 million consisted primarily of net proceeds from at-the-market offerings of $9.6 million and $1.4 million in proceeds from purchases of common stock under our employee stock purchase plan and from the exercise of stock options.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Operation and Future Funding Requirements</w:t>
      </w:r>
    </w:p>
    <w:p>
      <w:pPr>
        <w:spacing w:after="0" w:line="119" w:lineRule="exact"/>
        <w:rPr>
          <w:sz w:val="20"/>
          <w:szCs w:val="20"/>
          <w:color w:val="auto"/>
        </w:rPr>
      </w:pPr>
    </w:p>
    <w:p>
      <w:pPr>
        <w:ind w:right="280" w:firstLine="433"/>
        <w:spacing w:after="0" w:line="278"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08" w:lineRule="exact"/>
        <w:rPr>
          <w:sz w:val="20"/>
          <w:szCs w:val="20"/>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advance the clinical development of our clinical-stage product candidates within our Cerebrum™ and Solidus™ platforms;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advance the development of any additional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conduct research and continue preclinical development of potential product candidates;</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make strategic investments in manufacturing capabilities;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20" w:hanging="300"/>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maintain our IP portfolio and opportunistically acquire complementary IP;</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seek to obtain regulatory approvals for our product candidates;</w:t>
      </w:r>
    </w:p>
    <w:p>
      <w:pPr>
        <w:spacing w:after="0" w:line="171" w:lineRule="exact"/>
        <w:rPr>
          <w:rFonts w:ascii="Arial" w:cs="Arial" w:eastAsia="Arial" w:hAnsi="Arial"/>
          <w:sz w:val="17"/>
          <w:szCs w:val="17"/>
          <w:color w:val="auto"/>
        </w:rPr>
      </w:pPr>
    </w:p>
    <w:p>
      <w:pPr>
        <w:ind w:left="640" w:right="500" w:hanging="320"/>
        <w:spacing w:after="0" w:line="300"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potentially establish a sales, marketing and distribution infrastructure and scale-up manufacturing capabilities to commercialize any products for which we may obtain regulatory approval;</w:t>
      </w:r>
    </w:p>
    <w:p>
      <w:pPr>
        <w:spacing w:after="0" w:line="35" w:lineRule="exact"/>
        <w:rPr>
          <w:rFonts w:ascii="Arial" w:cs="Arial" w:eastAsia="Arial" w:hAnsi="Arial"/>
          <w:sz w:val="17"/>
          <w:szCs w:val="17"/>
          <w:color w:val="auto"/>
        </w:rPr>
      </w:pPr>
    </w:p>
    <w:p>
      <w:pPr>
        <w:jc w:val="both"/>
        <w:ind w:left="640" w:right="160" w:hanging="320"/>
        <w:spacing w:after="0" w:line="300"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35" w:lineRule="exact"/>
        <w:rPr>
          <w:rFonts w:ascii="Arial" w:cs="Arial" w:eastAsia="Arial" w:hAnsi="Arial"/>
          <w:sz w:val="17"/>
          <w:szCs w:val="17"/>
          <w:color w:val="auto"/>
        </w:rPr>
      </w:pPr>
    </w:p>
    <w:p>
      <w:pPr>
        <w:ind w:left="640" w:right="200" w:hanging="320"/>
        <w:spacing w:after="0" w:line="300" w:lineRule="auto"/>
        <w:tabs>
          <w:tab w:leader="none" w:pos="635"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experience any delays or encounter any issues with any of the above, including but not limited to failed studies, complex results, safety issues or other regulatory challenges.</w:t>
      </w:r>
    </w:p>
    <w:p>
      <w:pPr>
        <w:spacing w:after="0" w:line="141"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We are unable to estimate the exact amount of our working capital requirements, but based on our current operating plan, we believe that our current cash and cash equivalents, which includes proceeds from our January 2024 public offering and at-the-market offerings, will be sufficient to fund our operating expenditures and capital expenditure requirements necessary to advance our research efforts and clinical trials into 2026. However, we have based this estimate on assumptions that may prove to be wrong and we could exhaust our capital resources sooner than we expect.</w:t>
      </w:r>
    </w:p>
    <w:p>
      <w:pPr>
        <w:spacing w:after="0" w:line="167"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114" w:lineRule="exact"/>
        <w:rPr>
          <w:sz w:val="20"/>
          <w:szCs w:val="20"/>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studies and clinical trials for our platforms and product candidates;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and technologies that we develop or may in-license;</w:t>
      </w:r>
    </w:p>
    <w:p>
      <w:pPr>
        <w:spacing w:after="0" w:line="119" w:lineRule="exact"/>
        <w:rPr>
          <w:rFonts w:ascii="Arial" w:cs="Arial" w:eastAsia="Arial" w:hAnsi="Arial"/>
          <w:sz w:val="17"/>
          <w:szCs w:val="17"/>
          <w:color w:val="auto"/>
        </w:rPr>
      </w:pPr>
    </w:p>
    <w:p>
      <w:pPr>
        <w:ind w:left="800" w:right="360" w:hanging="323"/>
        <w:spacing w:after="0" w:line="300" w:lineRule="auto"/>
        <w:tabs>
          <w:tab w:leader="none" w:pos="7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manufacturing, marketing, sales and distribution, for any of our product candidates for which we receive marketing approval;</w:t>
      </w:r>
    </w:p>
    <w:p>
      <w:pPr>
        <w:spacing w:after="0" w:line="35" w:lineRule="exact"/>
        <w:rPr>
          <w:rFonts w:ascii="Arial" w:cs="Arial" w:eastAsia="Arial" w:hAnsi="Arial"/>
          <w:sz w:val="17"/>
          <w:szCs w:val="17"/>
          <w:color w:val="auto"/>
        </w:rPr>
      </w:pPr>
    </w:p>
    <w:p>
      <w:pPr>
        <w:ind w:left="800" w:right="380" w:hanging="323"/>
        <w:spacing w:after="0" w:line="300" w:lineRule="auto"/>
        <w:tabs>
          <w:tab w:leader="none" w:pos="7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35" w:lineRule="exact"/>
        <w:rPr>
          <w:rFonts w:ascii="Arial" w:cs="Arial" w:eastAsia="Arial" w:hAnsi="Arial"/>
          <w:sz w:val="17"/>
          <w:szCs w:val="17"/>
          <w:color w:val="auto"/>
        </w:rPr>
      </w:pPr>
    </w:p>
    <w:p>
      <w:pPr>
        <w:ind w:left="800" w:right="80" w:hanging="323"/>
        <w:spacing w:after="0" w:line="300" w:lineRule="auto"/>
        <w:tabs>
          <w:tab w:leader="none" w:pos="7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IP rights and defending any IP-related claims;</w:t>
      </w:r>
    </w:p>
    <w:p>
      <w:pPr>
        <w:spacing w:after="0" w:line="35"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continuation of our existing licensing arrangements and entry into new collaborations and licensing arrangements;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costs we incur in maintaining business operations;</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revenue, if any, received from commercial sales of any product candidates for which we receive marketing approval;</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 and</w:t>
      </w:r>
    </w:p>
    <w:p>
      <w:pPr>
        <w:spacing w:after="0" w:line="119" w:lineRule="exact"/>
        <w:rPr>
          <w:rFonts w:ascii="Arial" w:cs="Arial" w:eastAsia="Arial" w:hAnsi="Arial"/>
          <w:sz w:val="17"/>
          <w:szCs w:val="17"/>
          <w:color w:val="auto"/>
        </w:rPr>
      </w:pPr>
    </w:p>
    <w:p>
      <w:pPr>
        <w:ind w:left="800" w:right="40" w:hanging="323"/>
        <w:spacing w:after="0" w:line="278" w:lineRule="auto"/>
        <w:tabs>
          <w:tab w:leader="none" w:pos="7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60"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w:t>
      </w:r>
    </w:p>
    <w:p>
      <w:pPr>
        <w:spacing w:after="0" w:line="2"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from sales of products that we do not expect to be commercially available for many years, if ever. Accordingly, we will need to obtain substantial additional funds to achieve our business objectives.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Adequate additional funds may not be available to us on acceptable terms, or at all. We do not currently have any committed external source of funds. Market volatility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73"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1"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We have entered into certain agreements under which we have incurred or may in the future incur obligations and commitments that could have a material impact on our capital resources.</w:t>
      </w:r>
    </w:p>
    <w:p>
      <w:pPr>
        <w:spacing w:after="0" w:line="141" w:lineRule="exact"/>
        <w:rPr>
          <w:sz w:val="20"/>
          <w:szCs w:val="20"/>
          <w:color w:val="auto"/>
        </w:rPr>
      </w:pPr>
    </w:p>
    <w:p>
      <w:pPr>
        <w:ind w:right="560" w:firstLine="433"/>
        <w:spacing w:after="0" w:line="300" w:lineRule="auto"/>
        <w:rPr>
          <w:sz w:val="20"/>
          <w:szCs w:val="20"/>
          <w:color w:val="auto"/>
        </w:rPr>
      </w:pPr>
      <w:r>
        <w:rPr>
          <w:rFonts w:ascii="Arial" w:cs="Arial" w:eastAsia="Arial" w:hAnsi="Arial"/>
          <w:sz w:val="17"/>
          <w:szCs w:val="17"/>
          <w:color w:val="auto"/>
        </w:rPr>
        <w:t>We sublease building space in Boston, Massachusetts. Our sublease will expire on January 31, 2026. As of December 31, 2023, our operating lease commitments for the remainder of the lease term were $2.7 million.</w:t>
      </w:r>
    </w:p>
    <w:p>
      <w:pPr>
        <w:spacing w:after="0" w:line="141"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In addition, we have entered into collaboration and license agreements with RogCon Inc., or RogCon, and Ionis Pharmaceuticals, Inc., or Ionis, under which we could be obligated to pay certain fees, milestone payments and cost reimbursements.</w:t>
      </w:r>
    </w:p>
    <w:p>
      <w:pPr>
        <w:spacing w:after="0" w:line="141"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Under our license agreement with RogCon, Inc., or RogCon, we are obligated to reimburse RogCon for its out-of-pocket costs incurred for activities performed under the license agreement. Additionally, we may be obligated to pay RogCon a milestone payment of $3.0 million and profit share payments. The $3.0 million milestone payment is due when the first profit share payment has become due and payable and certain contingent payments have become due and payable to Ionis under our collaboration agreement with Ionis. The profit share payments are based on a low-double-digit percentage of net profits, depending on sales volume. Either party may terminate the license agreement for material breach or insolvency of the other party. Additionally, we may terminate for convenience with prior notice to RogCon. See “Business—License Agreements—License Agreement with RogCon.”</w:t>
      </w:r>
    </w:p>
    <w:p>
      <w:pPr>
        <w:spacing w:after="0" w:line="173" w:lineRule="exact"/>
        <w:rPr>
          <w:sz w:val="20"/>
          <w:szCs w:val="20"/>
          <w:color w:val="auto"/>
        </w:rPr>
      </w:pPr>
    </w:p>
    <w:p>
      <w:pPr>
        <w:ind w:right="40" w:firstLine="433"/>
        <w:spacing w:after="0" w:line="262" w:lineRule="auto"/>
        <w:rPr>
          <w:sz w:val="20"/>
          <w:szCs w:val="20"/>
          <w:color w:val="auto"/>
        </w:rPr>
      </w:pPr>
      <w:r>
        <w:rPr>
          <w:rFonts w:ascii="Arial" w:cs="Arial" w:eastAsia="Arial" w:hAnsi="Arial"/>
          <w:sz w:val="17"/>
          <w:szCs w:val="17"/>
          <w:color w:val="auto"/>
        </w:rPr>
        <w:t>Under our collaboration agreement with Ionis Pharmaceuticals, Inc., or Ionis,, we reimbursed Ionis for identifying a development candidate and conducting an investigational new drug application, or IND, enabling toxicology study, as well as out of pocket costs incurred by Ionis related to research activities. Ionis granted us an exclusive option to obtain the rights and license to further develop and commercialize the development candidate in the field of epilepsy and neurodevelopmental disorders, other than Dravet Syndrome, following the results of the IND-enabling toxicology study. We exercised this exclusive option in January 2022 and paid a $2.0 million license fee. In July 2023, upon initiation of the PRAX-222 EMBRAVE study in the second quarter of 2023, we paid a milestone payment of $6.9 million to Ionis. Ionis may be entitled to additional development milestone payments, additional milestone payments, and sales royalties or sublicense fees. We may be required to make additional payments to Ionis including development milestone payments, additional milestone payments and sales royalties or sublicense fees. Either party may terminate the collaboration agreement upon material breach or insolvency of the other party. Ionis may terminate if we fail to achieve a performance milestone. See “Business—License Agreements—Ionis Collaboration Agreement.”</w:t>
      </w:r>
    </w:p>
    <w:p>
      <w:pPr>
        <w:spacing w:after="0" w:line="174" w:lineRule="exact"/>
        <w:rPr>
          <w:sz w:val="20"/>
          <w:szCs w:val="20"/>
          <w:color w:val="auto"/>
        </w:rPr>
      </w:pPr>
    </w:p>
    <w:p>
      <w:pPr>
        <w:ind w:right="100" w:firstLine="433"/>
        <w:spacing w:after="0" w:line="271" w:lineRule="auto"/>
        <w:rPr>
          <w:sz w:val="20"/>
          <w:szCs w:val="20"/>
          <w:color w:val="auto"/>
        </w:rPr>
      </w:pPr>
      <w:r>
        <w:rPr>
          <w:rFonts w:ascii="Arial" w:cs="Arial" w:eastAsia="Arial" w:hAnsi="Arial"/>
          <w:sz w:val="17"/>
          <w:szCs w:val="17"/>
          <w:color w:val="auto"/>
        </w:rPr>
        <w:t>We have also entered into multiple agreements with third parties under which we may be obligated to make future development, regulatory and commercial milestone payments and royalty payments on future sales of specified product candidates. Payments under these agreements generally become due and payable upon achievement of such milestones and sales. When the achievement of these milestones or sales have not occurred, such contingencies are not recorded in our financial statements.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We have agreements with certain vendors for various services, including services related to clinical operations and support, for which we are not contractually able to terminate for convenience and avoid any and all future obligations to the vendors. Under such agreements, we are contractually obligated to make certain payments to vendors to reimburse them for their unrecoverable outlays incurred prior to cancellation. The exact amounts of such obligations are dependent on the timing of termination and the exact terms of the relevant agreement and cannot be reasonably estimated.</w:t>
      </w:r>
    </w:p>
    <w:p>
      <w:pPr>
        <w:spacing w:after="0" w:line="167"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In addition, we enter into indemnification agreements and agreements containing indemnification provisions in the ordinary course of business. Pursuant to these agreements, we agree to indemnify, hold harmless and reimburse the indemnified party for losses suffered or incurred by the indemnified party, generally our business collaborators, in connection with any U.S. patent or any copyright or other IP infringement claim by any third party with respect to our product candidates. The term of these indemnification agreements is generally perpetual upon execution of the agreement. The maximum potential amount of future payments we could be required to make under these indemnification agreements cannot be reasonably estimated.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21" w:lineRule="exact"/>
        <w:rPr>
          <w:sz w:val="20"/>
          <w:szCs w:val="20"/>
          <w:color w:val="auto"/>
        </w:rPr>
      </w:pPr>
    </w:p>
    <w:p>
      <w:pPr>
        <w:ind w:right="100" w:firstLine="433"/>
        <w:spacing w:after="0" w:line="264"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appearing elsewhere in this Annual Report on Form 10-K, we believe the following accounting policies used in the preparation of our consolidated financial statements require the most significant judgments and estimates.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and Related Accruals and Prepaids</w:t>
      </w:r>
    </w:p>
    <w:p>
      <w:pPr>
        <w:spacing w:after="0" w:line="119"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activities, including personnel-related expenses such as salaries, benefits and stock-based compensation expense; materials; supplies; manufacturing and external costs related to outside vendors engaged to conduct both preclinical studies and clinical trials; and the allocable portions of facility costs, such as rent, utilities, depreciation and general support services. All costs associated with research and development activities are expensed as incurred.</w:t>
      </w:r>
    </w:p>
    <w:p>
      <w:pPr>
        <w:spacing w:after="0" w:line="166"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and prepaid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in determining our accrued and prepaid research and development expenses as of each balance sheet date in our financial statements based on facts and circumstances known to us at that time. When evaluating the adequacy of the accrued liabilities and prepaid expenses, we analyze progress of the studies or trials related to these services, including the phase or completion of events, invoices received and contracted costs. Examples of estimated accrued and prepaid research and development expenses include fees paid to:</w:t>
      </w:r>
    </w:p>
    <w:p>
      <w:pPr>
        <w:spacing w:after="0" w:line="125" w:lineRule="exact"/>
        <w:rPr>
          <w:sz w:val="20"/>
          <w:szCs w:val="20"/>
          <w:color w:val="auto"/>
        </w:rPr>
      </w:pPr>
    </w:p>
    <w:p>
      <w:pPr>
        <w:ind w:left="780" w:hanging="303"/>
        <w:spacing w:after="0"/>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CROs in connection with performing research services and preclinical and clinical studies;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investigative sites or other providers in connection with preclinical and clinical studies;</w:t>
      </w:r>
    </w:p>
    <w:p>
      <w:pPr>
        <w:spacing w:after="0" w:line="171" w:lineRule="exact"/>
        <w:rPr>
          <w:rFonts w:ascii="Arial" w:cs="Arial" w:eastAsia="Arial" w:hAnsi="Arial"/>
          <w:sz w:val="17"/>
          <w:szCs w:val="17"/>
          <w:color w:val="auto"/>
        </w:rPr>
      </w:pPr>
    </w:p>
    <w:p>
      <w:pPr>
        <w:ind w:left="780" w:hanging="303"/>
        <w:spacing w:after="0"/>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vendors in connection with preclinical and clinical development activities; and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80" w:hanging="303"/>
        <w:spacing w:after="0"/>
        <w:tabs>
          <w:tab w:leader="none" w:pos="7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vendors related to product manufacturing, development and distribution of preclinical and clinical supplies.</w:t>
      </w:r>
    </w:p>
    <w:p>
      <w:pPr>
        <w:spacing w:after="0" w:line="224" w:lineRule="exact"/>
        <w:rPr>
          <w:sz w:val="20"/>
          <w:szCs w:val="20"/>
          <w:color w:val="auto"/>
        </w:rPr>
      </w:pPr>
    </w:p>
    <w:p>
      <w:pPr>
        <w:ind w:firstLine="433"/>
        <w:spacing w:after="0" w:line="262" w:lineRule="auto"/>
        <w:rPr>
          <w:sz w:val="20"/>
          <w:szCs w:val="20"/>
          <w:color w:val="auto"/>
        </w:rPr>
      </w:pPr>
      <w:r>
        <w:rPr>
          <w:rFonts w:ascii="Arial" w:cs="Arial" w:eastAsia="Arial" w:hAnsi="Arial"/>
          <w:sz w:val="17"/>
          <w:szCs w:val="17"/>
          <w:color w:val="auto"/>
        </w:rPr>
        <w:t>The financial terms of our agreements with CROs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milestones. In expensing service fees, we estimate the time period over which services will be performed, enrollment of patients, number of sites activated and the level of effort expended in each period. If the actual timing of the performance of services or the level of effort varies from our estimate, we adjust the expense accordingly. Significant judgments and estimates are made in determining the accrued and prepaid research and development expenses at the end of any reporting period.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1"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We have reviewed all recently issued standards and have determined that, other than as disclosed in Note 2 to our consolidated financial statements appearing elsewhere in this Annual Report on Form 10-K, such standards will not have a material impact on our consolidated financial statements or do not otherwise apply to our current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52" w:lineRule="exact"/>
        <w:rPr>
          <w:sz w:val="20"/>
          <w:szCs w:val="20"/>
          <w:color w:val="auto"/>
        </w:rPr>
      </w:pPr>
    </w:p>
    <w:p>
      <w:pPr>
        <w:ind w:right="220" w:firstLine="472"/>
        <w:spacing w:after="0" w:line="300" w:lineRule="auto"/>
        <w:rPr>
          <w:sz w:val="20"/>
          <w:szCs w:val="20"/>
          <w:color w:val="auto"/>
        </w:rPr>
      </w:pPr>
      <w:r>
        <w:rPr>
          <w:rFonts w:ascii="Arial" w:cs="Arial" w:eastAsia="Arial" w:hAnsi="Arial"/>
          <w:sz w:val="17"/>
          <w:szCs w:val="17"/>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92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rPr>
              <w:t>Page</w:t>
            </w: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20" w:type="dxa"/>
            <w:vAlign w:val="bottom"/>
            <w:shd w:val="clear" w:color="auto" w:fill="CCEEFF"/>
          </w:tcPr>
          <w:p>
            <w:pPr>
              <w:spacing w:after="0"/>
              <w:rPr>
                <w:sz w:val="15"/>
                <w:szCs w:val="15"/>
                <w:color w:val="auto"/>
              </w:rPr>
            </w:pPr>
          </w:p>
        </w:tc>
        <w:tc>
          <w:tcPr>
            <w:tcW w:w="10300" w:type="dxa"/>
            <w:vAlign w:val="bottom"/>
            <w:gridSpan w:val="6"/>
            <w:shd w:val="clear" w:color="auto" w:fill="CCEEFF"/>
          </w:tcPr>
          <w:p>
            <w:pPr>
              <w:spacing w:after="0" w:line="184" w:lineRule="exact"/>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42)</w:t>
            </w:r>
          </w:p>
        </w:tc>
        <w:tc>
          <w:tcPr>
            <w:tcW w:w="900" w:type="dxa"/>
            <w:vAlign w:val="bottom"/>
            <w:gridSpan w:val="3"/>
            <w:shd w:val="clear" w:color="auto" w:fill="CCEEFF"/>
          </w:tcPr>
          <w:p>
            <w:pPr>
              <w:jc w:val="center"/>
              <w:spacing w:after="0" w:line="184" w:lineRule="exact"/>
              <w:rPr>
                <w:sz w:val="20"/>
                <w:szCs w:val="20"/>
                <w:color w:val="auto"/>
              </w:rPr>
            </w:pPr>
            <w:r>
              <w:rPr>
                <w:rFonts w:ascii="Arial" w:cs="Arial" w:eastAsia="Arial" w:hAnsi="Arial"/>
                <w:sz w:val="17"/>
                <w:szCs w:val="17"/>
                <w:color w:val="0000FF"/>
              </w:rPr>
              <w:t>101</w:t>
            </w:r>
          </w:p>
        </w:tc>
        <w:tc>
          <w:tcPr>
            <w:tcW w:w="20" w:type="dxa"/>
            <w:vAlign w:val="bottom"/>
          </w:tcPr>
          <w:p>
            <w:pPr>
              <w:spacing w:after="0"/>
              <w:rPr>
                <w:sz w:val="15"/>
                <w:szCs w:val="15"/>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2300" w:type="dxa"/>
            <w:vAlign w:val="bottom"/>
          </w:tcPr>
          <w:p>
            <w:pPr>
              <w:spacing w:after="0" w:line="184" w:lineRule="exact"/>
              <w:rPr>
                <w:sz w:val="20"/>
                <w:szCs w:val="20"/>
                <w:color w:val="auto"/>
              </w:rPr>
            </w:pPr>
            <w:r>
              <w:rPr>
                <w:rFonts w:ascii="Arial" w:cs="Arial" w:eastAsia="Arial" w:hAnsi="Arial"/>
                <w:sz w:val="17"/>
                <w:szCs w:val="17"/>
                <w:color w:val="0000FF"/>
              </w:rPr>
              <w:t>Consolidated Balance Sheets</w:t>
            </w:r>
          </w:p>
        </w:tc>
        <w:tc>
          <w:tcPr>
            <w:tcW w:w="2180" w:type="dxa"/>
            <w:vAlign w:val="bottom"/>
            <w:gridSpan w:val="4"/>
          </w:tcPr>
          <w:p>
            <w:pPr>
              <w:spacing w:after="0"/>
              <w:rPr>
                <w:sz w:val="15"/>
                <w:szCs w:val="15"/>
                <w:color w:val="auto"/>
              </w:rPr>
            </w:pPr>
          </w:p>
        </w:tc>
        <w:tc>
          <w:tcPr>
            <w:tcW w:w="5820" w:type="dxa"/>
            <w:vAlign w:val="bottom"/>
          </w:tcPr>
          <w:p>
            <w:pPr>
              <w:spacing w:after="0"/>
              <w:rPr>
                <w:sz w:val="15"/>
                <w:szCs w:val="15"/>
                <w:color w:val="auto"/>
              </w:rPr>
            </w:pPr>
          </w:p>
        </w:tc>
        <w:tc>
          <w:tcPr>
            <w:tcW w:w="900" w:type="dxa"/>
            <w:vAlign w:val="bottom"/>
            <w:gridSpan w:val="3"/>
          </w:tcPr>
          <w:p>
            <w:pPr>
              <w:jc w:val="center"/>
              <w:spacing w:after="0" w:line="184" w:lineRule="exact"/>
              <w:rPr>
                <w:sz w:val="20"/>
                <w:szCs w:val="20"/>
                <w:color w:val="auto"/>
              </w:rPr>
            </w:pPr>
            <w:r>
              <w:rPr>
                <w:rFonts w:ascii="Arial" w:cs="Arial" w:eastAsia="Arial" w:hAnsi="Arial"/>
                <w:sz w:val="17"/>
                <w:szCs w:val="17"/>
                <w:color w:val="0000FF"/>
              </w:rPr>
              <w:t>103</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120" w:type="dxa"/>
            <w:vAlign w:val="bottom"/>
            <w:tcBorders>
              <w:right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0000FF"/>
              </w:rPr>
              <w:t>Consolidated Statements of Operations</w:t>
            </w:r>
          </w:p>
        </w:tc>
        <w:tc>
          <w:tcPr>
            <w:tcW w:w="7180" w:type="dxa"/>
            <w:vAlign w:val="bottom"/>
            <w:gridSpan w:val="4"/>
            <w:shd w:val="clear" w:color="auto" w:fill="CCEEFF"/>
          </w:tcPr>
          <w:p>
            <w:pPr>
              <w:spacing w:after="0"/>
              <w:rPr>
                <w:sz w:val="16"/>
                <w:szCs w:val="16"/>
                <w:color w:val="auto"/>
              </w:rPr>
            </w:pPr>
          </w:p>
        </w:tc>
        <w:tc>
          <w:tcPr>
            <w:tcW w:w="90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rPr>
              <w:t>104</w:t>
            </w: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CCEEFF"/>
            </w:tcBorders>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3840" w:type="dxa"/>
            <w:vAlign w:val="bottom"/>
            <w:gridSpan w:val="4"/>
          </w:tcPr>
          <w:p>
            <w:pPr>
              <w:spacing w:after="0" w:line="184" w:lineRule="exact"/>
              <w:rPr>
                <w:sz w:val="20"/>
                <w:szCs w:val="20"/>
                <w:color w:val="auto"/>
              </w:rPr>
            </w:pPr>
            <w:r>
              <w:rPr>
                <w:rFonts w:ascii="Arial" w:cs="Arial" w:eastAsia="Arial" w:hAnsi="Arial"/>
                <w:sz w:val="17"/>
                <w:szCs w:val="17"/>
                <w:color w:val="0000FF"/>
              </w:rPr>
              <w:t>Consolidated Statements of Comprehensive Loss</w:t>
            </w:r>
          </w:p>
        </w:tc>
        <w:tc>
          <w:tcPr>
            <w:tcW w:w="6460" w:type="dxa"/>
            <w:vAlign w:val="bottom"/>
            <w:gridSpan w:val="2"/>
          </w:tcPr>
          <w:p>
            <w:pPr>
              <w:spacing w:after="0"/>
              <w:rPr>
                <w:sz w:val="15"/>
                <w:szCs w:val="15"/>
                <w:color w:val="auto"/>
              </w:rPr>
            </w:pPr>
          </w:p>
        </w:tc>
        <w:tc>
          <w:tcPr>
            <w:tcW w:w="900" w:type="dxa"/>
            <w:vAlign w:val="bottom"/>
            <w:gridSpan w:val="3"/>
          </w:tcPr>
          <w:p>
            <w:pPr>
              <w:jc w:val="center"/>
              <w:spacing w:after="0" w:line="184" w:lineRule="exact"/>
              <w:rPr>
                <w:sz w:val="20"/>
                <w:szCs w:val="20"/>
                <w:color w:val="auto"/>
              </w:rPr>
            </w:pPr>
            <w:r>
              <w:rPr>
                <w:rFonts w:ascii="Arial" w:cs="Arial" w:eastAsia="Arial" w:hAnsi="Arial"/>
                <w:sz w:val="17"/>
                <w:szCs w:val="17"/>
                <w:color w:val="0000FF"/>
              </w:rPr>
              <w:t>105</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3"/>
        </w:trPr>
        <w:tc>
          <w:tcPr>
            <w:tcW w:w="20" w:type="dxa"/>
            <w:vAlign w:val="bottom"/>
            <w:shd w:val="clear" w:color="auto" w:fill="CCEEFF"/>
          </w:tcPr>
          <w:p>
            <w:pPr>
              <w:spacing w:after="0"/>
              <w:rPr>
                <w:sz w:val="16"/>
                <w:szCs w:val="16"/>
                <w:color w:val="auto"/>
              </w:rPr>
            </w:pPr>
          </w:p>
        </w:tc>
        <w:tc>
          <w:tcPr>
            <w:tcW w:w="3840" w:type="dxa"/>
            <w:vAlign w:val="bottom"/>
            <w:tcBorders>
              <w:right w:val="single" w:sz="8" w:color="CCEEFF"/>
            </w:tcBorders>
            <w:gridSpan w:val="4"/>
            <w:shd w:val="clear" w:color="auto" w:fill="CCEEFF"/>
          </w:tcPr>
          <w:p>
            <w:pPr>
              <w:spacing w:after="0" w:line="194" w:lineRule="exact"/>
              <w:rPr>
                <w:sz w:val="20"/>
                <w:szCs w:val="20"/>
                <w:color w:val="auto"/>
              </w:rPr>
            </w:pPr>
            <w:r>
              <w:rPr>
                <w:rFonts w:ascii="Arial" w:cs="Arial" w:eastAsia="Arial" w:hAnsi="Arial"/>
                <w:sz w:val="17"/>
                <w:szCs w:val="17"/>
                <w:color w:val="0000FF"/>
              </w:rPr>
              <w:t>Consolidated Statements of Stockholders’ Equity</w:t>
            </w:r>
          </w:p>
        </w:tc>
        <w:tc>
          <w:tcPr>
            <w:tcW w:w="6460" w:type="dxa"/>
            <w:vAlign w:val="bottom"/>
            <w:gridSpan w:val="2"/>
            <w:shd w:val="clear" w:color="auto" w:fill="CCEEFF"/>
          </w:tcPr>
          <w:p>
            <w:pPr>
              <w:spacing w:after="0"/>
              <w:rPr>
                <w:sz w:val="16"/>
                <w:szCs w:val="16"/>
                <w:color w:val="auto"/>
              </w:rPr>
            </w:pPr>
          </w:p>
        </w:tc>
        <w:tc>
          <w:tcPr>
            <w:tcW w:w="90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rPr>
              <w:t>106</w:t>
            </w:r>
          </w:p>
        </w:tc>
        <w:tc>
          <w:tcPr>
            <w:tcW w:w="20" w:type="dxa"/>
            <w:vAlign w:val="bottom"/>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300" w:type="dxa"/>
            <w:vAlign w:val="bottom"/>
            <w:shd w:val="clear" w:color="auto" w:fill="0000FF"/>
          </w:tcPr>
          <w:p>
            <w:pPr>
              <w:spacing w:after="0"/>
              <w:rPr>
                <w:sz w:val="3"/>
                <w:szCs w:val="3"/>
                <w:color w:val="auto"/>
              </w:rPr>
            </w:pPr>
          </w:p>
        </w:tc>
        <w:tc>
          <w:tcPr>
            <w:tcW w:w="820" w:type="dxa"/>
            <w:vAlign w:val="bottom"/>
            <w:tcBorders>
              <w:right w:val="single" w:sz="8" w:color="0000FF"/>
            </w:tcBorders>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440" w:type="dxa"/>
            <w:vAlign w:val="bottom"/>
            <w:tcBorders>
              <w:right w:val="single" w:sz="8" w:color="CCEEFF"/>
            </w:tcBorders>
            <w:shd w:val="clear" w:color="auto" w:fill="0000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58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3120" w:type="dxa"/>
            <w:vAlign w:val="bottom"/>
            <w:gridSpan w:val="2"/>
          </w:tcPr>
          <w:p>
            <w:pPr>
              <w:spacing w:after="0" w:line="184" w:lineRule="exact"/>
              <w:rPr>
                <w:sz w:val="20"/>
                <w:szCs w:val="20"/>
                <w:color w:val="auto"/>
              </w:rPr>
            </w:pPr>
            <w:r>
              <w:rPr>
                <w:rFonts w:ascii="Arial" w:cs="Arial" w:eastAsia="Arial" w:hAnsi="Arial"/>
                <w:sz w:val="17"/>
                <w:szCs w:val="17"/>
                <w:color w:val="0000FF"/>
              </w:rPr>
              <w:t>Consolidated Statements of Cash Flows</w:t>
            </w:r>
          </w:p>
        </w:tc>
        <w:tc>
          <w:tcPr>
            <w:tcW w:w="720" w:type="dxa"/>
            <w:vAlign w:val="bottom"/>
            <w:gridSpan w:val="2"/>
          </w:tcPr>
          <w:p>
            <w:pPr>
              <w:spacing w:after="0"/>
              <w:rPr>
                <w:sz w:val="15"/>
                <w:szCs w:val="15"/>
                <w:color w:val="auto"/>
              </w:rPr>
            </w:pPr>
          </w:p>
        </w:tc>
        <w:tc>
          <w:tcPr>
            <w:tcW w:w="6460" w:type="dxa"/>
            <w:vAlign w:val="bottom"/>
            <w:gridSpan w:val="2"/>
          </w:tcPr>
          <w:p>
            <w:pPr>
              <w:spacing w:after="0"/>
              <w:rPr>
                <w:sz w:val="15"/>
                <w:szCs w:val="15"/>
                <w:color w:val="auto"/>
              </w:rPr>
            </w:pPr>
          </w:p>
        </w:tc>
        <w:tc>
          <w:tcPr>
            <w:tcW w:w="900" w:type="dxa"/>
            <w:vAlign w:val="bottom"/>
            <w:gridSpan w:val="3"/>
          </w:tcPr>
          <w:p>
            <w:pPr>
              <w:jc w:val="center"/>
              <w:spacing w:after="0" w:line="184" w:lineRule="exact"/>
              <w:rPr>
                <w:sz w:val="20"/>
                <w:szCs w:val="20"/>
                <w:color w:val="auto"/>
              </w:rPr>
            </w:pPr>
            <w:r>
              <w:rPr>
                <w:rFonts w:ascii="Arial" w:cs="Arial" w:eastAsia="Arial" w:hAnsi="Arial"/>
                <w:sz w:val="17"/>
                <w:szCs w:val="17"/>
                <w:color w:val="0000FF"/>
              </w:rPr>
              <w:t>108</w:t>
            </w: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2300" w:type="dxa"/>
            <w:vAlign w:val="bottom"/>
            <w:shd w:val="clear" w:color="auto" w:fill="0000FF"/>
          </w:tcPr>
          <w:p>
            <w:pPr>
              <w:spacing w:after="0"/>
              <w:rPr>
                <w:sz w:val="2"/>
                <w:szCs w:val="2"/>
                <w:color w:val="auto"/>
              </w:rPr>
            </w:pPr>
          </w:p>
        </w:tc>
        <w:tc>
          <w:tcPr>
            <w:tcW w:w="82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3"/>
        </w:trPr>
        <w:tc>
          <w:tcPr>
            <w:tcW w:w="20" w:type="dxa"/>
            <w:vAlign w:val="bottom"/>
            <w:shd w:val="clear" w:color="auto" w:fill="CCEEFF"/>
          </w:tcPr>
          <w:p>
            <w:pPr>
              <w:spacing w:after="0"/>
              <w:rPr>
                <w:sz w:val="18"/>
                <w:szCs w:val="18"/>
                <w:color w:val="auto"/>
              </w:rPr>
            </w:pPr>
          </w:p>
        </w:tc>
        <w:tc>
          <w:tcPr>
            <w:tcW w:w="10300" w:type="dxa"/>
            <w:vAlign w:val="bottom"/>
            <w:gridSpan w:val="6"/>
            <w:shd w:val="clear" w:color="auto" w:fill="CCEEFF"/>
          </w:tcPr>
          <w:p>
            <w:pPr>
              <w:spacing w:after="0" w:line="194" w:lineRule="exact"/>
              <w:rPr>
                <w:sz w:val="20"/>
                <w:szCs w:val="20"/>
                <w:color w:val="auto"/>
              </w:rPr>
            </w:pPr>
            <w:r>
              <w:rPr>
                <w:rFonts w:ascii="Arial" w:cs="Arial" w:eastAsia="Arial" w:hAnsi="Arial"/>
                <w:sz w:val="17"/>
                <w:szCs w:val="17"/>
                <w:color w:val="0000FF"/>
              </w:rPr>
              <w:t>Notes to Consolidated Financial Statements</w:t>
            </w:r>
          </w:p>
        </w:tc>
        <w:tc>
          <w:tcPr>
            <w:tcW w:w="90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0000FF"/>
              </w:rPr>
              <w:t>109</w:t>
            </w:r>
          </w:p>
        </w:tc>
        <w:tc>
          <w:tcPr>
            <w:tcW w:w="20" w:type="dxa"/>
            <w:vAlign w:val="bottom"/>
          </w:tcPr>
          <w:p>
            <w:pPr>
              <w:spacing w:after="0"/>
              <w:rPr>
                <w:sz w:val="18"/>
                <w:szCs w:val="18"/>
                <w:color w:val="auto"/>
              </w:rPr>
            </w:pPr>
          </w:p>
        </w:tc>
      </w:tr>
      <w:tr>
        <w:trPr>
          <w:trHeight w:val="830"/>
        </w:trPr>
        <w:tc>
          <w:tcPr>
            <w:tcW w:w="20" w:type="dxa"/>
            <w:vAlign w:val="bottom"/>
            <w:tcBorders>
              <w:top w:val="single" w:sz="8" w:color="CCEEFF"/>
            </w:tcBorders>
          </w:tcPr>
          <w:p>
            <w:pPr>
              <w:spacing w:after="0"/>
              <w:rPr>
                <w:sz w:val="24"/>
                <w:szCs w:val="24"/>
                <w:color w:val="auto"/>
              </w:rPr>
            </w:pPr>
          </w:p>
        </w:tc>
        <w:tc>
          <w:tcPr>
            <w:tcW w:w="3400" w:type="dxa"/>
            <w:vAlign w:val="bottom"/>
            <w:tcBorders>
              <w:top w:val="single" w:sz="8" w:color="0000FF"/>
            </w:tcBorders>
            <w:gridSpan w:val="3"/>
          </w:tcPr>
          <w:p>
            <w:pPr>
              <w:spacing w:after="0"/>
              <w:rPr>
                <w:sz w:val="24"/>
                <w:szCs w:val="24"/>
                <w:color w:val="auto"/>
              </w:rPr>
            </w:pPr>
          </w:p>
        </w:tc>
        <w:tc>
          <w:tcPr>
            <w:tcW w:w="6900" w:type="dxa"/>
            <w:vAlign w:val="bottom"/>
            <w:tcBorders>
              <w:top w:val="single" w:sz="8" w:color="CCEEFF"/>
            </w:tcBorders>
            <w:gridSpan w:val="3"/>
          </w:tcPr>
          <w:p>
            <w:pPr>
              <w:jc w:val="right"/>
              <w:ind w:right="4560"/>
              <w:spacing w:after="0"/>
              <w:rPr>
                <w:sz w:val="20"/>
                <w:szCs w:val="20"/>
                <w:color w:val="auto"/>
              </w:rPr>
            </w:pPr>
            <w:r>
              <w:rPr>
                <w:rFonts w:ascii="Arial" w:cs="Arial" w:eastAsia="Arial" w:hAnsi="Arial"/>
                <w:sz w:val="17"/>
                <w:szCs w:val="17"/>
                <w:color w:val="auto"/>
              </w:rPr>
              <w:t>100</w:t>
            </w:r>
          </w:p>
        </w:tc>
        <w:tc>
          <w:tcPr>
            <w:tcW w:w="300" w:type="dxa"/>
            <w:vAlign w:val="bottom"/>
            <w:tcBorders>
              <w:top w:val="single" w:sz="8" w:color="CCEE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Praxis Precision Medicines, Inc.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have audited the accompanying consolidated balance sheets of Praxis Precision Medicines, Inc. (the Company) as of December 31, 2023 and 2022, the related consolidated statements of operations,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1" w:name="page102"/>
    <w:bookmarkEnd w:id="101"/>
    <w:p>
      <w:pPr>
        <w:spacing w:after="0" w:line="244" w:lineRule="auto"/>
        <w:framePr w:w="9300" w:h="997" w:wrap="auto" w:vAnchor="page" w:hAnchor="page" w:x="2200" w:y="4283"/>
        <w:rPr>
          <w:rFonts w:ascii="Arial" w:cs="Arial" w:eastAsia="Arial" w:hAnsi="Arial"/>
          <w:sz w:val="17"/>
          <w:szCs w:val="17"/>
          <w:color w:val="auto"/>
        </w:rPr>
      </w:pPr>
      <w:r>
        <w:rPr>
          <w:rFonts w:ascii="Arial" w:cs="Arial" w:eastAsia="Arial" w:hAnsi="Arial"/>
          <w:sz w:val="17"/>
          <w:szCs w:val="17"/>
          <w:color w:val="auto"/>
        </w:rPr>
        <w:t>Auditing the Company’s accrued and prepaid research and development costs for the Cerebrum Platform was complex, as accounting for the costs associated with these clinical trials required subjective estimates of the level of services performed and the associated costs incurred by service providers. Furthermore, due to the duration of the Company’s Cerebrum Platform research and development activities, and the timing of information received from third parties, the actual amounts incurred are not typically known at the time the consolidated financial statements are issued.</w:t>
      </w:r>
    </w:p>
    <w:p>
      <w:pPr>
        <w:spacing w:after="0" w:line="226" w:lineRule="auto"/>
        <w:framePr w:w="11140" w:h="184" w:wrap="auto" w:vAnchor="page" w:hAnchor="page" w:x="300" w:y="5620"/>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How We Addressed the </w:t>
      </w:r>
      <w:r>
        <w:rPr>
          <w:rFonts w:ascii="Arial" w:cs="Arial" w:eastAsia="Arial" w:hAnsi="Arial"/>
          <w:sz w:val="17"/>
          <w:szCs w:val="17"/>
          <w:color w:val="auto"/>
        </w:rPr>
        <w:t>To evaluate the accrued and prepaid research and development costs for the Cerebrum Platform, our audit procedures</w:t>
      </w:r>
    </w:p>
    <w:p>
      <w:pPr>
        <w:spacing w:after="0" w:line="225" w:lineRule="auto"/>
        <w:framePr w:w="1540" w:h="158" w:wrap="auto" w:vAnchor="page" w:hAnchor="page" w:x="300" w:y="5909"/>
        <w:rPr>
          <w:rFonts w:ascii="Arial" w:cs="Arial" w:eastAsia="Arial" w:hAnsi="Arial"/>
          <w:sz w:val="17"/>
          <w:szCs w:val="17"/>
          <w:i w:val="1"/>
          <w:iCs w:val="1"/>
          <w:color w:val="auto"/>
        </w:rPr>
      </w:pPr>
      <w:r>
        <w:rPr>
          <w:rFonts w:ascii="Arial" w:cs="Arial" w:eastAsia="Arial" w:hAnsi="Arial"/>
          <w:sz w:val="34"/>
          <w:szCs w:val="34"/>
          <w:i w:val="1"/>
          <w:iCs w:val="1"/>
          <w:color w:val="auto"/>
          <w:vertAlign w:val="subscript"/>
        </w:rPr>
        <w:t>Matter in Our Audit</w:t>
      </w:r>
    </w:p>
    <w:p>
      <w:pPr>
        <w:spacing w:after="0" w:line="225" w:lineRule="auto"/>
        <w:framePr w:w="8860" w:h="368" w:wrap="auto" w:vAnchor="page" w:hAnchor="page" w:x="2200" w:y="5830"/>
        <w:rPr>
          <w:rFonts w:ascii="Arial" w:cs="Arial" w:eastAsia="Arial" w:hAnsi="Arial"/>
          <w:sz w:val="17"/>
          <w:szCs w:val="17"/>
          <w:i w:val="1"/>
          <w:iCs w:val="1"/>
          <w:color w:val="auto"/>
        </w:rPr>
      </w:pPr>
      <w:r>
        <w:rPr>
          <w:rFonts w:ascii="Arial" w:cs="Arial" w:eastAsia="Arial" w:hAnsi="Arial"/>
          <w:sz w:val="17"/>
          <w:szCs w:val="17"/>
          <w:i w:val="1"/>
          <w:iCs w:val="1"/>
          <w:color w:val="auto"/>
        </w:rPr>
        <w:t>included, among others, testing the accuracy and completeness of the underlying data used in the estimates and evaluating the significant judgments and estimates made by management to determine the recorded accruals and</w:t>
      </w:r>
    </w:p>
    <w:p>
      <w:pPr>
        <w:spacing w:after="0" w:line="247" w:lineRule="auto"/>
        <w:framePr w:w="9320" w:h="1207" w:wrap="auto" w:vAnchor="page" w:hAnchor="page" w:x="2200" w:y="6250"/>
        <w:rPr>
          <w:rFonts w:ascii="Arial" w:cs="Arial" w:eastAsia="Arial" w:hAnsi="Arial"/>
          <w:sz w:val="17"/>
          <w:szCs w:val="17"/>
          <w:i w:val="1"/>
          <w:iCs w:val="1"/>
          <w:color w:val="auto"/>
        </w:rPr>
      </w:pPr>
      <w:r>
        <w:rPr>
          <w:rFonts w:ascii="Arial" w:cs="Arial" w:eastAsia="Arial" w:hAnsi="Arial"/>
          <w:sz w:val="17"/>
          <w:szCs w:val="17"/>
          <w:i w:val="1"/>
          <w:iCs w:val="1"/>
          <w:color w:val="auto"/>
        </w:rPr>
        <w:t>prepayments. To test the significant judgments and estimates, we discussed the progress of research and development activities with the Company’s research and development personnel that oversee the research and development projects and inspected the Company’s contracts with third parties and pending change orders to assess the impact on amounts recorded. In addition, we reviewed estimates of costs incurred to date provided to the Company from third parties. We also analyzed fluctuations in accruals by vendor and by trial throughout the period subject to audit, evaluated the costs incurred per trial, site and/or patient for reasonableness and tested subsequent invoices received from third parties.</w:t>
      </w:r>
    </w:p>
    <w:p>
      <w:pPr>
        <w:spacing w:after="0" w:line="194" w:lineRule="auto"/>
        <w:framePr w:w="1780" w:h="158" w:wrap="auto" w:vAnchor="page" w:hAnchor="page" w:x="280" w:y="7863"/>
        <w:rPr>
          <w:rFonts w:ascii="Arial" w:cs="Arial" w:eastAsia="Arial" w:hAnsi="Arial"/>
          <w:sz w:val="17"/>
          <w:szCs w:val="17"/>
          <w:i w:val="1"/>
          <w:iCs w:val="1"/>
          <w:color w:val="auto"/>
        </w:rPr>
      </w:pPr>
      <w:r>
        <w:rPr>
          <w:rFonts w:ascii="Arial" w:cs="Arial" w:eastAsia="Arial" w:hAnsi="Arial"/>
          <w:sz w:val="17"/>
          <w:szCs w:val="17"/>
          <w:i w:val="1"/>
          <w:iCs w:val="1"/>
          <w:color w:val="auto"/>
        </w:rPr>
        <w:t>/s/ Ernst &amp; Young LLP</w:t>
      </w:r>
    </w:p>
    <w:p>
      <w:pPr>
        <w:spacing w:after="0" w:line="225" w:lineRule="auto"/>
        <w:framePr w:w="4320" w:h="368" w:wrap="auto" w:vAnchor="page" w:hAnchor="page" w:x="280" w:y="8309"/>
        <w:rPr>
          <w:rFonts w:ascii="Arial" w:cs="Arial" w:eastAsia="Arial" w:hAnsi="Arial"/>
          <w:sz w:val="17"/>
          <w:szCs w:val="17"/>
          <w:i w:val="1"/>
          <w:iCs w:val="1"/>
          <w:color w:val="auto"/>
        </w:rPr>
      </w:pPr>
      <w:r>
        <w:rPr>
          <w:rFonts w:ascii="Arial" w:cs="Arial" w:eastAsia="Arial" w:hAnsi="Arial"/>
          <w:sz w:val="17"/>
          <w:szCs w:val="17"/>
          <w:i w:val="1"/>
          <w:iCs w:val="1"/>
          <w:color w:val="auto"/>
        </w:rPr>
        <w:t>We have served as the Company’s auditor since 2019. Boston, Massachusetts</w:t>
      </w:r>
    </w:p>
    <w:p>
      <w:pPr>
        <w:spacing w:after="0" w:line="194" w:lineRule="auto"/>
        <w:framePr w:w="1200" w:h="158" w:wrap="auto" w:vAnchor="page" w:hAnchor="page" w:x="280" w:y="8715"/>
        <w:rPr>
          <w:rFonts w:ascii="Arial" w:cs="Arial" w:eastAsia="Arial" w:hAnsi="Arial"/>
          <w:sz w:val="17"/>
          <w:szCs w:val="17"/>
          <w:i w:val="1"/>
          <w:iCs w:val="1"/>
          <w:color w:val="auto"/>
        </w:rPr>
      </w:pPr>
      <w:r>
        <w:rPr>
          <w:rFonts w:ascii="Arial" w:cs="Arial" w:eastAsia="Arial" w:hAnsi="Arial"/>
          <w:sz w:val="17"/>
          <w:szCs w:val="17"/>
          <w:i w:val="1"/>
          <w:iCs w:val="1"/>
          <w:color w:val="auto"/>
        </w:rPr>
        <w:t>March 5, 2024</w:t>
      </w:r>
    </w:p>
    <w:p>
      <w:pPr>
        <w:spacing w:after="0" w:line="206" w:lineRule="auto"/>
        <w:framePr w:w="360" w:h="158" w:wrap="auto" w:vAnchor="page" w:hAnchor="page" w:x="5760" w:y="9463"/>
        <w:rPr>
          <w:rFonts w:ascii="Arial" w:cs="Arial" w:eastAsia="Arial" w:hAnsi="Arial"/>
          <w:sz w:val="16"/>
          <w:szCs w:val="16"/>
          <w:i w:val="1"/>
          <w:iCs w:val="1"/>
          <w:color w:val="auto"/>
        </w:rPr>
      </w:pPr>
      <w:r>
        <w:rPr>
          <w:rFonts w:ascii="Arial" w:cs="Arial" w:eastAsia="Arial" w:hAnsi="Arial"/>
          <w:sz w:val="16"/>
          <w:szCs w:val="16"/>
          <w:i w:val="1"/>
          <w:iCs w:val="1"/>
          <w:color w:val="auto"/>
        </w:rPr>
        <w:t>102</w:t>
      </w:r>
    </w:p>
    <w:p>
      <w:pPr>
        <w:spacing w:after="0" w:line="252" w:lineRule="auto"/>
        <w:framePr w:w="9340" w:h="2466" w:wrap="auto" w:vAnchor="page" w:hAnchor="page" w:x="2200" w:y="1555"/>
        <w:rPr>
          <w:rFonts w:ascii="Arial" w:cs="Arial" w:eastAsia="Arial" w:hAnsi="Arial"/>
          <w:sz w:val="17"/>
          <w:szCs w:val="17"/>
          <w:i w:val="1"/>
          <w:iCs w:val="1"/>
          <w:color w:val="auto"/>
        </w:rPr>
      </w:pPr>
      <w:r>
        <w:rPr>
          <w:rFonts w:ascii="Arial" w:cs="Arial" w:eastAsia="Arial" w:hAnsi="Arial"/>
          <w:sz w:val="17"/>
          <w:szCs w:val="17"/>
          <w:i w:val="1"/>
          <w:iCs w:val="1"/>
          <w:color w:val="auto"/>
        </w:rPr>
        <w:t>The Company’s accrued costs for research and development expenses totaled $3.0 million at December 31, 2023, including accruals related to the Company’s Cerebrum Platform research and development costs. In addition, the Company’s prepaid expenses and other current assets were $3.6 million which included amounts that were paid in advance of services incurred pursuant to the Cerebrum Platform research and development costs. As discussed in Note 2 to the consolidated financial statements, the Company analyzes the progress of the clinical trials, including the phase or completion of events, invoices received and contracted costs. Significant judgments and estimates are made in determining the accrued and prepaid balances at the end of any reporting period for the Company’s Cerebrum Platform research and development costs. The Company is required to estimate such accruals and prepaids using judgment based on certain information, including actual costs incurred or level of effort expended, as provided by its vendors. Payments for such activities are based on the terms of the individual arrangements, which may differ from the pattern of costs incurred, and are reflected on the consolidated balance sheet within accrued expenses or prepaid expenses and other current assets.</w:t>
      </w: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83"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7"/>
          <w:szCs w:val="17"/>
          <w:b w:val="1"/>
          <w:bCs w:val="1"/>
          <w:color w:val="auto"/>
        </w:rPr>
        <w:t>Cerebrum Platform Accrued and Prepaid Research and Development Costs</w:t>
      </w:r>
    </w:p>
    <w:p>
      <w:pPr>
        <w:spacing w:after="0" w:line="200" w:lineRule="exact"/>
        <w:rPr>
          <w:rFonts w:ascii="Arial" w:cs="Arial" w:eastAsia="Arial" w:hAnsi="Arial"/>
          <w:sz w:val="17"/>
          <w:szCs w:val="17"/>
          <w:i w:val="1"/>
          <w:iCs w:val="1"/>
          <w:color w:val="auto"/>
        </w:rPr>
      </w:pPr>
    </w:p>
    <w:p>
      <w:pPr>
        <w:ind w:left="20"/>
        <w:spacing w:after="0"/>
        <w:rPr>
          <w:sz w:val="20"/>
          <w:szCs w:val="20"/>
          <w:color w:val="auto"/>
        </w:rPr>
      </w:pPr>
      <w:r>
        <w:rPr>
          <w:rFonts w:ascii="Arial" w:cs="Arial" w:eastAsia="Arial" w:hAnsi="Arial"/>
          <w:sz w:val="17"/>
          <w:szCs w:val="17"/>
          <w:i w:val="1"/>
          <w:iCs w:val="1"/>
          <w:color w:val="auto"/>
        </w:rPr>
        <w:t>Description of the</w:t>
      </w:r>
    </w:p>
    <w:p>
      <w:pPr>
        <w:spacing w:after="0" w:line="67" w:lineRule="exact"/>
        <w:rPr>
          <w:rFonts w:ascii="Arial" w:cs="Arial" w:eastAsia="Arial" w:hAnsi="Arial"/>
          <w:sz w:val="17"/>
          <w:szCs w:val="17"/>
          <w:i w:val="1"/>
          <w:iCs w:val="1"/>
          <w:color w:val="auto"/>
        </w:rPr>
      </w:pPr>
    </w:p>
    <w:p>
      <w:pPr>
        <w:ind w:left="20"/>
        <w:spacing w:after="0"/>
        <w:rPr>
          <w:sz w:val="20"/>
          <w:szCs w:val="20"/>
          <w:color w:val="auto"/>
        </w:rPr>
      </w:pPr>
      <w:r>
        <w:rPr>
          <w:rFonts w:ascii="Arial" w:cs="Arial" w:eastAsia="Arial" w:hAnsi="Arial"/>
          <w:sz w:val="17"/>
          <w:szCs w:val="17"/>
          <w:i w:val="1"/>
          <w:iCs w:val="1"/>
          <w:color w:val="auto"/>
        </w:rPr>
        <w:t>Matter</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-8890</wp:posOffset>
            </wp:positionH>
            <wp:positionV relativeFrom="paragraph">
              <wp:posOffset>5045075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61,615</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38,874</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10,351</w:t>
            </w:r>
          </w:p>
        </w:tc>
        <w:tc>
          <w:tcPr>
            <w:tcW w:w="0" w:type="dxa"/>
            <w:vAlign w:val="bottom"/>
          </w:tcPr>
          <w:p>
            <w:pPr>
              <w:spacing w:after="0"/>
              <w:rPr>
                <w:sz w:val="1"/>
                <w:szCs w:val="1"/>
                <w:color w:val="auto"/>
              </w:rPr>
            </w:pPr>
          </w:p>
        </w:tc>
      </w:tr>
      <w:tr>
        <w:trPr>
          <w:trHeight w:val="202"/>
        </w:trPr>
        <w:tc>
          <w:tcPr>
            <w:tcW w:w="80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84,880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110,840</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4"/>
        </w:trPr>
        <w:tc>
          <w:tcPr>
            <w:tcW w:w="8060" w:type="dxa"/>
            <w:vAlign w:val="bottom"/>
          </w:tcPr>
          <w:p>
            <w:pPr>
              <w:ind w:left="4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87,948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14,672</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7,416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15,850</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Current portion of deferred revenue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15,749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34,345</w:t>
            </w:r>
          </w:p>
        </w:tc>
        <w:tc>
          <w:tcPr>
            <w:tcW w:w="0" w:type="dxa"/>
            <w:vAlign w:val="bottom"/>
          </w:tcPr>
          <w:p>
            <w:pPr>
              <w:spacing w:after="0"/>
              <w:rPr>
                <w:sz w:val="1"/>
                <w:szCs w:val="1"/>
                <w:color w:val="auto"/>
              </w:rPr>
            </w:pPr>
          </w:p>
        </w:tc>
      </w:tr>
      <w:tr>
        <w:trPr>
          <w:trHeight w:val="189"/>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liabilities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39,022</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8)</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060" w:type="dxa"/>
            <w:vAlign w:val="bottom"/>
          </w:tcPr>
          <w:p>
            <w:pPr>
              <w:ind w:left="240"/>
              <w:spacing w:after="0" w:line="158"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34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60" w:type="dxa"/>
            <w:vAlign w:val="bottom"/>
          </w:tcPr>
          <w:p>
            <w:pPr>
              <w:ind w:left="240"/>
              <w:spacing w:after="0" w:line="209" w:lineRule="exact"/>
              <w:rPr>
                <w:sz w:val="20"/>
                <w:szCs w:val="20"/>
                <w:color w:val="auto"/>
              </w:rPr>
            </w:pPr>
            <w:r>
              <w:rPr>
                <w:rFonts w:ascii="Arial" w:cs="Arial" w:eastAsia="Arial" w:hAnsi="Arial"/>
                <w:sz w:val="16"/>
                <w:szCs w:val="16"/>
                <w:color w:val="auto"/>
              </w:rPr>
              <w:t>December 31, 2023 and December 31, 2022</w:t>
            </w:r>
            <w:r>
              <w:rPr>
                <w:rFonts w:ascii="Arial" w:cs="Arial" w:eastAsia="Arial" w:hAnsi="Arial"/>
                <w:sz w:val="20"/>
                <w:szCs w:val="20"/>
                <w:color w:val="auto"/>
                <w:vertAlign w:val="superscript"/>
              </w:rPr>
              <w:t>1</w:t>
            </w: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060" w:type="dxa"/>
            <w:vAlign w:val="bottom"/>
            <w:shd w:val="clear" w:color="auto" w:fill="CCEEFF"/>
          </w:tcPr>
          <w:p>
            <w:pPr>
              <w:ind w:left="240"/>
              <w:spacing w:after="0" w:line="158" w:lineRule="exact"/>
              <w:rPr>
                <w:sz w:val="20"/>
                <w:szCs w:val="20"/>
                <w:color w:val="auto"/>
              </w:rPr>
            </w:pPr>
            <w:r>
              <w:rPr>
                <w:rFonts w:ascii="Arial" w:cs="Arial" w:eastAsia="Arial" w:hAnsi="Arial"/>
                <w:sz w:val="16"/>
                <w:szCs w:val="16"/>
                <w:color w:val="auto"/>
                <w:w w:val="98"/>
              </w:rPr>
              <w:t>Common stock, 0.0001 par value; 150,000,000.00 shares authorized; 8,791,877 shares issued and outstanding</w:t>
            </w: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40"/>
              <w:spacing w:after="0" w:line="209" w:lineRule="exact"/>
              <w:rPr>
                <w:sz w:val="20"/>
                <w:szCs w:val="20"/>
                <w:color w:val="auto"/>
              </w:rPr>
            </w:pPr>
            <w:r>
              <w:rPr>
                <w:rFonts w:ascii="Arial" w:cs="Arial" w:eastAsia="Arial" w:hAnsi="Arial"/>
                <w:sz w:val="16"/>
                <w:szCs w:val="16"/>
                <w:color w:val="auto"/>
              </w:rPr>
              <w:t>as of December 31, 2023, and 3,292,163 shares issued and outstanding as of December 31, 2022</w:t>
            </w:r>
            <w:r>
              <w:rPr>
                <w:rFonts w:ascii="Arial" w:cs="Arial" w:eastAsia="Arial" w:hAnsi="Arial"/>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723,577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606,918</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(653,921)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(530,644)</w:t>
            </w: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69,669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76,106</w:t>
            </w:r>
          </w:p>
        </w:tc>
        <w:tc>
          <w:tcPr>
            <w:tcW w:w="0" w:type="dxa"/>
            <w:vAlign w:val="bottom"/>
          </w:tcPr>
          <w:p>
            <w:pPr>
              <w:spacing w:after="0"/>
              <w:rPr>
                <w:sz w:val="1"/>
                <w:szCs w:val="1"/>
                <w:color w:val="auto"/>
              </w:rPr>
            </w:pPr>
          </w:p>
        </w:tc>
      </w:tr>
      <w:tr>
        <w:trPr>
          <w:trHeight w:val="204"/>
        </w:trPr>
        <w:tc>
          <w:tcPr>
            <w:tcW w:w="8060" w:type="dxa"/>
            <w:vAlign w:val="bottom"/>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87,948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80" w:hanging="75"/>
        <w:spacing w:after="0"/>
        <w:tabs>
          <w:tab w:leader="none" w:pos="80" w:val="left"/>
        </w:tabs>
        <w:numPr>
          <w:ilvl w:val="0"/>
          <w:numId w:val="60"/>
        </w:numPr>
        <w:rPr>
          <w:rFonts w:ascii="Arial" w:cs="Arial" w:eastAsia="Arial" w:hAnsi="Arial"/>
          <w:sz w:val="9"/>
          <w:szCs w:val="9"/>
          <w:i w:val="1"/>
          <w:iCs w:val="1"/>
          <w:color w:val="auto"/>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2022</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0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86,766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155,040</w:t>
            </w:r>
          </w:p>
        </w:tc>
      </w:tr>
      <w:tr>
        <w:trPr>
          <w:trHeight w:val="20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42,054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59,946</w:t>
            </w:r>
          </w:p>
        </w:tc>
      </w:tr>
      <w:tr>
        <w:trPr>
          <w:trHeight w:val="204"/>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128,820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214,986</w:t>
            </w:r>
          </w:p>
        </w:tc>
      </w:tr>
      <w:tr>
        <w:trPr>
          <w:trHeight w:val="202"/>
        </w:trPr>
        <w:tc>
          <w:tcPr>
            <w:tcW w:w="80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(126,373)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(214,986)</w:t>
            </w: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3,096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r>
      <w:tr>
        <w:trPr>
          <w:trHeight w:val="203"/>
        </w:trPr>
        <w:tc>
          <w:tcPr>
            <w:tcW w:w="80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income</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3,096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(123,277)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(214,029)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8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6"/>
                <w:szCs w:val="16"/>
                <w:color w:val="auto"/>
              </w:rPr>
              <w:t>Net loss per share attributable to common stockholders, basic and diluted</w:t>
            </w:r>
            <w:r>
              <w:rPr>
                <w:rFonts w:ascii="Arial" w:cs="Arial" w:eastAsia="Arial" w:hAnsi="Arial"/>
                <w:sz w:val="20"/>
                <w:szCs w:val="20"/>
                <w:color w:val="auto"/>
                <w:vertAlign w:val="superscript"/>
              </w:rPr>
              <w:t>1</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8020" w:type="dxa"/>
            <w:vAlign w:val="bottom"/>
          </w:tcPr>
          <w:p>
            <w:pPr>
              <w:ind w:left="20"/>
              <w:spacing w:after="0" w:line="183" w:lineRule="exact"/>
              <w:rPr>
                <w:sz w:val="20"/>
                <w:szCs w:val="20"/>
                <w:color w:val="auto"/>
              </w:rPr>
            </w:pPr>
            <w:r>
              <w:rPr>
                <w:rFonts w:ascii="Arial" w:cs="Arial" w:eastAsia="Arial" w:hAnsi="Arial"/>
                <w:sz w:val="16"/>
                <w:szCs w:val="16"/>
                <w:color w:val="auto"/>
              </w:rPr>
              <w:t>Weighted average common shares outstanding, basic and diluted</w:t>
            </w:r>
            <w:r>
              <w:rPr>
                <w:rFonts w:ascii="Arial" w:cs="Arial" w:eastAsia="Arial" w:hAnsi="Arial"/>
                <w:sz w:val="20"/>
                <w:szCs w:val="20"/>
                <w:color w:val="auto"/>
                <w:vertAlign w:val="superscript"/>
              </w:rPr>
              <w:t>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6,594,316</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3,073,100</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80" w:hanging="75"/>
        <w:spacing w:after="0"/>
        <w:tabs>
          <w:tab w:leader="none" w:pos="80" w:val="left"/>
        </w:tabs>
        <w:numPr>
          <w:ilvl w:val="0"/>
          <w:numId w:val="61"/>
        </w:numPr>
        <w:rPr>
          <w:rFonts w:ascii="Arial" w:cs="Arial" w:eastAsia="Arial" w:hAnsi="Arial"/>
          <w:sz w:val="9"/>
          <w:szCs w:val="9"/>
          <w:i w:val="1"/>
          <w:iCs w:val="1"/>
          <w:color w:val="auto"/>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thousands, except share and per share data)</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2022</w:t>
            </w: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(123,277)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(214,029)</w:t>
            </w:r>
          </w:p>
        </w:tc>
      </w:tr>
      <w:tr>
        <w:trPr>
          <w:trHeight w:val="209"/>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unrealized losses on marketable securities, net of tax</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(123,104)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(214,026)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780" w:type="dxa"/>
            <w:vAlign w:val="bottom"/>
            <w:vMerge w:val="restart"/>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800" w:type="dxa"/>
            <w:vAlign w:val="bottom"/>
            <w:gridSpan w:val="3"/>
          </w:tcPr>
          <w:p>
            <w:pPr>
              <w:jc w:val="right"/>
              <w:ind w:right="259"/>
              <w:spacing w:after="0" w:line="162"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5"/>
                <w:szCs w:val="15"/>
                <w:b w:val="1"/>
                <w:bCs w:val="1"/>
                <w:color w:val="auto"/>
                <w:vertAlign w:val="superscript"/>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Other</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50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60" w:type="dxa"/>
            <w:vAlign w:val="bottom"/>
            <w:gridSpan w:val="3"/>
          </w:tcPr>
          <w:p>
            <w:pPr>
              <w:ind w:left="40"/>
              <w:spacing w:after="0" w:line="53" w:lineRule="exact"/>
              <w:rPr>
                <w:sz w:val="20"/>
                <w:szCs w:val="20"/>
                <w:color w:val="auto"/>
              </w:rPr>
            </w:pPr>
            <w:r>
              <w:rPr>
                <w:rFonts w:ascii="Arial" w:cs="Arial" w:eastAsia="Arial" w:hAnsi="Arial"/>
                <w:sz w:val="6"/>
                <w:szCs w:val="6"/>
                <w:b w:val="1"/>
                <w:bCs w:val="1"/>
                <w:color w:val="auto"/>
              </w:rPr>
              <w:t>Comprehensive</w:t>
            </w:r>
          </w:p>
        </w:tc>
        <w:tc>
          <w:tcPr>
            <w:tcW w:w="960" w:type="dxa"/>
            <w:vAlign w:val="bottom"/>
            <w:gridSpan w:val="2"/>
          </w:tcPr>
          <w:p>
            <w:pPr>
              <w:jc w:val="center"/>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Capital</w:t>
            </w:r>
          </w:p>
        </w:tc>
        <w:tc>
          <w:tcPr>
            <w:tcW w:w="8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Loss</w:t>
            </w:r>
          </w:p>
        </w:tc>
        <w:tc>
          <w:tcPr>
            <w:tcW w:w="180" w:type="dxa"/>
            <w:vAlign w:val="bottom"/>
          </w:tcPr>
          <w:p>
            <w:pPr>
              <w:spacing w:after="0"/>
              <w:rPr>
                <w:sz w:val="15"/>
                <w:szCs w:val="15"/>
                <w:color w:val="auto"/>
              </w:rPr>
            </w:pPr>
          </w:p>
        </w:tc>
        <w:tc>
          <w:tcPr>
            <w:tcW w:w="780" w:type="dxa"/>
            <w:vAlign w:val="bottom"/>
          </w:tcPr>
          <w:p>
            <w:pPr>
              <w:jc w:val="center"/>
              <w:ind w:right="11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65"/>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3,292,163</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606,918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(530,644)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76,106</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7,593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7,593</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from at-the-market public offerings, net of issuance costs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560,253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18,096</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11,516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2,970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(37,455)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(37,455)</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3,864,027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632,580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(568,099)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64,468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5,775</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5,775</w:t>
            </w:r>
          </w:p>
        </w:tc>
        <w:tc>
          <w:tcPr>
            <w:tcW w:w="0" w:type="dxa"/>
            <w:vAlign w:val="bottom"/>
          </w:tcPr>
          <w:p>
            <w:pPr>
              <w:spacing w:after="0"/>
              <w:rPr>
                <w:sz w:val="1"/>
                <w:szCs w:val="1"/>
                <w:color w:val="auto"/>
              </w:rPr>
            </w:pPr>
          </w:p>
        </w:tc>
      </w:tr>
      <w:tr>
        <w:trPr>
          <w:trHeight w:val="131"/>
        </w:trPr>
        <w:tc>
          <w:tcPr>
            <w:tcW w:w="502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Issuance of common stock from follow-on public offering and accompanying pre-funded</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warrants, net of underwriting discounts, commissions and offering costs of $4,484</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4,296,646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63,439</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from at-the-market public offerings, net of issuance costs</w:t>
            </w:r>
          </w:p>
        </w:tc>
        <w:tc>
          <w:tcPr>
            <w:tcW w:w="980" w:type="dxa"/>
            <w:vAlign w:val="bottom"/>
          </w:tcPr>
          <w:p>
            <w:pPr>
              <w:jc w:val="right"/>
              <w:spacing w:after="0"/>
              <w:rPr>
                <w:sz w:val="20"/>
                <w:szCs w:val="20"/>
                <w:color w:val="auto"/>
              </w:rPr>
            </w:pPr>
            <w:r>
              <w:rPr>
                <w:rFonts w:ascii="Arial" w:cs="Arial" w:eastAsia="Arial" w:hAnsi="Arial"/>
                <w:sz w:val="12"/>
                <w:szCs w:val="12"/>
                <w:color w:val="auto"/>
              </w:rPr>
              <w:t>392,541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6,032</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15,663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720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(34,312)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(34,312)</w:t>
            </w:r>
          </w:p>
        </w:tc>
        <w:tc>
          <w:tcPr>
            <w:tcW w:w="0" w:type="dxa"/>
            <w:vAlign w:val="bottom"/>
          </w:tcPr>
          <w:p>
            <w:pPr>
              <w:spacing w:after="0"/>
              <w:rPr>
                <w:sz w:val="1"/>
                <w:szCs w:val="1"/>
                <w:color w:val="auto"/>
              </w:rPr>
            </w:pPr>
          </w:p>
        </w:tc>
      </w:tr>
      <w:tr>
        <w:trPr>
          <w:trHeight w:val="164"/>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8,569,348</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708,023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(602,411)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105,625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5,763</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311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(24,632)</w:t>
            </w:r>
          </w:p>
        </w:tc>
        <w:tc>
          <w:tcPr>
            <w:tcW w:w="0" w:type="dxa"/>
            <w:vAlign w:val="bottom"/>
          </w:tcPr>
          <w:p>
            <w:pPr>
              <w:spacing w:after="0"/>
              <w:rPr>
                <w:sz w:val="1"/>
                <w:szCs w:val="1"/>
                <w:color w:val="auto"/>
              </w:rPr>
            </w:pPr>
          </w:p>
        </w:tc>
      </w:tr>
      <w:tr>
        <w:trPr>
          <w:trHeight w:val="164"/>
        </w:trPr>
        <w:tc>
          <w:tcPr>
            <w:tcW w:w="5020" w:type="dxa"/>
            <w:vAlign w:val="bottom"/>
          </w:tcPr>
          <w:p>
            <w:pPr>
              <w:ind w:left="20"/>
              <w:spacing w:after="0"/>
              <w:rPr>
                <w:sz w:val="20"/>
                <w:szCs w:val="20"/>
                <w:color w:val="auto"/>
              </w:rPr>
            </w:pPr>
            <w:r>
              <w:rPr>
                <w:rFonts w:ascii="Arial" w:cs="Arial" w:eastAsia="Arial" w:hAnsi="Arial"/>
                <w:sz w:val="12"/>
                <w:szCs w:val="12"/>
                <w:b w:val="1"/>
                <w:bCs w:val="1"/>
                <w:color w:val="auto"/>
              </w:rPr>
              <w:t>Balance at September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8,569,822</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713,786</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(627,043)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86,756</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5,726</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tcPr>
          <w:p>
            <w:pPr>
              <w:jc w:val="right"/>
              <w:spacing w:after="0"/>
              <w:rPr>
                <w:sz w:val="20"/>
                <w:szCs w:val="20"/>
                <w:color w:val="auto"/>
              </w:rPr>
            </w:pPr>
            <w:r>
              <w:rPr>
                <w:rFonts w:ascii="Arial" w:cs="Arial" w:eastAsia="Arial" w:hAnsi="Arial"/>
                <w:sz w:val="12"/>
                <w:szCs w:val="12"/>
                <w:color w:val="auto"/>
              </w:rPr>
              <w:t>9,027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31"/>
        </w:trPr>
        <w:tc>
          <w:tcPr>
            <w:tcW w:w="5020" w:type="dxa"/>
            <w:vAlign w:val="bottom"/>
            <w:shd w:val="clear" w:color="auto" w:fill="CCEEFF"/>
          </w:tcPr>
          <w:p>
            <w:pPr>
              <w:ind w:left="20"/>
              <w:spacing w:after="0" w:line="132" w:lineRule="exact"/>
              <w:rPr>
                <w:sz w:val="20"/>
                <w:szCs w:val="20"/>
                <w:color w:val="auto"/>
              </w:rPr>
            </w:pPr>
            <w:r>
              <w:rPr>
                <w:rFonts w:ascii="Arial" w:cs="Arial" w:eastAsia="Arial" w:hAnsi="Arial"/>
                <w:sz w:val="12"/>
                <w:szCs w:val="12"/>
                <w:color w:val="auto"/>
              </w:rPr>
              <w:t>Issuance of common stock from at-the-market public offerings, net of issuance costs of</w:t>
            </w: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$123</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212,453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3,964</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824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6"/>
        </w:trPr>
        <w:tc>
          <w:tcPr>
            <w:tcW w:w="5020" w:type="dxa"/>
            <w:vAlign w:val="bottom"/>
          </w:tcPr>
          <w:p>
            <w:pPr>
              <w:ind w:left="20"/>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(26,878)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(26,878)</w:t>
            </w:r>
          </w:p>
        </w:tc>
        <w:tc>
          <w:tcPr>
            <w:tcW w:w="0" w:type="dxa"/>
            <w:vAlign w:val="bottom"/>
          </w:tcPr>
          <w:p>
            <w:pPr>
              <w:spacing w:after="0"/>
              <w:rPr>
                <w:sz w:val="1"/>
                <w:szCs w:val="1"/>
                <w:color w:val="auto"/>
              </w:rPr>
            </w:pPr>
          </w:p>
        </w:tc>
      </w:tr>
      <w:tr>
        <w:trPr>
          <w:trHeight w:val="19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8,791,877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723,577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(653,921)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69,669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left="80" w:hanging="75"/>
        <w:spacing w:after="0"/>
        <w:tabs>
          <w:tab w:leader="none" w:pos="80" w:val="left"/>
        </w:tabs>
        <w:numPr>
          <w:ilvl w:val="0"/>
          <w:numId w:val="6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80" w:right="2500"/>
        <w:spacing w:after="0" w:line="413" w:lineRule="auto"/>
        <w:rPr>
          <w:sz w:val="20"/>
          <w:szCs w:val="20"/>
          <w:color w:val="auto"/>
        </w:rPr>
      </w:pPr>
      <w:r>
        <w:rPr>
          <w:rFonts w:ascii="Arial" w:cs="Arial" w:eastAsia="Arial" w:hAnsi="Arial"/>
          <w:sz w:val="17"/>
          <w:szCs w:val="17"/>
          <w:b w:val="1"/>
          <w:bCs w:val="1"/>
          <w:color w:val="auto"/>
        </w:rPr>
        <w:t>PRAXIS PRECISION MEDICINES, INC. CONSOLIDATED STATEMENTS OF STOCKHOLDERS’ EQUITY (continued) (Amounts in thousands, except share data)</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920" w:type="dxa"/>
            <w:vAlign w:val="bottom"/>
          </w:tcPr>
          <w:p>
            <w:pPr>
              <w:spacing w:after="0"/>
              <w:rPr>
                <w:sz w:val="14"/>
                <w:szCs w:val="14"/>
                <w:color w:val="auto"/>
              </w:rPr>
            </w:pPr>
          </w:p>
        </w:tc>
        <w:tc>
          <w:tcPr>
            <w:tcW w:w="1800" w:type="dxa"/>
            <w:vAlign w:val="bottom"/>
            <w:gridSpan w:val="3"/>
          </w:tcPr>
          <w:p>
            <w:pPr>
              <w:jc w:val="right"/>
              <w:ind w:right="259"/>
              <w:spacing w:after="0" w:line="171"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5"/>
                <w:szCs w:val="15"/>
                <w:b w:val="1"/>
                <w:bCs w:val="1"/>
                <w:color w:val="auto"/>
                <w:vertAlign w:val="superscript"/>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Other</w:t>
            </w:r>
          </w:p>
        </w:tc>
        <w:tc>
          <w:tcPr>
            <w:tcW w:w="180" w:type="dxa"/>
            <w:vAlign w:val="bottom"/>
          </w:tcPr>
          <w:p>
            <w:pPr>
              <w:spacing w:after="0"/>
              <w:rPr>
                <w:sz w:val="14"/>
                <w:szCs w:val="14"/>
                <w:color w:val="auto"/>
              </w:rPr>
            </w:pPr>
          </w:p>
        </w:tc>
        <w:tc>
          <w:tcPr>
            <w:tcW w:w="780" w:type="dxa"/>
            <w:vAlign w:val="bottom"/>
          </w:tcPr>
          <w:p>
            <w:pPr>
              <w:jc w:val="center"/>
              <w:ind w:right="11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49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40"/>
              <w:spacing w:after="0" w:line="46" w:lineRule="exact"/>
              <w:rPr>
                <w:sz w:val="20"/>
                <w:szCs w:val="20"/>
                <w:color w:val="auto"/>
              </w:rPr>
            </w:pPr>
            <w:r>
              <w:rPr>
                <w:rFonts w:ascii="Arial" w:cs="Arial" w:eastAsia="Arial" w:hAnsi="Arial"/>
                <w:sz w:val="5"/>
                <w:szCs w:val="5"/>
                <w:b w:val="1"/>
                <w:bCs w:val="1"/>
                <w:color w:val="auto"/>
              </w:rPr>
              <w:t>Paid-In</w:t>
            </w:r>
          </w:p>
        </w:tc>
        <w:tc>
          <w:tcPr>
            <w:tcW w:w="80" w:type="dxa"/>
            <w:vAlign w:val="bottom"/>
          </w:tcPr>
          <w:p>
            <w:pPr>
              <w:spacing w:after="0"/>
              <w:rPr>
                <w:sz w:val="4"/>
                <w:szCs w:val="4"/>
                <w:color w:val="auto"/>
              </w:rPr>
            </w:pPr>
          </w:p>
        </w:tc>
        <w:tc>
          <w:tcPr>
            <w:tcW w:w="960" w:type="dxa"/>
            <w:vAlign w:val="bottom"/>
            <w:gridSpan w:val="2"/>
          </w:tcPr>
          <w:p>
            <w:pPr>
              <w:jc w:val="center"/>
              <w:ind w:right="180"/>
              <w:spacing w:after="0" w:line="46" w:lineRule="exact"/>
              <w:rPr>
                <w:sz w:val="20"/>
                <w:szCs w:val="20"/>
                <w:color w:val="auto"/>
              </w:rPr>
            </w:pPr>
            <w:r>
              <w:rPr>
                <w:rFonts w:ascii="Arial" w:cs="Arial" w:eastAsia="Arial" w:hAnsi="Arial"/>
                <w:sz w:val="5"/>
                <w:szCs w:val="5"/>
                <w:b w:val="1"/>
                <w:bCs w:val="1"/>
                <w:color w:val="auto"/>
              </w:rPr>
              <w:t>Accumulated</w:t>
            </w:r>
          </w:p>
        </w:tc>
        <w:tc>
          <w:tcPr>
            <w:tcW w:w="1060" w:type="dxa"/>
            <w:vAlign w:val="bottom"/>
            <w:gridSpan w:val="3"/>
          </w:tcPr>
          <w:p>
            <w:pPr>
              <w:ind w:left="20"/>
              <w:spacing w:after="0" w:line="46" w:lineRule="exact"/>
              <w:rPr>
                <w:sz w:val="20"/>
                <w:szCs w:val="20"/>
                <w:color w:val="auto"/>
              </w:rPr>
            </w:pPr>
            <w:r>
              <w:rPr>
                <w:rFonts w:ascii="Arial" w:cs="Arial" w:eastAsia="Arial" w:hAnsi="Arial"/>
                <w:sz w:val="5"/>
                <w:szCs w:val="5"/>
                <w:b w:val="1"/>
                <w:bCs w:val="1"/>
                <w:color w:val="auto"/>
              </w:rPr>
              <w:t>Comprehensive</w:t>
            </w:r>
          </w:p>
        </w:tc>
        <w:tc>
          <w:tcPr>
            <w:tcW w:w="960" w:type="dxa"/>
            <w:vAlign w:val="bottom"/>
            <w:gridSpan w:val="2"/>
          </w:tcPr>
          <w:p>
            <w:pPr>
              <w:jc w:val="center"/>
              <w:spacing w:after="0" w:line="46" w:lineRule="exact"/>
              <w:rPr>
                <w:sz w:val="20"/>
                <w:szCs w:val="20"/>
                <w:color w:val="auto"/>
              </w:rPr>
            </w:pPr>
            <w:r>
              <w:rPr>
                <w:rFonts w:ascii="Arial" w:cs="Arial" w:eastAsia="Arial" w:hAnsi="Arial"/>
                <w:sz w:val="5"/>
                <w:szCs w:val="5"/>
                <w:b w:val="1"/>
                <w:bCs w:val="1"/>
                <w:color w:val="auto"/>
              </w:rPr>
              <w:t>Stockholders’</w:t>
            </w:r>
          </w:p>
        </w:tc>
        <w:tc>
          <w:tcPr>
            <w:tcW w:w="0" w:type="dxa"/>
            <w:vAlign w:val="bottom"/>
          </w:tcPr>
          <w:p>
            <w:pPr>
              <w:spacing w:after="0"/>
              <w:rPr>
                <w:sz w:val="1"/>
                <w:szCs w:val="1"/>
                <w:color w:val="auto"/>
              </w:rPr>
            </w:pPr>
          </w:p>
        </w:tc>
      </w:tr>
      <w:tr>
        <w:trPr>
          <w:trHeight w:val="172"/>
        </w:trPr>
        <w:tc>
          <w:tcPr>
            <w:tcW w:w="492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14"/>
                <w:szCs w:val="14"/>
                <w:color w:val="auto"/>
              </w:rPr>
            </w:pPr>
          </w:p>
        </w:tc>
        <w:tc>
          <w:tcPr>
            <w:tcW w:w="780" w:type="dxa"/>
            <w:vAlign w:val="bottom"/>
          </w:tcPr>
          <w:p>
            <w:pPr>
              <w:jc w:val="center"/>
              <w:ind w:right="139"/>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8"/>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3,020,034</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567,598</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(316,615)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250,812</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7,886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7,886</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from at-the-market public offerings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1,368</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5,408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4,818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(68,717)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(68,717)</w:t>
            </w:r>
          </w:p>
        </w:tc>
        <w:tc>
          <w:tcPr>
            <w:tcW w:w="0" w:type="dxa"/>
            <w:vAlign w:val="bottom"/>
          </w:tcPr>
          <w:p>
            <w:pPr>
              <w:spacing w:after="0"/>
              <w:rPr>
                <w:sz w:val="1"/>
                <w:szCs w:val="1"/>
                <w:color w:val="auto"/>
              </w:rPr>
            </w:pPr>
          </w:p>
        </w:tc>
      </w:tr>
      <w:tr>
        <w:trPr>
          <w:trHeight w:val="19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March 31,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3,033,764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576,955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(385,332)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191,022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9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7,611</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7,611</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424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876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(60,194)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(60,194)</w:t>
            </w:r>
          </w:p>
        </w:tc>
        <w:tc>
          <w:tcPr>
            <w:tcW w:w="0" w:type="dxa"/>
            <w:vAlign w:val="bottom"/>
          </w:tcPr>
          <w:p>
            <w:pPr>
              <w:spacing w:after="0"/>
              <w:rPr>
                <w:sz w:val="1"/>
                <w:szCs w:val="1"/>
                <w:color w:val="auto"/>
              </w:rPr>
            </w:pPr>
          </w:p>
        </w:tc>
      </w:tr>
      <w:tr>
        <w:trPr>
          <w:trHeight w:val="19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June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3,038,359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585,070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(445,526)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138,869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9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6,730</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6,730</w:t>
            </w:r>
          </w:p>
        </w:tc>
        <w:tc>
          <w:tcPr>
            <w:tcW w:w="0" w:type="dxa"/>
            <w:vAlign w:val="bottom"/>
          </w:tcPr>
          <w:p>
            <w:pPr>
              <w:spacing w:after="0"/>
              <w:rPr>
                <w:sz w:val="1"/>
                <w:szCs w:val="1"/>
                <w:color w:val="auto"/>
              </w:rPr>
            </w:pPr>
          </w:p>
        </w:tc>
      </w:tr>
      <w:tr>
        <w:trPr>
          <w:trHeight w:val="123"/>
        </w:trPr>
        <w:tc>
          <w:tcPr>
            <w:tcW w:w="4920" w:type="dxa"/>
            <w:vAlign w:val="bottom"/>
            <w:shd w:val="clear" w:color="auto" w:fill="CCEEFF"/>
          </w:tcPr>
          <w:p>
            <w:pPr>
              <w:spacing w:after="0" w:line="123" w:lineRule="exact"/>
              <w:rPr>
                <w:sz w:val="20"/>
                <w:szCs w:val="20"/>
                <w:color w:val="auto"/>
              </w:rPr>
            </w:pPr>
            <w:r>
              <w:rPr>
                <w:rFonts w:ascii="Arial" w:cs="Arial" w:eastAsia="Arial" w:hAnsi="Arial"/>
                <w:sz w:val="12"/>
                <w:szCs w:val="12"/>
                <w:color w:val="auto"/>
              </w:rPr>
              <w:t>Issuance of common stock from at-the-market public offerings, net of issuance costs of</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$109</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73,667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2,962</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354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980" w:type="dxa"/>
            <w:vAlign w:val="bottom"/>
          </w:tcPr>
          <w:p>
            <w:pPr>
              <w:jc w:val="right"/>
              <w:spacing w:after="0"/>
              <w:rPr>
                <w:sz w:val="20"/>
                <w:szCs w:val="20"/>
                <w:color w:val="auto"/>
              </w:rPr>
            </w:pPr>
            <w:r>
              <w:rPr>
                <w:rFonts w:ascii="Arial" w:cs="Arial" w:eastAsia="Arial" w:hAnsi="Arial"/>
                <w:sz w:val="12"/>
                <w:szCs w:val="12"/>
                <w:color w:val="auto"/>
              </w:rPr>
              <w:t>12,016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409</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(43,945)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(43,945)</w:t>
            </w:r>
          </w:p>
        </w:tc>
        <w:tc>
          <w:tcPr>
            <w:tcW w:w="0" w:type="dxa"/>
            <w:vAlign w:val="bottom"/>
          </w:tcPr>
          <w:p>
            <w:pPr>
              <w:spacing w:after="0"/>
              <w:rPr>
                <w:sz w:val="1"/>
                <w:szCs w:val="1"/>
                <w:color w:val="auto"/>
              </w:rPr>
            </w:pPr>
          </w:p>
        </w:tc>
      </w:tr>
      <w:tr>
        <w:trPr>
          <w:trHeight w:val="19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Balance at September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3,124,287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595,165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(489,471)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105,163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vMerge w:val="restart"/>
          </w:tcPr>
          <w:p>
            <w:pPr>
              <w:spacing w:after="0"/>
              <w:rPr>
                <w:sz w:val="20"/>
                <w:szCs w:val="20"/>
                <w:color w:val="auto"/>
              </w:rPr>
            </w:pPr>
            <w:r>
              <w:rPr>
                <w:rFonts w:ascii="Arial" w:cs="Arial" w:eastAsia="Arial" w:hAnsi="Arial"/>
                <w:sz w:val="12"/>
                <w:szCs w:val="12"/>
                <w:color w:val="auto"/>
              </w:rPr>
              <w:t>Stock-based compensation expense</w:t>
            </w:r>
          </w:p>
        </w:tc>
        <w:tc>
          <w:tcPr>
            <w:tcW w:w="106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920" w:type="dxa"/>
            <w:vAlign w:val="bottom"/>
            <w:tcBorders>
              <w:top w:val="single" w:sz="8" w:color="CCEEFF"/>
            </w:tcBorders>
            <w:vMerge w:val="continue"/>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6,366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6,366</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under employee stock purchase plan</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Issuance of common stock from at-the-market public offerings</w:t>
            </w:r>
          </w:p>
        </w:tc>
        <w:tc>
          <w:tcPr>
            <w:tcW w:w="980" w:type="dxa"/>
            <w:vAlign w:val="bottom"/>
          </w:tcPr>
          <w:p>
            <w:pPr>
              <w:jc w:val="right"/>
              <w:spacing w:after="0"/>
              <w:rPr>
                <w:sz w:val="20"/>
                <w:szCs w:val="20"/>
                <w:color w:val="auto"/>
              </w:rPr>
            </w:pPr>
            <w:r>
              <w:rPr>
                <w:rFonts w:ascii="Arial" w:cs="Arial" w:eastAsia="Arial" w:hAnsi="Arial"/>
                <w:sz w:val="12"/>
                <w:szCs w:val="12"/>
                <w:color w:val="auto"/>
              </w:rPr>
              <w:t>161,323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5,231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5,231</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Vesting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Shares withheld for taxes for vesting of restricted stock units</w:t>
            </w:r>
          </w:p>
        </w:tc>
        <w:tc>
          <w:tcPr>
            <w:tcW w:w="980" w:type="dxa"/>
            <w:vAlign w:val="bottom"/>
          </w:tcPr>
          <w:p>
            <w:pPr>
              <w:jc w:val="right"/>
              <w:spacing w:after="0"/>
              <w:rPr>
                <w:sz w:val="20"/>
                <w:szCs w:val="20"/>
                <w:color w:val="auto"/>
              </w:rPr>
            </w:pPr>
            <w:r>
              <w:rPr>
                <w:rFonts w:ascii="Arial" w:cs="Arial" w:eastAsia="Arial" w:hAnsi="Arial"/>
                <w:sz w:val="12"/>
                <w:szCs w:val="12"/>
                <w:color w:val="auto"/>
              </w:rPr>
              <w:t>(229)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75"/>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20"/>
                <w:szCs w:val="20"/>
                <w:color w:val="auto"/>
              </w:rPr>
            </w:pPr>
            <w:r>
              <w:rPr>
                <w:rFonts w:ascii="Arial" w:cs="Arial" w:eastAsia="Arial" w:hAnsi="Arial"/>
                <w:sz w:val="12"/>
                <w:szCs w:val="12"/>
                <w:color w:val="auto"/>
              </w:rPr>
              <w:t>Change in unrealized loss on marketable securities, net of tax</w:t>
            </w: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363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363</w:t>
            </w: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(41,173)</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20"/>
                <w:szCs w:val="20"/>
                <w:color w:val="auto"/>
              </w:rPr>
            </w:pPr>
            <w:r>
              <w:rPr>
                <w:rFonts w:ascii="Arial" w:cs="Arial" w:eastAsia="Arial" w:hAnsi="Arial"/>
                <w:sz w:val="12"/>
                <w:szCs w:val="12"/>
                <w:b w:val="1"/>
                <w:bCs w:val="1"/>
                <w:color w:val="auto"/>
              </w:rPr>
              <w:t>Balance at December 31, 2022</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3,292,163</w:t>
            </w:r>
          </w:p>
        </w:tc>
        <w:tc>
          <w:tcPr>
            <w:tcW w:w="8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606,918</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(530,644)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76,106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80" w:hanging="75"/>
        <w:spacing w:after="0"/>
        <w:tabs>
          <w:tab w:leader="none" w:pos="80" w:val="left"/>
        </w:tabs>
        <w:numPr>
          <w:ilvl w:val="0"/>
          <w:numId w:val="63"/>
        </w:numPr>
        <w:rPr>
          <w:rFonts w:ascii="Arial" w:cs="Arial" w:eastAsia="Arial" w:hAnsi="Arial"/>
          <w:sz w:val="9"/>
          <w:szCs w:val="9"/>
          <w:i w:val="1"/>
          <w:iCs w:val="1"/>
          <w:color w:val="auto"/>
        </w:rPr>
      </w:pPr>
      <w:r>
        <w:rPr>
          <w:rFonts w:ascii="Arial" w:cs="Arial" w:eastAsia="Arial" w:hAnsi="Arial"/>
          <w:sz w:val="14"/>
          <w:szCs w:val="14"/>
          <w:i w:val="1"/>
          <w:iCs w:val="1"/>
          <w:color w:val="auto"/>
        </w:rPr>
        <w:t>Results have been retroactively adjusted to reflect the 1-for-15 reverse stock split effected on November 28, 2023. See Note 2 for details.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(123,277)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(214,029)</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28,593</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09"/>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3,892</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(10,465)</w:t>
            </w:r>
          </w:p>
        </w:tc>
        <w:tc>
          <w:tcPr>
            <w:tcW w:w="0" w:type="dxa"/>
            <w:vAlign w:val="bottom"/>
          </w:tcPr>
          <w:p>
            <w:pPr>
              <w:spacing w:after="0"/>
              <w:rPr>
                <w:sz w:val="1"/>
                <w:szCs w:val="1"/>
                <w:color w:val="auto"/>
              </w:rPr>
            </w:pP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Operating lease liabilities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9"/>
        </w:trPr>
        <w:tc>
          <w:tcPr>
            <w:tcW w:w="8060" w:type="dxa"/>
            <w:vAlign w:val="bottom"/>
          </w:tcPr>
          <w:p>
            <w:pPr>
              <w:ind w:left="4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4"/>
        </w:trPr>
        <w:tc>
          <w:tcPr>
            <w:tcW w:w="80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(111,136)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(185,043)</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(83,022)</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180,355</w:t>
            </w:r>
          </w:p>
        </w:tc>
        <w:tc>
          <w:tcPr>
            <w:tcW w:w="0" w:type="dxa"/>
            <w:vAlign w:val="bottom"/>
          </w:tcPr>
          <w:p>
            <w:pPr>
              <w:spacing w:after="0"/>
              <w:rPr>
                <w:sz w:val="1"/>
                <w:szCs w:val="1"/>
                <w:color w:val="auto"/>
              </w:rPr>
            </w:pPr>
          </w:p>
        </w:tc>
      </w:tr>
      <w:tr>
        <w:trPr>
          <w:trHeight w:val="202"/>
        </w:trPr>
        <w:tc>
          <w:tcPr>
            <w:tcW w:w="8060" w:type="dxa"/>
            <w:vAlign w:val="bottom"/>
          </w:tcPr>
          <w:p>
            <w:pPr>
              <w:ind w:left="66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38,950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96,889</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9,561</w:t>
            </w:r>
          </w:p>
        </w:tc>
        <w:tc>
          <w:tcPr>
            <w:tcW w:w="0" w:type="dxa"/>
            <w:vAlign w:val="bottom"/>
          </w:tcPr>
          <w:p>
            <w:pPr>
              <w:spacing w:after="0"/>
              <w:rPr>
                <w:sz w:val="1"/>
                <w:szCs w:val="1"/>
                <w:color w:val="auto"/>
              </w:rPr>
            </w:pPr>
          </w:p>
        </w:tc>
      </w:tr>
      <w:tr>
        <w:trPr>
          <w:trHeight w:val="160"/>
        </w:trPr>
        <w:tc>
          <w:tcPr>
            <w:tcW w:w="806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63,439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Payment of issuance costs for at-the-market offerings</w:t>
            </w:r>
          </w:p>
        </w:tc>
        <w:tc>
          <w:tcPr>
            <w:tcW w:w="3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options and employee stock purchase plan purchases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04"/>
        </w:trPr>
        <w:tc>
          <w:tcPr>
            <w:tcW w:w="8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10,465</w:t>
            </w:r>
          </w:p>
        </w:tc>
        <w:tc>
          <w:tcPr>
            <w:tcW w:w="0" w:type="dxa"/>
            <w:vAlign w:val="bottom"/>
          </w:tcPr>
          <w:p>
            <w:pPr>
              <w:spacing w:after="0"/>
              <w:rPr>
                <w:sz w:val="1"/>
                <w:szCs w:val="1"/>
                <w:color w:val="auto"/>
              </w:rPr>
            </w:pP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(77,689)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139,720</w:t>
            </w:r>
          </w:p>
        </w:tc>
        <w:tc>
          <w:tcPr>
            <w:tcW w:w="0" w:type="dxa"/>
            <w:vAlign w:val="bottom"/>
          </w:tcPr>
          <w:p>
            <w:pPr>
              <w:spacing w:after="0"/>
              <w:rPr>
                <w:sz w:val="1"/>
                <w:szCs w:val="1"/>
                <w:color w:val="auto"/>
              </w:rPr>
            </w:pPr>
          </w:p>
        </w:tc>
      </w:tr>
      <w:tr>
        <w:trPr>
          <w:trHeight w:val="204"/>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Reconciliation of cash, cash equivalents and restricted cash:</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61,615</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4"/>
        </w:trPr>
        <w:tc>
          <w:tcPr>
            <w:tcW w:w="8060" w:type="dxa"/>
            <w:vAlign w:val="bottom"/>
          </w:tcPr>
          <w:p>
            <w:pPr>
              <w:ind w:left="66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62,031</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6"/>
                <w:szCs w:val="16"/>
                <w:b w:val="1"/>
                <w:bCs w:val="1"/>
                <w:color w:val="auto"/>
              </w:rPr>
              <w:t>Supplemental disclosures of non-cash activities:</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60" w:type="dxa"/>
            <w:vAlign w:val="bottom"/>
          </w:tcPr>
          <w:p>
            <w:pPr>
              <w:ind w:left="20"/>
              <w:spacing w:after="0" w:line="182" w:lineRule="exact"/>
              <w:rPr>
                <w:sz w:val="20"/>
                <w:szCs w:val="20"/>
                <w:color w:val="auto"/>
              </w:rPr>
            </w:pPr>
            <w:r>
              <w:rPr>
                <w:rFonts w:ascii="Arial" w:cs="Arial" w:eastAsia="Arial" w:hAnsi="Arial"/>
                <w:sz w:val="16"/>
                <w:szCs w:val="16"/>
                <w:color w:val="auto"/>
              </w:rPr>
              <w:t>Offering costs from follow-on public offering included in accounts payable</w:t>
            </w:r>
          </w:p>
        </w:tc>
        <w:tc>
          <w:tcPr>
            <w:tcW w:w="340" w:type="dxa"/>
            <w:vAlign w:val="bottom"/>
            <w:tcBorders>
              <w:bottom w:val="single" w:sz="8" w:color="auto"/>
            </w:tcBorders>
          </w:tcPr>
          <w:p>
            <w:pPr>
              <w:jc w:val="right"/>
              <w:ind w:right="16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184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82"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costs from at-the-market offerings included in accrued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the Business</w:t>
      </w:r>
    </w:p>
    <w:p>
      <w:pPr>
        <w:spacing w:after="0" w:line="121"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Praxis Precision Medicines, Inc. (“Praxis” or the “Company”) is a clinical-stage biopharmaceutical company translating insights from genetic epilepsies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16" w:lineRule="exact"/>
        <w:rPr>
          <w:sz w:val="20"/>
          <w:szCs w:val="20"/>
          <w:color w:val="auto"/>
        </w:rPr>
      </w:pPr>
    </w:p>
    <w:p>
      <w:pPr>
        <w:ind w:left="640" w:right="300" w:hanging="320"/>
        <w:spacing w:after="0" w:line="300"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Cerebrum</w:t>
      </w:r>
      <w:r>
        <w:rPr>
          <w:rFonts w:ascii="Arial" w:cs="Arial" w:eastAsia="Arial" w:hAnsi="Arial"/>
          <w:sz w:val="17"/>
          <w:szCs w:val="17"/>
          <w:color w:val="auto"/>
        </w:rPr>
        <w:t>™, the Company's small molecule platform, utilizes deep understanding of neuronal excitability and neuronal networks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applies a series of computational and experimental tools to develop orally available precision therapies</w:t>
      </w:r>
    </w:p>
    <w:p>
      <w:pPr>
        <w:spacing w:after="0" w:line="88" w:lineRule="exact"/>
        <w:rPr>
          <w:rFonts w:ascii="Arial" w:cs="Arial" w:eastAsia="Arial" w:hAnsi="Arial"/>
          <w:sz w:val="17"/>
          <w:szCs w:val="17"/>
          <w:color w:val="auto"/>
        </w:rPr>
      </w:pPr>
    </w:p>
    <w:p>
      <w:pPr>
        <w:ind w:left="640" w:right="680" w:hanging="320"/>
        <w:spacing w:after="0" w:line="300"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Solidus</w:t>
      </w:r>
      <w:r>
        <w:rPr>
          <w:rFonts w:ascii="Arial" w:cs="Arial" w:eastAsia="Arial" w:hAnsi="Arial"/>
          <w:sz w:val="17"/>
          <w:szCs w:val="17"/>
          <w:color w:val="auto"/>
        </w:rPr>
        <w:t>™, the Company's antisense oligonucleotide ("ASO"), platform, is an efficient, targeted precision medicine discovery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engine anchored on a proprietary, computational methodology</w:t>
      </w:r>
    </w:p>
    <w:p>
      <w:pPr>
        <w:spacing w:after="0" w:line="141"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 For the Company's most advanced product candidate under the Cerebrum™ platform, ulixacaltamide (formerly known as PRAX-944), it expects to announce topline results from the Phase 3 Essential3 clinical trial in essential tremor in the second half of 2024. Within the Company's PRAX-628 program, it initiated a Phase 2a Photo-Paroxysmal Response ("PPR") study in 2023 and expects to report topline results in the first quarter of 2024. The Company also plans to initiate a Phase 2 study of PRAX-628 in focal epilepsy in the second half of 2024. The Company's PRAX-562 Phase 2 EMBOLD study was initiated in the first quarter of 2023, with initial cohorts in SCN2A-DEE and SCN8A-DEE, and it expects to announce topline results for both cohorts in mid- 2024. For the Company's most advanced product candidate under the Solidus™ platform, PRAX-222, it initiated the EMBRAVE study in the second quarter of 2023, which completed in the fourth quarter of 2023.</w:t>
      </w:r>
    </w:p>
    <w:p>
      <w:pPr>
        <w:spacing w:after="0" w:line="384"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Praxis was incorporated in 2015 and commenced operations in 2016. The Company has funded its operations primarily with proceeds from the issuance of redeemable convertible preferred stock, and from the sale of common stock through an initial public offering ("IPO"), follow-on public offerings and at-the-market offerings under its shelf registration statement. From inception through December 31, 2023, the Company raised $617.5 million in aggregate cash proceeds from these transactions, net of issuance costs. In January 2024, the Company raised net proceeds of $161.7 million from a follow-on public offering and $5.3 million from at-the-market offerings.</w:t>
      </w:r>
    </w:p>
    <w:p>
      <w:pPr>
        <w:spacing w:after="0" w:line="167"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19" w:lineRule="exact"/>
        <w:rPr>
          <w:sz w:val="20"/>
          <w:szCs w:val="20"/>
          <w:color w:val="auto"/>
        </w:rPr>
      </w:pPr>
    </w:p>
    <w:p>
      <w:pPr>
        <w:ind w:right="480" w:firstLine="433"/>
        <w:spacing w:after="0" w:line="300" w:lineRule="auto"/>
        <w:rPr>
          <w:sz w:val="20"/>
          <w:szCs w:val="20"/>
          <w:color w:val="auto"/>
        </w:rPr>
      </w:pPr>
      <w:r>
        <w:rPr>
          <w:rFonts w:ascii="Arial" w:cs="Arial" w:eastAsia="Arial" w:hAnsi="Arial"/>
          <w:sz w:val="17"/>
          <w:szCs w:val="17"/>
          <w:color w:val="auto"/>
        </w:rPr>
        <w:t xml:space="preserve">In accordance with the Financial Accounting Standards Board ("FASB") Accounting Standards Update ("ASU") 2014-15, </w:t>
      </w:r>
      <w:r>
        <w:rPr>
          <w:rFonts w:ascii="Arial" w:cs="Arial" w:eastAsia="Arial" w:hAnsi="Arial"/>
          <w:sz w:val="17"/>
          <w:szCs w:val="17"/>
          <w:i w:val="1"/>
          <w:iCs w:val="1"/>
          <w:color w:val="auto"/>
        </w:rPr>
        <w:t>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 (Subtopic 205-40)</w:t>
      </w:r>
      <w:r>
        <w:rPr>
          <w:rFonts w:ascii="Arial" w:cs="Arial" w:eastAsia="Arial" w:hAnsi="Arial"/>
          <w:sz w:val="17"/>
          <w:szCs w:val="17"/>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660"/>
        <w:spacing w:after="0" w:line="300" w:lineRule="auto"/>
        <w:rPr>
          <w:sz w:val="20"/>
          <w:szCs w:val="20"/>
          <w:color w:val="auto"/>
        </w:rPr>
      </w:pPr>
      <w:r>
        <w:rPr>
          <w:rFonts w:ascii="Arial" w:cs="Arial" w:eastAsia="Arial" w:hAnsi="Arial"/>
          <w:sz w:val="17"/>
          <w:szCs w:val="17"/>
          <w:color w:val="auto"/>
        </w:rPr>
        <w:t>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41" w:lineRule="exact"/>
        <w:rPr>
          <w:sz w:val="20"/>
          <w:szCs w:val="20"/>
          <w:color w:val="auto"/>
        </w:rPr>
      </w:pPr>
    </w:p>
    <w:p>
      <w:pPr>
        <w:ind w:right="340" w:firstLine="433"/>
        <w:spacing w:after="0" w:line="278" w:lineRule="auto"/>
        <w:rPr>
          <w:sz w:val="20"/>
          <w:szCs w:val="20"/>
          <w:color w:val="auto"/>
        </w:rPr>
      </w:pPr>
      <w:r>
        <w:rPr>
          <w:rFonts w:ascii="Arial" w:cs="Arial" w:eastAsia="Arial" w:hAnsi="Arial"/>
          <w:sz w:val="17"/>
          <w:szCs w:val="17"/>
          <w:color w:val="auto"/>
        </w:rPr>
        <w:t>The Company has incurred recurring losses since its inception, including a net loss of $123.3 million for the year ended December 31, 2023. In addition, as of December 31, 2023, the Company had an accumulated deficit of $653.9 million. The Company expects to continue to generate operating losses for the foreseeable future.</w:t>
      </w:r>
    </w:p>
    <w:p>
      <w:pPr>
        <w:spacing w:after="0" w:line="160" w:lineRule="exact"/>
        <w:rPr>
          <w:sz w:val="20"/>
          <w:szCs w:val="20"/>
          <w:color w:val="auto"/>
        </w:rPr>
      </w:pPr>
    </w:p>
    <w:p>
      <w:pPr>
        <w:ind w:right="80" w:firstLine="433"/>
        <w:spacing w:after="0" w:line="265" w:lineRule="auto"/>
        <w:rPr>
          <w:sz w:val="20"/>
          <w:szCs w:val="20"/>
          <w:color w:val="auto"/>
        </w:rPr>
      </w:pPr>
      <w:r>
        <w:rPr>
          <w:rFonts w:ascii="Arial" w:cs="Arial" w:eastAsia="Arial" w:hAnsi="Arial"/>
          <w:sz w:val="17"/>
          <w:szCs w:val="17"/>
          <w:color w:val="auto"/>
        </w:rPr>
        <w:t>The Company expects that its cash and cash equivalents as of December 31, 2023 of $81.3 million, together with cash inflows from its financing activities in January 2024, will be sufficient to fund its operating expenditures and capital expenditure requirements necessary to advance its research efforts and clinical trials for at least one year from the date of issuance of these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00" w:lineRule="exact"/>
        <w:rPr>
          <w:sz w:val="20"/>
          <w:szCs w:val="20"/>
          <w:color w:val="auto"/>
        </w:rPr>
      </w:pPr>
    </w:p>
    <w:p>
      <w:pPr>
        <w:spacing w:after="0" w:line="286" w:lineRule="exact"/>
        <w:rPr>
          <w:sz w:val="20"/>
          <w:szCs w:val="20"/>
          <w:color w:val="auto"/>
        </w:rPr>
      </w:pPr>
    </w:p>
    <w:p>
      <w:pPr>
        <w:ind w:right="7340" w:firstLine="5"/>
        <w:spacing w:after="0" w:line="387" w:lineRule="auto"/>
        <w:tabs>
          <w:tab w:leader="none" w:pos="194"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60" w:lineRule="exact"/>
        <w:rPr>
          <w:sz w:val="20"/>
          <w:szCs w:val="20"/>
          <w:color w:val="auto"/>
        </w:rPr>
      </w:pPr>
    </w:p>
    <w:p>
      <w:pPr>
        <w:ind w:right="60" w:firstLine="433"/>
        <w:spacing w:after="0" w:line="278" w:lineRule="auto"/>
        <w:rPr>
          <w:sz w:val="20"/>
          <w:szCs w:val="20"/>
          <w:color w:val="auto"/>
        </w:rPr>
      </w:pPr>
      <w:r>
        <w:rPr>
          <w:rFonts w:ascii="Arial" w:cs="Arial" w:eastAsia="Arial" w:hAnsi="Arial"/>
          <w:sz w:val="17"/>
          <w:szCs w:val="17"/>
          <w:color w:val="auto"/>
        </w:rPr>
        <w:t>On November 28, 2023, the Company filed a Certificate of Amendment to the Company's Amended and Restated Certificate of Incorporation with the Secretary of State of the State of Delaware to effect a 1-for-15 reverse stock split of its common stock (the "Reverse Stock Split"). The Reverse Stock Split became effective at 5:00 p.m., Eastern Time, on November 28, 2023.</w:t>
      </w:r>
    </w:p>
    <w:p>
      <w:pPr>
        <w:spacing w:after="0" w:line="160" w:lineRule="exact"/>
        <w:rPr>
          <w:sz w:val="20"/>
          <w:szCs w:val="20"/>
          <w:color w:val="auto"/>
        </w:rPr>
      </w:pPr>
    </w:p>
    <w:p>
      <w:pPr>
        <w:ind w:right="240" w:firstLine="433"/>
        <w:spacing w:after="0" w:line="268" w:lineRule="auto"/>
        <w:rPr>
          <w:sz w:val="20"/>
          <w:szCs w:val="20"/>
          <w:color w:val="auto"/>
        </w:rPr>
      </w:pPr>
      <w:r>
        <w:rPr>
          <w:rFonts w:ascii="Arial" w:cs="Arial" w:eastAsia="Arial" w:hAnsi="Arial"/>
          <w:sz w:val="17"/>
          <w:szCs w:val="17"/>
          <w:color w:val="auto"/>
        </w:rPr>
        <w:t>As a result of the Reverse Stock Split, every 15 shares of the Company's issued and outstanding common stock were automatically reclassified into one validly issued, fully-paid and non-assessable share of common stock. Any fractional post-split shares as a result of the Reverse Stock Split were rounded down to the nearest whole post-split share. The Reverse Stock Split did not affect the number of authorized shares of common stock or the par value of the common stock. All share amounts and per share amounts disclosed in this Annual Report on Form 10-K have been restated to reflect the Reverse Stock Split on a retroactive basis in all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9" w:lineRule="exact"/>
        <w:rPr>
          <w:sz w:val="20"/>
          <w:szCs w:val="20"/>
          <w:color w:val="auto"/>
        </w:rPr>
      </w:pPr>
    </w:p>
    <w:p>
      <w:pPr>
        <w:ind w:right="80" w:firstLine="433"/>
        <w:spacing w:after="0" w:line="300"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Praxis Security Corporation and Praxis Precision Medicines Australia Pty Ltd. All intercompany transactions have been eliminated in consolidation.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9"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accrued and prepaid research and development expense,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620" w:firstLine="433"/>
        <w:spacing w:after="0" w:line="278" w:lineRule="auto"/>
        <w:rPr>
          <w:sz w:val="20"/>
          <w:szCs w:val="20"/>
          <w:color w:val="auto"/>
        </w:rPr>
      </w:pPr>
      <w:r>
        <w:rPr>
          <w:rFonts w:ascii="Arial" w:cs="Arial" w:eastAsia="Arial" w:hAnsi="Arial"/>
          <w:sz w:val="17"/>
          <w:szCs w:val="17"/>
          <w:color w:val="auto"/>
        </w:rPr>
        <w:t>The Company has one operating segment. The Company’s chief operating decision maker, its Chief Executive Officer, manages the Company’s operations on a consolidated basis for the purposes of assessing performance and allocating resources. The majority of the Company’s long-lived assets are held in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19" w:lineRule="exact"/>
        <w:rPr>
          <w:sz w:val="20"/>
          <w:szCs w:val="20"/>
          <w:color w:val="auto"/>
        </w:rPr>
      </w:pPr>
    </w:p>
    <w:p>
      <w:pPr>
        <w:ind w:right="500" w:firstLine="433"/>
        <w:spacing w:after="0" w:line="278"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Cash and cash equivalents include cash held in banks and amounts held in interest-bearing insured liquid deposit funds. Cash equivalents are carried at cost, which approximates their fair market value.</w:t>
      </w:r>
    </w:p>
    <w:p>
      <w:pPr>
        <w:spacing w:after="0" w:line="160"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Restricted cash comprises letters of credit for the benefit of the landlord in connection with the Company’s lease facilities. Restricted cash is classified as either current or non-current based on the terms of the underlying lease arrangement.</w:t>
      </w:r>
    </w:p>
    <w:p>
      <w:pPr>
        <w:spacing w:after="0" w:line="141" w:lineRule="exact"/>
        <w:rPr>
          <w:sz w:val="20"/>
          <w:szCs w:val="20"/>
          <w:color w:val="auto"/>
        </w:rPr>
      </w:pPr>
    </w:p>
    <w:p>
      <w:pPr>
        <w:ind w:right="160" w:firstLine="433"/>
        <w:spacing w:after="0" w:line="300" w:lineRule="auto"/>
        <w:rPr>
          <w:sz w:val="20"/>
          <w:szCs w:val="20"/>
          <w:color w:val="auto"/>
        </w:rPr>
      </w:pPr>
      <w:r>
        <w:rPr>
          <w:rFonts w:ascii="Arial" w:cs="Arial" w:eastAsia="Arial" w:hAnsi="Arial"/>
          <w:sz w:val="17"/>
          <w:szCs w:val="17"/>
          <w:color w:val="auto"/>
        </w:rPr>
        <w:t>The following table presents cash and cash equivalents and restricted cash as reported on the consolidated balance sheets that equal the total amounts on the consolidated statements of cash flows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81,300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61,615</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 as shown on the consolidated statements of cash flows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81,716</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62,031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119" w:lineRule="exact"/>
        <w:rPr>
          <w:sz w:val="20"/>
          <w:szCs w:val="20"/>
          <w:color w:val="auto"/>
        </w:rPr>
      </w:pPr>
    </w:p>
    <w:p>
      <w:pPr>
        <w:ind w:right="160" w:firstLine="433"/>
        <w:spacing w:after="0" w:line="261" w:lineRule="auto"/>
        <w:rPr>
          <w:sz w:val="20"/>
          <w:szCs w:val="20"/>
          <w:color w:val="auto"/>
        </w:rPr>
      </w:pPr>
      <w:r>
        <w:rPr>
          <w:rFonts w:ascii="Arial" w:cs="Arial" w:eastAsia="Arial" w:hAnsi="Arial"/>
          <w:sz w:val="17"/>
          <w:szCs w:val="17"/>
          <w:color w:val="auto"/>
        </w:rPr>
        <w:t>The Company may invest its excess cash in money market funds and debt instruments of the U.S. Treasury, financial institutions, corporations and U.S. government agencies with strong credit ratings and an investment grade rating at or above A-1 or P-1 by two of the three nationally recognized statistical rating organizations. The Company does not believe that it is exposed to more than a nominal amount of credit risk related to any marketable securities it may invest in. The Company has established guidelines relative to diversification and maturities that maintain safety and liquidity, and periodically reviews and modifies these guidelines to maximize trends in yields and interest rates without compromising safety and liquidity. The Company classifies its investments in debt instruments as available-for-sale. Available-for-sale investments are reported at fair value at each balance sheet date, and include any unrealized holding gains and losses in accumulated other comprehensive loss, a component of stockholders’ equity. Realized gains and losses are included in the Company's consolidated statements of operations. All of the Company's available-for-sale securities are available for use in its current operations. As a result, the Company has categorized all of these securities as current assets even though the stated maturity of some individual securities may be one year or more beyond the balance sheet date. The Company did not hold any marketable securities as of December 31, 2023, and held $38.9 million of marketable securities as of December 31, 2022.</w:t>
      </w:r>
    </w:p>
    <w:p>
      <w:pPr>
        <w:spacing w:after="0" w:line="177"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The Company evaluates securities for impairment at the end of each reporting period. Impairment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loss, net of applicable taxes unless deemed other than temporary.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Suppliers and License Agreements</w:t>
      </w:r>
    </w:p>
    <w:p>
      <w:pPr>
        <w:spacing w:after="0" w:line="119" w:lineRule="exact"/>
        <w:rPr>
          <w:sz w:val="20"/>
          <w:szCs w:val="20"/>
          <w:color w:val="auto"/>
        </w:rPr>
      </w:pPr>
    </w:p>
    <w:p>
      <w:pPr>
        <w:ind w:right="80" w:firstLine="433"/>
        <w:spacing w:after="0" w:line="271"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cash equivalents, restricted cash and marketable securities. The Company's investment portfolio may include money market funds, marketable debt securities, including debt securities issued by U.S. government agencies and corporations, and commercial paper. The Company investments are limited to investment-grade securities with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strong credit ratings with the objective of maintaining safety and liquidity. The Company also maintains deposits in accredited financial institutions in excess of federally insured limits. Bank accounts in the United States are insured by the Federal Deposit Insurance Corporation (the “FDIC”) up to $250,000. As of December 31, 2023 and 2022, the Company’s primary operating accounts significantly exceeded the FDIC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67"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The Company is dependent on third-party manufacturers to supply materials for research and development activities of its programs, including preclinical and clinical testing. In particular, the Company relies, and expects to continue to rely, on a small number of third-party manufacturers to produce and process its current and potential product candidates and to manufacture supply of its current and potential product candidates for preclinical and clinical activities. These programs could be adversely affected by a significant interruption in the supply of the necessary materials. The Company is also dependent on third parties who provide license rights used in the development of certain programs. The Company could experience delays in the development of its programs if any of these license agreements are terminated, if the Company fails to meet the obligations required under its arrangements, or if the Company is unable to successfully secure new strategic alliances or licensing agreements.</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Risk</w:t>
      </w:r>
    </w:p>
    <w:p>
      <w:pPr>
        <w:spacing w:after="0" w:line="119"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As of December 31, 2023 and 2022, the Company had no off-balance sheet risk such as foreign exchange contracts, option contracts or other hedging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Certain assets and liabilities of the Company are carried at fair value under GAAP. The fair values of the Company’s financial assets and liabilities reflect the Company’s estimate of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16" w:lineRule="exact"/>
        <w:rPr>
          <w:sz w:val="20"/>
          <w:szCs w:val="20"/>
          <w:color w:val="auto"/>
        </w:rPr>
      </w:pPr>
    </w:p>
    <w:p>
      <w:pPr>
        <w:ind w:left="780" w:hanging="303"/>
        <w:spacing w:after="0"/>
        <w:tabs>
          <w:tab w:leader="none" w:pos="7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w:t>
      </w:r>
    </w:p>
    <w:p>
      <w:pPr>
        <w:spacing w:after="0" w:line="171" w:lineRule="exact"/>
        <w:rPr>
          <w:rFonts w:ascii="Arial" w:cs="Arial" w:eastAsia="Arial" w:hAnsi="Arial"/>
          <w:sz w:val="17"/>
          <w:szCs w:val="17"/>
          <w:color w:val="auto"/>
        </w:rPr>
      </w:pPr>
    </w:p>
    <w:p>
      <w:pPr>
        <w:ind w:left="800" w:right="200" w:hanging="323"/>
        <w:spacing w:after="0" w:line="278"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Level 2: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07" w:lineRule="exact"/>
        <w:rPr>
          <w:rFonts w:ascii="Arial" w:cs="Arial" w:eastAsia="Arial" w:hAnsi="Arial"/>
          <w:sz w:val="17"/>
          <w:szCs w:val="17"/>
          <w:color w:val="auto"/>
        </w:rPr>
      </w:pPr>
    </w:p>
    <w:p>
      <w:pPr>
        <w:ind w:left="800" w:right="320" w:hanging="323"/>
        <w:spacing w:after="0" w:line="300" w:lineRule="auto"/>
        <w:tabs>
          <w:tab w:leader="none" w:pos="7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that are significant to determining the fair value of the assets or liabilities, including pricing models, discounted cash flow methodologies and similar techniques.</w:t>
      </w:r>
    </w:p>
    <w:p>
      <w:pPr>
        <w:spacing w:after="0" w:line="141" w:lineRule="exact"/>
        <w:rPr>
          <w:sz w:val="20"/>
          <w:szCs w:val="20"/>
          <w:color w:val="auto"/>
        </w:rPr>
      </w:pPr>
    </w:p>
    <w:p>
      <w:pPr>
        <w:ind w:right="260" w:firstLine="433"/>
        <w:spacing w:after="0" w:line="271" w:lineRule="auto"/>
        <w:rPr>
          <w:sz w:val="20"/>
          <w:szCs w:val="20"/>
          <w:color w:val="auto"/>
        </w:rPr>
      </w:pPr>
      <w:r>
        <w:rPr>
          <w:rFonts w:ascii="Arial" w:cs="Arial" w:eastAsia="Arial" w:hAnsi="Arial"/>
          <w:sz w:val="17"/>
          <w:szCs w:val="17"/>
          <w:color w:val="auto"/>
        </w:rPr>
        <w:t>To the extent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6" w:lineRule="exact"/>
        <w:rPr>
          <w:sz w:val="20"/>
          <w:szCs w:val="20"/>
          <w:color w:val="auto"/>
        </w:rPr>
      </w:pPr>
    </w:p>
    <w:p>
      <w:pPr>
        <w:ind w:right="180" w:firstLine="433"/>
        <w:spacing w:after="0" w:line="300" w:lineRule="auto"/>
        <w:rPr>
          <w:sz w:val="20"/>
          <w:szCs w:val="20"/>
          <w:color w:val="auto"/>
        </w:rPr>
      </w:pPr>
      <w:r>
        <w:rPr>
          <w:rFonts w:ascii="Arial" w:cs="Arial" w:eastAsia="Arial" w:hAnsi="Arial"/>
          <w:sz w:val="17"/>
          <w:szCs w:val="17"/>
          <w:color w:val="auto"/>
        </w:rPr>
        <w:t>An entity may choose to measure many financial instruments and certain other items at fair value at specified election dates. Subsequent unrealized gains and losses on items for which the fair value option has been elected will be reported in earnings.</w:t>
      </w:r>
    </w:p>
    <w:p>
      <w:pPr>
        <w:spacing w:after="0" w:line="141" w:lineRule="exact"/>
        <w:rPr>
          <w:sz w:val="20"/>
          <w:szCs w:val="20"/>
          <w:color w:val="auto"/>
        </w:rPr>
      </w:pPr>
    </w:p>
    <w:p>
      <w:pPr>
        <w:ind w:right="320" w:firstLine="433"/>
        <w:spacing w:after="0" w:line="300" w:lineRule="auto"/>
        <w:rPr>
          <w:sz w:val="20"/>
          <w:szCs w:val="20"/>
          <w:color w:val="auto"/>
        </w:rPr>
      </w:pPr>
      <w:r>
        <w:rPr>
          <w:rFonts w:ascii="Arial" w:cs="Arial" w:eastAsia="Arial" w:hAnsi="Arial"/>
          <w:sz w:val="17"/>
          <w:szCs w:val="17"/>
          <w:color w:val="auto"/>
        </w:rPr>
        <w:t>Items measured at fair value on a recurring basis include cash equivalents and marketable securities (Note 4 and Note 5). The carrying amounts reflected in the consolidated balance sheets for cash, prepaid expenses and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0"/>
        <w:spacing w:after="0" w:line="300" w:lineRule="auto"/>
        <w:rPr>
          <w:sz w:val="20"/>
          <w:szCs w:val="20"/>
          <w:color w:val="auto"/>
        </w:rPr>
      </w:pPr>
      <w:r>
        <w:rPr>
          <w:rFonts w:ascii="Arial" w:cs="Arial" w:eastAsia="Arial" w:hAnsi="Arial"/>
          <w:sz w:val="17"/>
          <w:szCs w:val="17"/>
          <w:color w:val="auto"/>
        </w:rPr>
        <w:t>other current assets, accounts payable and accrued expenses approximate their fair values due to the short-term nature of these assets and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19" w:lineRule="exact"/>
        <w:rPr>
          <w:sz w:val="20"/>
          <w:szCs w:val="20"/>
          <w:color w:val="auto"/>
        </w:rPr>
      </w:pPr>
    </w:p>
    <w:p>
      <w:pPr>
        <w:ind w:right="180" w:firstLine="433"/>
        <w:spacing w:after="0" w:line="300" w:lineRule="auto"/>
        <w:rPr>
          <w:sz w:val="20"/>
          <w:szCs w:val="20"/>
          <w:color w:val="auto"/>
        </w:rPr>
      </w:pPr>
      <w:r>
        <w:rPr>
          <w:rFonts w:ascii="Arial" w:cs="Arial" w:eastAsia="Arial" w:hAnsi="Arial"/>
          <w:sz w:val="17"/>
          <w:szCs w:val="17"/>
          <w:color w:val="auto"/>
        </w:rPr>
        <w:t>Property and equipment are recorded at cost. Depreciation is calculated using the straight-line method over the following estimated useful lives of the assets: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800" w:type="dxa"/>
            <w:vAlign w:val="bottom"/>
            <w:tcBorders>
              <w:bottom w:val="single" w:sz="8" w:color="CCEEFF"/>
            </w:tcBorders>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Estimated Useful Life</w:t>
            </w:r>
          </w:p>
        </w:tc>
      </w:tr>
      <w:tr>
        <w:trPr>
          <w:trHeight w:val="20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 furniture and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 years</w:t>
            </w: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Laboratory equipment</w:t>
            </w:r>
          </w:p>
        </w:tc>
        <w:tc>
          <w:tcPr>
            <w:tcW w:w="2440" w:type="dxa"/>
            <w:vAlign w:val="bottom"/>
          </w:tcPr>
          <w:p>
            <w:pPr>
              <w:jc w:val="center"/>
              <w:spacing w:after="0"/>
              <w:rPr>
                <w:sz w:val="20"/>
                <w:szCs w:val="20"/>
                <w:color w:val="auto"/>
              </w:rPr>
            </w:pPr>
            <w:r>
              <w:rPr>
                <w:rFonts w:ascii="Arial" w:cs="Arial" w:eastAsia="Arial" w:hAnsi="Arial"/>
                <w:sz w:val="16"/>
                <w:szCs w:val="16"/>
                <w:color w:val="auto"/>
                <w:w w:val="99"/>
              </w:rPr>
              <w:t>3 years</w:t>
            </w:r>
          </w:p>
        </w:tc>
      </w:tr>
      <w:tr>
        <w:trPr>
          <w:trHeight w:val="211"/>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2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 years</w:t>
            </w:r>
          </w:p>
        </w:tc>
      </w:tr>
    </w:tbl>
    <w:p>
      <w:pPr>
        <w:spacing w:after="0" w:line="272" w:lineRule="exact"/>
        <w:rPr>
          <w:sz w:val="20"/>
          <w:szCs w:val="20"/>
          <w:color w:val="auto"/>
        </w:rPr>
      </w:pPr>
    </w:p>
    <w:p>
      <w:pPr>
        <w:jc w:val="both"/>
        <w:ind w:right="40" w:firstLine="433"/>
        <w:spacing w:after="0" w:line="278" w:lineRule="auto"/>
        <w:rPr>
          <w:sz w:val="20"/>
          <w:szCs w:val="20"/>
          <w:color w:val="auto"/>
        </w:rPr>
      </w:pPr>
      <w:r>
        <w:rPr>
          <w:rFonts w:ascii="Arial" w:cs="Arial" w:eastAsia="Arial" w:hAnsi="Arial"/>
          <w:sz w:val="17"/>
          <w:szCs w:val="17"/>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2023 and 2022.</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9"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The Company accounts for leases in accordance with ASC 842. The Company determines if an arrangement is a lease at contract inception. Operating lease right-of-use assets represent the Company’s right to use an underlying asset for the lease term and operating lease liabilities represent its obligation to make lease payments arising from the lease. Operating right-of-use assets and liabilities are recognized at the commencement date of the lease based upon the present value of lease payments over the lease term. When determining the lease term, the Company includes options to extend or terminate the lease when it is reasonably certain that the option will be exercised.</w:t>
      </w:r>
    </w:p>
    <w:p>
      <w:pPr>
        <w:spacing w:after="0" w:line="167" w:lineRule="exact"/>
        <w:rPr>
          <w:sz w:val="20"/>
          <w:szCs w:val="20"/>
          <w:color w:val="auto"/>
        </w:rPr>
      </w:pPr>
    </w:p>
    <w:p>
      <w:pPr>
        <w:ind w:right="160" w:firstLine="433"/>
        <w:spacing w:after="0" w:line="278" w:lineRule="auto"/>
        <w:rPr>
          <w:sz w:val="20"/>
          <w:szCs w:val="20"/>
          <w:color w:val="auto"/>
        </w:rPr>
      </w:pPr>
      <w:r>
        <w:rPr>
          <w:rFonts w:ascii="Arial" w:cs="Arial" w:eastAsia="Arial" w:hAnsi="Arial"/>
          <w:sz w:val="17"/>
          <w:szCs w:val="17"/>
          <w:color w:val="auto"/>
        </w:rPr>
        <w:t>The Company uses the implicit rate when readily determinable and uses its incremental borrowing rate when the implicit rate is not readily determinable, based upon the information available at the commencement date in determining the present value of the lease payments. The incremental borrowing rate is determined using a secured borrowing rate for the same currency and term as the associated lease.</w:t>
      </w:r>
    </w:p>
    <w:p>
      <w:pPr>
        <w:spacing w:after="0" w:line="160" w:lineRule="exact"/>
        <w:rPr>
          <w:sz w:val="20"/>
          <w:szCs w:val="20"/>
          <w:color w:val="auto"/>
        </w:rPr>
      </w:pPr>
    </w:p>
    <w:p>
      <w:pPr>
        <w:ind w:right="40" w:firstLine="433"/>
        <w:spacing w:after="0" w:line="278" w:lineRule="auto"/>
        <w:rPr>
          <w:sz w:val="20"/>
          <w:szCs w:val="20"/>
          <w:color w:val="auto"/>
        </w:rPr>
      </w:pPr>
      <w:r>
        <w:rPr>
          <w:rFonts w:ascii="Arial" w:cs="Arial" w:eastAsia="Arial" w:hAnsi="Arial"/>
          <w:sz w:val="17"/>
          <w:szCs w:val="17"/>
          <w:color w:val="auto"/>
        </w:rPr>
        <w:t>The lease payments used to determine operating lease right-of-use assets may include lease incentives and stated rent increases. The Company’s lease agreements may include both lease and non-lease components, which the Company accounts for as a single lease component when the payments are fixed, for all classes of underlying assets. Variable payments included in the lease agreement are expensed as incurred.</w:t>
      </w:r>
    </w:p>
    <w:p>
      <w:pPr>
        <w:spacing w:after="0" w:line="160"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The Company’s operating leases are reflected in operating lease right-of-use assets and in current operating lease liabilities and long-term operating lease liabilities in its consolidated balance sheets. The Company’s operating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lease right-of-use asset as of December 31, 2023 and 2022 did not include any lease incentives. Lease expense for future lease payments is recognized on a straight-line basis over the lease term.</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Agreements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The Company analyzes its collaboration arrangements to assess whether they are within the scope of ASC Topic 808, </w:t>
      </w:r>
      <w:r>
        <w:rPr>
          <w:rFonts w:ascii="Arial" w:cs="Arial" w:eastAsia="Arial" w:hAnsi="Arial"/>
          <w:sz w:val="17"/>
          <w:szCs w:val="17"/>
          <w:i w:val="1"/>
          <w:iCs w:val="1"/>
          <w:color w:val="auto"/>
        </w:rPr>
        <w:t>Collaborative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Arrangements ("</w:t>
      </w:r>
      <w:r>
        <w:rPr>
          <w:rFonts w:ascii="Arial" w:cs="Arial" w:eastAsia="Arial" w:hAnsi="Arial"/>
          <w:sz w:val="17"/>
          <w:szCs w:val="17"/>
          <w:color w:val="auto"/>
        </w:rPr>
        <w:t>ASC 808"), to determine whether such arrangements involve joint operating activities performed by parties that are both active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participants in the activities and exposed to significant risks and rewards that are dependent on the commercial success of such activities. To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extent the arrangement is within the scope of ASC 808, the Company assesses whether aspects of the arrangement between the Company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its collaboration partner are within the scope of other accounting literature, including ASC Topic 606, </w:t>
      </w:r>
      <w:r>
        <w:rPr>
          <w:rFonts w:ascii="Arial" w:cs="Arial" w:eastAsia="Arial" w:hAnsi="Arial"/>
          <w:sz w:val="17"/>
          <w:szCs w:val="17"/>
          <w:i w:val="1"/>
          <w:iCs w:val="1"/>
          <w:color w:val="auto"/>
        </w:rPr>
        <w:t>Revenue from Contracts with Customers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ASC 606"). If it is concluded that some or all aspects of the arrangement represent a transaction with a customer, the Company will account for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those aspects of the arrangement within the scope of ASC 606.</w:t>
      </w:r>
    </w:p>
    <w:p>
      <w:pPr>
        <w:spacing w:after="0" w:line="20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ind w:right="320" w:firstLine="433"/>
        <w:spacing w:after="0" w:line="271" w:lineRule="auto"/>
        <w:rPr>
          <w:sz w:val="20"/>
          <w:szCs w:val="20"/>
          <w:color w:val="auto"/>
        </w:rPr>
      </w:pPr>
      <w:r>
        <w:rPr>
          <w:rFonts w:ascii="Arial" w:cs="Arial" w:eastAsia="Arial" w:hAnsi="Arial"/>
          <w:sz w:val="17"/>
          <w:szCs w:val="17"/>
          <w:color w:val="auto"/>
        </w:rPr>
        <w:t>The Company enters into collaboration agreements which are within the scope of ASC 606 under which the Company may license or provide options to license certain development or product candidates and, in certain cases, may perform research and development services. The terms of these agreements may include payment of non-refundable, upfront fees, option exercise fees, development and commercial milestone payments and royalties on net sales of licensed products.</w:t>
      </w:r>
    </w:p>
    <w:p>
      <w:pPr>
        <w:spacing w:after="0" w:line="166"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Under ASC 606, the Company recognizes revenue when its customer obtains control of promised goods or services in an amount that reflects the consideration which the Company expects to receive in exchange for those goods or services. To determine the appropriate amount of revenue to be recognized for agreements determined to be within the scope of ASC 606, the Company performs the following five steps: (1) identify the contract with a customer; (2) identify the performance obligations in the contract; (3) determine the transaction price; (4) allocate the transaction price to the performance obligations in the contract; and (5) recognize revenue when or as the Company satisfies each performance obligation. The Company only applies the five-step model to contracts when it is probable that the Company will collect consideration it is entitled to in exchange for the goods or services it transfers to the customer.</w:t>
      </w:r>
    </w:p>
    <w:p>
      <w:pPr>
        <w:spacing w:after="0" w:line="173" w:lineRule="exact"/>
        <w:rPr>
          <w:sz w:val="20"/>
          <w:szCs w:val="20"/>
          <w:color w:val="auto"/>
        </w:rPr>
      </w:pPr>
    </w:p>
    <w:p>
      <w:pPr>
        <w:ind w:right="160" w:firstLine="433"/>
        <w:spacing w:after="0" w:line="271"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each contract and determines those that are performance obligations. The Company then assesses whether each promised good or service is distinct. When the Company offers options for additional goods or services, such as an option to obtain a license, it evaluates whether such options are material rights that should be treated as separate performance obligations.</w:t>
      </w:r>
    </w:p>
    <w:p>
      <w:pPr>
        <w:spacing w:after="0" w:line="166" w:lineRule="exact"/>
        <w:rPr>
          <w:sz w:val="20"/>
          <w:szCs w:val="20"/>
          <w:color w:val="auto"/>
        </w:rPr>
      </w:pPr>
    </w:p>
    <w:p>
      <w:pPr>
        <w:ind w:right="20" w:firstLine="433"/>
        <w:spacing w:after="0" w:line="267"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or variable consideration. At the inception of each agreement that includes variable consideration, the Company evaluates the amount of potential payments and the likelihood that the payments will be received to estimate the amount expected to be received. The amount of variable consideration included in the transaction price may be constrained and is included in the transaction price only to the extent that it is probable that a significant reversal of the cumulative revenue recognized will not occur in a future period.</w:t>
      </w:r>
    </w:p>
    <w:p>
      <w:pPr>
        <w:spacing w:after="0" w:line="381" w:lineRule="exact"/>
        <w:rPr>
          <w:sz w:val="20"/>
          <w:szCs w:val="20"/>
          <w:color w:val="auto"/>
        </w:rPr>
      </w:pPr>
    </w:p>
    <w:p>
      <w:pPr>
        <w:ind w:right="100" w:firstLine="433"/>
        <w:spacing w:after="0" w:line="300" w:lineRule="auto"/>
        <w:rPr>
          <w:sz w:val="20"/>
          <w:szCs w:val="20"/>
          <w:color w:val="auto"/>
        </w:rPr>
      </w:pPr>
      <w:r>
        <w:rPr>
          <w:rFonts w:ascii="Arial" w:cs="Arial" w:eastAsia="Arial" w:hAnsi="Arial"/>
          <w:sz w:val="17"/>
          <w:szCs w:val="17"/>
          <w:color w:val="auto"/>
        </w:rPr>
        <w:t>The Company recognizes as revenue the amount of the transaction price that it allocated to the respective performance obligation when or as each performance obligation is satisfied, either at a point in time or over time. If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performance obligation is satisfied over time, the Company recognizes revenue based on the use of an output or input method. The Company evaluates the measure of progress each reporting period and, if necessary, adjusts the measure of performance and related revenue recognition. For example, for research and development services that are recognized over time, the Company measures its progress using an input method.</w:t>
      </w:r>
    </w:p>
    <w:p>
      <w:pPr>
        <w:ind w:right="20"/>
        <w:spacing w:after="0" w:line="263" w:lineRule="auto"/>
        <w:rPr>
          <w:sz w:val="20"/>
          <w:szCs w:val="20"/>
          <w:color w:val="auto"/>
        </w:rPr>
      </w:pPr>
      <w:r>
        <w:rPr>
          <w:rFonts w:ascii="Arial" w:cs="Arial" w:eastAsia="Arial" w:hAnsi="Arial"/>
          <w:sz w:val="17"/>
          <w:szCs w:val="17"/>
          <w:color w:val="auto"/>
        </w:rPr>
        <w:t>The input methods used are based on the effort the Company expends or costs it incurs toward the satisfaction of its performance obligation. The Company estimates the amount of effort it expends, including the time it estimates it will take to complete the activities, or costs it incurs in a given period, relative to the estimated total effort or costs to satisfy the performance obligation. This results in a percentage that is multiplied by the transaction price to determine the amount of revenue recognized each period. If the estimates or judgements change over the course of the collaboration, they may affect the timing and amount of revenue that is recognized in the current and future periods.</w:t>
      </w:r>
    </w:p>
    <w:p>
      <w:pPr>
        <w:spacing w:after="0" w:line="172" w:lineRule="exact"/>
        <w:rPr>
          <w:sz w:val="20"/>
          <w:szCs w:val="20"/>
          <w:color w:val="auto"/>
        </w:rPr>
      </w:pPr>
    </w:p>
    <w:p>
      <w:pPr>
        <w:ind w:right="320" w:firstLine="433"/>
        <w:spacing w:after="0" w:line="278" w:lineRule="auto"/>
        <w:rPr>
          <w:sz w:val="20"/>
          <w:szCs w:val="20"/>
          <w:color w:val="auto"/>
        </w:rPr>
      </w:pPr>
      <w:r>
        <w:rPr>
          <w:rFonts w:ascii="Arial" w:cs="Arial" w:eastAsia="Arial" w:hAnsi="Arial"/>
          <w:sz w:val="17"/>
          <w:szCs w:val="17"/>
          <w:color w:val="auto"/>
        </w:rPr>
        <w:t>Upfront payments are recorded as contract liabilities within deferred revenue on the consolidated balance sheets until the Company performs its obligations under these agreements. Amounts are recorded as accounts receivable when the Company’s right to consideration is unconditional.</w:t>
      </w:r>
    </w:p>
    <w:p>
      <w:pPr>
        <w:spacing w:after="0" w:line="160" w:lineRule="exact"/>
        <w:rPr>
          <w:sz w:val="20"/>
          <w:szCs w:val="20"/>
          <w:color w:val="auto"/>
        </w:rPr>
      </w:pPr>
    </w:p>
    <w:p>
      <w:pPr>
        <w:ind w:right="180" w:firstLine="433"/>
        <w:spacing w:after="0" w:line="291" w:lineRule="auto"/>
        <w:rPr>
          <w:sz w:val="20"/>
          <w:szCs w:val="20"/>
          <w:color w:val="auto"/>
        </w:rPr>
      </w:pPr>
      <w:r>
        <w:rPr>
          <w:rFonts w:ascii="Arial" w:cs="Arial" w:eastAsia="Arial" w:hAnsi="Arial"/>
          <w:sz w:val="17"/>
          <w:szCs w:val="17"/>
          <w:color w:val="auto"/>
        </w:rPr>
        <w:t>As of December 31, 2023, the Company had one collaboration, option and license agreement with UCB Biopharma SRL ("UCB"), which it entered into in December 2022. The accounting related to the collaboration agreement is outlined in Note 9, UCB Option and License Agreement.</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19"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 Costs incurred to obtain licenses are recognized as research and development expense as incurred if the technology licensed has no alternative future uses.</w:t>
      </w:r>
    </w:p>
    <w:p>
      <w:pPr>
        <w:spacing w:after="0" w:line="173" w:lineRule="exact"/>
        <w:rPr>
          <w:sz w:val="20"/>
          <w:szCs w:val="20"/>
          <w:color w:val="auto"/>
        </w:rPr>
      </w:pPr>
    </w:p>
    <w:p>
      <w:pPr>
        <w:ind w:right="60" w:firstLine="433"/>
        <w:spacing w:after="0" w:line="264"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These agreements are cancellable, and related fees are recorded as research and development expenses as incurred. The Company records accrued liabilities and prepaid expenses for estimated ongoing research costs. When evaluating the adequacy of the accrued liabilities and prepaid expenses, the Company analyzes progress of the studies or clinical trials, including the phase or completion of events, invoices received and contracted costs. Significant judgments and estimates are made in determining the accrued and prepaid balances at the end of any reporting period. Actual results could differ from the Company’s estimates. The Company’s historical estimates have not been materially different from the actual costs.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Patent-Related Costs</w:t>
      </w:r>
    </w:p>
    <w:p>
      <w:pPr>
        <w:spacing w:after="0" w:line="119" w:lineRule="exact"/>
        <w:rPr>
          <w:sz w:val="20"/>
          <w:szCs w:val="20"/>
          <w:color w:val="auto"/>
        </w:rPr>
      </w:pPr>
    </w:p>
    <w:p>
      <w:pPr>
        <w:ind w:right="180" w:firstLine="433"/>
        <w:spacing w:after="0" w:line="291" w:lineRule="auto"/>
        <w:rPr>
          <w:sz w:val="20"/>
          <w:szCs w:val="20"/>
          <w:color w:val="auto"/>
        </w:rPr>
      </w:pPr>
      <w:r>
        <w:rPr>
          <w:rFonts w:ascii="Arial" w:cs="Arial" w:eastAsia="Arial" w:hAnsi="Arial"/>
          <w:sz w:val="17"/>
          <w:szCs w:val="17"/>
          <w:color w:val="auto"/>
        </w:rPr>
        <w:t>Patent-related costs incurred in connection with patent applications are expensed as incurred due to the uncertainty about the recovery of the expenditure. Amounts incurred are classified as general and administrative expenses in the accompanying consolidated statement of operations.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 xml:space="preserve">The Company accounts for all stock-based awards granted to employees and non-employees as stock-based compensation expense at fair value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For stock-based awards issued to employees, non-employees and members of the Company’s board of directors (the “Board”) for their services on the Board, the Company measures the estimated fair value of the stock-based award on the date of the grant. The Company recognizes compensation expense for those awards granted to employees and members of the Board over the requisite service period, which is generally the vesting period of the respective award. For non-employee awards, compensation expense is recognized as the services are provided, which is generally ratably over the vesting period. The Company issues stock-based awards with service-based vesting conditions and records the expense for these awards on a straight-line basis over the vesting period.</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To date, the Company has not issued any stock-based awards with performance or market-based vesting conditions. The Company accounts for forfeitures as they occur.</w:t>
      </w:r>
    </w:p>
    <w:p>
      <w:pPr>
        <w:spacing w:after="0" w:line="141" w:lineRule="exact"/>
        <w:rPr>
          <w:sz w:val="20"/>
          <w:szCs w:val="20"/>
          <w:color w:val="auto"/>
        </w:rPr>
      </w:pPr>
    </w:p>
    <w:p>
      <w:pPr>
        <w:ind w:right="240" w:firstLine="433"/>
        <w:spacing w:after="0" w:line="300" w:lineRule="auto"/>
        <w:rPr>
          <w:sz w:val="20"/>
          <w:szCs w:val="20"/>
          <w:color w:val="auto"/>
        </w:rPr>
      </w:pPr>
      <w:r>
        <w:rPr>
          <w:rFonts w:ascii="Arial" w:cs="Arial" w:eastAsia="Arial" w:hAnsi="Arial"/>
          <w:sz w:val="17"/>
          <w:szCs w:val="17"/>
          <w:color w:val="auto"/>
        </w:rPr>
        <w:t>The Company classifies stock-based compensation expense in its consolidated statement of operations in the same manner in which the award recipient’s salary or service payments are classified.</w:t>
      </w:r>
    </w:p>
    <w:p>
      <w:pPr>
        <w:spacing w:after="0" w:line="141"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The fair value of each stock option award is estimated on the date of grant using the Black-Scholes option pricing model, which requires inputs of subjective assumptions, including: (i) the expected volatility of the Company’s stock; (ii) the expected term of the award; (iii) the risk-free interest rate; (iv) expected dividends; and (v) the fair value of common stock. Due to the lack of Company-specific historical and implied volatility data, the Company determines the volatility for awards granted based on an analysis of reported data for a group of guideline publicly-traded companies that issued options with substantially similar terms. For this analysis, the Company selects companies with comparable characteristics including enterprise value, risk profiles, and with historical share price information sufficient to meet the expected life of the stock-based awards. The Company determines expected volatility using a weighted average of the historical volatilities of the guideline group of companies. The Company expects to continue to apply this process until such time as it has adequate historical data regarding the volatility of its own traded stock price. As permitted under ASC 718, the Company has elected to use the contractual term as the expected term for certain non-employee awards, on an award-by-award basis. For all other awards, the expected term of the Company’s stock options has been determined utilizing the “simplified” method whereby the expected term equals the average of the vesting term and the original contractual term of the option, on a weighted basis based on the vesting of each tranche. The Company utilizes this method as it has insufficient historical exercise data to provide a reasonable basis upon which to estimate the expected term. The risk-free interest rate is determined by reference to the U.S. Treasury yield curve in effect at the time of grant of the award for instruments with a term commensurate with the expected term assumption. The expected dividend yield is assumed to be zero as the Company has never paid dividends, and does not have current plans to pay any dividends on its common stock. Subsequent to the IPO, the fair value of the common stock underlying the Company's stock-based awards is the closing price of the Company's common stock on the date of grant.</w:t>
      </w:r>
    </w:p>
    <w:p>
      <w:pPr>
        <w:spacing w:after="0" w:line="388" w:lineRule="exact"/>
        <w:rPr>
          <w:sz w:val="20"/>
          <w:szCs w:val="20"/>
          <w:color w:val="auto"/>
        </w:rPr>
      </w:pPr>
    </w:p>
    <w:p>
      <w:pPr>
        <w:ind w:right="300" w:firstLine="433"/>
        <w:spacing w:after="0" w:line="300" w:lineRule="auto"/>
        <w:rPr>
          <w:sz w:val="20"/>
          <w:szCs w:val="20"/>
          <w:color w:val="auto"/>
        </w:rPr>
      </w:pPr>
      <w:r>
        <w:rPr>
          <w:rFonts w:ascii="Arial" w:cs="Arial" w:eastAsia="Arial" w:hAnsi="Arial"/>
          <w:sz w:val="17"/>
          <w:szCs w:val="17"/>
          <w:color w:val="auto"/>
        </w:rPr>
        <w:t>The grant date fair value of restricted stock units is estimated based on the fair value of the Company's underlying common stock on the date of grant.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The functional currency of the Company’s wholly owned foreign subsidiary in Australia is the U.S. dollar. Monetary assets and liabilities resulting from transactions denominated in currencies other than the functional currency are remeasured into the functional currency at exchange rates prevailing at the balance sheet date. Non-monetary assets and liabilities denominated in foreign currencies are measured using historical exchange rates prevailing at the date of the transaction and are not subsequently remeasured. Exchange gains or losses arising from foreign currency transactions are included in the determination of net loss. There were no material foreign currency gains or losses for the years ended December 31, 2023 and 2022.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that it believes based upon the weight of available evidence it is more likely than not that all or a portion of the deferred tax assets will not be realized, a valuation allowance is established.</w:t>
      </w:r>
    </w:p>
    <w:p>
      <w:pPr>
        <w:spacing w:after="0" w:line="167"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19" w:lineRule="exact"/>
        <w:rPr>
          <w:sz w:val="20"/>
          <w:szCs w:val="20"/>
          <w:color w:val="auto"/>
        </w:rPr>
      </w:pPr>
    </w:p>
    <w:p>
      <w:pPr>
        <w:ind w:right="360" w:firstLine="433"/>
        <w:spacing w:after="0" w:line="300" w:lineRule="auto"/>
        <w:rPr>
          <w:sz w:val="20"/>
          <w:szCs w:val="20"/>
          <w:color w:val="auto"/>
        </w:rPr>
      </w:pPr>
      <w:r>
        <w:rPr>
          <w:rFonts w:ascii="Arial" w:cs="Arial" w:eastAsia="Arial" w:hAnsi="Arial"/>
          <w:sz w:val="17"/>
          <w:szCs w:val="17"/>
          <w:color w:val="auto"/>
        </w:rPr>
        <w:t>Comprehensive loss includes net loss and certain changes in stockholders’ equity that are excluded from net loss. For the years ended December 31, 2023 and 2022, comprehensive loss consists of net loss and changes in unrealized losses on marketable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Warrants</w:t>
      </w:r>
    </w:p>
    <w:p>
      <w:pPr>
        <w:spacing w:after="0" w:line="119"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The Company accounts for warrants to purchase shares of its common stock in accordance with the guidance in FASB ASC No. 480, Distinguishing Liabilities from Equity (ASC 480) and ASC No. 815, Derivatives and Hedging (ASC 815). The Company classifies warrants 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 Equity classified warrants are accounted for at fair value on the issuance date with no changes in fair value recognized after the issuance 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19" w:lineRule="exact"/>
        <w:rPr>
          <w:sz w:val="20"/>
          <w:szCs w:val="20"/>
          <w:color w:val="auto"/>
        </w:rPr>
      </w:pPr>
    </w:p>
    <w:p>
      <w:pPr>
        <w:ind w:right="100" w:firstLine="433"/>
        <w:spacing w:after="0" w:line="263" w:lineRule="auto"/>
        <w:rPr>
          <w:sz w:val="20"/>
          <w:szCs w:val="20"/>
          <w:color w:val="auto"/>
        </w:rPr>
      </w:pPr>
      <w:r>
        <w:rPr>
          <w:rFonts w:ascii="Arial" w:cs="Arial" w:eastAsia="Arial" w:hAnsi="Arial"/>
          <w:sz w:val="17"/>
          <w:szCs w:val="17"/>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1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 xml:space="preserve">On August 5, 2020, the FASB issued ASU No. 2020-06, </w:t>
      </w:r>
      <w:r>
        <w:rPr>
          <w:rFonts w:ascii="Arial" w:cs="Arial" w:eastAsia="Arial" w:hAnsi="Arial"/>
          <w:sz w:val="17"/>
          <w:szCs w:val="17"/>
          <w:i w:val="1"/>
          <w:iCs w:val="1"/>
          <w:color w:val="auto"/>
        </w:rPr>
        <w:t>Debt – Debt with Conversion and Other Options (Subtopic 470-20) and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 Contracts in Entity’s Own Equity (Subtopic 815-40): Accounting for Convertible Instruments and Contracts in an Entity’s Own Equity </w:t>
      </w:r>
      <w:r>
        <w:rPr>
          <w:rFonts w:ascii="Arial" w:cs="Arial" w:eastAsia="Arial" w:hAnsi="Arial"/>
          <w:sz w:val="17"/>
          <w:szCs w:val="17"/>
          <w:color w:val="auto"/>
        </w:rPr>
        <w:t>(ASU 2020-06). ASU 2020-06 simplifies the accounting for certain financial instruments with characteristics of liabilities and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convertible instruments and contracts on an entity’s own equity. ASU 2020-06 eliminates the separation models for convertible debt with cash conversion features and convertible instruments with beneficial conversion features and simplifies the derivative scope exception guidance pertaining to equity classification of contracts in an entity’s own equity. Additionally, ASU 2020-06 amends the diluted earnings per share guidance, including the requirement to use the if-converted method for all convertible instruments. The new standard also introduces additional disclosures for convertible instruments. ASU 2020-06 was effective for public companies that are not smaller reporting companies for fiscal years beginning after December 15, 2021. For all other entities, ASU 2020-06 is effective for fiscal years beginning after December 15, 2023. Early adoption is permitted, but no earlier than fiscal years beginning after December 15, 2020. ASU 2020-06 is required to be adopted as of the beginning of a fiscal year. ASU 2020-06 may be applied using either a full or modified retrospective method of transition. The Company adopted ASU 2020-06 effective as of January 1, 2023. The adoption of ASU 2020-06 did not have an impact on the Company’s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9" w:lineRule="exact"/>
        <w:rPr>
          <w:sz w:val="20"/>
          <w:szCs w:val="20"/>
          <w:color w:val="auto"/>
        </w:rPr>
      </w:pPr>
    </w:p>
    <w:p>
      <w:pPr>
        <w:ind w:right="520" w:firstLine="433"/>
        <w:spacing w:after="0" w:line="300" w:lineRule="auto"/>
        <w:rPr>
          <w:sz w:val="20"/>
          <w:szCs w:val="20"/>
          <w:color w:val="auto"/>
        </w:rPr>
      </w:pPr>
      <w:r>
        <w:rPr>
          <w:rFonts w:ascii="Arial" w:cs="Arial" w:eastAsia="Arial" w:hAnsi="Arial"/>
          <w:sz w:val="17"/>
          <w:szCs w:val="17"/>
          <w:color w:val="auto"/>
        </w:rPr>
        <w:t xml:space="preserve">On November 27, 2023, the FASB issued ASU No. 2023-07, </w:t>
      </w:r>
      <w:r>
        <w:rPr>
          <w:rFonts w:ascii="Arial" w:cs="Arial" w:eastAsia="Arial" w:hAnsi="Arial"/>
          <w:sz w:val="17"/>
          <w:szCs w:val="17"/>
          <w:i w:val="1"/>
          <w:iCs w:val="1"/>
          <w:color w:val="auto"/>
        </w:rPr>
        <w:t>Segment Reporting (Topic 280) - Improvements to Reportable Segment</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w:t>
      </w:r>
      <w:r>
        <w:rPr>
          <w:rFonts w:ascii="Arial" w:cs="Arial" w:eastAsia="Arial" w:hAnsi="Arial"/>
          <w:sz w:val="17"/>
          <w:szCs w:val="17"/>
          <w:color w:val="auto"/>
        </w:rPr>
        <w:t>. ASU No. 2023-07 improves reportable segment disclosure requirements,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primarily through enhanced disclosures about significant segment expenses. The amendments included in this ASU apply to all public entities that are required to report segment information in accordance with Topic 280, including those with a single reportable segment. The amendments are effective for fiscal years beginning after December 15, 2023, and interim periods within fiscal years beginning after December 15, 2024. Early adoption is permitted and should be applied retrospectively to all prior periods presented in the financial statements. Upon transition, the segment expenses categories and amounts disclosed in the prior periods should be based on the significant segment expense categories identified and disclosed in the period of adoption. The Company only has one reportable segment and this ASU impacts disclosures only. The Company has determined that the effects of adopting the amendments in ASU 2023-07 will only impact its disclosures and not have a material impact on its consolidated financial position and the results of its operations when such amendment is adopted.</w:t>
      </w:r>
    </w:p>
    <w:p>
      <w:pPr>
        <w:spacing w:after="0" w:line="70"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 xml:space="preserve">On December 14, 2023, the FASB issued ASU No. 2023-09, </w:t>
      </w:r>
      <w:r>
        <w:rPr>
          <w:rFonts w:ascii="Arial" w:cs="Arial" w:eastAsia="Arial" w:hAnsi="Arial"/>
          <w:sz w:val="17"/>
          <w:szCs w:val="17"/>
          <w:i w:val="1"/>
          <w:iCs w:val="1"/>
          <w:color w:val="auto"/>
        </w:rPr>
        <w:t>Income Taxes (Topic 740) - Improvements to Income Tax Disclosures</w:t>
      </w:r>
      <w:r>
        <w:rPr>
          <w:rFonts w:ascii="Arial" w:cs="Arial" w:eastAsia="Arial" w:hAnsi="Arial"/>
          <w:sz w:val="17"/>
          <w:szCs w:val="17"/>
          <w:color w:val="auto"/>
        </w:rPr>
        <w:t>. ASU No. 2023-09 provides more transparency about income tax information through improvements to income tax disclosures primarily related to the rate reconciliation and incomes taxes paid information. For public companies, the amendments are effective for annual periods beginning after December 15, 2024 and should be applied prospectively. The Company has determined that the effects of adopting the amendments in ASU 2023-09 will only impact its disclosures and not have a material impact on its consolidated financial position and the results of its operations when such amendment is adopted.</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121"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As of December 31, 2023 and 2022, the Company had restricted cash of $0.4 million and $0.4 million, respectively, held as letters of credit for the benefit of its current landlord. The Company's Boston, Massachusetts sublease expires on January 31, 2026, and the related letter of credit of $0.4 million was classified within other non-current assets on the consolidated balance sheet as of December 31, 2023 and 2022.</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Marketable Securities</w:t>
      </w:r>
    </w:p>
    <w:p>
      <w:pPr>
        <w:spacing w:after="0" w:line="121" w:lineRule="exact"/>
        <w:rPr>
          <w:sz w:val="20"/>
          <w:szCs w:val="20"/>
          <w:color w:val="auto"/>
        </w:rPr>
      </w:pPr>
    </w:p>
    <w:p>
      <w:pPr>
        <w:ind w:right="200" w:firstLine="433"/>
        <w:spacing w:after="0" w:line="300" w:lineRule="auto"/>
        <w:rPr>
          <w:sz w:val="20"/>
          <w:szCs w:val="20"/>
          <w:color w:val="auto"/>
        </w:rPr>
      </w:pPr>
      <w:r>
        <w:rPr>
          <w:rFonts w:ascii="Arial" w:cs="Arial" w:eastAsia="Arial" w:hAnsi="Arial"/>
          <w:sz w:val="17"/>
          <w:szCs w:val="17"/>
          <w:color w:val="auto"/>
        </w:rPr>
        <w:t>The Company did not hold any marketable securities as of December 31, 2023. The following is a summary of the Company's investment portfolio as of December 31, 2022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As of December 31, 2022</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2"/>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6"/>
          </w:tcPr>
          <w:p>
            <w:pPr>
              <w:ind w:left="320"/>
              <w:spacing w:after="0"/>
              <w:rPr>
                <w:sz w:val="20"/>
                <w:szCs w:val="20"/>
                <w:color w:val="auto"/>
              </w:rPr>
            </w:pPr>
            <w:r>
              <w:rPr>
                <w:rFonts w:ascii="Arial" w:cs="Arial" w:eastAsia="Arial" w:hAnsi="Arial"/>
                <w:sz w:val="16"/>
                <w:szCs w:val="16"/>
                <w:b w:val="1"/>
                <w:bCs w:val="1"/>
                <w:color w:val="auto"/>
              </w:rPr>
              <w:t>Gross Unrealized</w:t>
            </w:r>
          </w:p>
        </w:tc>
        <w:tc>
          <w:tcPr>
            <w:tcW w:w="260" w:type="dxa"/>
            <w:vAlign w:val="bottom"/>
          </w:tcPr>
          <w:p>
            <w:pPr>
              <w:spacing w:after="0"/>
              <w:rPr>
                <w:sz w:val="17"/>
                <w:szCs w:val="17"/>
                <w:color w:val="auto"/>
              </w:rPr>
            </w:pPr>
          </w:p>
        </w:tc>
        <w:tc>
          <w:tcPr>
            <w:tcW w:w="1300" w:type="dxa"/>
            <w:vAlign w:val="bottom"/>
          </w:tcPr>
          <w:p>
            <w:pPr>
              <w:jc w:val="right"/>
              <w:ind w:right="321"/>
              <w:spacing w:after="0"/>
              <w:rPr>
                <w:sz w:val="20"/>
                <w:szCs w:val="20"/>
                <w:color w:val="auto"/>
              </w:rPr>
            </w:pPr>
            <w:r>
              <w:rPr>
                <w:rFonts w:ascii="Arial" w:cs="Arial" w:eastAsia="Arial" w:hAnsi="Arial"/>
                <w:sz w:val="16"/>
                <w:szCs w:val="16"/>
                <w:b w:val="1"/>
                <w:bCs w:val="1"/>
                <w:color w:val="auto"/>
              </w:rPr>
              <w:t>Estimated</w:t>
            </w:r>
          </w:p>
        </w:tc>
      </w:tr>
      <w:tr>
        <w:trPr>
          <w:trHeight w:val="211"/>
        </w:trPr>
        <w:tc>
          <w:tcPr>
            <w:tcW w:w="5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Cost</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w w:val="94"/>
              </w:rPr>
              <w:t>Gains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7"/>
              </w:rPr>
              <w:t>Losses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Fair Value</w:t>
            </w:r>
          </w:p>
        </w:tc>
      </w:tr>
      <w:tr>
        <w:trPr>
          <w:trHeight w:val="20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9"/>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35,042</w:t>
            </w:r>
          </w:p>
        </w:tc>
        <w:tc>
          <w:tcPr>
            <w:tcW w:w="8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34,879</w:t>
            </w:r>
          </w:p>
        </w:tc>
      </w:tr>
      <w:tr>
        <w:trPr>
          <w:trHeight w:val="211"/>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4,005</w:t>
            </w: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r>
      <w:tr>
        <w:trPr>
          <w:trHeight w:val="202"/>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39,047</w:t>
            </w:r>
          </w:p>
        </w:tc>
        <w:tc>
          <w:tcPr>
            <w:tcW w:w="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43"/>
        </w:trPr>
        <w:tc>
          <w:tcPr>
            <w:tcW w:w="59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3"/>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Total available-for-sale securities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39,047</w:t>
            </w:r>
          </w:p>
        </w:tc>
        <w:tc>
          <w:tcPr>
            <w:tcW w:w="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0"/>
        </w:trPr>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480" w:firstLine="433"/>
        <w:spacing w:after="0" w:line="300" w:lineRule="auto"/>
        <w:rPr>
          <w:sz w:val="20"/>
          <w:szCs w:val="20"/>
          <w:color w:val="auto"/>
        </w:rPr>
      </w:pPr>
      <w:r>
        <w:rPr>
          <w:rFonts w:ascii="Arial" w:cs="Arial" w:eastAsia="Arial" w:hAnsi="Arial"/>
          <w:sz w:val="17"/>
          <w:szCs w:val="17"/>
          <w:color w:val="auto"/>
        </w:rPr>
        <w:t>Securities are evaluated for impairment at the end of each reporting period. The Company did not record any impairment related to its available-for-sale securities during the years ended December 31, 2023 and 2022.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of Financial Assets</w:t>
      </w:r>
    </w:p>
    <w:p>
      <w:pPr>
        <w:spacing w:after="0" w:line="121" w:lineRule="exact"/>
        <w:rPr>
          <w:sz w:val="20"/>
          <w:szCs w:val="20"/>
          <w:color w:val="auto"/>
        </w:rPr>
      </w:pPr>
    </w:p>
    <w:p>
      <w:pPr>
        <w:jc w:val="both"/>
        <w:ind w:right="260" w:firstLine="433"/>
        <w:spacing w:after="0" w:line="278" w:lineRule="auto"/>
        <w:rPr>
          <w:sz w:val="20"/>
          <w:szCs w:val="20"/>
          <w:color w:val="auto"/>
        </w:rPr>
      </w:pPr>
      <w:r>
        <w:rPr>
          <w:rFonts w:ascii="Arial" w:cs="Arial" w:eastAsia="Arial" w:hAnsi="Arial"/>
          <w:sz w:val="17"/>
          <w:szCs w:val="17"/>
          <w:color w:val="auto"/>
        </w:rPr>
        <w:t>The Company did not hold any financial assets measured at fair value on a recurring basis as of December 31, 2023. The following table presents information about the Company’s financial assets measured at fair value on a recurring basis and indicates the level of the fair value hierarchy utilized to determine such fair values as of December 31, 2022 (in thousands):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6"/>
                <w:szCs w:val="16"/>
                <w:b w:val="1"/>
                <w:bCs w:val="1"/>
                <w:color w:val="auto"/>
              </w:rPr>
              <w:t>As of December 31, 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41"/>
              <w:spacing w:after="0"/>
              <w:rPr>
                <w:sz w:val="20"/>
                <w:szCs w:val="20"/>
                <w:color w:val="auto"/>
              </w:rPr>
            </w:pPr>
            <w:r>
              <w:rPr>
                <w:rFonts w:ascii="Arial" w:cs="Arial" w:eastAsia="Arial" w:hAnsi="Arial"/>
                <w:sz w:val="16"/>
                <w:szCs w:val="16"/>
                <w:b w:val="1"/>
                <w:bCs w:val="1"/>
                <w:color w:val="auto"/>
              </w:rPr>
              <w:t>Total</w:t>
            </w:r>
          </w:p>
        </w:tc>
      </w:tr>
      <w:tr>
        <w:trPr>
          <w:trHeight w:val="19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09"/>
        </w:trPr>
        <w:tc>
          <w:tcPr>
            <w:tcW w:w="526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52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34,181</w:t>
            </w:r>
          </w:p>
        </w:tc>
      </w:tr>
      <w:tr>
        <w:trPr>
          <w:trHeight w:val="209"/>
        </w:trPr>
        <w:tc>
          <w:tcPr>
            <w:tcW w:w="526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52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r>
      <w:tr>
        <w:trPr>
          <w:trHeight w:val="209"/>
        </w:trPr>
        <w:tc>
          <w:tcPr>
            <w:tcW w:w="52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r>
      <w:tr>
        <w:trPr>
          <w:trHeight w:val="223"/>
        </w:trPr>
        <w:tc>
          <w:tcPr>
            <w:tcW w:w="5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The Company estimates the fair value of its marketable securities classified as Level 2 by taking into consideration valuations obtained from third-party pricing sources. These pricing sources utilize industry standard valuation models, including both income and market-based approaches, for which all significant inputs are observable, either directly or indirectly, to estimate fair value. These inputs include market pricing based on real-time trade data for the same or similar securities, issuer credit spreads, benchmark yields, and other observable inputs. The Company validates the prices provided by its third-party pricing sources by understanding the models used, obtaining market values from other pricing sources and analyzing pricing data in certain instances.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and equipment, net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Laboratory equipment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property and equipment</w:t>
            </w: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1,543</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21"/>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was $0.4 million and $0.4 million for the years ended December 31, 2023 and 2022, respectively.</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Accrued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consisted of the following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personnel-related expenses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10,734</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 expenses</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accrued expenses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15,850</w:t>
            </w:r>
          </w:p>
        </w:tc>
      </w:tr>
      <w:tr>
        <w:trPr>
          <w:trHeight w:val="21"/>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260" w:firstLine="5"/>
        <w:spacing w:after="0" w:line="387" w:lineRule="auto"/>
        <w:tabs>
          <w:tab w:leader="none" w:pos="194"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Leases</w:t>
      </w:r>
    </w:p>
    <w:p>
      <w:pPr>
        <w:spacing w:after="0" w:line="1"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In May 2021, the Company entered into a sublease agreement for office space located in Boston, Massachusetts. The sublease expires on January 31, 2026, with no option to renew or terminate early. The base rent increases by approximately 2% annually. The Company issued a letter of credit to the landlord related to the security deposit, secured by restricted cash (Note 3). This lease qualifies as an operating lease. At inception, the Company recorded an operating lease right-of-use asset and operating lease liability of $4.1 million.</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the presentation of the operating lease in the Company’s consolidated balance sheets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76"/>
        </w:trPr>
        <w:tc>
          <w:tcPr>
            <w:tcW w:w="806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b w:val="1"/>
                <w:bCs w:val="1"/>
                <w:color w:val="auto"/>
              </w:rPr>
              <w:t>Liabilities:</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Current operating lease liabilities</w:t>
            </w: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8"/>
                <w:szCs w:val="18"/>
                <w:color w:val="auto"/>
              </w:rPr>
            </w:pPr>
          </w:p>
        </w:tc>
        <w:tc>
          <w:tcPr>
            <w:tcW w:w="1020" w:type="dxa"/>
            <w:vAlign w:val="bottom"/>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1,005</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portion of operating lease liabilities</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2,495</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lease liabilities</w:t>
            </w: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r>
      <w:tr>
        <w:trPr>
          <w:trHeight w:val="21"/>
        </w:trPr>
        <w:tc>
          <w:tcPr>
            <w:tcW w:w="8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total lease costs recognized in the Company’s consolidated statements of operations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8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lease costs</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2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costs</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200" w:firstLine="433"/>
        <w:spacing w:after="0" w:line="271" w:lineRule="auto"/>
        <w:rPr>
          <w:sz w:val="20"/>
          <w:szCs w:val="20"/>
          <w:color w:val="auto"/>
        </w:rPr>
      </w:pPr>
      <w:r>
        <w:rPr>
          <w:rFonts w:ascii="Arial" w:cs="Arial" w:eastAsia="Arial" w:hAnsi="Arial"/>
          <w:sz w:val="17"/>
          <w:szCs w:val="17"/>
          <w:color w:val="auto"/>
        </w:rPr>
        <w:t>Variable lease costs were primarily related to operating expenses, taxes and insurance associated with the operating leases, which were assessed based on the Company’s proportionate share of such costs for the leased premises. As these costs are generally variable in nature, they were not included in the measurement of the operating lease right-of-use asset and related lease liability. Total lease costs are included as operating expenses in the Company’s consolidated statements of operations and comprehensive loss.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lease payments under non-cancelable lease agreements as of December 31, 2023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200" w:type="dxa"/>
            <w:vAlign w:val="bottom"/>
          </w:tcPr>
          <w:p>
            <w:pPr>
              <w:spacing w:after="0"/>
              <w:rPr>
                <w:sz w:val="16"/>
                <w:szCs w:val="16"/>
                <w:color w:val="auto"/>
              </w:rPr>
            </w:pPr>
          </w:p>
        </w:tc>
        <w:tc>
          <w:tcPr>
            <w:tcW w:w="1340" w:type="dxa"/>
            <w:vAlign w:val="bottom"/>
          </w:tcPr>
          <w:p>
            <w:pPr>
              <w:jc w:val="right"/>
              <w:ind w:right="201"/>
              <w:spacing w:after="0"/>
              <w:rPr>
                <w:sz w:val="20"/>
                <w:szCs w:val="20"/>
                <w:color w:val="auto"/>
              </w:rPr>
            </w:pPr>
            <w:r>
              <w:rPr>
                <w:rFonts w:ascii="Arial" w:cs="Arial" w:eastAsia="Arial" w:hAnsi="Arial"/>
                <w:sz w:val="16"/>
                <w:szCs w:val="16"/>
                <w:b w:val="1"/>
                <w:bCs w:val="1"/>
                <w:color w:val="auto"/>
              </w:rPr>
              <w:t>Future Lease</w:t>
            </w:r>
          </w:p>
        </w:tc>
        <w:tc>
          <w:tcPr>
            <w:tcW w:w="0" w:type="dxa"/>
            <w:vAlign w:val="bottom"/>
          </w:tcPr>
          <w:p>
            <w:pPr>
              <w:spacing w:after="0"/>
              <w:rPr>
                <w:sz w:val="1"/>
                <w:szCs w:val="1"/>
                <w:color w:val="auto"/>
              </w:rPr>
            </w:pPr>
          </w:p>
        </w:tc>
      </w:tr>
      <w:tr>
        <w:trPr>
          <w:trHeight w:val="210"/>
        </w:trPr>
        <w:tc>
          <w:tcPr>
            <w:tcW w:w="97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0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09"/>
        </w:trPr>
        <w:tc>
          <w:tcPr>
            <w:tcW w:w="9700" w:type="dxa"/>
            <w:vAlign w:val="bottom"/>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11"/>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2"/>
        </w:trPr>
        <w:tc>
          <w:tcPr>
            <w:tcW w:w="9700" w:type="dxa"/>
            <w:vAlign w:val="bottom"/>
          </w:tcPr>
          <w:p>
            <w:pPr>
              <w:ind w:left="20"/>
              <w:spacing w:after="0"/>
              <w:rPr>
                <w:sz w:val="20"/>
                <w:szCs w:val="20"/>
                <w:color w:val="auto"/>
              </w:rPr>
            </w:pPr>
            <w:r>
              <w:rPr>
                <w:rFonts w:ascii="Arial" w:cs="Arial" w:eastAsia="Arial" w:hAnsi="Arial"/>
                <w:sz w:val="16"/>
                <w:szCs w:val="16"/>
                <w:color w:val="auto"/>
              </w:rPr>
              <w:t>Total future lease payments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211"/>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2"/>
        </w:trPr>
        <w:tc>
          <w:tcPr>
            <w:tcW w:w="9700" w:type="dxa"/>
            <w:vAlign w:val="bottom"/>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1"/>
        </w:trPr>
        <w:tc>
          <w:tcPr>
            <w:tcW w:w="9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0" w:firstLine="433"/>
        <w:spacing w:after="0" w:line="348" w:lineRule="auto"/>
        <w:rPr>
          <w:sz w:val="20"/>
          <w:szCs w:val="20"/>
          <w:color w:val="auto"/>
        </w:rPr>
      </w:pPr>
      <w:r>
        <w:rPr>
          <w:rFonts w:ascii="Arial" w:cs="Arial" w:eastAsia="Arial" w:hAnsi="Arial"/>
          <w:sz w:val="17"/>
          <w:szCs w:val="17"/>
          <w:color w:val="auto"/>
        </w:rPr>
        <w:t>The weighted average remaining lease term and weighted average incremental borrowing rate of the Company’s operating lease were as follows:</w:t>
      </w:r>
    </w:p>
    <w:p>
      <w:pPr>
        <w:spacing w:after="0" w:line="26"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2021</w:t>
            </w:r>
          </w:p>
        </w:tc>
      </w:tr>
      <w:tr>
        <w:trPr>
          <w:trHeight w:val="20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7"/>
        </w:trPr>
        <w:tc>
          <w:tcPr>
            <w:tcW w:w="8980" w:type="dxa"/>
            <w:vAlign w:val="bottom"/>
            <w:gridSpan w:val="2"/>
          </w:tcPr>
          <w:p>
            <w:pPr>
              <w:ind w:left="20"/>
              <w:spacing w:after="0"/>
              <w:rPr>
                <w:sz w:val="20"/>
                <w:szCs w:val="20"/>
                <w:color w:val="auto"/>
              </w:rPr>
            </w:pPr>
            <w:r>
              <w:rPr>
                <w:rFonts w:ascii="Arial" w:cs="Arial" w:eastAsia="Arial" w:hAnsi="Arial"/>
                <w:sz w:val="16"/>
                <w:szCs w:val="16"/>
                <w:color w:val="auto"/>
              </w:rPr>
              <w:t>Weighted average incremental borrowing rate</w:t>
            </w:r>
          </w:p>
        </w:tc>
        <w:tc>
          <w:tcPr>
            <w:tcW w:w="540" w:type="dxa"/>
            <w:vAlign w:val="bottom"/>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9.0 %</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material legal proceedings during the years ended December 31, 2023 and 2022, and no material legal proceedings are currently pending or threatened.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w:t>
      </w:r>
    </w:p>
    <w:p>
      <w:pPr>
        <w:spacing w:after="0" w:line="119" w:lineRule="exact"/>
        <w:rPr>
          <w:sz w:val="20"/>
          <w:szCs w:val="20"/>
          <w:color w:val="auto"/>
        </w:rPr>
      </w:pPr>
    </w:p>
    <w:p>
      <w:pPr>
        <w:ind w:right="60" w:firstLine="433"/>
        <w:spacing w:after="0" w:line="266" w:lineRule="auto"/>
        <w:rPr>
          <w:sz w:val="20"/>
          <w:szCs w:val="20"/>
          <w:color w:val="auto"/>
        </w:rPr>
      </w:pPr>
      <w:r>
        <w:rPr>
          <w:rFonts w:ascii="Arial" w:cs="Arial" w:eastAsia="Arial" w:hAnsi="Arial"/>
          <w:sz w:val="17"/>
          <w:szCs w:val="17"/>
          <w:color w:val="auto"/>
        </w:rPr>
        <w:t>The Company has agreements with third parties for various services, including services related to research, preclinical and clinical operations and support, for which the Company is not contractually able to terminate for convenience to avoid future obligations to the vendors. Certain agreements provide for termination rights subject to termination fees or wind down costs. Under such agreements, the Company is contractually obligated to make certain payments to vendors, primarily to reimburse them for their unrecoverable outlays incurred prior to cancellation. The actual amounts the Company could pay in the future to the vendors under such agreements may differ from the purchase order amounts due to cancellation provisions.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119"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The Company enters into indemnification agreements and agreements containing indemnification provisions in the ordinary course of business. Pursuant to these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 party with respect to the Company’s products. The term of these indemnification agreements is generally perpetual upon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Agreements</w:t>
      </w:r>
    </w:p>
    <w:p>
      <w:pPr>
        <w:spacing w:after="0" w:line="119" w:lineRule="exact"/>
        <w:rPr>
          <w:sz w:val="20"/>
          <w:szCs w:val="20"/>
          <w:color w:val="auto"/>
        </w:rPr>
      </w:pPr>
    </w:p>
    <w:p>
      <w:pPr>
        <w:ind w:right="120" w:firstLine="433"/>
        <w:spacing w:after="0" w:line="271" w:lineRule="auto"/>
        <w:rPr>
          <w:sz w:val="20"/>
          <w:szCs w:val="20"/>
          <w:color w:val="auto"/>
        </w:rPr>
      </w:pPr>
      <w:r>
        <w:rPr>
          <w:rFonts w:ascii="Arial" w:cs="Arial" w:eastAsia="Arial" w:hAnsi="Arial"/>
          <w:sz w:val="17"/>
          <w:szCs w:val="17"/>
          <w:color w:val="auto"/>
        </w:rPr>
        <w:t>The Company has entered into multiple agreements with third parties under which it may be obligated to make future development, regulatory and commercial milestone payments and royalty payments on future sales of specified product candidates. Payments under these agreements generally become due and payable upon achievement of such milestones and sales. When the achievement of these milestones or sales have not occurred, such contingencies are not recorded in the Company's financial statements.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UCB Option and License Agreement</w:t>
      </w:r>
    </w:p>
    <w:p>
      <w:pPr>
        <w:spacing w:after="0" w:line="121"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78"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66" w:lineRule="exact"/>
        <w:rPr>
          <w:sz w:val="20"/>
          <w:szCs w:val="20"/>
          <w:color w:val="auto"/>
        </w:rPr>
      </w:pPr>
    </w:p>
    <w:p>
      <w:pPr>
        <w:ind w:firstLine="433"/>
        <w:spacing w:after="0" w:line="271" w:lineRule="auto"/>
        <w:rPr>
          <w:sz w:val="20"/>
          <w:szCs w:val="20"/>
          <w:color w:val="auto"/>
        </w:rPr>
      </w:pPr>
      <w:r>
        <w:rPr>
          <w:rFonts w:ascii="Arial" w:cs="Arial" w:eastAsia="Arial" w:hAnsi="Arial"/>
          <w:sz w:val="17"/>
          <w:szCs w:val="17"/>
          <w:color w:val="auto"/>
        </w:rPr>
        <w:t>The Company recognizes revenue for its research services performance obligation using an input method over the duration of the research services. During the year ended December 31, 2023, the Company recognized $2.4 million in collaboration revenue related to the Collaboration Agreement in the consolidated statement of operations. As of December 31, 2023, $2.6 million was included in deferred revenue in the consolidated balance sheet, of which $1.4 million was classified as current.</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Common Stock and Preferred Stock</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224" w:lineRule="exact"/>
        <w:rPr>
          <w:sz w:val="20"/>
          <w:szCs w:val="20"/>
          <w:color w:val="auto"/>
        </w:rPr>
      </w:pPr>
    </w:p>
    <w:p>
      <w:pPr>
        <w:ind w:right="40" w:firstLine="433"/>
        <w:spacing w:after="0" w:line="278" w:lineRule="auto"/>
        <w:rPr>
          <w:sz w:val="20"/>
          <w:szCs w:val="20"/>
          <w:color w:val="auto"/>
        </w:rPr>
      </w:pPr>
      <w:r>
        <w:rPr>
          <w:rFonts w:ascii="Arial" w:cs="Arial" w:eastAsia="Arial" w:hAnsi="Arial"/>
          <w:sz w:val="17"/>
          <w:szCs w:val="17"/>
          <w:color w:val="auto"/>
        </w:rPr>
        <w:t>On November 28, 2023, the Company filed a Certificate of Amendment to the Company's Amended and Restated Certificate of Incorporation with the Secretary of State of the State of Delaware to effect a 1-for-15 reverse stock split of its common stock. The Reverse Stock Split became effective at 5:00 p.m., Eastern Time, on November 28, 2023.</w:t>
      </w:r>
    </w:p>
    <w:p>
      <w:pPr>
        <w:spacing w:after="0" w:line="160"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As a result of the Reverse Stock Split, every 15 shares of the Company's issued and outstanding common stock were automatically reclassified into one validly issued, fully-paid and non-assessable share of common stock. Any fractional post-split shares as a result of the Reverse Stock Split were rounded down to the nearest whole post-split share. The Reverse Stock Split did not affect the number of authorized shares of common stock or the par value of the common stock. All share amounts and per share amounts disclosed in this Annual Report on Form 10-K have been restated to reflect the Reverse Stock Split on a retroactive basis in all periods presented.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November 2021, the Company entered into an Open Market Sale Agreement, as amended ("2021 Sales Agreement") with Jefferies LLC ("Jefferies"), to provide for the offering, issuance and sale of up to an aggregate amount of $125.0 million of common stock from time to time in at-the-market offerings under its shelf registration and subject to the limitations thereof. The Company terminated the 2021 Sales Agreement in June 2023. During the year ended December 31, 2023, the Company issued and sold an aggregate of 952,794 shares under the 2021 Sales Agreement for aggregate net proceeds of $24.1 million, after deducting commissions and offering expenses payable by the Company. During the year ended December 31, 2022, the Company issued and sold an aggregate of 239,684 shares under the 2021 Sales Agreement for aggregate net proceeds of $9.6 million, after deducting commissions and offering expenses payable by the Company.</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December 2023, the Company entered into an Open Market Sale Agreement (the "2023 Sales Agreement"), with Jefferies, to provide for the offering, issuance and sale of up to an aggregate amount of $75.0 million of common stock from time to time in at-the-market offerings. The 2023 Sales Agreement was terminated in January 2024. During the year ended December 31, 2023, the Company issued and sold an aggregate of 212,453 shares under the 2023 Sales Agreement for aggregate net proceeds of $4.0 million, after deducting commissions and offering expenses payable by the Company.</w:t>
      </w:r>
    </w:p>
    <w:p>
      <w:pPr>
        <w:spacing w:after="0" w:line="167"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As of December 31, 2023 and 2022, the authorized capital stock of the Company included 150,000,000 shares of common stock, $0.0001 par value, pursuant to the Amended and Restated Certificate of Incorporation effective upon the completion of the IPO. Holders of such shares of common stock have the exclusive right to vote for the election of the Company's directors and are entitled to one vote per share. In the event of the voluntary or involuntary liquidation, dissolution or winding up of the Company, the holders of common stock are entitled to a pro rata distribution of the Company's net assets. Dividends may be declared and paid to such holders only when, as, and if declared by the Board or an authorized committee thereof.</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2023, the Company did not hold any treasury shares.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June 2023 Public Offering</w:t>
      </w:r>
    </w:p>
    <w:p>
      <w:pPr>
        <w:spacing w:after="0" w:line="224"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On June 21, 2023, the Company completed a public offering of: (i) an aggregate of 4,296,646 shares of its common stock at a public offering price of $14.25 per share, including the underwriters’ full exercise of their option to purchase 619,979 additional shares of common stock, and (ii) pre -funded warrants to purchase 470,000 shares of common stock at a public offering price of $14.2485 per share of common stock underlying the warrants. The purchase price per share for each pre-funded warrant represents the per share offering price for the common stock, less the $0.0015 per share exercise price for each underlying share. Total net proceeds generated from the offering were approximately $63.4 million, after deducting underwriting discounts, commissions and other offering expenses payable by the Company.</w:t>
      </w:r>
    </w:p>
    <w:p>
      <w:pPr>
        <w:spacing w:after="0" w:line="169" w:lineRule="exact"/>
        <w:rPr>
          <w:sz w:val="20"/>
          <w:szCs w:val="20"/>
          <w:color w:val="auto"/>
        </w:rPr>
      </w:pPr>
    </w:p>
    <w:p>
      <w:pPr>
        <w:ind w:firstLine="433"/>
        <w:spacing w:after="0" w:line="261" w:lineRule="auto"/>
        <w:rPr>
          <w:sz w:val="20"/>
          <w:szCs w:val="20"/>
          <w:color w:val="auto"/>
        </w:rPr>
      </w:pPr>
      <w:r>
        <w:rPr>
          <w:rFonts w:ascii="Arial" w:cs="Arial" w:eastAsia="Arial" w:hAnsi="Arial"/>
          <w:sz w:val="17"/>
          <w:szCs w:val="17"/>
          <w:color w:val="auto"/>
        </w:rPr>
        <w:t>The pre-funded warrants are exercisable at any time on or after the date of issuance at the option of the holder, subject to a beneficial ownership blocker that may limit exercisability. No holder may exercise any portion of the warrants that would cause either the aggregate number of shares of common stock beneficially owned by such holder, together with its affiliates, to exceed 9.99%, or the combined voting power of the securities beneficially owned by such holder, together with its affiliates, to exceed 9.99%.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In the event of certain fundamental transactions where the consideration payable to the holders of shares of common stock consists solely of cash and/or marketable securities, the pre-funded warrants will automatically be deemed to be exercised in full pursuant to a cashless exercise effective immediately prior to and contingent upon the consummation of such transaction. As of December 31, 2023, none of the pre-funded warrants had been exercised and all remain outstanding.</w:t>
      </w:r>
    </w:p>
    <w:p>
      <w:pPr>
        <w:spacing w:after="0" w:line="177" w:lineRule="exact"/>
        <w:rPr>
          <w:sz w:val="20"/>
          <w:szCs w:val="20"/>
          <w:color w:val="auto"/>
        </w:rPr>
      </w:pPr>
    </w:p>
    <w:p>
      <w:pPr>
        <w:ind w:firstLine="433"/>
        <w:spacing w:after="0" w:line="263" w:lineRule="auto"/>
        <w:rPr>
          <w:sz w:val="20"/>
          <w:szCs w:val="20"/>
          <w:color w:val="auto"/>
        </w:rPr>
      </w:pPr>
      <w:r>
        <w:rPr>
          <w:rFonts w:ascii="Arial" w:cs="Arial" w:eastAsia="Arial" w:hAnsi="Arial"/>
          <w:sz w:val="17"/>
          <w:szCs w:val="17"/>
          <w:color w:val="auto"/>
        </w:rPr>
        <w:t xml:space="preserve">The Company determined that the pre-funded warrants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7"/>
          <w:szCs w:val="17"/>
          <w:i w:val="1"/>
          <w:iCs w:val="1"/>
          <w:color w:val="auto"/>
        </w:rPr>
        <w:t>Contracts in Entity’s Own</w:t>
      </w:r>
      <w:r>
        <w:rPr>
          <w:rFonts w:ascii="Arial" w:cs="Arial" w:eastAsia="Arial" w:hAnsi="Arial"/>
          <w:sz w:val="17"/>
          <w:szCs w:val="17"/>
          <w:color w:val="auto"/>
        </w:rPr>
        <w:t xml:space="preserve"> </w:t>
      </w:r>
      <w:r>
        <w:rPr>
          <w:rFonts w:ascii="Arial" w:cs="Arial" w:eastAsia="Arial" w:hAnsi="Arial"/>
          <w:sz w:val="17"/>
          <w:szCs w:val="17"/>
          <w:i w:val="1"/>
          <w:iCs w:val="1"/>
          <w:color w:val="auto"/>
        </w:rPr>
        <w:t>Equity</w:t>
      </w:r>
      <w:r>
        <w:rPr>
          <w:rFonts w:ascii="Arial" w:cs="Arial" w:eastAsia="Arial" w:hAnsi="Arial"/>
          <w:sz w:val="17"/>
          <w:szCs w:val="17"/>
          <w:color w:val="auto"/>
        </w:rPr>
        <w:t>, to determine the appropriate treatment. The Company concluded that the pre-funded warrants are both indexed to its own stock and meet</w:t>
      </w:r>
      <w:r>
        <w:rPr>
          <w:rFonts w:ascii="Arial" w:cs="Arial" w:eastAsia="Arial" w:hAnsi="Arial"/>
          <w:sz w:val="17"/>
          <w:szCs w:val="17"/>
          <w:i w:val="1"/>
          <w:iCs w:val="1"/>
          <w:color w:val="auto"/>
        </w:rPr>
        <w:t xml:space="preserve"> </w:t>
      </w:r>
      <w:r>
        <w:rPr>
          <w:rFonts w:ascii="Arial" w:cs="Arial" w:eastAsia="Arial" w:hAnsi="Arial"/>
          <w:sz w:val="17"/>
          <w:szCs w:val="17"/>
          <w:color w:val="auto"/>
        </w:rPr>
        <w:t>all other conditions for equity classification. Accordingly, the Company has classified the pre-funded warrants as permanent equity.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had reserved the following shares of common stock for future issuance: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5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16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03"/>
        </w:trPr>
        <w:tc>
          <w:tcPr>
            <w:tcW w:w="3520" w:type="dxa"/>
            <w:vAlign w:val="bottom"/>
            <w:tcBorders>
              <w:bottom w:val="single" w:sz="8" w:color="CCEEFF"/>
            </w:tcBorders>
          </w:tcPr>
          <w:p>
            <w:pPr>
              <w:spacing w:after="0"/>
              <w:rPr>
                <w:sz w:val="17"/>
                <w:szCs w:val="17"/>
                <w:color w:val="auto"/>
              </w:rPr>
            </w:pPr>
          </w:p>
        </w:tc>
        <w:tc>
          <w:tcPr>
            <w:tcW w:w="456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2022</w:t>
            </w:r>
          </w:p>
        </w:tc>
      </w:tr>
      <w:tr>
        <w:trPr>
          <w:trHeight w:val="20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666,163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588,919</w:t>
            </w:r>
          </w:p>
        </w:tc>
      </w:tr>
      <w:tr>
        <w:trPr>
          <w:trHeight w:val="209"/>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470,000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and Incentive Plan</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148,264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110,063</w:t>
            </w: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w w:val="98"/>
              </w:rPr>
              <w:t>Shares reserved for future awards under the 2020</w:t>
            </w:r>
          </w:p>
        </w:tc>
        <w:tc>
          <w:tcPr>
            <w:tcW w:w="456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53,111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65,420</w:t>
            </w:r>
          </w:p>
        </w:tc>
      </w:tr>
      <w:tr>
        <w:trPr>
          <w:trHeight w:val="210"/>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47,145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49,565</w:t>
            </w:r>
          </w:p>
        </w:tc>
      </w:tr>
      <w:tr>
        <w:trPr>
          <w:trHeight w:val="204"/>
        </w:trPr>
        <w:tc>
          <w:tcPr>
            <w:tcW w:w="8080" w:type="dxa"/>
            <w:vAlign w:val="bottom"/>
            <w:gridSpan w:val="2"/>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1,384,683</w:t>
            </w: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813,967</w:t>
            </w:r>
          </w:p>
        </w:tc>
      </w:tr>
      <w:tr>
        <w:trPr>
          <w:trHeight w:val="20"/>
        </w:trPr>
        <w:tc>
          <w:tcPr>
            <w:tcW w:w="35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9"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As of December 31, 2023 and 2022, the Company was authorized to issue 10,000,000 shares of undesignated preferred stock, $0.0001 par value, in one or more series, and is authorized to fix the powers, designations, preferences and relative participating option or other rights thereof, including dividend rights, conversion rights, voting rights, redemption rights, liquidation preferences and the number of shares constituting any series, without any further vote or action by the Company's shareholders. As of December 31, 2023 and 2022, the Company had no shares of undesignated preferred stock issued or outstanding.</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Stock-Based Compensation</w:t>
      </w:r>
    </w:p>
    <w:p>
      <w:pPr>
        <w:spacing w:after="0" w:line="121"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The total number of shares of common stock authorized for issuance under the 2020 Stock Option and Incentive Plan (the "2020 Plan") as of December 31, 2023 and December 31, 2022 was 661,240 shares and 496,632 shares, respectively. The total number of shares of common stock authorized for issuance under the 2017 Stock Incentive Plan (the "2017 Plan") as of December 31, 2023 and 2022 was 395,850 shares. Any authorization to issue new options under the 2017 Plan was cancelled upon the effectiveness of the 2020 Plan and no further awards will be granted under the 2017 Plan.</w:t>
      </w:r>
    </w:p>
    <w:p>
      <w:pPr>
        <w:spacing w:after="0" w:line="167" w:lineRule="exact"/>
        <w:rPr>
          <w:sz w:val="20"/>
          <w:szCs w:val="20"/>
          <w:color w:val="auto"/>
        </w:rPr>
      </w:pPr>
    </w:p>
    <w:p>
      <w:pPr>
        <w:ind w:right="140" w:firstLine="433"/>
        <w:spacing w:after="0" w:line="271" w:lineRule="auto"/>
        <w:rPr>
          <w:sz w:val="20"/>
          <w:szCs w:val="20"/>
          <w:color w:val="auto"/>
        </w:rPr>
      </w:pPr>
      <w:r>
        <w:rPr>
          <w:rFonts w:ascii="Arial" w:cs="Arial" w:eastAsia="Arial" w:hAnsi="Arial"/>
          <w:sz w:val="17"/>
          <w:szCs w:val="17"/>
          <w:color w:val="auto"/>
        </w:rPr>
        <w:t>Stock options issued under the 2020 Plan and 2017 Plan expire ten years from the date of grant. Shares that expire, are terminated, surrendered or canceled under the 2020 Plan and 2017 Plan without having been fully exercised will be available for future awards. In addition, shares of common stock that are tendered to the Company by a participant to exercise an award are added to the number of shares of common stock available for future awards. Upon stock option exercise, the Company issues new shares and delivers them to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119" w:lineRule="exact"/>
        <w:rPr>
          <w:sz w:val="20"/>
          <w:szCs w:val="20"/>
          <w:color w:val="auto"/>
        </w:rPr>
      </w:pPr>
    </w:p>
    <w:p>
      <w:pPr>
        <w:ind w:right="140" w:firstLine="433"/>
        <w:spacing w:after="0" w:line="278" w:lineRule="auto"/>
        <w:rPr>
          <w:sz w:val="20"/>
          <w:szCs w:val="20"/>
          <w:color w:val="auto"/>
        </w:rPr>
      </w:pPr>
      <w:r>
        <w:rPr>
          <w:rFonts w:ascii="Arial" w:cs="Arial" w:eastAsia="Arial" w:hAnsi="Arial"/>
          <w:sz w:val="17"/>
          <w:szCs w:val="17"/>
          <w:color w:val="auto"/>
        </w:rPr>
        <w:t>The total shares authorized for issuance under the 2020 Employee Stock Purchase Plan (the "2020 ESPP") as of December 31, 2023 and 2022 was 87,227 shares and 65,420 shares, respectively. During the years ended December 31, 2023 and 2022, the Company issued 24,690 and 9,425 shares, respectively, under the 2020 ESPP.</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restricted stock unit activity: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61"/>
              <w:spacing w:after="0"/>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8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61"/>
              <w:spacing w:after="0" w:line="158"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7"/>
        </w:trPr>
        <w:tc>
          <w:tcPr>
            <w:tcW w:w="8040" w:type="dxa"/>
            <w:vAlign w:val="bottom"/>
          </w:tcPr>
          <w:p>
            <w:pPr>
              <w:spacing w:after="0"/>
              <w:rPr>
                <w:sz w:val="13"/>
                <w:szCs w:val="13"/>
                <w:color w:val="auto"/>
              </w:rPr>
            </w:pPr>
          </w:p>
        </w:tc>
        <w:tc>
          <w:tcPr>
            <w:tcW w:w="16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3"/>
                <w:szCs w:val="13"/>
                <w:color w:val="auto"/>
              </w:rPr>
            </w:pPr>
          </w:p>
        </w:tc>
        <w:tc>
          <w:tcPr>
            <w:tcW w:w="1300" w:type="dxa"/>
            <w:vAlign w:val="bottom"/>
          </w:tcPr>
          <w:p>
            <w:pPr>
              <w:jc w:val="center"/>
              <w:ind w:right="141"/>
              <w:spacing w:after="0" w:line="158"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61"/>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2022</w:t>
            </w:r>
          </w:p>
        </w:tc>
        <w:tc>
          <w:tcPr>
            <w:tcW w:w="1540" w:type="dxa"/>
            <w:vAlign w:val="bottom"/>
            <w:tcBorders>
              <w:top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color w:val="auto"/>
                <w:w w:val="98"/>
              </w:rPr>
              <w:t>49,565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346.17</w:t>
            </w:r>
          </w:p>
        </w:tc>
        <w:tc>
          <w:tcPr>
            <w:tcW w:w="0" w:type="dxa"/>
            <w:vAlign w:val="bottom"/>
          </w:tcPr>
          <w:p>
            <w:pPr>
              <w:spacing w:after="0"/>
              <w:rPr>
                <w:sz w:val="1"/>
                <w:szCs w:val="1"/>
                <w:color w:val="auto"/>
              </w:rPr>
            </w:pPr>
          </w:p>
        </w:tc>
      </w:tr>
      <w:tr>
        <w:trPr>
          <w:trHeight w:val="209"/>
        </w:trPr>
        <w:tc>
          <w:tcPr>
            <w:tcW w:w="8040" w:type="dxa"/>
            <w:vAlign w:val="bottom"/>
          </w:tcPr>
          <w:p>
            <w:pPr>
              <w:ind w:left="220"/>
              <w:spacing w:after="0"/>
              <w:rPr>
                <w:sz w:val="20"/>
                <w:szCs w:val="20"/>
                <w:color w:val="auto"/>
              </w:rPr>
            </w:pPr>
            <w:r>
              <w:rPr>
                <w:rFonts w:ascii="Arial" w:cs="Arial" w:eastAsia="Arial" w:hAnsi="Arial"/>
                <w:sz w:val="16"/>
                <w:szCs w:val="16"/>
                <w:color w:val="auto"/>
              </w:rPr>
              <w:t>Issued</w:t>
            </w:r>
          </w:p>
        </w:tc>
        <w:tc>
          <w:tcPr>
            <w:tcW w:w="1540" w:type="dxa"/>
            <w:vAlign w:val="bottom"/>
          </w:tcPr>
          <w:p>
            <w:pPr>
              <w:jc w:val="center"/>
              <w:ind w:left="821"/>
              <w:spacing w:after="0"/>
              <w:rPr>
                <w:sz w:val="20"/>
                <w:szCs w:val="20"/>
                <w:color w:val="auto"/>
              </w:rPr>
            </w:pPr>
            <w:r>
              <w:rPr>
                <w:rFonts w:ascii="Arial" w:cs="Arial" w:eastAsia="Arial" w:hAnsi="Arial"/>
                <w:sz w:val="16"/>
                <w:szCs w:val="16"/>
                <w:color w:val="auto"/>
                <w:w w:val="98"/>
              </w:rPr>
              <w:t>29,478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35.16</w:t>
            </w:r>
          </w:p>
        </w:tc>
        <w:tc>
          <w:tcPr>
            <w:tcW w:w="0" w:type="dxa"/>
            <w:vAlign w:val="bottom"/>
          </w:tcPr>
          <w:p>
            <w:pPr>
              <w:spacing w:after="0"/>
              <w:rPr>
                <w:sz w:val="1"/>
                <w:szCs w:val="1"/>
                <w:color w:val="auto"/>
              </w:rPr>
            </w:pPr>
          </w:p>
        </w:tc>
      </w:tr>
      <w:tr>
        <w:trPr>
          <w:trHeight w:val="211"/>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center"/>
              <w:ind w:left="801"/>
              <w:spacing w:after="0"/>
              <w:rPr>
                <w:sz w:val="20"/>
                <w:szCs w:val="20"/>
                <w:color w:val="auto"/>
              </w:rPr>
            </w:pPr>
            <w:r>
              <w:rPr>
                <w:rFonts w:ascii="Arial" w:cs="Arial" w:eastAsia="Arial" w:hAnsi="Arial"/>
                <w:sz w:val="16"/>
                <w:szCs w:val="16"/>
                <w:color w:val="auto"/>
                <w:w w:val="97"/>
              </w:rPr>
              <w:t>(13,293)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389.53</w:t>
            </w:r>
          </w:p>
        </w:tc>
        <w:tc>
          <w:tcPr>
            <w:tcW w:w="0" w:type="dxa"/>
            <w:vAlign w:val="bottom"/>
          </w:tcPr>
          <w:p>
            <w:pPr>
              <w:spacing w:after="0"/>
              <w:rPr>
                <w:sz w:val="1"/>
                <w:szCs w:val="1"/>
                <w:color w:val="auto"/>
              </w:rPr>
            </w:pPr>
          </w:p>
        </w:tc>
      </w:tr>
      <w:tr>
        <w:trPr>
          <w:trHeight w:val="20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center"/>
              <w:ind w:left="801"/>
              <w:spacing w:after="0"/>
              <w:rPr>
                <w:sz w:val="20"/>
                <w:szCs w:val="20"/>
                <w:color w:val="auto"/>
              </w:rPr>
            </w:pPr>
            <w:r>
              <w:rPr>
                <w:rFonts w:ascii="Arial" w:cs="Arial" w:eastAsia="Arial" w:hAnsi="Arial"/>
                <w:sz w:val="16"/>
                <w:szCs w:val="16"/>
                <w:color w:val="auto"/>
                <w:w w:val="97"/>
              </w:rPr>
              <w:t>(18,605)</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178.57</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2023</w:t>
            </w:r>
          </w:p>
        </w:tc>
        <w:tc>
          <w:tcPr>
            <w:tcW w:w="1540" w:type="dxa"/>
            <w:vAlign w:val="bottom"/>
            <w:tcBorders>
              <w:bottom w:val="single" w:sz="8" w:color="auto"/>
            </w:tcBorders>
            <w:shd w:val="clear" w:color="auto" w:fill="CCEEFF"/>
          </w:tcPr>
          <w:p>
            <w:pPr>
              <w:jc w:val="center"/>
              <w:ind w:left="821"/>
              <w:spacing w:after="0"/>
              <w:rPr>
                <w:sz w:val="20"/>
                <w:szCs w:val="20"/>
                <w:color w:val="auto"/>
              </w:rPr>
            </w:pPr>
            <w:r>
              <w:rPr>
                <w:rFonts w:ascii="Arial" w:cs="Arial" w:eastAsia="Arial" w:hAnsi="Arial"/>
                <w:sz w:val="16"/>
                <w:szCs w:val="16"/>
                <w:color w:val="auto"/>
                <w:w w:val="98"/>
              </w:rPr>
              <w:t>47,145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0" w:firstLine="433"/>
        <w:spacing w:after="0" w:line="300" w:lineRule="auto"/>
        <w:rPr>
          <w:sz w:val="20"/>
          <w:szCs w:val="20"/>
          <w:color w:val="auto"/>
        </w:rPr>
      </w:pPr>
      <w:r>
        <w:rPr>
          <w:rFonts w:ascii="Arial" w:cs="Arial" w:eastAsia="Arial" w:hAnsi="Arial"/>
          <w:sz w:val="17"/>
          <w:szCs w:val="17"/>
          <w:color w:val="auto"/>
        </w:rPr>
        <w:t>As of December 31, 2023, total unrecognized compensation cost related to unvested restricted stock units was $6.2 million, which is expected to be recognized over a weighted-average period of 1.81 years.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Company’s stock option activity: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7"/>
              </w:rPr>
              <w:t>Weighted</w:t>
            </w:r>
          </w:p>
        </w:tc>
        <w:tc>
          <w:tcPr>
            <w:tcW w:w="8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Weighted</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3"/>
                <w:szCs w:val="13"/>
                <w:color w:val="auto"/>
              </w:rPr>
            </w:pPr>
          </w:p>
        </w:tc>
        <w:tc>
          <w:tcPr>
            <w:tcW w:w="1380" w:type="dxa"/>
            <w:vAlign w:val="bottom"/>
          </w:tcPr>
          <w:p>
            <w:pPr>
              <w:jc w:val="center"/>
              <w:ind w:right="81"/>
              <w:spacing w:after="0" w:line="158" w:lineRule="exact"/>
              <w:rPr>
                <w:sz w:val="20"/>
                <w:szCs w:val="20"/>
                <w:color w:val="auto"/>
              </w:rPr>
            </w:pPr>
            <w:r>
              <w:rPr>
                <w:rFonts w:ascii="Arial" w:cs="Arial" w:eastAsia="Arial" w:hAnsi="Arial"/>
                <w:sz w:val="16"/>
                <w:szCs w:val="16"/>
                <w:b w:val="1"/>
                <w:bCs w:val="1"/>
                <w:color w:val="auto"/>
                <w:w w:val="98"/>
              </w:rPr>
              <w:t>Average</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7"/>
              </w:rPr>
              <w:t>Remaining</w:t>
            </w:r>
          </w:p>
        </w:tc>
        <w:tc>
          <w:tcPr>
            <w:tcW w:w="160" w:type="dxa"/>
            <w:vAlign w:val="bottom"/>
          </w:tcPr>
          <w:p>
            <w:pPr>
              <w:spacing w:after="0"/>
              <w:rPr>
                <w:sz w:val="13"/>
                <w:szCs w:val="13"/>
                <w:color w:val="auto"/>
              </w:rPr>
            </w:pPr>
          </w:p>
        </w:tc>
        <w:tc>
          <w:tcPr>
            <w:tcW w:w="1380" w:type="dxa"/>
            <w:vAlign w:val="bottom"/>
            <w:vMerge w:val="restart"/>
          </w:tcPr>
          <w:p>
            <w:pPr>
              <w:jc w:val="center"/>
              <w:ind w:right="81"/>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101"/>
              <w:spacing w:after="0" w:line="158" w:lineRule="exact"/>
              <w:rPr>
                <w:sz w:val="20"/>
                <w:szCs w:val="20"/>
                <w:color w:val="auto"/>
              </w:rPr>
            </w:pPr>
            <w:r>
              <w:rPr>
                <w:rFonts w:ascii="Arial" w:cs="Arial" w:eastAsia="Arial" w:hAnsi="Arial"/>
                <w:sz w:val="16"/>
                <w:szCs w:val="16"/>
                <w:b w:val="1"/>
                <w:bCs w:val="1"/>
                <w:color w:val="auto"/>
                <w:w w:val="98"/>
              </w:rPr>
              <w:t>Exercise Price</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line="158" w:lineRule="exact"/>
              <w:rPr>
                <w:sz w:val="20"/>
                <w:szCs w:val="20"/>
                <w:color w:val="auto"/>
              </w:rPr>
            </w:pPr>
            <w:r>
              <w:rPr>
                <w:rFonts w:ascii="Arial" w:cs="Arial" w:eastAsia="Arial" w:hAnsi="Arial"/>
                <w:sz w:val="16"/>
                <w:szCs w:val="16"/>
                <w:b w:val="1"/>
                <w:bCs w:val="1"/>
                <w:color w:val="auto"/>
                <w:w w:val="98"/>
              </w:rPr>
              <w:t>Contractual</w:t>
            </w:r>
          </w:p>
        </w:tc>
        <w:tc>
          <w:tcPr>
            <w:tcW w:w="16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Shares</w:t>
            </w:r>
          </w:p>
        </w:tc>
        <w:tc>
          <w:tcPr>
            <w:tcW w:w="160" w:type="dxa"/>
            <w:vAlign w:val="bottom"/>
          </w:tcPr>
          <w:p>
            <w:pPr>
              <w:spacing w:after="0"/>
              <w:rPr>
                <w:sz w:val="18"/>
                <w:szCs w:val="18"/>
                <w:color w:val="auto"/>
              </w:rPr>
            </w:pPr>
          </w:p>
        </w:tc>
        <w:tc>
          <w:tcPr>
            <w:tcW w:w="1380" w:type="dxa"/>
            <w:vAlign w:val="bottom"/>
          </w:tcPr>
          <w:p>
            <w:pPr>
              <w:jc w:val="center"/>
              <w:ind w:right="101"/>
              <w:spacing w:after="0"/>
              <w:rPr>
                <w:sz w:val="20"/>
                <w:szCs w:val="20"/>
                <w:color w:val="auto"/>
              </w:rPr>
            </w:pPr>
            <w:r>
              <w:rPr>
                <w:rFonts w:ascii="Arial" w:cs="Arial" w:eastAsia="Arial" w:hAnsi="Arial"/>
                <w:sz w:val="16"/>
                <w:szCs w:val="16"/>
                <w:b w:val="1"/>
                <w:bCs w:val="1"/>
                <w:color w:val="auto"/>
                <w:w w:val="97"/>
              </w:rPr>
              <w:t>per Share</w:t>
            </w:r>
          </w:p>
        </w:tc>
        <w:tc>
          <w:tcPr>
            <w:tcW w:w="8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Term</w:t>
            </w:r>
          </w:p>
        </w:tc>
        <w:tc>
          <w:tcPr>
            <w:tcW w:w="160" w:type="dxa"/>
            <w:vAlign w:val="bottom"/>
          </w:tcPr>
          <w:p>
            <w:pPr>
              <w:spacing w:after="0"/>
              <w:rPr>
                <w:sz w:val="18"/>
                <w:szCs w:val="18"/>
                <w:color w:val="auto"/>
              </w:rPr>
            </w:pPr>
          </w:p>
        </w:tc>
        <w:tc>
          <w:tcPr>
            <w:tcW w:w="1380" w:type="dxa"/>
            <w:vAlign w:val="bottom"/>
          </w:tcPr>
          <w:p>
            <w:pPr>
              <w:jc w:val="center"/>
              <w:ind w:right="81"/>
              <w:spacing w:after="0"/>
              <w:rPr>
                <w:sz w:val="20"/>
                <w:szCs w:val="20"/>
                <w:color w:val="auto"/>
              </w:rPr>
            </w:pPr>
            <w:r>
              <w:rPr>
                <w:rFonts w:ascii="Arial" w:cs="Arial" w:eastAsia="Arial" w:hAnsi="Arial"/>
                <w:sz w:val="16"/>
                <w:szCs w:val="16"/>
                <w:b w:val="1"/>
                <w:bCs w:val="1"/>
                <w:color w:val="auto"/>
                <w:w w:val="96"/>
              </w:rPr>
              <w:t>Intrinsic Value</w:t>
            </w:r>
          </w:p>
        </w:tc>
        <w:tc>
          <w:tcPr>
            <w:tcW w:w="0" w:type="dxa"/>
            <w:vAlign w:val="bottom"/>
          </w:tcPr>
          <w:p>
            <w:pPr>
              <w:spacing w:after="0"/>
              <w:rPr>
                <w:sz w:val="1"/>
                <w:szCs w:val="1"/>
                <w:color w:val="auto"/>
              </w:rPr>
            </w:pPr>
          </w:p>
        </w:tc>
      </w:tr>
      <w:tr>
        <w:trPr>
          <w:trHeight w:val="203"/>
        </w:trPr>
        <w:tc>
          <w:tcPr>
            <w:tcW w:w="48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588,919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208.90</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210,998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39.68</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30.98</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(130,473)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188.58</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2023</w:t>
            </w:r>
          </w:p>
        </w:tc>
        <w:tc>
          <w:tcPr>
            <w:tcW w:w="1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666,163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160.19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December 31,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line="20" w:lineRule="exact"/>
              <w:rPr>
                <w:sz w:val="1"/>
                <w:szCs w:val="1"/>
                <w:color w:val="auto"/>
              </w:rPr>
            </w:pPr>
          </w:p>
        </w:tc>
      </w:tr>
      <w:tr>
        <w:trPr>
          <w:trHeight w:val="181"/>
        </w:trPr>
        <w:tc>
          <w:tcPr>
            <w:tcW w:w="4820" w:type="dxa"/>
            <w:vAlign w:val="bottom"/>
            <w:vMerge w:val="continue"/>
          </w:tcPr>
          <w:p>
            <w:pPr>
              <w:spacing w:after="0"/>
              <w:rPr>
                <w:sz w:val="15"/>
                <w:szCs w:val="15"/>
                <w:color w:val="auto"/>
              </w:rPr>
            </w:pPr>
          </w:p>
        </w:tc>
        <w:tc>
          <w:tcPr>
            <w:tcW w:w="1520" w:type="dxa"/>
            <w:vAlign w:val="bottom"/>
          </w:tcPr>
          <w:p>
            <w:pPr>
              <w:jc w:val="right"/>
              <w:ind w:right="1"/>
              <w:spacing w:after="0" w:line="181" w:lineRule="exact"/>
              <w:rPr>
                <w:sz w:val="20"/>
                <w:szCs w:val="20"/>
                <w:color w:val="auto"/>
              </w:rPr>
            </w:pPr>
            <w:r>
              <w:rPr>
                <w:rFonts w:ascii="Arial" w:cs="Arial" w:eastAsia="Arial" w:hAnsi="Arial"/>
                <w:sz w:val="16"/>
                <w:szCs w:val="16"/>
                <w:color w:val="auto"/>
              </w:rPr>
              <w:t>375,449</w:t>
            </w:r>
          </w:p>
        </w:tc>
        <w:tc>
          <w:tcPr>
            <w:tcW w:w="10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
              <w:spacing w:after="0" w:line="181" w:lineRule="exact"/>
              <w:rPr>
                <w:sz w:val="20"/>
                <w:szCs w:val="20"/>
                <w:color w:val="auto"/>
              </w:rPr>
            </w:pPr>
            <w:r>
              <w:rPr>
                <w:rFonts w:ascii="Arial" w:cs="Arial" w:eastAsia="Arial" w:hAnsi="Arial"/>
                <w:sz w:val="16"/>
                <w:szCs w:val="16"/>
                <w:color w:val="auto"/>
              </w:rPr>
              <w:t>189.20</w:t>
            </w:r>
          </w:p>
        </w:tc>
        <w:tc>
          <w:tcPr>
            <w:tcW w:w="1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2023</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666,163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intrinsic value of stock options exercised for the years ended December 31, 2023 and 2022 was $0.1 million and</w:t>
      </w:r>
    </w:p>
    <w:p>
      <w:pPr>
        <w:spacing w:after="0" w:line="3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$0.2 million, respectively. 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2023.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fair value of the Company’s common stock on the exercise date.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Stock Options</w:t>
      </w:r>
    </w:p>
    <w:p>
      <w:pPr>
        <w:spacing w:after="0" w:line="119" w:lineRule="exact"/>
        <w:rPr>
          <w:sz w:val="20"/>
          <w:szCs w:val="20"/>
          <w:color w:val="auto"/>
        </w:rPr>
      </w:pPr>
    </w:p>
    <w:p>
      <w:pPr>
        <w:ind w:right="20" w:firstLine="433"/>
        <w:spacing w:after="0" w:line="278" w:lineRule="auto"/>
        <w:rPr>
          <w:sz w:val="20"/>
          <w:szCs w:val="20"/>
          <w:color w:val="auto"/>
        </w:rPr>
      </w:pPr>
      <w:r>
        <w:rPr>
          <w:rFonts w:ascii="Arial" w:cs="Arial" w:eastAsia="Arial" w:hAnsi="Arial"/>
          <w:sz w:val="17"/>
          <w:szCs w:val="17"/>
          <w:color w:val="auto"/>
        </w:rPr>
        <w:t>The weighted-average assumptions that the Company used in the Black-Scholes option pricing model to determine the grant-date fair value of stock options granted to employees, members of the Board, and non-employees on the date of grant were as follows for the for the years ended December 31, 2023 and 2022: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4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r>
      <w:tr>
        <w:trPr>
          <w:trHeight w:val="203"/>
        </w:trPr>
        <w:tc>
          <w:tcPr>
            <w:tcW w:w="78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7"/>
                <w:szCs w:val="17"/>
                <w:color w:val="auto"/>
              </w:rPr>
            </w:pPr>
          </w:p>
        </w:tc>
      </w:tr>
      <w:tr>
        <w:trPr>
          <w:trHeight w:val="203"/>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Risk-free interest rate</w:t>
            </w: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r>
      <w:tr>
        <w:trPr>
          <w:trHeight w:val="209"/>
        </w:trPr>
        <w:tc>
          <w:tcPr>
            <w:tcW w:w="7840" w:type="dxa"/>
            <w:vAlign w:val="bottom"/>
          </w:tcPr>
          <w:p>
            <w:pPr>
              <w:ind w:left="240"/>
              <w:spacing w:after="0"/>
              <w:rPr>
                <w:sz w:val="20"/>
                <w:szCs w:val="20"/>
                <w:color w:val="auto"/>
              </w:rPr>
            </w:pPr>
            <w:r>
              <w:rPr>
                <w:rFonts w:ascii="Arial" w:cs="Arial" w:eastAsia="Arial" w:hAnsi="Arial"/>
                <w:sz w:val="16"/>
                <w:szCs w:val="16"/>
                <w:color w:val="auto"/>
              </w:rPr>
              <w:t>Expected term (in years)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6.07</w:t>
            </w:r>
          </w:p>
        </w:tc>
      </w:tr>
      <w:tr>
        <w:trPr>
          <w:trHeight w:val="211"/>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volatility</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88.40 %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89.20 %</w:t>
            </w:r>
          </w:p>
        </w:tc>
      </w:tr>
      <w:tr>
        <w:trPr>
          <w:trHeight w:val="209"/>
        </w:trPr>
        <w:tc>
          <w:tcPr>
            <w:tcW w:w="7840" w:type="dxa"/>
            <w:vAlign w:val="bottom"/>
          </w:tcPr>
          <w:p>
            <w:pPr>
              <w:ind w:left="240"/>
              <w:spacing w:after="0"/>
              <w:rPr>
                <w:sz w:val="20"/>
                <w:szCs w:val="20"/>
                <w:color w:val="auto"/>
              </w:rPr>
            </w:pPr>
            <w:r>
              <w:rPr>
                <w:rFonts w:ascii="Arial" w:cs="Arial" w:eastAsia="Arial" w:hAnsi="Arial"/>
                <w:sz w:val="16"/>
                <w:szCs w:val="16"/>
                <w:color w:val="auto"/>
              </w:rPr>
              <w:t>Expected dividend yield</w:t>
            </w:r>
          </w:p>
        </w:tc>
        <w:tc>
          <w:tcPr>
            <w:tcW w:w="10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1"/>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Weighted average grant-date fair value per share</w:t>
            </w: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9"/>
              </w:rPr>
              <w:t>29.73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99"/>
              </w:rPr>
              <w:t>99.75</w:t>
            </w:r>
          </w:p>
        </w:tc>
      </w:tr>
    </w:tbl>
    <w:p>
      <w:pPr>
        <w:spacing w:after="0" w:line="285" w:lineRule="exact"/>
        <w:rPr>
          <w:sz w:val="20"/>
          <w:szCs w:val="20"/>
          <w:color w:val="auto"/>
        </w:rPr>
      </w:pPr>
    </w:p>
    <w:p>
      <w:pPr>
        <w:ind w:right="120" w:firstLine="433"/>
        <w:spacing w:after="0" w:line="300" w:lineRule="auto"/>
        <w:rPr>
          <w:sz w:val="20"/>
          <w:szCs w:val="20"/>
          <w:color w:val="auto"/>
        </w:rPr>
      </w:pPr>
      <w:r>
        <w:rPr>
          <w:rFonts w:ascii="Arial" w:cs="Arial" w:eastAsia="Arial" w:hAnsi="Arial"/>
          <w:sz w:val="17"/>
          <w:szCs w:val="17"/>
          <w:color w:val="auto"/>
        </w:rPr>
        <w:t>As of December 31, 2023, total unrecognized compensation cost related to unvested stock options was $24.0 million, which is expected to be recognized over a weighted-average period of 1.51 years.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Stock-based compensation expense was allocated as follows (in thousands):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7"/>
                <w:szCs w:val="17"/>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9,972</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18,621</w:t>
            </w:r>
          </w:p>
        </w:tc>
      </w:tr>
      <w:tr>
        <w:trPr>
          <w:trHeight w:val="228"/>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jc w:val="center"/>
        <w:ind w:right="8680" w:firstLine="5"/>
        <w:spacing w:after="0" w:line="387" w:lineRule="auto"/>
        <w:tabs>
          <w:tab w:leader="none" w:pos="291"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Significant Agreements </w:t>
      </w:r>
      <w:r>
        <w:rPr>
          <w:rFonts w:ascii="Arial" w:cs="Arial" w:eastAsia="Arial" w:hAnsi="Arial"/>
          <w:sz w:val="17"/>
          <w:szCs w:val="17"/>
          <w:b w:val="1"/>
          <w:bCs w:val="1"/>
          <w:i w:val="1"/>
          <w:iCs w:val="1"/>
          <w:color w:val="auto"/>
        </w:rPr>
        <w:t>RogCon and Ionis Agreements</w:t>
      </w:r>
    </w:p>
    <w:p>
      <w:pPr>
        <w:spacing w:after="0" w:line="1" w:lineRule="exact"/>
        <w:rPr>
          <w:sz w:val="20"/>
          <w:szCs w:val="20"/>
          <w:color w:val="auto"/>
        </w:rPr>
      </w:pPr>
    </w:p>
    <w:p>
      <w:pPr>
        <w:ind w:right="240" w:firstLine="433"/>
        <w:spacing w:after="0" w:line="275" w:lineRule="auto"/>
        <w:rPr>
          <w:sz w:val="20"/>
          <w:szCs w:val="20"/>
          <w:color w:val="auto"/>
        </w:rPr>
      </w:pPr>
      <w:r>
        <w:rPr>
          <w:rFonts w:ascii="Arial" w:cs="Arial" w:eastAsia="Arial" w:hAnsi="Arial"/>
          <w:sz w:val="17"/>
          <w:szCs w:val="17"/>
          <w:color w:val="auto"/>
        </w:rPr>
        <w:t>On September 11, 2019, the Company entered into both a Cooperation and License Agreement (the “License Agreement”) with RogCon, Inc. ("RogCon"), and a Research, Collaboration, Option and License Agreement (the “Ionis Collaboration Agreement”) with Ionis Pharmaceuticals, Inc. ("Ionis"). The agreements were entered into contemporaneously to enable the parties to advance their collective efforts related to SCN2A.</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RogCon Agreement</w:t>
      </w:r>
    </w:p>
    <w:p>
      <w:pPr>
        <w:spacing w:after="0" w:line="119" w:lineRule="exact"/>
        <w:rPr>
          <w:sz w:val="20"/>
          <w:szCs w:val="20"/>
          <w:color w:val="auto"/>
        </w:rPr>
      </w:pPr>
    </w:p>
    <w:p>
      <w:pPr>
        <w:ind w:firstLine="433"/>
        <w:spacing w:after="0" w:line="266" w:lineRule="auto"/>
        <w:rPr>
          <w:sz w:val="20"/>
          <w:szCs w:val="20"/>
          <w:color w:val="auto"/>
        </w:rPr>
      </w:pPr>
      <w:r>
        <w:rPr>
          <w:rFonts w:ascii="Arial" w:cs="Arial" w:eastAsia="Arial" w:hAnsi="Arial"/>
          <w:sz w:val="17"/>
          <w:szCs w:val="17"/>
          <w:color w:val="auto"/>
        </w:rPr>
        <w:t>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Under the License Agreement, the Company will conduct, at its own cost and expense, the research and development activities assigned to it under the research plan. In addition, the Company is responsible for reimbursing RogCon for any costs associated with research and development activities RogCon performs at the request of the Company. As part of the agreement, the Company agreed to provide up-front consideration of $2.1 million.</w:t>
      </w:r>
    </w:p>
    <w:p>
      <w:pPr>
        <w:spacing w:after="0" w:line="169" w:lineRule="exact"/>
        <w:rPr>
          <w:sz w:val="20"/>
          <w:szCs w:val="20"/>
          <w:color w:val="auto"/>
        </w:rPr>
      </w:pPr>
    </w:p>
    <w:p>
      <w:pPr>
        <w:ind w:right="120" w:firstLine="433"/>
        <w:spacing w:after="0" w:line="278" w:lineRule="auto"/>
        <w:rPr>
          <w:sz w:val="20"/>
          <w:szCs w:val="20"/>
          <w:color w:val="auto"/>
        </w:rPr>
      </w:pPr>
      <w:r>
        <w:rPr>
          <w:rFonts w:ascii="Arial" w:cs="Arial" w:eastAsia="Arial" w:hAnsi="Arial"/>
          <w:sz w:val="17"/>
          <w:szCs w:val="17"/>
          <w:color w:val="auto"/>
        </w:rPr>
        <w:t>Subsequent to September 11, 2019, the Company will reimburse RogCon for its out-of-pocket costs incurred for activities performed under the License Agreement. The Company expenses these costs as incurred as research and development. Expenses incurred for all periods presented were not material.</w:t>
      </w:r>
    </w:p>
    <w:p>
      <w:pPr>
        <w:spacing w:after="0" w:line="160" w:lineRule="exact"/>
        <w:rPr>
          <w:sz w:val="20"/>
          <w:szCs w:val="20"/>
          <w:color w:val="auto"/>
        </w:rPr>
      </w:pPr>
    </w:p>
    <w:p>
      <w:pPr>
        <w:ind w:right="60" w:firstLine="433"/>
        <w:spacing w:after="0" w:line="270" w:lineRule="auto"/>
        <w:rPr>
          <w:sz w:val="20"/>
          <w:szCs w:val="20"/>
          <w:color w:val="auto"/>
        </w:rPr>
      </w:pPr>
      <w:r>
        <w:rPr>
          <w:rFonts w:ascii="Arial" w:cs="Arial" w:eastAsia="Arial" w:hAnsi="Arial"/>
          <w:sz w:val="17"/>
          <w:szCs w:val="17"/>
          <w:color w:val="auto"/>
        </w:rPr>
        <w:t>Additionally, the Company may pay RogCon a milestone payment of $3.0 million and profit share payments. The $3.0 million milestone payment will become due when the first profit share payment has become due and certain contingent payments have become payable to Ionis under the Ionis Collaboration Agreement, which are subject to the Company exercising its option to obtain license rights to a development candidate, as well as other contingent events. The profit share payments will be based on a low-double-digit percentage of net profits, depending on sales volume.</w:t>
      </w:r>
    </w:p>
    <w:p>
      <w:pPr>
        <w:spacing w:after="0" w:line="37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License Agreement, unless earlier terminated, will continue until the latest of: (i) expiration of all patent rights within RogCon patents,</w:t>
      </w:r>
    </w:p>
    <w:p>
      <w:pPr>
        <w:spacing w:after="0" w:line="30" w:lineRule="exact"/>
        <w:rPr>
          <w:sz w:val="20"/>
          <w:szCs w:val="20"/>
          <w:color w:val="auto"/>
        </w:rPr>
      </w:pPr>
    </w:p>
    <w:p>
      <w:pPr>
        <w:ind w:right="120" w:firstLine="5"/>
        <w:spacing w:after="0" w:line="263" w:lineRule="auto"/>
        <w:tabs>
          <w:tab w:leader="none" w:pos="2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Company and its affiliates certify they have abandoned the research, development and commercialization of product with no intention to re-establish such activities, and (iii) no third party is obligated to pay the Company or its affiliates any amounts that comprise net sublicense revenue. Either party may terminate the License Agreement for material breach or insolvency of the other party. Additionally, the Company may terminate for convenience with prior written notice to RogCon. Upon termination by either party, all rights and licenses granted by RogCon to the Company will revert back to RogCon.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Ionis Collaboration Agreement</w:t>
      </w:r>
    </w:p>
    <w:p>
      <w:pPr>
        <w:spacing w:after="0" w:line="119" w:lineRule="exact"/>
        <w:rPr>
          <w:sz w:val="20"/>
          <w:szCs w:val="20"/>
          <w:color w:val="auto"/>
        </w:rPr>
      </w:pPr>
    </w:p>
    <w:p>
      <w:pPr>
        <w:ind w:right="240" w:firstLine="433"/>
        <w:spacing w:after="0" w:line="264" w:lineRule="auto"/>
        <w:rPr>
          <w:sz w:val="20"/>
          <w:szCs w:val="20"/>
          <w:color w:val="auto"/>
        </w:rPr>
      </w:pPr>
      <w:r>
        <w:rPr>
          <w:rFonts w:ascii="Arial" w:cs="Arial" w:eastAsia="Arial" w:hAnsi="Arial"/>
          <w:sz w:val="17"/>
          <w:szCs w:val="17"/>
          <w:color w:val="auto"/>
        </w:rPr>
        <w:t>Under the Ionis Collaboration Agreement, both parties participated in research activities related to the downregulation of SCN2A gene products associated with the treatment of any and all forms of epilepsy and/or neurodevelopmental disorders in each case caused by any mutation of the SCN2A gene, other than one severe type of epilepsy. Ionis was also responsible for identifying a development candidate and conducting an IND-enabling toxicology study. The Company reimbursed Ionis for out-of-pocket costs incurred related to the research activities, identification of a development candidate and conducting an IND-enabling toxicology study. The reimbursement of out-of-pocket costs was recognized as research and development expense as incurred. The Company expensed a total of $0.7 million as research and development expense under the Ionis Collaboration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Agreement for the year ended December 31, 2022. Expense for the year ended December 31, 2023 was immaterial.</w:t>
      </w:r>
    </w:p>
    <w:p>
      <w:pPr>
        <w:spacing w:after="0" w:line="224" w:lineRule="exact"/>
        <w:rPr>
          <w:sz w:val="20"/>
          <w:szCs w:val="20"/>
          <w:color w:val="auto"/>
        </w:rPr>
      </w:pPr>
    </w:p>
    <w:p>
      <w:pPr>
        <w:ind w:right="80" w:firstLine="433"/>
        <w:spacing w:after="0" w:line="267" w:lineRule="auto"/>
        <w:rPr>
          <w:sz w:val="20"/>
          <w:szCs w:val="20"/>
          <w:color w:val="auto"/>
        </w:rPr>
      </w:pPr>
      <w:r>
        <w:rPr>
          <w:rFonts w:ascii="Arial" w:cs="Arial" w:eastAsia="Arial" w:hAnsi="Arial"/>
          <w:sz w:val="17"/>
          <w:szCs w:val="17"/>
          <w:color w:val="auto"/>
        </w:rPr>
        <w:t>Ionis granted the Company an exclusive option to obtain the rights and license to further develop and commercialize a development candidate in the field of epilepsy and neurodevelopmental disorders, other than Dravet Syndrome, following the results of the investigational new drug application-enabling toxicology study. The Company exercised this exclusive option in January 2022, paid a $2.0 million license fee and recognized the license fee in research and development expenses in the consolidated statement of operations during the year ended December 31, 2022. After option exercise, the Company is responsible for clinical development and commercialization of the development candidate.</w:t>
      </w:r>
    </w:p>
    <w:p>
      <w:pPr>
        <w:spacing w:after="0" w:line="381" w:lineRule="exact"/>
        <w:rPr>
          <w:sz w:val="20"/>
          <w:szCs w:val="20"/>
          <w:color w:val="auto"/>
        </w:rPr>
      </w:pPr>
    </w:p>
    <w:p>
      <w:pPr>
        <w:ind w:right="160" w:firstLine="433"/>
        <w:spacing w:after="0" w:line="271" w:lineRule="auto"/>
        <w:rPr>
          <w:sz w:val="20"/>
          <w:szCs w:val="20"/>
          <w:color w:val="auto"/>
        </w:rPr>
      </w:pPr>
      <w:r>
        <w:rPr>
          <w:rFonts w:ascii="Arial" w:cs="Arial" w:eastAsia="Arial" w:hAnsi="Arial"/>
          <w:sz w:val="17"/>
          <w:szCs w:val="17"/>
          <w:color w:val="auto"/>
        </w:rPr>
        <w:t>Additionally, in July 2023, the Company paid a milestone payment of $6.9 million to Ionis, which was earned in the second quarter of 2023 upon initiation of the Company's PRAX-222 EMBRAVE study, and was recognized in research and development expenses in the consolidated statement of operations during the year ended December 31, 2023. Ionis may be entitled to additional development milestone payments, additional milestone payments, and sales royalties or sublicense fees.</w:t>
      </w:r>
    </w:p>
    <w:p>
      <w:pPr>
        <w:spacing w:after="0" w:line="166" w:lineRule="exact"/>
        <w:rPr>
          <w:sz w:val="20"/>
          <w:szCs w:val="20"/>
          <w:color w:val="auto"/>
        </w:rPr>
      </w:pPr>
    </w:p>
    <w:p>
      <w:pPr>
        <w:ind w:firstLine="433"/>
        <w:spacing w:after="0" w:line="270" w:lineRule="auto"/>
        <w:rPr>
          <w:sz w:val="20"/>
          <w:szCs w:val="20"/>
          <w:color w:val="auto"/>
        </w:rPr>
      </w:pPr>
      <w:r>
        <w:rPr>
          <w:rFonts w:ascii="Arial" w:cs="Arial" w:eastAsia="Arial" w:hAnsi="Arial"/>
          <w:sz w:val="17"/>
          <w:szCs w:val="17"/>
          <w:color w:val="auto"/>
        </w:rPr>
        <w:t>The Ionis Collaboration Agreement will continue until the expiration of all payment obligations to Ionis, unless earlier terminated. Either party may terminate the Ionis Collaboration Agreement upon material breach or insolvency of the other party. Ionis may terminate if the Company fails to achieve a performance milestone. The Company may terminate for convenience with prior written notice to Ionis. Upon termination by the Company for convenience, the Company will stop selling all products, subject to certain wind-down provisions, and all products will revert back to Ionis.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Net Loss per Share</w:t>
      </w:r>
    </w:p>
    <w:p>
      <w:pPr>
        <w:spacing w:after="0" w:line="226" w:lineRule="exact"/>
        <w:rPr>
          <w:sz w:val="20"/>
          <w:szCs w:val="20"/>
          <w:color w:val="auto"/>
        </w:rPr>
      </w:pPr>
    </w:p>
    <w:p>
      <w:pPr>
        <w:ind w:right="80" w:firstLine="433"/>
        <w:spacing w:after="0" w:line="300" w:lineRule="auto"/>
        <w:rPr>
          <w:sz w:val="20"/>
          <w:szCs w:val="20"/>
          <w:color w:val="auto"/>
        </w:rPr>
      </w:pPr>
      <w:r>
        <w:rPr>
          <w:rFonts w:ascii="Arial" w:cs="Arial" w:eastAsia="Arial" w:hAnsi="Arial"/>
          <w:sz w:val="17"/>
          <w:szCs w:val="17"/>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6"/>
                <w:szCs w:val="16"/>
                <w:b w:val="1"/>
                <w:bCs w:val="1"/>
                <w:color w:val="auto"/>
              </w:rPr>
              <w:t>Year Ended December 31,</w:t>
            </w:r>
          </w:p>
        </w:tc>
      </w:tr>
      <w:tr>
        <w:trPr>
          <w:trHeight w:val="203"/>
        </w:trPr>
        <w:tc>
          <w:tcPr>
            <w:tcW w:w="804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2022</w:t>
            </w:r>
          </w:p>
        </w:tc>
      </w:t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666,163</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588,919</w:t>
            </w:r>
          </w:p>
        </w:tc>
      </w:tr>
      <w:tr>
        <w:trPr>
          <w:trHeight w:val="209"/>
        </w:trPr>
        <w:tc>
          <w:tcPr>
            <w:tcW w:w="804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6"/>
                <w:szCs w:val="16"/>
                <w:color w:val="auto"/>
              </w:rPr>
              <w:t>47,145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49,565</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ESPP</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18,924</w:t>
            </w:r>
          </w:p>
        </w:tc>
      </w:tr>
      <w:tr>
        <w:trPr>
          <w:trHeight w:val="203"/>
        </w:trPr>
        <w:tc>
          <w:tcPr>
            <w:tcW w:w="804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738,280</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657,408</w:t>
            </w:r>
          </w:p>
        </w:tc>
      </w:tr>
      <w:tr>
        <w:trPr>
          <w:trHeight w:val="21"/>
        </w:trPr>
        <w:tc>
          <w:tcPr>
            <w:tcW w:w="80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right="340" w:firstLine="433"/>
        <w:spacing w:after="0" w:line="268" w:lineRule="auto"/>
        <w:rPr>
          <w:sz w:val="20"/>
          <w:szCs w:val="20"/>
          <w:color w:val="auto"/>
        </w:rPr>
      </w:pPr>
      <w:r>
        <w:rPr>
          <w:rFonts w:ascii="Arial" w:cs="Arial" w:eastAsia="Arial" w:hAnsi="Arial"/>
          <w:sz w:val="17"/>
          <w:szCs w:val="17"/>
          <w:color w:val="auto"/>
        </w:rPr>
        <w:t>Common shares issuable upon exercise of the pre-funded warrants that were sold in connection with the June 2023 underwritten public offering are included in the calculation of weighted average number of common shares outstanding for the year ended December 31, 2023.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121"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The Company maintains a full valuation allowance on its U.S. net deferred tax assets due to the uncertainty of future taxable income. The Company did not recognize an income tax benefit in the years ended December 31, 2023 or 2022 related to its U.S. operations due to the uncertainty regarding future taxable income. In the years ended December 31, 2023 and 2022, the difference between the statutory tax rate in the U.S. and the Company’s effective tax rate was due primarily to the valuation allowance recorded to offset any potential tax benefit. The income tax benefit (provision) recognized for the years ended December 31, 2023 and 2022 was not material.</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reconciliation of the U.S. statutory income tax rate to the Company’s effective tax rate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88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r>
      <w:tr>
        <w:trPr>
          <w:trHeight w:val="203"/>
        </w:trPr>
        <w:tc>
          <w:tcPr>
            <w:tcW w:w="78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7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7"/>
                <w:szCs w:val="17"/>
                <w:color w:val="auto"/>
              </w:rPr>
            </w:pPr>
          </w:p>
        </w:tc>
      </w:tr>
      <w:tr>
        <w:trPr>
          <w:trHeight w:val="203"/>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 statutory income tax rate</w:t>
            </w:r>
          </w:p>
        </w:tc>
        <w:tc>
          <w:tcPr>
            <w:tcW w:w="10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Federal and state research and development credits</w:t>
            </w:r>
          </w:p>
        </w:tc>
        <w:tc>
          <w:tcPr>
            <w:tcW w:w="620" w:type="dxa"/>
            <w:vAlign w:val="bottom"/>
          </w:tcPr>
          <w:p>
            <w:pPr>
              <w:jc w:val="right"/>
              <w:spacing w:after="0"/>
              <w:rPr>
                <w:sz w:val="20"/>
                <w:szCs w:val="20"/>
                <w:color w:val="auto"/>
              </w:rPr>
            </w:pPr>
            <w:r>
              <w:rPr>
                <w:rFonts w:ascii="Arial" w:cs="Arial" w:eastAsia="Arial" w:hAnsi="Arial"/>
                <w:sz w:val="16"/>
                <w:szCs w:val="16"/>
                <w:color w:val="auto"/>
              </w:rPr>
              <w:t>3.5 %</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 taxes, net of federal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Changes in tax rates</w:t>
            </w:r>
          </w:p>
        </w:tc>
        <w:tc>
          <w:tcPr>
            <w:tcW w:w="62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items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9"/>
        </w:trPr>
        <w:tc>
          <w:tcPr>
            <w:tcW w:w="89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1"/>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(27.2)%</w:t>
            </w:r>
          </w:p>
        </w:tc>
      </w:tr>
      <w:tr>
        <w:trPr>
          <w:trHeight w:val="20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2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02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1140"/>
              <w:spacing w:after="0"/>
              <w:rPr>
                <w:sz w:val="20"/>
                <w:szCs w:val="20"/>
                <w:color w:val="auto"/>
              </w:rPr>
            </w:pPr>
            <w:r>
              <w:rPr>
                <w:rFonts w:ascii="Arial" w:cs="Arial" w:eastAsia="Arial" w:hAnsi="Arial"/>
                <w:sz w:val="16"/>
                <w:szCs w:val="16"/>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deferred tax assets consisted of the following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r>
      <w:tr>
        <w:trPr>
          <w:trHeight w:val="203"/>
        </w:trPr>
        <w:tc>
          <w:tcPr>
            <w:tcW w:w="80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74,528</w:t>
            </w:r>
          </w:p>
        </w:tc>
        <w:tc>
          <w:tcPr>
            <w:tcW w:w="100" w:type="dxa"/>
            <w:vAlign w:val="bottom"/>
          </w:tcPr>
          <w:p>
            <w:pPr>
              <w:spacing w:after="0"/>
              <w:rPr>
                <w:sz w:val="18"/>
                <w:szCs w:val="18"/>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60,047</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research expenditures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48,954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34,947</w:t>
            </w: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24,262</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 credits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17,205</w:t>
            </w: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7,697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6,422</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09"/>
        </w:trPr>
        <w:tc>
          <w:tcPr>
            <w:tcW w:w="806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Total gross deferred tax assets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181,074</w:t>
            </w:r>
          </w:p>
        </w:tc>
        <w:tc>
          <w:tcPr>
            <w:tcW w:w="100" w:type="dxa"/>
            <w:vAlign w:val="bottom"/>
          </w:tcPr>
          <w:p>
            <w:pPr>
              <w:spacing w:after="0"/>
              <w:rPr>
                <w:sz w:val="17"/>
                <w:szCs w:val="17"/>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144,674</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Valuation allowance</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(180,515)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(143,930)</w:t>
            </w:r>
          </w:p>
        </w:tc>
      </w:tr>
      <w:tr>
        <w:trPr>
          <w:trHeight w:val="202"/>
        </w:trPr>
        <w:tc>
          <w:tcPr>
            <w:tcW w:w="8060" w:type="dxa"/>
            <w:vAlign w:val="bottom"/>
          </w:tcPr>
          <w:p>
            <w:pPr>
              <w:ind w:left="340"/>
              <w:spacing w:after="0"/>
              <w:rPr>
                <w:sz w:val="20"/>
                <w:szCs w:val="20"/>
                <w:color w:val="auto"/>
              </w:rPr>
            </w:pPr>
            <w:r>
              <w:rPr>
                <w:rFonts w:ascii="Arial" w:cs="Arial" w:eastAsia="Arial" w:hAnsi="Arial"/>
                <w:sz w:val="16"/>
                <w:szCs w:val="16"/>
                <w:color w:val="auto"/>
              </w:rPr>
              <w:t>Net deferred tax assets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7"/>
                <w:szCs w:val="17"/>
                <w:color w:val="auto"/>
              </w:rPr>
            </w:pP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11"/>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right-of-use asset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deferred tax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02"/>
        </w:trPr>
        <w:tc>
          <w:tcPr>
            <w:tcW w:w="806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
        </w:trPr>
        <w:tc>
          <w:tcPr>
            <w:tcW w:w="8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As of December 31, 2023 and 2022, the Company had U.S. federal net operating loss carryforwards which may be able to offset future income tax liabilities of approximately $282.8 million and $226.3 million, respectively. Federal net operating loss carryforwards of $7.7 million will expire at various dates from 2035 through 2037 and approximately $275.1 million may be carried forward indefinitely. As of December 31, 2023 and 2022, the Company also had state net operating loss carryforwards of approximately $239.4 million and $197.4 million, respectively, which may be available to offset future income tax liabilities and expire at various dates from 2036 through 2043.</w:t>
      </w:r>
    </w:p>
    <w:p>
      <w:pPr>
        <w:spacing w:after="0" w:line="167"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As of December 31, 2023 and 2022, the Company had federal research and development tax credit carryforwards of approximately $20.4 million and $14.4 million, respectively, available to reduce future tax liabilities which expire at various dates from 2039 through 2043. As of December 31, 2023 and 2022, the Company had state research and development tax credit carryforwards of approximately $3.8 million and $3.5 million, respectively, available to reduce future tax liabilities which expire at various dates from 2031 through 2038. The Company has generated research credits but has not conducted a study to document the qualified activity. This study may result in an adjustment to the Company’s research and development credit carryforwards; however, until a study is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440"/>
        <w:spacing w:after="0" w:line="278" w:lineRule="auto"/>
        <w:rPr>
          <w:sz w:val="20"/>
          <w:szCs w:val="20"/>
          <w:color w:val="auto"/>
        </w:rPr>
      </w:pPr>
      <w:r>
        <w:rPr>
          <w:rFonts w:ascii="Arial" w:cs="Arial" w:eastAsia="Arial" w:hAnsi="Arial"/>
          <w:sz w:val="17"/>
          <w:szCs w:val="17"/>
          <w:color w:val="auto"/>
        </w:rPr>
        <w:t>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deferred tax asset established for the research and development credit carryforwards and the valuation allowance.</w:t>
      </w:r>
    </w:p>
    <w:p>
      <w:pPr>
        <w:spacing w:after="0" w:line="160" w:lineRule="exact"/>
        <w:rPr>
          <w:sz w:val="20"/>
          <w:szCs w:val="20"/>
          <w:color w:val="auto"/>
        </w:rPr>
      </w:pPr>
    </w:p>
    <w:p>
      <w:pPr>
        <w:ind w:firstLine="433"/>
        <w:spacing w:after="0" w:line="260" w:lineRule="auto"/>
        <w:rPr>
          <w:sz w:val="20"/>
          <w:szCs w:val="20"/>
          <w:color w:val="auto"/>
        </w:rPr>
      </w:pPr>
      <w:r>
        <w:rPr>
          <w:rFonts w:ascii="Arial" w:cs="Arial" w:eastAsia="Arial" w:hAnsi="Arial"/>
          <w:sz w:val="17"/>
          <w:szCs w:val="17"/>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by the Company and any limitation is known, no amounts are being presented as an uncertain tax position.</w:t>
      </w:r>
    </w:p>
    <w:p>
      <w:pPr>
        <w:spacing w:after="0" w:line="183" w:lineRule="exact"/>
        <w:rPr>
          <w:sz w:val="20"/>
          <w:szCs w:val="20"/>
          <w:color w:val="auto"/>
        </w:rPr>
      </w:pPr>
    </w:p>
    <w:p>
      <w:pPr>
        <w:ind w:right="20" w:firstLine="433"/>
        <w:spacing w:after="0" w:line="262"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both positive and negative, the Company has recorded a valuation allowance against its deferred tax assets at December 31, 2023 and 2022 because management has determined that it is more likely than not that the Company will not recognize the benefits of its federal and state deferred tax assets, primarily due to its history of cumulative net losses incurred since inception and its lack of commercialization of any products or generation of any revenue from product sales since inception. As a result, a valuation allowance of $180.5 million and $143.9 million has been established at December 31, 2023 and 2022, respectively. Management reevaluates the positive and negative evidence at each reporting period. The valuation allowance increased by approximately $36.6 million and $58.0 million during the years ended December 31, 2023 and 2022, respectively, due primarily to the generation of net operating losses.</w:t>
      </w:r>
    </w:p>
    <w:p>
      <w:pPr>
        <w:spacing w:after="0" w:line="178"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color w:val="auto"/>
        </w:rPr>
        <w:t>The Company has not recorded any amounts for unrecognized tax benefits as of December 31, 2023 and 2022. The Company’s policy is to record interest and penalties related to uncertain tax positions as part of its income tax provision. As of December 31, 2023 and 2022, the Company had no accrued interest or penalties related to uncertain tax positions and no such amounts have been recognized in the Company’s consolidated statement of operations for either year ended December 31, 2023 or 2022. The statute of limitations for federal and state tax authorities is open for tax years ended December 31, 2020 through December 31, 2023. Since the Company is in a net loss carryforward position, the Company is generally subject to examination by the U.S. federal, state and local income tax authorities for all tax years in which a loss carryforward is available.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Related Party Transactions</w:t>
      </w:r>
    </w:p>
    <w:p>
      <w:pPr>
        <w:spacing w:after="0" w:line="121" w:lineRule="exact"/>
        <w:rPr>
          <w:sz w:val="20"/>
          <w:szCs w:val="20"/>
          <w:color w:val="auto"/>
        </w:rPr>
      </w:pPr>
    </w:p>
    <w:p>
      <w:pPr>
        <w:ind w:right="200" w:firstLine="433"/>
        <w:spacing w:after="0" w:line="300" w:lineRule="auto"/>
        <w:rPr>
          <w:sz w:val="20"/>
          <w:szCs w:val="20"/>
          <w:color w:val="auto"/>
        </w:rPr>
      </w:pPr>
      <w:r>
        <w:rPr>
          <w:rFonts w:ascii="Arial" w:cs="Arial" w:eastAsia="Arial" w:hAnsi="Arial"/>
          <w:sz w:val="17"/>
          <w:szCs w:val="17"/>
          <w:color w:val="auto"/>
        </w:rPr>
        <w:t>One of the founders of RogCon is the Company's General Counsel. During the years ended December 31, 2023 and 2022, the Company reimbursed RogCon for its out-of-pocket costs incurred for activities performed under the License Agreement (Note 12).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Employee Benefit Plan</w:t>
      </w:r>
    </w:p>
    <w:p>
      <w:pPr>
        <w:spacing w:after="0" w:line="121" w:lineRule="exact"/>
        <w:rPr>
          <w:sz w:val="20"/>
          <w:szCs w:val="20"/>
          <w:color w:val="auto"/>
        </w:rPr>
      </w:pPr>
    </w:p>
    <w:p>
      <w:pPr>
        <w:jc w:val="both"/>
        <w:ind w:right="60" w:firstLine="433"/>
        <w:spacing w:after="0" w:line="278"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for eligible employees. The plan covers substantially all employees who meet a minimum age requirement and allows participants to defer a portion of their annual compensation on a pre-tax basis. Under the plan, the Company is not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PRAXIS PRECISION MEDICINES,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10" w:lineRule="exact"/>
        <w:rPr>
          <w:sz w:val="20"/>
          <w:szCs w:val="20"/>
          <w:color w:val="auto"/>
        </w:rPr>
      </w:pPr>
    </w:p>
    <w:p>
      <w:pPr>
        <w:ind w:right="620"/>
        <w:spacing w:after="0" w:line="299" w:lineRule="auto"/>
        <w:rPr>
          <w:sz w:val="20"/>
          <w:szCs w:val="20"/>
          <w:color w:val="auto"/>
        </w:rPr>
      </w:pPr>
      <w:r>
        <w:rPr>
          <w:rFonts w:ascii="Arial" w:cs="Arial" w:eastAsia="Arial" w:hAnsi="Arial"/>
          <w:sz w:val="17"/>
          <w:szCs w:val="17"/>
          <w:color w:val="auto"/>
        </w:rPr>
        <w:t>obligated to match any participant contributions. The Company made contributions of $1.0 million and $1.5 million during the years ended December 31, 2023 and 2022, respectively</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Restructuring</w:t>
      </w:r>
    </w:p>
    <w:p>
      <w:pPr>
        <w:spacing w:after="0" w:line="121" w:lineRule="exact"/>
        <w:rPr>
          <w:sz w:val="20"/>
          <w:szCs w:val="20"/>
          <w:color w:val="auto"/>
        </w:rPr>
      </w:pPr>
    </w:p>
    <w:p>
      <w:pPr>
        <w:ind w:right="40" w:firstLine="433"/>
        <w:spacing w:after="0" w:line="300" w:lineRule="auto"/>
        <w:rPr>
          <w:sz w:val="20"/>
          <w:szCs w:val="20"/>
          <w:color w:val="auto"/>
        </w:rPr>
      </w:pPr>
      <w:r>
        <w:rPr>
          <w:rFonts w:ascii="Arial" w:cs="Arial" w:eastAsia="Arial" w:hAnsi="Arial"/>
          <w:sz w:val="17"/>
          <w:szCs w:val="17"/>
          <w:color w:val="auto"/>
        </w:rPr>
        <w:t>In June 2022, the Company began a strategic realignment across the Cerebrum™ and Solidus™ platforms, which resulted in a reduction of the Company's workforce.</w:t>
      </w:r>
    </w:p>
    <w:p>
      <w:pPr>
        <w:spacing w:after="0" w:line="141"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The Company incurred $1.0 million of costs related to the realignment, of which $0.6 million was recognized in research and development expenses and $0.4 million was recognized in general and administrative expenses in the consolidated statement of operations during the year ended December 31, 2022. These costs related to employee severance, benefits and related costs. As of December 31, 2022, all costs related to the strategic realignment had been paid.</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121" w:lineRule="exact"/>
        <w:rPr>
          <w:sz w:val="20"/>
          <w:szCs w:val="20"/>
          <w:color w:val="auto"/>
        </w:rPr>
      </w:pPr>
    </w:p>
    <w:p>
      <w:pPr>
        <w:ind w:firstLine="433"/>
        <w:spacing w:after="0" w:line="278"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The Company has concluded that no subsequent events have occurred that require disclosure other than those noted below.</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 and License Agreement with Tenacia Biotechnology</w:t>
      </w:r>
    </w:p>
    <w:p>
      <w:pPr>
        <w:spacing w:after="0" w:line="119"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On January 4, 2024, the Company entered into an exclusive collaboration and license agreement (the "Collaboration Agreement") with Tenacia Biotechnology (Shanghai) Company, Ltd. ("Tenacia"), a China-based portfolio company of Bain Capital focused on central nervous system drug development and commercialization. Under the Collaboration Agreement, Tenacia will develop and commercialize ulixacaltamide for the treatment of essential tremor in Greater China.</w:t>
      </w:r>
    </w:p>
    <w:p>
      <w:pPr>
        <w:spacing w:after="0" w:line="61"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As part of the consideration for the Collaboration Agreement, the Company entered into a Stock Purchase Agreement (the "Stock Purchase Agreement") with BCPE Tenet Holdings Cayman, Ltd. ("BCPE") pursuant to which the Company issued and sold 443,253 shares of the Company's common stock, par value $0.0001 per share (the "Shares"), to BCPE at a price per share of $22.5605 for an aggregate purchase price of approximately $10.0 million. The per share price was based on a 20% premium over the 30-day volume-weighted average price. Additionally, the Company received an upfront payment of $5.0 million in cash, and is eligible for an additional $264.0 million in development, regulatory and commercialization milestone payments as well as tiered royalties on net sales.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January 2024 Financing</w:t>
      </w:r>
    </w:p>
    <w:p>
      <w:pPr>
        <w:spacing w:after="0" w:line="119" w:lineRule="exact"/>
        <w:rPr>
          <w:sz w:val="20"/>
          <w:szCs w:val="20"/>
          <w:color w:val="auto"/>
        </w:rPr>
      </w:pPr>
    </w:p>
    <w:p>
      <w:pPr>
        <w:ind w:right="40" w:firstLine="433"/>
        <w:spacing w:after="0" w:line="266" w:lineRule="auto"/>
        <w:rPr>
          <w:sz w:val="20"/>
          <w:szCs w:val="20"/>
          <w:color w:val="auto"/>
        </w:rPr>
      </w:pPr>
      <w:r>
        <w:rPr>
          <w:rFonts w:ascii="Arial" w:cs="Arial" w:eastAsia="Arial" w:hAnsi="Arial"/>
          <w:sz w:val="17"/>
          <w:szCs w:val="17"/>
          <w:color w:val="auto"/>
        </w:rPr>
        <w:t>On January 12, 2024, the Company completed a public offering of: (i) an aggregate of 3,802,025 shares of its common stock at a public offering price of $35.50 per share, including the underwriters' full exercise of their option to purchase 633,750 additional shares of common stock, and (ii) pre -funded warrants to purchase 1,056,725 shares of common stock at a public offering price of $35.4999 per share of common stock underlying the warrants. The purchase price per share for each pre-funded warrant represents the per share offering price for the common stock, less the $0.0001 per share exercise price of each underlying share. Total net proceeds generated from the offering were approximately $161.7 million, after deducting underwriting discounts, commissions and other offering expenses payable by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 Offerings</w:t>
      </w:r>
    </w:p>
    <w:p>
      <w:pPr>
        <w:spacing w:after="0" w:line="119"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Subsequent to December 31, 2023, the Company issued and sold a total of 192,190 shares under the 2023 Sales Agreement for aggregate net proceeds of $5.3 million after deducting commissions and offering expenses payable by the Company.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Effectiveness of Controls and Procedures</w:t>
      </w:r>
    </w:p>
    <w:p>
      <w:pPr>
        <w:spacing w:after="0" w:line="119" w:lineRule="exact"/>
        <w:rPr>
          <w:sz w:val="20"/>
          <w:szCs w:val="20"/>
          <w:color w:val="auto"/>
        </w:rPr>
      </w:pPr>
    </w:p>
    <w:p>
      <w:pPr>
        <w:ind w:right="20" w:firstLine="433"/>
        <w:spacing w:after="0" w:line="271"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19"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73" w:lineRule="exact"/>
        <w:rPr>
          <w:sz w:val="20"/>
          <w:szCs w:val="20"/>
          <w:color w:val="auto"/>
        </w:rPr>
      </w:pPr>
    </w:p>
    <w:p>
      <w:pPr>
        <w:ind w:right="40" w:firstLine="433"/>
        <w:spacing w:after="0" w:line="271"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Chief Financial Officer (our principal financial officer), evaluated the effectiveness of our disclosure controls and procedures as of December 31, 2023.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9" w:lineRule="exact"/>
        <w:rPr>
          <w:sz w:val="20"/>
          <w:szCs w:val="20"/>
          <w:color w:val="auto"/>
        </w:rPr>
      </w:pPr>
    </w:p>
    <w:p>
      <w:pPr>
        <w:ind w:right="40" w:firstLine="433"/>
        <w:spacing w:after="0" w:line="300" w:lineRule="auto"/>
        <w:rPr>
          <w:sz w:val="20"/>
          <w:szCs w:val="20"/>
          <w:color w:val="auto"/>
        </w:rPr>
      </w:pPr>
      <w:r>
        <w:rPr>
          <w:rFonts w:ascii="Arial" w:cs="Arial" w:eastAsia="Arial" w:hAnsi="Arial"/>
          <w:sz w:val="17"/>
          <w:szCs w:val="17"/>
          <w:color w:val="auto"/>
        </w:rPr>
        <w:t>There were no changes in our internal control over financial reporting that occurred during the three months ended December 31, 2023 that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Annual Report on Internal Control over Financial Reporting</w:t>
      </w:r>
    </w:p>
    <w:p>
      <w:pPr>
        <w:spacing w:after="0" w:line="119" w:lineRule="exact"/>
        <w:rPr>
          <w:sz w:val="20"/>
          <w:szCs w:val="20"/>
          <w:color w:val="auto"/>
        </w:rPr>
      </w:pPr>
    </w:p>
    <w:p>
      <w:pPr>
        <w:ind w:right="20" w:firstLine="433"/>
        <w:spacing w:after="0" w:line="26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Exchange Act Rules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2023. Management based its assessment on criteria established in "Internal Control - Integrated Framework (2013)" issued by the Committee of Sponsoring Organizations of the Treadway Commission (COSO). Based on that assessment, our management concluded that our internal control over financial reporting was effective as of December 31, 2023.</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1" w:lineRule="exact"/>
        <w:rPr>
          <w:sz w:val="20"/>
          <w:szCs w:val="20"/>
          <w:color w:val="auto"/>
        </w:rPr>
      </w:pPr>
    </w:p>
    <w:p>
      <w:pPr>
        <w:ind w:left="700" w:hanging="262"/>
        <w:spacing w:after="0"/>
        <w:tabs>
          <w:tab w:leader="none" w:pos="7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None.</w:t>
      </w:r>
    </w:p>
    <w:p>
      <w:pPr>
        <w:spacing w:after="0" w:line="119" w:lineRule="exact"/>
        <w:rPr>
          <w:rFonts w:ascii="Arial" w:cs="Arial" w:eastAsia="Arial" w:hAnsi="Arial"/>
          <w:sz w:val="17"/>
          <w:szCs w:val="17"/>
          <w:color w:val="auto"/>
        </w:rPr>
      </w:pPr>
    </w:p>
    <w:p>
      <w:pPr>
        <w:ind w:right="60" w:firstLine="438"/>
        <w:spacing w:after="0" w:line="300" w:lineRule="auto"/>
        <w:tabs>
          <w:tab w:leader="none" w:pos="6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name, age, and position of each of our current executive officers and directors as of March 1,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gridSpan w:val="2"/>
          </w:tcPr>
          <w:p>
            <w:pPr>
              <w:ind w:left="20"/>
              <w:spacing w:after="0"/>
              <w:rPr>
                <w:sz w:val="20"/>
                <w:szCs w:val="20"/>
                <w:color w:val="auto"/>
              </w:rPr>
            </w:pPr>
            <w:r>
              <w:rPr>
                <w:rFonts w:ascii="Arial" w:cs="Arial" w:eastAsia="Arial" w:hAnsi="Arial"/>
                <w:sz w:val="17"/>
                <w:szCs w:val="17"/>
                <w:b w:val="1"/>
                <w:bCs w:val="1"/>
                <w:color w:val="auto"/>
              </w:rPr>
              <w:t>Name</w:t>
            </w:r>
          </w:p>
        </w:tc>
        <w:tc>
          <w:tcPr>
            <w:tcW w:w="1140" w:type="dxa"/>
            <w:vAlign w:val="bottom"/>
            <w:gridSpan w:val="2"/>
          </w:tcPr>
          <w:p>
            <w:pPr>
              <w:ind w:left="260"/>
              <w:spacing w:after="0"/>
              <w:rPr>
                <w:sz w:val="20"/>
                <w:szCs w:val="20"/>
                <w:color w:val="auto"/>
              </w:rPr>
            </w:pPr>
            <w:r>
              <w:rPr>
                <w:rFonts w:ascii="Arial" w:cs="Arial" w:eastAsia="Arial" w:hAnsi="Arial"/>
                <w:sz w:val="17"/>
                <w:szCs w:val="17"/>
                <w:b w:val="1"/>
                <w:bCs w:val="1"/>
                <w:color w:val="auto"/>
              </w:rPr>
              <w:t>Age</w:t>
            </w:r>
          </w:p>
        </w:tc>
        <w:tc>
          <w:tcPr>
            <w:tcW w:w="5000" w:type="dxa"/>
            <w:vAlign w:val="bottom"/>
          </w:tcPr>
          <w:p>
            <w:pPr>
              <w:ind w:left="2160"/>
              <w:spacing w:after="0"/>
              <w:rPr>
                <w:sz w:val="20"/>
                <w:szCs w:val="20"/>
                <w:color w:val="auto"/>
              </w:rPr>
            </w:pPr>
            <w:r>
              <w:rPr>
                <w:rFonts w:ascii="Arial" w:cs="Arial" w:eastAsia="Arial" w:hAnsi="Arial"/>
                <w:sz w:val="17"/>
                <w:szCs w:val="17"/>
                <w:b w:val="1"/>
                <w:bCs w:val="1"/>
                <w:color w:val="auto"/>
              </w:rPr>
              <w:t>Position</w:t>
            </w:r>
          </w:p>
        </w:tc>
      </w:tr>
      <w:tr>
        <w:trPr>
          <w:trHeight w:val="216"/>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Executive Officers: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18"/>
                <w:szCs w:val="18"/>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Marcio Souza</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President, Chief Executive Officer, 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Timothy Kelly</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Alex Nemiroff, J.D.</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General Counsel, Corporate Secretary</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Non-Employee Directors:</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19"/>
                <w:szCs w:val="19"/>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Dean Mitchell(2)(4)</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Chairman, 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Jeffrey Chodakewitz, M.D.(3)(4)</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Merit Cudkowicz, M.D.(1)(4)</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Jill DeSimone(1)(2)(3)</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7"/>
                <w:szCs w:val="17"/>
                <w:color w:val="auto"/>
              </w:rPr>
              <w:t>Gregory Norden(1)(2)</w:t>
            </w:r>
          </w:p>
        </w:tc>
        <w:tc>
          <w:tcPr>
            <w:tcW w:w="1040" w:type="dxa"/>
            <w:vAlign w:val="bottom"/>
          </w:tcPr>
          <w:p>
            <w:pPr>
              <w:jc w:val="right"/>
              <w:ind w:right="333"/>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23"/>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William Young(2)(3)</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32" w:lineRule="exact"/>
        <w:rPr>
          <w:sz w:val="20"/>
          <w:szCs w:val="20"/>
          <w:color w:val="auto"/>
        </w:rPr>
      </w:pPr>
    </w:p>
    <w:p>
      <w:pPr>
        <w:ind w:left="320" w:hanging="315"/>
        <w:spacing w:after="0"/>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103" w:lineRule="exact"/>
        <w:rPr>
          <w:rFonts w:ascii="Arial" w:cs="Arial" w:eastAsia="Arial" w:hAnsi="Arial"/>
          <w:sz w:val="17"/>
          <w:szCs w:val="17"/>
          <w:color w:val="auto"/>
        </w:rPr>
      </w:pPr>
    </w:p>
    <w:p>
      <w:pPr>
        <w:ind w:left="320" w:hanging="315"/>
        <w:spacing w:after="0"/>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119" w:lineRule="exact"/>
        <w:rPr>
          <w:rFonts w:ascii="Arial" w:cs="Arial" w:eastAsia="Arial" w:hAnsi="Arial"/>
          <w:sz w:val="17"/>
          <w:szCs w:val="17"/>
          <w:color w:val="auto"/>
        </w:rPr>
      </w:pPr>
    </w:p>
    <w:p>
      <w:pPr>
        <w:ind w:left="320" w:hanging="315"/>
        <w:spacing w:after="0"/>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19" w:lineRule="exact"/>
        <w:rPr>
          <w:rFonts w:ascii="Arial" w:cs="Arial" w:eastAsia="Arial" w:hAnsi="Arial"/>
          <w:sz w:val="17"/>
          <w:szCs w:val="17"/>
          <w:color w:val="auto"/>
        </w:rPr>
      </w:pPr>
    </w:p>
    <w:p>
      <w:pPr>
        <w:ind w:left="320" w:hanging="315"/>
        <w:spacing w:after="0"/>
        <w:tabs>
          <w:tab w:leader="none" w:pos="3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Member of the Science and Technology Committee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21" w:lineRule="exact"/>
        <w:rPr>
          <w:sz w:val="20"/>
          <w:szCs w:val="20"/>
          <w:color w:val="auto"/>
        </w:rPr>
      </w:pPr>
    </w:p>
    <w:p>
      <w:pPr>
        <w:ind w:right="40" w:firstLine="315"/>
        <w:spacing w:after="0" w:line="263" w:lineRule="auto"/>
        <w:rPr>
          <w:sz w:val="20"/>
          <w:szCs w:val="20"/>
          <w:color w:val="auto"/>
        </w:rPr>
      </w:pPr>
      <w:r>
        <w:rPr>
          <w:rFonts w:ascii="Arial" w:cs="Arial" w:eastAsia="Arial" w:hAnsi="Arial"/>
          <w:sz w:val="17"/>
          <w:szCs w:val="17"/>
          <w:b w:val="1"/>
          <w:bCs w:val="1"/>
          <w:i w:val="1"/>
          <w:iCs w:val="1"/>
          <w:color w:val="auto"/>
        </w:rPr>
        <w:t xml:space="preserve">Marcio Souza </w:t>
      </w:r>
      <w:r>
        <w:rPr>
          <w:rFonts w:ascii="Arial" w:cs="Arial" w:eastAsia="Arial" w:hAnsi="Arial"/>
          <w:sz w:val="17"/>
          <w:szCs w:val="17"/>
          <w:color w:val="auto"/>
        </w:rPr>
        <w:t>has served as a member of our Board of Directors and our President and Chief Executive Officer since April 2020.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us, Mr. Souza was at PTC Therapeutics, Inc., or PTC, where he served as its Chief Operating Officer from May 2017 to April 2020 and its Senior Vice President and Head of Product Strategy from July 2016 to May 2017. Prior to joining PTC, Mr. Souza served in positions of increasing responsibility at NPS Pharmaceuticals, Inc., Shire Human Genetic Therapies Inc. and Sanofi Genzyme Corporation. Mr. Souza served on the boards of directors of Aeglea BioTherapeutics, Inc. (NASDAQ: AGLE) from June 2021 to April 2023 and Clearpoint Neuro, Inc. (NASDAQ: CLPT) (previously MRI Interventions, Inc.) from May 2019 to May 2020. Mr. Souza received a degree in pharmacy and biochemistry with a specialization in toxicology and clinical analysis from the University of São Paulo and an M.B.A. from Fundação Dom Cabral. We believe Mr. Souza is qualified to serve on our Board of Directors because of his business and leadership experience in the life sciences industry and his scientific background.</w:t>
      </w:r>
    </w:p>
    <w:p>
      <w:pPr>
        <w:spacing w:after="0" w:line="280"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b w:val="1"/>
          <w:bCs w:val="1"/>
          <w:i w:val="1"/>
          <w:iCs w:val="1"/>
          <w:color w:val="auto"/>
        </w:rPr>
        <w:t xml:space="preserve">Timothy Kelly </w:t>
      </w:r>
      <w:r>
        <w:rPr>
          <w:rFonts w:ascii="Arial" w:cs="Arial" w:eastAsia="Arial" w:hAnsi="Arial"/>
          <w:sz w:val="17"/>
          <w:szCs w:val="17"/>
          <w:color w:val="auto"/>
        </w:rPr>
        <w:t>has served as our Chief Financial Officer since May 2021. Prior to his role as Chief Financial Officer, Mr. Kelly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of Foundation Medicine, Inc. from 2019 to April 2021. In this position, he led the finance and corporate management teams, providing strategic leadership and oversight for the corporate functions, which included accounting and tax, billing and reimbursement, procurement, corporate development, project management and financial planning and analysis. Prior to his time at Foundation Medicine, Mr. Kelly served in several finance roles of increasing responsibility at the F. Hoffman-La Roche AG, or Roche, and Genentech (before being acquired by Roche in 2009) from 2003 to 2019, including finance and corporate services director for Roche Pharma in the United Kingdom from 2017 to 2019 and head of group strategic planning for the Roche Group in Switzerland from 2013 to 2017. Mr. Kelly holds a B.A. in economics from the College of William and Mary and an M.B.A. from the Columbia Business School.</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315"/>
        <w:spacing w:after="0" w:line="266" w:lineRule="auto"/>
        <w:rPr>
          <w:sz w:val="20"/>
          <w:szCs w:val="20"/>
          <w:color w:val="auto"/>
        </w:rPr>
      </w:pPr>
      <w:r>
        <w:rPr>
          <w:rFonts w:ascii="Arial" w:cs="Arial" w:eastAsia="Arial" w:hAnsi="Arial"/>
          <w:sz w:val="17"/>
          <w:szCs w:val="17"/>
          <w:b w:val="1"/>
          <w:bCs w:val="1"/>
          <w:i w:val="1"/>
          <w:iCs w:val="1"/>
          <w:color w:val="auto"/>
        </w:rPr>
        <w:t xml:space="preserve">Alex Nemiroff, J.D., </w:t>
      </w:r>
      <w:r>
        <w:rPr>
          <w:rFonts w:ascii="Arial" w:cs="Arial" w:eastAsia="Arial" w:hAnsi="Arial"/>
          <w:sz w:val="17"/>
          <w:szCs w:val="17"/>
          <w:color w:val="auto"/>
        </w:rPr>
        <w:t>has served as our General Counsel since June 2020. Prior to his role as General Counsel, Mr. Nemiroff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Legal from January 2020 to June 2020. Mr. Nemiroff was also a co-founder of RogCon, Inc. and RogCon U.R., Inc., and he has served as both entities’ Chief Executive Officer since inception in November 2015. Mr. Nemiroff has experience working in commercial and securities litigation while at Greenberg Traurig LLP, and served as law clerk to the Honorable Paul C. Huck of the United States District Court for the Southern District of Florida. Mr. Nemiroff received a B.B.A from the University of Michigan’s Ross School of Business, and a J.D. from Northwestern University School of Law.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Directors</w:t>
      </w:r>
    </w:p>
    <w:p>
      <w:pPr>
        <w:spacing w:after="0" w:line="121" w:lineRule="exact"/>
        <w:rPr>
          <w:sz w:val="20"/>
          <w:szCs w:val="20"/>
          <w:color w:val="auto"/>
        </w:rPr>
      </w:pPr>
    </w:p>
    <w:p>
      <w:pPr>
        <w:ind w:right="20" w:firstLine="315"/>
        <w:spacing w:after="0" w:line="260" w:lineRule="auto"/>
        <w:rPr>
          <w:sz w:val="20"/>
          <w:szCs w:val="20"/>
          <w:color w:val="auto"/>
        </w:rPr>
      </w:pPr>
      <w:r>
        <w:rPr>
          <w:rFonts w:ascii="Arial" w:cs="Arial" w:eastAsia="Arial" w:hAnsi="Arial"/>
          <w:sz w:val="17"/>
          <w:szCs w:val="17"/>
          <w:b w:val="1"/>
          <w:bCs w:val="1"/>
          <w:i w:val="1"/>
          <w:iCs w:val="1"/>
          <w:color w:val="auto"/>
        </w:rPr>
        <w:t xml:space="preserve">Dean Mitchell </w:t>
      </w:r>
      <w:r>
        <w:rPr>
          <w:rFonts w:ascii="Arial" w:cs="Arial" w:eastAsia="Arial" w:hAnsi="Arial"/>
          <w:sz w:val="17"/>
          <w:szCs w:val="17"/>
          <w:color w:val="auto"/>
        </w:rPr>
        <w:t>has served as chairman of our Board of Directors since September 2020. He served as executive chairman of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Covis Pharma Holdings S.à.r.l., a specialty pharmaceutical company, from August 2013 until its sale in March 2020 and was chairman of PaxVax Corporation, a biotechnology company from January 2016 until its sale in October 2018. Mr. Mitchell served as President and Chief Executive Officer of Lux Biosciences, Inc., a biotechnology company focusing on the treatment of ophthalmic diseases, from July 2010 to August 2013. Prior to Lux Biosciences, he served as President and Chief Executive Officer of both Alpharma, Inc., a publicly traded specialty pharmaceutical company, from 2006 until its acquisition by King Pharmaceuticals, Inc. in 2008, and Guilford Pharmaceuticals, Inc., a publicly traded pharmaceutical company focused in oncology and acute care, from 2004 until its acquisition by MGI Pharma Inc. in 2005. From 2001 to 2004, he served in various senior executive capacities in the worldwide medicines group of Bristol-Myers Squibb Company. Prior to Bristol-Myers Squibb Company, he spent 14 years at GlaxoSmithKline plc, in assignments of increasing responsibility spanning sales, marketing, general management, commercial strategy and clinical development and product strategy. Mr. Mitchell currently serves on the boards of directors of Theravance Biopharma, Inc. (NASDAQ: TBPH), ImmunoGen Inc. (NASDAQ: IMGN), Precigen Inc. (formerly Intrexon Inc.) (NASDAQ: PGEN) and Kinnate Biopharma Inc. (NASDAQ: KNTE). Mr. Mitchell holds an M.B.A. from City University London and a B.Sc. in Biology from Coventry University. We believe Mr. Mitchell is qualified to serve on our Board of Directors because of his management experience in the pharmaceutical and biotherapeutics industries and his experience as a president, chief executive officer and board member of multiple biotechnology companies.</w:t>
      </w:r>
    </w:p>
    <w:p>
      <w:pPr>
        <w:spacing w:after="0" w:line="78"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b w:val="1"/>
          <w:bCs w:val="1"/>
          <w:i w:val="1"/>
          <w:iCs w:val="1"/>
          <w:color w:val="auto"/>
        </w:rPr>
        <w:t xml:space="preserve">Jeffrey Chodakewitz, M.D., </w:t>
      </w:r>
      <w:r>
        <w:rPr>
          <w:rFonts w:ascii="Arial" w:cs="Arial" w:eastAsia="Arial" w:hAnsi="Arial"/>
          <w:sz w:val="17"/>
          <w:szCs w:val="17"/>
          <w:color w:val="auto"/>
        </w:rPr>
        <w:t>has served as a member of our Board of Directors since April 2021. Dr. Chodakewitz has served as an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for Ascenta Capital, a life sciences investment firm, since December 2022. He previously served as a senior advisor to Blackstone Life Sciences, a life sciences private equity firm from March 2019 to January 2022. From April 2018 through March 2019, he served as Executive Vice President, Clinical Medicine and External Innovation, at Vertex Pharmaceuticals, Inc., or Vertex. Prior to that role, Dr. Chodakewitz held the roles of Chief Medical Officer and Executive Vice President, Global Medicines Development and Medical Affairs at Vertex from January 2014 to April 2018 and was a member of the Vertex Executive Committee. Prior to Vertex, Dr. Chodakewitz spent over 20 years at Merck &amp; Co. serving in several positions, including leadership roles as Head of Infectious Diseases and Vaccines Global Development, Senior Vice President of Global Scientific Strategy (infectious disease, respiratory &amp; immunology), Vice President of Early-Stage Development and Senior Vice President of Late-Stage Development. Dr. Chodakewitz currently serves on the boards of directors of Adicet Bio, Inc. (NASDAQ: ACET), Freeline Therapeutics Holdings plc (NASDAQ: FRLN) and Schrödinger, Inc. (NASDAQ:SDGR). Dr. Chodakewitz received a B.S. in Biochemistry cum laude from Yale University and an M.D. from the Yale University School of Medicine. We believe Dr. Chodakewitz is qualified to serve on our Board of Directors because of his extensive business and leadership experience working in the biotechnology industry.</w:t>
      </w:r>
    </w:p>
    <w:p>
      <w:pPr>
        <w:spacing w:after="0" w:line="72" w:lineRule="exact"/>
        <w:rPr>
          <w:sz w:val="20"/>
          <w:szCs w:val="20"/>
          <w:color w:val="auto"/>
        </w:rPr>
      </w:pPr>
    </w:p>
    <w:p>
      <w:pPr>
        <w:ind w:right="40" w:firstLine="315"/>
        <w:spacing w:after="0" w:line="262" w:lineRule="auto"/>
        <w:rPr>
          <w:sz w:val="20"/>
          <w:szCs w:val="20"/>
          <w:color w:val="auto"/>
        </w:rPr>
      </w:pPr>
      <w:r>
        <w:rPr>
          <w:rFonts w:ascii="Arial" w:cs="Arial" w:eastAsia="Arial" w:hAnsi="Arial"/>
          <w:sz w:val="17"/>
          <w:szCs w:val="17"/>
          <w:b w:val="1"/>
          <w:bCs w:val="1"/>
          <w:i w:val="1"/>
          <w:iCs w:val="1"/>
          <w:color w:val="auto"/>
        </w:rPr>
        <w:t xml:space="preserve">Merit Cudkowicz, M.D., </w:t>
      </w:r>
      <w:r>
        <w:rPr>
          <w:rFonts w:ascii="Arial" w:cs="Arial" w:eastAsia="Arial" w:hAnsi="Arial"/>
          <w:sz w:val="17"/>
          <w:szCs w:val="17"/>
          <w:color w:val="auto"/>
        </w:rPr>
        <w:t>has served as a member of our Board of Directors since April 2021. Dr. Cudkowicz has served as the Chief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Neurology at Massachusetts General Hospital since 2012 and is the Director of the Sean M. Healey &amp; AMG Center for ALS and Director and the Julieanne Dorn Professor of Neurology at Harvard Medical School. A member of the National Academy of Medicine, she has led innovations to accelerate the development of treatments for people with neurological disorders such as ALS, including the first platform trial in ALS, and serving in a senior role in the research and development of the first antisense oligonucleotide treatment for a neurological disorder. Dr. Cudkowicz is also the principal investigator of the Clinical Coordination Center for the National Institute of Neurological Disorders and Stroke’s Neurology Network of Excellence in Clinical Trials, or NeuroNEX. Dr. Cudkowicz received a B.S. in Chemical Engineering from Massachusetts Institute of Technology, an M.D. from Harvard Medical School and a MSc. in Clinical Epidemiology from Harvard School of Public Health. We believe Dr. Cudkowicz is qualified to serve on our Board of Directors because of her extensive medical background and experience.</w:t>
      </w:r>
    </w:p>
    <w:p>
      <w:pPr>
        <w:spacing w:after="0" w:line="73" w:lineRule="exact"/>
        <w:rPr>
          <w:sz w:val="20"/>
          <w:szCs w:val="20"/>
          <w:color w:val="auto"/>
        </w:rPr>
      </w:pPr>
    </w:p>
    <w:p>
      <w:pPr>
        <w:ind w:right="160" w:firstLine="315"/>
        <w:spacing w:after="0" w:line="300" w:lineRule="auto"/>
        <w:rPr>
          <w:sz w:val="20"/>
          <w:szCs w:val="20"/>
          <w:color w:val="auto"/>
        </w:rPr>
      </w:pPr>
      <w:r>
        <w:rPr>
          <w:rFonts w:ascii="Arial" w:cs="Arial" w:eastAsia="Arial" w:hAnsi="Arial"/>
          <w:sz w:val="17"/>
          <w:szCs w:val="17"/>
          <w:b w:val="1"/>
          <w:bCs w:val="1"/>
          <w:i w:val="1"/>
          <w:iCs w:val="1"/>
          <w:color w:val="auto"/>
        </w:rPr>
        <w:t xml:space="preserve">Jill DeSimone </w:t>
      </w:r>
      <w:r>
        <w:rPr>
          <w:rFonts w:ascii="Arial" w:cs="Arial" w:eastAsia="Arial" w:hAnsi="Arial"/>
          <w:sz w:val="17"/>
          <w:szCs w:val="17"/>
          <w:color w:val="auto"/>
        </w:rPr>
        <w:t>has served as a member of our Board of Directors since May 2022. Ms. DeSimone served as President of U.S. Oncology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Merck &amp; Co., Inc., or Merck, from 2014 to May 2022. During her time at Merck, Ms.</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DeSimone also temporarily served as Interim President of U.S. Pharma to help navigate the business through the COVID-19 pandemic. Prior to joining Merck, she served as Senior Vice President of Global Women’s Health at Teva Pharmaceutical Industries Ltd, or Teva, from 2012 to 2014. Prior to her time at Teva, Ms. DeSimone served in several roles of increasing responsibility at Bristol Myers Squibb from 1980 to 2012, including Senior Vice President of Oncology and Senior Vice President of Commercial Operations. Ms. DeSimone serves on the board of directors of Oncternal Therapeutics (NASDAQ: ONCT), Kinnate Biopharma Inc. (NASDAQ: KNTE), and Affini-T Therapeutics, Inc., a private company. She also serves as a board member for the Florida Cancer Specialists Foundation, a nonprofit organization that helps individuals with their essential living expenses while they undergo treatment for cancer. Ms. DeSimone received a B.S. in pharmacy from Northeastern University and completed a fellowship with the Wharton School of the University of Pennsylvania. We believe Ms. DeSimone is qualified to serve on the Board because of her leadership and extensive business experience in the pharmaceutical industry.</w:t>
      </w:r>
    </w:p>
    <w:p>
      <w:pPr>
        <w:spacing w:after="0" w:line="73"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b w:val="1"/>
          <w:bCs w:val="1"/>
          <w:i w:val="1"/>
          <w:iCs w:val="1"/>
          <w:color w:val="auto"/>
        </w:rPr>
        <w:t xml:space="preserve">Gregory Norden </w:t>
      </w:r>
      <w:r>
        <w:rPr>
          <w:rFonts w:ascii="Arial" w:cs="Arial" w:eastAsia="Arial" w:hAnsi="Arial"/>
          <w:sz w:val="17"/>
          <w:szCs w:val="17"/>
          <w:color w:val="auto"/>
        </w:rPr>
        <w:t>has served as a member of our Board of Directors since March 2019. Mr. Norden is the former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Wyeth Pharmaceuticals Inc. and has served as the Managing Director of G9 Capital Group LLC, which invests in early stage ventures and provides corporate advisory services, since 2010. Mr. Norden currently serves on the boards of directors of Zoetis Inc. (NYSE: ZTS), NanoString Technologies, Inc. (NASDAQ: NSTG) and Royalty Pharma plc (NASDAQ: RPRX). Mr. Norden is a former director of Human Genome Sciences, Univision and Welch Allyn. Mr. Norden received a B.S. in Management and Economics from the State University of New York at Plattsburgh and an M.S. in Accounting from LIU Post. We believe Mr. Norden is qualified to serve on our Board of Directors because of his background in finance and experience as a senior executive in the global healthcare and pharmaceutical industries, as well as his public company board experience.</w:t>
      </w:r>
    </w:p>
    <w:p>
      <w:pPr>
        <w:spacing w:after="0" w:line="68" w:lineRule="exact"/>
        <w:rPr>
          <w:sz w:val="20"/>
          <w:szCs w:val="20"/>
          <w:color w:val="auto"/>
        </w:rPr>
      </w:pPr>
    </w:p>
    <w:p>
      <w:pPr>
        <w:ind w:right="20" w:firstLine="315"/>
        <w:spacing w:after="0" w:line="260" w:lineRule="auto"/>
        <w:rPr>
          <w:sz w:val="20"/>
          <w:szCs w:val="20"/>
          <w:color w:val="auto"/>
        </w:rPr>
      </w:pPr>
      <w:r>
        <w:rPr>
          <w:rFonts w:ascii="Arial" w:cs="Arial" w:eastAsia="Arial" w:hAnsi="Arial"/>
          <w:sz w:val="17"/>
          <w:szCs w:val="17"/>
          <w:b w:val="1"/>
          <w:bCs w:val="1"/>
          <w:i w:val="1"/>
          <w:iCs w:val="1"/>
          <w:color w:val="auto"/>
        </w:rPr>
        <w:t xml:space="preserve">William Young </w:t>
      </w:r>
      <w:r>
        <w:rPr>
          <w:rFonts w:ascii="Arial" w:cs="Arial" w:eastAsia="Arial" w:hAnsi="Arial"/>
          <w:sz w:val="17"/>
          <w:szCs w:val="17"/>
          <w:color w:val="auto"/>
        </w:rPr>
        <w:t>has served as a member of our Board of Directors since December 2016. Mr. Young is a Senior Advisor with Blackstone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which he joined in November 2018. Prior to its acquisition by Blackstone, Mr. Young joined Clarus Ventures LLC in March 2010 and held various roles, including Venture Partner, Senior Advisor and portfolio company board member. Prior to joining Clarus, Mr. Young was chairman of the board of directors and Chief Executive Officer of Monogram Biosciences Inc. from 2000 until its acquisition by Laboratory Corporation of America Holdings in 2009. Previously, Mr. Young spent 20 years at Genentech, Inc. in roles of increasing responsibility, culminating as Chief Operating Officer from 1997 to 1999. Mr. Young currently serves as the chairman of the board of directors of NanoString Technologies, Inc. (NASDAQ: NSTG), and as a member of the board of directors of Autolus Therapeutics plc (NASDAQ: AUTL). Mr. Young also served as the chairman of the board of directors of Annexon, Inc. (NASDAQ: ANNX) from March 2017 to February 2021, and as a member of the boards of directors of Vertex Pharmaceuticals Inc. (NASDAQ: VRTX) from May 2015 to June 2020, BioMarin Pharmaceutical Inc. (NASDAQ: BMRN) from September 2010 to November 2015 and Theravance BioPharma, Inc. (NASDAQ: TBPH) from October 2013 to February 2023. Mr. Young was elected to the National Academy of Engineering in 1993 for his contributions to biotechnology. Mr. Young received a B.S. in Chemical Engineering from Purdue University and an M.B.A. from Indiana University in Marketing and Finance and holds an honorary doctorate in Engineering from Purdue University. We believe Mr. Young is qualified to serve on our Board of Directors because of his scientific background, business experience and his service on the board of directors of other life sciences companies.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121" w:lineRule="exact"/>
        <w:rPr>
          <w:sz w:val="20"/>
          <w:szCs w:val="20"/>
          <w:color w:val="auto"/>
        </w:rPr>
      </w:pPr>
    </w:p>
    <w:p>
      <w:pPr>
        <w:ind w:right="20" w:firstLine="315"/>
        <w:spacing w:after="0" w:line="268" w:lineRule="auto"/>
        <w:rPr>
          <w:sz w:val="20"/>
          <w:szCs w:val="20"/>
          <w:color w:val="auto"/>
        </w:rPr>
      </w:pPr>
      <w:r>
        <w:rPr>
          <w:rFonts w:ascii="Arial" w:cs="Arial" w:eastAsia="Arial" w:hAnsi="Arial"/>
          <w:sz w:val="17"/>
          <w:szCs w:val="17"/>
          <w:color w:val="auto"/>
        </w:rPr>
        <w:t>We have a written code of business conduct and ethics that applies to our directors, officers and employees, including our principal executive officer, principal financial officer, principal accounting officer or persons performing similar functions. A current copy of the code is posted on the corporate governance section of our website, which is located at https://investors.praxismedicines.com/corporate-governance/governance-overview. If we make any substantive amendments to, or grant any waivers from, the code of business conduct and ethics for any officer or director, we will disclose the nature of such amendment or waiver on our website or in a Form 8-K.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Director Nominees by Stockholders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have been no material changes to the procedures by which our stockholders may recommend nominees to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121"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Gregory Norden, Merit Cudkowicz, M.D., and Jill DeSimone serve on the Audit Committee, which is chaired by Gregory Norden. Our Board of Directors has determined that Gregory Norden, Merit Cudkowicz, M.D., and Jill DeSimone are “independent” for audit committee purposes as that term is defined in the rules of the SEC and the applicable Nasdaq rules, and each has sufficient knowledge in financial and auditing matters to serve on the audit committee. Our Board of Directors has designated Gregory Norden as an “audit committee financial expert,” as defined under the applicable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15" w:right="4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compensation programs are designed to:</w:t>
      </w:r>
    </w:p>
    <w:p>
      <w:pPr>
        <w:spacing w:after="0" w:line="93" w:lineRule="exact"/>
        <w:rPr>
          <w:sz w:val="20"/>
          <w:szCs w:val="20"/>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provide a fair, flexible and market-based total compensation package;</w:t>
      </w:r>
    </w:p>
    <w:p>
      <w:pPr>
        <w:spacing w:after="0" w:line="30" w:lineRule="exact"/>
        <w:rPr>
          <w:rFonts w:ascii="Arial" w:cs="Arial" w:eastAsia="Arial" w:hAnsi="Arial"/>
          <w:sz w:val="17"/>
          <w:szCs w:val="17"/>
          <w:color w:val="auto"/>
        </w:rPr>
      </w:pPr>
    </w:p>
    <w:p>
      <w:pPr>
        <w:ind w:left="780" w:hanging="303"/>
        <w:spacing w:after="0"/>
        <w:tabs>
          <w:tab w:leader="none" w:pos="7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attract, motivate, incentivize and retain key management personnel who contribute to our short and long-term success;</w:t>
      </w:r>
    </w:p>
    <w:p>
      <w:pPr>
        <w:spacing w:after="0" w:line="63" w:lineRule="exact"/>
        <w:rPr>
          <w:rFonts w:ascii="Arial" w:cs="Arial" w:eastAsia="Arial" w:hAnsi="Arial"/>
          <w:sz w:val="17"/>
          <w:szCs w:val="17"/>
          <w:color w:val="auto"/>
        </w:rPr>
      </w:pPr>
    </w:p>
    <w:p>
      <w:pPr>
        <w:ind w:left="800" w:right="640" w:hanging="323"/>
        <w:spacing w:after="0" w:line="297" w:lineRule="auto"/>
        <w:tabs>
          <w:tab w:leader="none" w:pos="7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emphasize performance-based total compensation that is aligned with the external market and rewards the achievement of our business objectives and key results; and</w:t>
      </w:r>
    </w:p>
    <w:p>
      <w:pPr>
        <w:spacing w:after="0" w:line="1" w:lineRule="exact"/>
        <w:rPr>
          <w:rFonts w:ascii="Arial" w:cs="Arial" w:eastAsia="Arial" w:hAnsi="Arial"/>
          <w:sz w:val="17"/>
          <w:szCs w:val="17"/>
          <w:color w:val="auto"/>
        </w:rPr>
      </w:pPr>
    </w:p>
    <w:p>
      <w:pPr>
        <w:ind w:left="800" w:right="140" w:hanging="323"/>
        <w:spacing w:after="0" w:line="300" w:lineRule="auto"/>
        <w:tabs>
          <w:tab w:leader="none" w:pos="795" w:val="left"/>
        </w:tabs>
        <w:numPr>
          <w:ilvl w:val="0"/>
          <w:numId w:val="72"/>
        </w:numPr>
        <w:rPr>
          <w:rFonts w:ascii="Arial" w:cs="Arial" w:eastAsia="Arial" w:hAnsi="Arial"/>
          <w:sz w:val="17"/>
          <w:szCs w:val="17"/>
          <w:color w:val="auto"/>
        </w:rPr>
      </w:pPr>
      <w:r>
        <w:rPr>
          <w:rFonts w:ascii="Arial" w:cs="Arial" w:eastAsia="Arial" w:hAnsi="Arial"/>
          <w:sz w:val="17"/>
          <w:szCs w:val="17"/>
          <w:color w:val="auto"/>
        </w:rPr>
        <w:t>effectively align the interests of our executives with those of our stockholders by focusing on long-term equity incentives that correlate to the growth of sustainable long-term value for our stockholders.</w:t>
      </w:r>
    </w:p>
    <w:p>
      <w:pPr>
        <w:spacing w:after="0" w:line="36" w:lineRule="exact"/>
        <w:rPr>
          <w:sz w:val="20"/>
          <w:szCs w:val="20"/>
          <w:color w:val="auto"/>
        </w:rPr>
      </w:pPr>
    </w:p>
    <w:p>
      <w:pPr>
        <w:ind w:right="100" w:firstLine="315"/>
        <w:spacing w:after="0" w:line="266" w:lineRule="auto"/>
        <w:rPr>
          <w:sz w:val="20"/>
          <w:szCs w:val="20"/>
          <w:color w:val="auto"/>
        </w:rPr>
      </w:pPr>
      <w:r>
        <w:rPr>
          <w:rFonts w:ascii="Arial" w:cs="Arial" w:eastAsia="Arial" w:hAnsi="Arial"/>
          <w:sz w:val="17"/>
          <w:szCs w:val="17"/>
          <w:color w:val="auto"/>
        </w:rPr>
        <w:t>The Compensation Committee of our Board of Directors, which is comprised entirely of independent directors, is responsible for discharging our Board of Directors’ responsibilities relating to compensation of our executive officers, overall compensation structure, policies and programs, and our processes and procedures for the consideration and determination of executive compensation. The Chief People Officer and Chief Executive Officer develop preliminary recommendations regarding compensation matters with respect to all executive officers, other than the Chief Executive Officer, and provide these recommendations to the Compensation Committee. The Compensation Committee reviews management’s preliminary recommendations and makes final compensation decisions.</w:t>
      </w:r>
    </w:p>
    <w:p>
      <w:pPr>
        <w:spacing w:after="0" w:line="64"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Our Compensation Committee is authorized to retain the services of one or more executive compensation advisors, as it sees fit, in connection with the establishment of our executive compensation programs and related policies. The Compensation Committee engaged Frederic W. Cook &amp; Co., Inc., or FW Cook, as its independent compensation consultant to provide objective analysis, advice and recommendations on executive officer pay in connection with the Compensation Committee’s decision-making process for 2023. During 2023, FW Cook did not provide services to us other than the services to our Compensation Committee described herein. Our Compensation Committee performs an annual assessment of its compensation consultants’ independence to determine whether the consultants are independent. Based on its evaluation, the Compensation Committee has determined that FW Cook is independent and that its work has not raised any conflicts of interest.</w:t>
      </w:r>
    </w:p>
    <w:p>
      <w:pPr>
        <w:spacing w:after="0" w:line="278" w:lineRule="exact"/>
        <w:rPr>
          <w:sz w:val="20"/>
          <w:szCs w:val="20"/>
          <w:color w:val="auto"/>
        </w:rPr>
      </w:pPr>
    </w:p>
    <w:p>
      <w:pPr>
        <w:ind w:right="20" w:firstLine="315"/>
        <w:spacing w:after="0" w:line="278" w:lineRule="auto"/>
        <w:rPr>
          <w:sz w:val="20"/>
          <w:szCs w:val="20"/>
          <w:color w:val="auto"/>
        </w:rPr>
      </w:pPr>
      <w:r>
        <w:rPr>
          <w:rFonts w:ascii="Arial" w:cs="Arial" w:eastAsia="Arial" w:hAnsi="Arial"/>
          <w:sz w:val="17"/>
          <w:szCs w:val="17"/>
          <w:color w:val="auto"/>
        </w:rPr>
        <w:t>The compensation provided to our named executive officers for the fiscal year ended December 31, 2023 is detailed in the 2023 Summary Compensation Table and accompanying footnotes and narrative that follow. Our named executive officers for the fiscal year ended December 31, 2023 were:</w:t>
      </w:r>
    </w:p>
    <w:p>
      <w:pPr>
        <w:spacing w:after="0" w:line="55" w:lineRule="exact"/>
        <w:rPr>
          <w:sz w:val="20"/>
          <w:szCs w:val="20"/>
          <w:color w:val="auto"/>
        </w:rPr>
      </w:pPr>
    </w:p>
    <w:p>
      <w:pPr>
        <w:ind w:left="780" w:hanging="303"/>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Marcio Souza, our President and Chief Executive Officer;</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Timothy Kelly, our Chief Financial Officer; and</w:t>
      </w:r>
    </w:p>
    <w:p>
      <w:pPr>
        <w:spacing w:after="0" w:line="119" w:lineRule="exact"/>
        <w:rPr>
          <w:rFonts w:ascii="Arial" w:cs="Arial" w:eastAsia="Arial" w:hAnsi="Arial"/>
          <w:sz w:val="17"/>
          <w:szCs w:val="17"/>
          <w:color w:val="auto"/>
        </w:rPr>
      </w:pPr>
    </w:p>
    <w:p>
      <w:pPr>
        <w:ind w:left="780" w:hanging="303"/>
        <w:spacing w:after="0"/>
        <w:tabs>
          <w:tab w:leader="none" w:pos="7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Alex Nemiroff, our General Counsel.</w:t>
      </w:r>
    </w:p>
    <w:p>
      <w:pPr>
        <w:spacing w:after="0" w:line="119" w:lineRule="exact"/>
        <w:rPr>
          <w:sz w:val="20"/>
          <w:szCs w:val="20"/>
          <w:color w:val="auto"/>
        </w:rPr>
      </w:pPr>
    </w:p>
    <w:p>
      <w:pPr>
        <w:ind w:right="180" w:firstLine="315"/>
        <w:spacing w:after="0" w:line="300" w:lineRule="auto"/>
        <w:rPr>
          <w:sz w:val="20"/>
          <w:szCs w:val="20"/>
          <w:color w:val="auto"/>
        </w:rPr>
      </w:pPr>
      <w:r>
        <w:rPr>
          <w:rFonts w:ascii="Arial" w:cs="Arial" w:eastAsia="Arial" w:hAnsi="Arial"/>
          <w:sz w:val="17"/>
          <w:szCs w:val="17"/>
          <w:color w:val="auto"/>
        </w:rPr>
        <w:t>We are a “smaller reporting company” as that term is used under the rules promulgated under the Securities Act of 1933, as amended, and as such have used the reduced compensation disclosure requirements applicable to smaller reporting companies consistent with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Summary Compensation Table</w:t>
      </w:r>
    </w:p>
    <w:p>
      <w:pPr>
        <w:spacing w:after="0" w:line="121" w:lineRule="exact"/>
        <w:rPr>
          <w:sz w:val="20"/>
          <w:szCs w:val="20"/>
          <w:color w:val="auto"/>
        </w:rPr>
      </w:pPr>
    </w:p>
    <w:p>
      <w:pPr>
        <w:ind w:right="60" w:firstLine="315"/>
        <w:spacing w:after="0" w:line="300" w:lineRule="auto"/>
        <w:rPr>
          <w:sz w:val="20"/>
          <w:szCs w:val="20"/>
          <w:color w:val="auto"/>
        </w:rPr>
      </w:pPr>
      <w:r>
        <w:rPr>
          <w:rFonts w:ascii="Arial" w:cs="Arial" w:eastAsia="Arial" w:hAnsi="Arial"/>
          <w:sz w:val="17"/>
          <w:szCs w:val="17"/>
          <w:color w:val="auto"/>
        </w:rPr>
        <w:t>The following table sets forth information regarding compensation awarded to, earned by or paid to our named executive officers for services rendered to us in all capacities during the fiscal years indicated.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Non-Equity</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4"/>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Stock</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Option</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Incentive Plan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1060" w:type="dxa"/>
            <w:vAlign w:val="bottom"/>
          </w:tcPr>
          <w:p>
            <w:pPr>
              <w:spacing w:after="0"/>
              <w:rPr>
                <w:sz w:val="15"/>
                <w:szCs w:val="15"/>
                <w:color w:val="auto"/>
              </w:rPr>
            </w:pPr>
          </w:p>
        </w:tc>
      </w:tr>
      <w:tr>
        <w:trPr>
          <w:trHeight w:val="197"/>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Awards</w:t>
            </w:r>
          </w:p>
        </w:tc>
        <w:tc>
          <w:tcPr>
            <w:tcW w:w="10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Awards</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Compensation</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Compensation</w:t>
            </w:r>
          </w:p>
        </w:tc>
        <w:tc>
          <w:tcPr>
            <w:tcW w:w="1060" w:type="dxa"/>
            <w:vAlign w:val="bottom"/>
          </w:tcPr>
          <w:p>
            <w:pPr>
              <w:spacing w:after="0"/>
              <w:rPr>
                <w:sz w:val="17"/>
                <w:szCs w:val="17"/>
                <w:color w:val="auto"/>
              </w:rPr>
            </w:pPr>
          </w:p>
        </w:tc>
      </w:tr>
      <w:tr>
        <w:trPr>
          <w:trHeight w:val="233"/>
        </w:trPr>
        <w:tc>
          <w:tcPr>
            <w:tcW w:w="30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Name and Principal Position</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Year</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Salary ($)</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Total ($)</w:t>
            </w:r>
          </w:p>
        </w:tc>
      </w:tr>
      <w:tr>
        <w:trPr>
          <w:trHeight w:val="195"/>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Marcio Souza</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35"/>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President and Chief Executive Officer</w:t>
            </w:r>
          </w:p>
        </w:tc>
        <w:tc>
          <w:tcPr>
            <w:tcW w:w="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941,364</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515,625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38,523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2,120,512</w:t>
            </w:r>
          </w:p>
        </w:tc>
      </w:tr>
      <w:tr>
        <w:trPr>
          <w:trHeight w:val="228"/>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625,000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1,340,140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3,649,420</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38,518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6,028,078</w:t>
            </w:r>
          </w:p>
        </w:tc>
      </w:tr>
      <w:tr>
        <w:trPr>
          <w:trHeight w:val="205"/>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Timothy Kelly</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5"/>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5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2023</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465,000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332,217</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204,600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21,983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1,023,800</w:t>
            </w:r>
          </w:p>
        </w:tc>
      </w:tr>
      <w:tr>
        <w:trPr>
          <w:trHeight w:val="228"/>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rPr>
              <w:t>465,000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6"/>
              </w:rPr>
              <w:t>434,640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1,235,085</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148,800</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19,688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2,303,213</w:t>
            </w:r>
          </w:p>
        </w:tc>
      </w:tr>
      <w:tr>
        <w:trPr>
          <w:trHeight w:val="205"/>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Alex Nemiroff</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5"/>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General Counsel</w:t>
            </w:r>
          </w:p>
        </w:tc>
        <w:tc>
          <w:tcPr>
            <w:tcW w:w="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265,767</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176,000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1,338</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843,105</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30" w:lineRule="exact"/>
        <w:rPr>
          <w:sz w:val="20"/>
          <w:szCs w:val="20"/>
          <w:color w:val="auto"/>
        </w:rPr>
      </w:pPr>
    </w:p>
    <w:p>
      <w:pPr>
        <w:ind w:left="320" w:right="20" w:hanging="315"/>
        <w:spacing w:after="0" w:line="257"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 date fair value of the stock options and restricted stock units awarded to the named executive officers during the year indicated, calculated in accordance with Financial Accounting Standards Board, or FASB, Accounting Standards Codification, ASC, Topic 718. Such grant date fair values do not take into account any estimated forfeitures. The assumptions used in calculating the grant date fair value of the stock options reported in this column are set forth in Note 11 to our consolidated financial statements in this Annual Report. The amounts reported in this column reflect the accounting cost for these awards and do not correspond to the actual economic value that may be received by the named executive officers upon the exercise of the stock options, vesting or settlement of restricted stock units or any sale of the underlying shares of common stock.</w:t>
      </w:r>
    </w:p>
    <w:p>
      <w:pPr>
        <w:spacing w:after="0" w:line="3" w:lineRule="exact"/>
        <w:rPr>
          <w:rFonts w:ascii="Arial" w:cs="Arial" w:eastAsia="Arial" w:hAnsi="Arial"/>
          <w:sz w:val="17"/>
          <w:szCs w:val="17"/>
          <w:color w:val="auto"/>
        </w:rPr>
      </w:pPr>
    </w:p>
    <w:p>
      <w:pPr>
        <w:jc w:val="both"/>
        <w:ind w:left="320" w:right="180" w:hanging="315"/>
        <w:spacing w:after="0" w:line="257"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amounts reported represent actual bonuses earned for performance during the applicable year by our named executive officers based upon the achievement of our corporate objectives for such year, as described under “Narrative to Summary Compensation Table — Annual Bonus.”</w:t>
      </w:r>
    </w:p>
    <w:p>
      <w:pPr>
        <w:spacing w:after="0" w:line="1" w:lineRule="exact"/>
        <w:rPr>
          <w:rFonts w:ascii="Arial" w:cs="Arial" w:eastAsia="Arial" w:hAnsi="Arial"/>
          <w:sz w:val="17"/>
          <w:szCs w:val="17"/>
          <w:color w:val="auto"/>
        </w:rPr>
      </w:pPr>
    </w:p>
    <w:p>
      <w:pPr>
        <w:ind w:left="320" w:right="360" w:hanging="315"/>
        <w:spacing w:after="0" w:line="265" w:lineRule="auto"/>
        <w:tabs>
          <w:tab w:leader="none" w:pos="3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Amounts reported for 2023 include cell phone reimbursement, tax gross ups on taxable long-term disability and tax gross up for wellness benefits, as well as discretionary matching company contributions under our 401(k) plan (other than Mr. Nemiroff). For Mr. Souza, the amounts reported also include reimbursement for premiums and a tax gross up on a supplemental long-term disability and life insurance policy owned by him.</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the 2023 Summary Compensation Table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Salaries</w:t>
      </w:r>
    </w:p>
    <w:p>
      <w:pPr>
        <w:spacing w:after="0" w:line="119" w:lineRule="exact"/>
        <w:rPr>
          <w:sz w:val="20"/>
          <w:szCs w:val="20"/>
          <w:color w:val="auto"/>
        </w:rPr>
      </w:pPr>
    </w:p>
    <w:p>
      <w:pPr>
        <w:ind w:right="60" w:firstLine="315"/>
        <w:spacing w:after="0" w:line="266" w:lineRule="auto"/>
        <w:rPr>
          <w:sz w:val="20"/>
          <w:szCs w:val="20"/>
          <w:color w:val="auto"/>
        </w:rPr>
      </w:pPr>
      <w:r>
        <w:rPr>
          <w:rFonts w:ascii="Arial" w:cs="Arial" w:eastAsia="Arial" w:hAnsi="Arial"/>
          <w:sz w:val="17"/>
          <w:szCs w:val="17"/>
          <w:color w:val="auto"/>
        </w:rPr>
        <w:t>Each named executive officer’s base salary is a fixed component of annual compensation for performing specific duties and functions, and has been established by our Board of Directors or Compensation Committee taking into account each individual’s role, responsibilities, skills and expertise. Base salaries are reviewed annually, typically in connection with our annual performance review process, approved by our Compensation Committee or our Board of Directors and adjusted from time to time to realign salaries with market levels after taking into account individual responsibilities, performance and experience. Effective January 1, 2023, the annual base salaries for Mr. Souza, Mr. Kelly and Mr. Nemiroff were $625,000, $465,000 and $400,000,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w:t>
      </w:r>
    </w:p>
    <w:p>
      <w:pPr>
        <w:spacing w:after="0" w:line="119" w:lineRule="exact"/>
        <w:rPr>
          <w:sz w:val="20"/>
          <w:szCs w:val="20"/>
          <w:color w:val="auto"/>
        </w:rPr>
      </w:pPr>
    </w:p>
    <w:p>
      <w:pPr>
        <w:ind w:right="240" w:firstLine="315"/>
        <w:spacing w:after="0" w:line="266" w:lineRule="auto"/>
        <w:rPr>
          <w:sz w:val="20"/>
          <w:szCs w:val="20"/>
          <w:color w:val="auto"/>
        </w:rPr>
      </w:pPr>
      <w:r>
        <w:rPr>
          <w:rFonts w:ascii="Arial" w:cs="Arial" w:eastAsia="Arial" w:hAnsi="Arial"/>
          <w:sz w:val="17"/>
          <w:szCs w:val="17"/>
          <w:color w:val="auto"/>
        </w:rPr>
        <w:t>For the fiscal year ended December 31, 2023, each of our named executive officers was eligible to earn an annual bonus based on the achievement of certain pre-determined corporate performance objectives and individual performance. For the 2023 annual bonus program, corporate performance objectives generally related to delivering on financial and compliance performance milestones, establishing a leading central nervous system portfolio, generating a neurology pipeline anchored on human genetics and continuing our transformation as a best-in-class biotechnology company, as well as incorporating individual objectives associated with an executive’s area of primary responsibility within our organization.</w:t>
      </w:r>
    </w:p>
    <w:p>
      <w:pPr>
        <w:spacing w:after="0" w:line="64" w:lineRule="exact"/>
        <w:rPr>
          <w:sz w:val="20"/>
          <w:szCs w:val="20"/>
          <w:color w:val="auto"/>
        </w:rPr>
      </w:pPr>
    </w:p>
    <w:p>
      <w:pPr>
        <w:ind w:right="60" w:firstLine="315"/>
        <w:spacing w:after="0" w:line="300" w:lineRule="auto"/>
        <w:rPr>
          <w:sz w:val="20"/>
          <w:szCs w:val="20"/>
          <w:color w:val="auto"/>
        </w:rPr>
      </w:pPr>
      <w:r>
        <w:rPr>
          <w:rFonts w:ascii="Arial" w:cs="Arial" w:eastAsia="Arial" w:hAnsi="Arial"/>
          <w:sz w:val="17"/>
          <w:szCs w:val="17"/>
          <w:color w:val="auto"/>
        </w:rPr>
        <w:t>During 2023, the target annual bonuses for Mr. Souza, Mr. Kelly and Mr. Nemiroff were 75%, 40% and 40% of their base salary, respectively. The annual bonus earned by each named executive officer with respect to the fiscal</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year ended December 31, 2023 is reported under the “Non-Equity Incentive Plan Compensation” column in the “2023 Summary Compensation Table” above and was determined based upon achievement of the corporate performance objectives at 110% of target and achievement of individual performance objectives.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19"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We believe that equity grants provide our executives with a strong link to our long-term performance, bolster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Compensation Committee or Board of Directors periodically reviews the equity incentive compensation of our named executive officers and considers equity awards to be a key component of the annual compensation program, representing long-term alignment with stockholders. Our named executive officers have been granted certain options to purchase shares of our common stock and restricted stock units relating to our common stock, as described in more detail in the “Outstanding Equity Awards at 2023 Fiscal Year-End” table below.</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Arrangements with our Named Executive Officers</w:t>
      </w:r>
    </w:p>
    <w:p>
      <w:pPr>
        <w:spacing w:after="0" w:line="119" w:lineRule="exact"/>
        <w:rPr>
          <w:sz w:val="20"/>
          <w:szCs w:val="20"/>
          <w:color w:val="auto"/>
        </w:rPr>
      </w:pPr>
    </w:p>
    <w:p>
      <w:pPr>
        <w:ind w:right="180" w:firstLine="315"/>
        <w:spacing w:after="0" w:line="278" w:lineRule="auto"/>
        <w:rPr>
          <w:sz w:val="20"/>
          <w:szCs w:val="20"/>
          <w:color w:val="auto"/>
        </w:rPr>
      </w:pPr>
      <w:r>
        <w:rPr>
          <w:rFonts w:ascii="Arial" w:cs="Arial" w:eastAsia="Arial" w:hAnsi="Arial"/>
          <w:sz w:val="17"/>
          <w:szCs w:val="17"/>
          <w:color w:val="auto"/>
        </w:rPr>
        <w:t>We have employment agreements with Mr. Souza, Mr. Kelly and Mr. Nemiroff, which we refer to as the Employment Agreements. The Employment Agreements provide for specified payments and benefits in connection with a termination of employment in certain circumstances. The material terms of the Employment Agreements with Mr. Souza, Mr. Kelly and Mr. Nemiroff are summarized below.</w:t>
      </w:r>
    </w:p>
    <w:p>
      <w:pPr>
        <w:spacing w:after="0" w:line="55" w:lineRule="exact"/>
        <w:rPr>
          <w:sz w:val="20"/>
          <w:szCs w:val="20"/>
          <w:color w:val="auto"/>
        </w:rPr>
      </w:pPr>
    </w:p>
    <w:p>
      <w:pPr>
        <w:ind w:right="60" w:firstLine="315"/>
        <w:spacing w:after="0" w:line="271" w:lineRule="auto"/>
        <w:rPr>
          <w:sz w:val="20"/>
          <w:szCs w:val="20"/>
          <w:color w:val="auto"/>
        </w:rPr>
      </w:pPr>
      <w:r>
        <w:rPr>
          <w:rFonts w:ascii="Arial" w:cs="Arial" w:eastAsia="Arial" w:hAnsi="Arial"/>
          <w:sz w:val="17"/>
          <w:szCs w:val="17"/>
          <w:i w:val="1"/>
          <w:iCs w:val="1"/>
          <w:color w:val="auto"/>
        </w:rPr>
        <w:t xml:space="preserve">Marcio Souza. </w:t>
      </w:r>
      <w:r>
        <w:rPr>
          <w:rFonts w:ascii="Arial" w:cs="Arial" w:eastAsia="Arial" w:hAnsi="Arial"/>
          <w:sz w:val="17"/>
          <w:szCs w:val="17"/>
          <w:color w:val="auto"/>
        </w:rPr>
        <w:t>Under the Employment Agreement with Mr. Souza, Mr. Souza has continued to serve as our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on an at-will basis. Effective January 1, 2024, Mr. Souza’s annual base salary was increased to $640,000, which is subject to annual review, and he is eligible to earn an annual bonus with a target amount equal to 75% of his base salary. Mr. Souza is also eligible to participate in the employee benefit plans available to our employees, subject to the terms of those plans.</w:t>
      </w:r>
    </w:p>
    <w:p>
      <w:pPr>
        <w:spacing w:after="0" w:line="61" w:lineRule="exact"/>
        <w:rPr>
          <w:sz w:val="20"/>
          <w:szCs w:val="20"/>
          <w:color w:val="auto"/>
        </w:rPr>
      </w:pPr>
    </w:p>
    <w:p>
      <w:pPr>
        <w:ind w:firstLine="315"/>
        <w:spacing w:after="0" w:line="271" w:lineRule="auto"/>
        <w:rPr>
          <w:sz w:val="20"/>
          <w:szCs w:val="20"/>
          <w:color w:val="auto"/>
        </w:rPr>
      </w:pPr>
      <w:r>
        <w:rPr>
          <w:rFonts w:ascii="Arial" w:cs="Arial" w:eastAsia="Arial" w:hAnsi="Arial"/>
          <w:sz w:val="17"/>
          <w:szCs w:val="17"/>
          <w:i w:val="1"/>
          <w:iCs w:val="1"/>
          <w:color w:val="auto"/>
        </w:rPr>
        <w:t>Timothy Kelly</w:t>
      </w:r>
      <w:r>
        <w:rPr>
          <w:rFonts w:ascii="Arial" w:cs="Arial" w:eastAsia="Arial" w:hAnsi="Arial"/>
          <w:sz w:val="17"/>
          <w:szCs w:val="17"/>
          <w:color w:val="auto"/>
        </w:rPr>
        <w:t>. Under the Employment Agreement with Mr. Kelly, Mr. Kelly has continued to serve as our Chief Financial Officer on an at-will</w:t>
      </w:r>
      <w:r>
        <w:rPr>
          <w:rFonts w:ascii="Arial" w:cs="Arial" w:eastAsia="Arial" w:hAnsi="Arial"/>
          <w:sz w:val="17"/>
          <w:szCs w:val="17"/>
          <w:i w:val="1"/>
          <w:iCs w:val="1"/>
          <w:color w:val="auto"/>
        </w:rPr>
        <w:t xml:space="preserve"> </w:t>
      </w:r>
      <w:r>
        <w:rPr>
          <w:rFonts w:ascii="Arial" w:cs="Arial" w:eastAsia="Arial" w:hAnsi="Arial"/>
          <w:sz w:val="17"/>
          <w:szCs w:val="17"/>
          <w:color w:val="auto"/>
        </w:rPr>
        <w:t>basis. Effective January 1, 2024, Mr. Kelly’s annual base salary was increased to $511,500, which is subject to annual review, and he is eligible to earn an annual bonus with a target amount equal to 40% of his base salary. Mr. Kelly is also eligible to participate in the employee benefit plans available to our employees, subject to the terms of those plans.</w:t>
      </w:r>
    </w:p>
    <w:p>
      <w:pPr>
        <w:spacing w:after="0" w:line="61" w:lineRule="exact"/>
        <w:rPr>
          <w:sz w:val="20"/>
          <w:szCs w:val="20"/>
          <w:color w:val="auto"/>
        </w:rPr>
      </w:pPr>
    </w:p>
    <w:p>
      <w:pPr>
        <w:ind w:firstLine="315"/>
        <w:spacing w:after="0" w:line="271" w:lineRule="auto"/>
        <w:rPr>
          <w:sz w:val="20"/>
          <w:szCs w:val="20"/>
          <w:color w:val="auto"/>
        </w:rPr>
      </w:pPr>
      <w:r>
        <w:rPr>
          <w:rFonts w:ascii="Arial" w:cs="Arial" w:eastAsia="Arial" w:hAnsi="Arial"/>
          <w:sz w:val="17"/>
          <w:szCs w:val="17"/>
          <w:i w:val="1"/>
          <w:iCs w:val="1"/>
          <w:color w:val="auto"/>
        </w:rPr>
        <w:t>Alex Nemiroff</w:t>
      </w:r>
      <w:r>
        <w:rPr>
          <w:rFonts w:ascii="Arial" w:cs="Arial" w:eastAsia="Arial" w:hAnsi="Arial"/>
          <w:sz w:val="17"/>
          <w:szCs w:val="17"/>
          <w:color w:val="auto"/>
        </w:rPr>
        <w:t>. Under the Employment Agreement with Mr. Nemiroff, Mr. Nemiroff has continued to serve as our General Counsel on an at-will</w:t>
      </w:r>
      <w:r>
        <w:rPr>
          <w:rFonts w:ascii="Arial" w:cs="Arial" w:eastAsia="Arial" w:hAnsi="Arial"/>
          <w:sz w:val="17"/>
          <w:szCs w:val="17"/>
          <w:i w:val="1"/>
          <w:iCs w:val="1"/>
          <w:color w:val="auto"/>
        </w:rPr>
        <w:t xml:space="preserve"> </w:t>
      </w:r>
      <w:r>
        <w:rPr>
          <w:rFonts w:ascii="Arial" w:cs="Arial" w:eastAsia="Arial" w:hAnsi="Arial"/>
          <w:sz w:val="17"/>
          <w:szCs w:val="17"/>
          <w:color w:val="auto"/>
        </w:rPr>
        <w:t>basis. Effective January 1, 2024, Mr. Nemiroff’s annual base salary was increased to $ 442,940, which is subject to annual review, and he is eligible to earn an annual bonus with a target amount equal to 40% of his base salary. Mr. Nemiroff is also eligible to participate in the employee benefit plans available to our employees, subject to the terms of those plans.</w:t>
      </w:r>
    </w:p>
    <w:p>
      <w:pPr>
        <w:spacing w:after="0" w:line="61" w:lineRule="exact"/>
        <w:rPr>
          <w:sz w:val="20"/>
          <w:szCs w:val="20"/>
          <w:color w:val="auto"/>
        </w:rPr>
      </w:pPr>
    </w:p>
    <w:p>
      <w:pPr>
        <w:ind w:right="100" w:firstLine="315"/>
        <w:spacing w:after="0" w:line="260" w:lineRule="auto"/>
        <w:rPr>
          <w:sz w:val="20"/>
          <w:szCs w:val="20"/>
          <w:color w:val="auto"/>
        </w:rPr>
      </w:pPr>
      <w:r>
        <w:rPr>
          <w:rFonts w:ascii="Arial" w:cs="Arial" w:eastAsia="Arial" w:hAnsi="Arial"/>
          <w:sz w:val="17"/>
          <w:szCs w:val="17"/>
          <w:color w:val="auto"/>
        </w:rPr>
        <w:t>Pursuant to the Employment Agreements, in the event that Mr. Souza’s, Mr. Kelly's or Mr. Nemiroff's employment is terminated by us without “cause” or Mr. Souza, Mr. Kelly or Mr. Nemiroff resigns for “good reason” (as defined in the Employment Agreements), subject to the execution and effectiveness of a separation agreement, including a general release of claims in our favor, Mr. Souza, Mr. Kelly or Mr. Nemiroff, as applicable, (i) will be entitled to receive base salary continuation for nine months (12 months for Mr. Souza) following termination, and (ii) subject to the executive’s co-payment of premium amounts at the applicable active employees’ rate and proper election to continue COBRA health coverage, we will cover the portion of the premium amount equal to the amount that we would have paid to provide health insurance to the executive had such executive remained employed with us until the earliest of (A) nine months (12 months for Mr. Souza) following termination,</w:t>
      </w:r>
    </w:p>
    <w:p>
      <w:pPr>
        <w:spacing w:after="0" w:line="2" w:lineRule="exact"/>
        <w:rPr>
          <w:sz w:val="20"/>
          <w:szCs w:val="20"/>
          <w:color w:val="auto"/>
        </w:rPr>
      </w:pPr>
    </w:p>
    <w:p>
      <w:pPr>
        <w:ind w:right="440" w:firstLine="5"/>
        <w:spacing w:after="0" w:line="280" w:lineRule="auto"/>
        <w:tabs>
          <w:tab w:leader="none" w:pos="281"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executive’s eligibility for group medical plan benefits under any other employer’s group medical plan or (C) the end of the executive’s COBRA health continuation period.</w:t>
      </w:r>
    </w:p>
    <w:p>
      <w:pPr>
        <w:spacing w:after="0" w:line="52"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color w:val="auto"/>
        </w:rPr>
        <w:t>In lieu of the payments and benefits described in the preceding sentence, in the event Mr. Souza’s, Mr. Kelly's or Mr. Nemiroff's employment is terminated by us without cause or Mr. Souza, Mr. Kelly or Mr. Nemiroff resigns for good reason, in either case on or within 12 months following a “change of control” (as defined in the Employment Agreements), subject to the execution and effectiveness of a separation agreement, including a general release of claims in our favor, (i) the executive will be entitled to receive a lump sum in cash equal to one times (1.5 times for Mr. Souza) the sum of (A) the executive’s then-current annual base salary (or the executive’s annual base salary in effect immediately prior to the change of control, if higher) plus (B) the executive’s target annual cash incentive compensation for the year of termination (or the executive’s target annual cash incentive compensation in effect immediately prior to the change of control, if higher), (ii) subject to the executive’s co-payment of premium amounts at the applicable active employees’ rate and proper election to continue COBRA health coverage, we will cover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portion of the premium amount equal to the amount that we would have paid to provide health insurance to the executive had such executive remained employed with us until the earliest of (A) 12 months (18 months for Mr. Souza) following termination, (B) the executive’s eligibility for group medical plan benefits under any other employer’s group medical plan or (C) the end of the executive’s COBRA health continuation period, and (iii) the vesting of 100% of all stock options and other stock-based awards subject solely to time-based vesting held by the executive shall be accelerated.</w:t>
      </w:r>
    </w:p>
    <w:p>
      <w:pPr>
        <w:spacing w:after="0" w:line="63"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The payments and benefits provided to each of the executives in connection with a change of control may not be eligible for a federal income tax deduction for the company pursuant to Section 280G of the Code and may subject the executive to an excise tax under Section 4999 of the Code. If the payments or benefits payable to the executive in connection with a change of control would be subject to the excise tax on golden parachutes imposed under Section 4999 of the Code, then those payments or benefits will be reduced if such reduction would result in a higher net after-tax benefit to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2023 Fiscal Year-End</w:t>
      </w:r>
    </w:p>
    <w:p>
      <w:pPr>
        <w:spacing w:after="0" w:line="121" w:lineRule="exact"/>
        <w:rPr>
          <w:sz w:val="20"/>
          <w:szCs w:val="20"/>
          <w:color w:val="auto"/>
        </w:rPr>
      </w:pPr>
    </w:p>
    <w:p>
      <w:pPr>
        <w:ind w:right="200" w:firstLine="315"/>
        <w:spacing w:after="0" w:line="291" w:lineRule="auto"/>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2023. Each of the awards set forth in the table below was granted under our 2017 Stock Incentive Plan or our 2020 Stock Option and Incentive Plan.</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rPr>
              <w:t>Option Awards</w:t>
            </w:r>
          </w:p>
        </w:tc>
        <w:tc>
          <w:tcPr>
            <w:tcW w:w="1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Stock Awards</w:t>
            </w:r>
          </w:p>
        </w:tc>
      </w:tr>
      <w:tr>
        <w:trPr>
          <w:trHeight w:val="193"/>
        </w:trPr>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Number of</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Number of</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7"/>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Securities</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Securities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Number of</w:t>
            </w:r>
          </w:p>
        </w:tc>
        <w:tc>
          <w:tcPr>
            <w:tcW w:w="1060" w:type="dxa"/>
            <w:vAlign w:val="bottom"/>
          </w:tcPr>
          <w:p>
            <w:pPr>
              <w:spacing w:after="0"/>
              <w:rPr>
                <w:sz w:val="17"/>
                <w:szCs w:val="17"/>
                <w:color w:val="auto"/>
              </w:rPr>
            </w:pPr>
          </w:p>
        </w:tc>
      </w:tr>
      <w:tr>
        <w:trPr>
          <w:trHeight w:val="18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Underlying</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Underlying</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shares or</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7"/>
              </w:rPr>
              <w:t>Market Value</w:t>
            </w:r>
          </w:p>
        </w:tc>
      </w:tr>
      <w:tr>
        <w:trPr>
          <w:trHeight w:val="197"/>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Unexercised</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Unexercised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units of</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9"/>
              </w:rPr>
              <w:t>of shares of</w:t>
            </w:r>
          </w:p>
        </w:tc>
      </w:tr>
      <w:tr>
        <w:trPr>
          <w:trHeight w:val="18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Vesting</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Options (#)</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Options (#)</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Option</w:t>
            </w:r>
          </w:p>
        </w:tc>
        <w:tc>
          <w:tcPr>
            <w:tcW w:w="1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stock that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units of stock</w:t>
            </w:r>
          </w:p>
        </w:tc>
      </w:tr>
      <w:tr>
        <w:trPr>
          <w:trHeight w:val="184"/>
        </w:trPr>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Commencement</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Exercisable</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Unexercisable</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Expiration</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have not</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8"/>
              </w:rPr>
              <w:t>that have not</w:t>
            </w:r>
          </w:p>
        </w:tc>
      </w:tr>
      <w:tr>
        <w:trPr>
          <w:trHeight w:val="233"/>
        </w:trPr>
        <w:tc>
          <w:tcPr>
            <w:tcW w:w="19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Price ($)</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vested (#)(2)</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vested ($)</w:t>
            </w:r>
          </w:p>
        </w:tc>
      </w:tr>
      <w:tr>
        <w:trPr>
          <w:trHeight w:val="233"/>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Marcio Souza</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04/20/2020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58,379</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5,310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83.85</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06/04/2030</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09/08/2020</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55,684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12,851</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133.65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09/13/2030</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02/12/2021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8,726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3,593</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787.95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02/12/2031</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1,760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39,213</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01/07/2022</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8,272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8,993</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271.65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01/07/2032</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3,700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82,436</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06/22/2022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2,499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4,167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31.80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06/22/2032</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01/12/2023</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14,265(3)</w:t>
            </w:r>
          </w:p>
        </w:tc>
        <w:tc>
          <w:tcPr>
            <w:tcW w:w="10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44.40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01/12/2033</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01/12/2023</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28,333</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44.40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01/12/2033</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2020" w:type="dxa"/>
            <w:vAlign w:val="bottom"/>
            <w:gridSpan w:val="2"/>
          </w:tcPr>
          <w:p>
            <w:pPr>
              <w:spacing w:after="0"/>
              <w:rPr>
                <w:sz w:val="20"/>
                <w:szCs w:val="20"/>
                <w:color w:val="auto"/>
              </w:rPr>
            </w:pPr>
            <w:r>
              <w:rPr>
                <w:rFonts w:ascii="Arial" w:cs="Arial" w:eastAsia="Arial" w:hAnsi="Arial"/>
                <w:sz w:val="16"/>
                <w:szCs w:val="16"/>
                <w:color w:val="auto"/>
              </w:rPr>
              <w:t>Timothy Kelly</w:t>
            </w: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05/25/2021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8,610</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4,722</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296.10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05/25/2031</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01/07/2022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2,682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2,917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271.65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01/07/2032</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1,200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26,736</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06/22/2022</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1,625</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2,708</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31.80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06/22/2032</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01/12/2023</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2,830(3)</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44.40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01/12/2033</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01/12/2023</w:t>
            </w:r>
          </w:p>
        </w:tc>
        <w:tc>
          <w:tcPr>
            <w:tcW w:w="10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9,999</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44.40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01/12/2033</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Alex Nemiroff</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01/01/2020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1,678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83.85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06/04/2030</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09/08/2020</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5,061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1,169</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133.65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09/13/2030</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02/12/2021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2,049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843</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787.95</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02/12/2031</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413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9,202</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01/07/2022</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4"/>
              </w:rPr>
              <w:t>2,012</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2,187</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271.65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01/07/2032</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7"/>
              </w:rPr>
              <w:t>900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8"/>
              </w:rPr>
              <w:t>20,052</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06/22/2022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1,624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2,709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31.80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06/22/2032</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28"/>
        </w:trPr>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9"/>
              </w:rPr>
              <w:t>01/12/2023</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7"/>
              </w:rPr>
              <w:t>2,434(3)</w:t>
            </w:r>
          </w:p>
        </w:tc>
        <w:tc>
          <w:tcPr>
            <w:tcW w:w="10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44.40</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01/12/2033</w:t>
            </w:r>
          </w:p>
        </w:tc>
        <w:tc>
          <w:tcPr>
            <w:tcW w:w="8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01/12/2023</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7,999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44.40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01/12/2033</w:t>
            </w: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w:t>
      </w:r>
    </w:p>
    <w:p>
      <w:pPr>
        <w:spacing w:after="0" w:line="30" w:lineRule="exact"/>
        <w:rPr>
          <w:sz w:val="20"/>
          <w:szCs w:val="20"/>
          <w:color w:val="auto"/>
        </w:rPr>
      </w:pPr>
    </w:p>
    <w:p>
      <w:pPr>
        <w:ind w:left="320" w:right="340" w:hanging="315"/>
        <w:spacing w:after="0" w:line="257" w:lineRule="auto"/>
        <w:tabs>
          <w:tab w:leader="none" w:pos="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Unless otherwise noted, the stock options vest over four years, with 25% of the total shares vesting on the first anniversary of the vesting commencement date and the remainder vesting in 36 approximately equal monthly installments.</w:t>
      </w:r>
    </w:p>
    <w:p>
      <w:pPr>
        <w:ind w:left="320" w:right="160" w:hanging="315"/>
        <w:spacing w:after="0" w:line="257" w:lineRule="auto"/>
        <w:tabs>
          <w:tab w:leader="none" w:pos="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Represents restricted stock units that vest in equal annual installments on each of the first four anniversaries of the vesting commencement date.</w:t>
      </w:r>
    </w:p>
    <w:p>
      <w:pPr>
        <w:ind w:left="320" w:right="280" w:hanging="315"/>
        <w:spacing w:after="0" w:line="280" w:lineRule="auto"/>
        <w:tabs>
          <w:tab w:leader="none" w:pos="311"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stock option was granted in lieu of all or a portion of the named executive officer's cash bonus for the fiscal year ended December 31, 2022, and was vested in full on the vesting commencement date.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 Versus Performance</w:t>
      </w:r>
    </w:p>
    <w:p>
      <w:pPr>
        <w:spacing w:after="0" w:line="121" w:lineRule="exact"/>
        <w:rPr>
          <w:sz w:val="20"/>
          <w:szCs w:val="20"/>
          <w:color w:val="auto"/>
        </w:rPr>
      </w:pPr>
    </w:p>
    <w:p>
      <w:pPr>
        <w:ind w:right="40" w:firstLine="315"/>
        <w:spacing w:after="0" w:line="278" w:lineRule="auto"/>
        <w:rPr>
          <w:sz w:val="20"/>
          <w:szCs w:val="20"/>
          <w:color w:val="auto"/>
        </w:rPr>
      </w:pPr>
      <w:r>
        <w:rPr>
          <w:rFonts w:ascii="Arial" w:cs="Arial" w:eastAsia="Arial" w:hAnsi="Arial"/>
          <w:sz w:val="17"/>
          <w:szCs w:val="17"/>
          <w:color w:val="auto"/>
        </w:rPr>
        <w:t>In accordance with the SEC’s disclosure requirements regarding pay versus performance, or PVP, this section presents the SEC-defined “Compensation Actually Paid,” or CAP. Also required by the SEC, this section compares CAP to various measures used to gauge performance at Praxis.</w:t>
      </w:r>
    </w:p>
    <w:p>
      <w:pPr>
        <w:spacing w:after="0" w:line="55" w:lineRule="exact"/>
        <w:rPr>
          <w:sz w:val="20"/>
          <w:szCs w:val="20"/>
          <w:color w:val="auto"/>
        </w:rPr>
      </w:pPr>
    </w:p>
    <w:p>
      <w:pPr>
        <w:ind w:right="140" w:firstLine="315"/>
        <w:spacing w:after="0" w:line="278" w:lineRule="auto"/>
        <w:rPr>
          <w:sz w:val="20"/>
          <w:szCs w:val="20"/>
          <w:color w:val="auto"/>
        </w:rPr>
      </w:pPr>
      <w:r>
        <w:rPr>
          <w:rFonts w:ascii="Arial" w:cs="Arial" w:eastAsia="Arial" w:hAnsi="Arial"/>
          <w:sz w:val="17"/>
          <w:szCs w:val="17"/>
          <w:color w:val="auto"/>
        </w:rPr>
        <w:t>Compensation decisions at Praxis are made independently of disclosure requirements. CAP is a supplemental measure to be viewed alongside performance measures as an addition to the philosophy and strategy of compensation-setting discussed elsewhere in the overview of the executive compensation program, not in replacement.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 versus Performance Table - Compensation Definitions</w:t>
      </w:r>
    </w:p>
    <w:p>
      <w:pPr>
        <w:spacing w:after="0" w:line="119" w:lineRule="exact"/>
        <w:rPr>
          <w:sz w:val="20"/>
          <w:szCs w:val="20"/>
          <w:color w:val="auto"/>
        </w:rPr>
      </w:pPr>
    </w:p>
    <w:p>
      <w:pPr>
        <w:ind w:right="100" w:firstLine="315"/>
        <w:spacing w:after="0" w:line="278" w:lineRule="auto"/>
        <w:rPr>
          <w:sz w:val="20"/>
          <w:szCs w:val="20"/>
          <w:color w:val="auto"/>
        </w:rPr>
      </w:pPr>
      <w:r>
        <w:rPr>
          <w:rFonts w:ascii="Arial" w:cs="Arial" w:eastAsia="Arial" w:hAnsi="Arial"/>
          <w:sz w:val="17"/>
          <w:szCs w:val="17"/>
          <w:color w:val="auto"/>
        </w:rPr>
        <w:t>Salary, Bonus, Non-Equity Incentive Plan Compensation, and All Other Compensation are each calculated in the same manner for purposes of both CAP and SCT, or Summary Compensation Table, values. The primary difference between the calculation of CAP and SCT total compensation is “Stock Awards” and “Option Awards.”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Borders>
              <w:bottom w:val="single" w:sz="8" w:color="CCEEFF"/>
            </w:tcBorders>
          </w:tcPr>
          <w:p>
            <w:pPr>
              <w:spacing w:after="0"/>
              <w:rPr>
                <w:sz w:val="19"/>
                <w:szCs w:val="19"/>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SCT Total</w:t>
            </w:r>
          </w:p>
        </w:tc>
        <w:tc>
          <w:tcPr>
            <w:tcW w:w="360" w:type="dxa"/>
            <w:vAlign w:val="bottom"/>
            <w:tcBorders>
              <w:bottom w:val="single" w:sz="8" w:color="CCEEFF"/>
            </w:tcBorders>
          </w:tcPr>
          <w:p>
            <w:pPr>
              <w:spacing w:after="0"/>
              <w:rPr>
                <w:sz w:val="19"/>
                <w:szCs w:val="19"/>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CAP</w:t>
            </w:r>
          </w:p>
        </w:tc>
      </w:tr>
      <w:tr>
        <w:trPr>
          <w:trHeight w:val="168"/>
        </w:trPr>
        <w:tc>
          <w:tcPr>
            <w:tcW w:w="2380" w:type="dxa"/>
            <w:vAlign w:val="bottom"/>
            <w:shd w:val="clear" w:color="auto" w:fill="CCEEFF"/>
          </w:tcPr>
          <w:p>
            <w:pPr>
              <w:ind w:left="60"/>
              <w:spacing w:after="0" w:line="168" w:lineRule="exact"/>
              <w:rPr>
                <w:sz w:val="20"/>
                <w:szCs w:val="20"/>
                <w:color w:val="auto"/>
              </w:rPr>
            </w:pPr>
            <w:r>
              <w:rPr>
                <w:rFonts w:ascii="Arial" w:cs="Arial" w:eastAsia="Arial" w:hAnsi="Arial"/>
                <w:sz w:val="16"/>
                <w:szCs w:val="16"/>
                <w:b w:val="1"/>
                <w:bCs w:val="1"/>
                <w:color w:val="auto"/>
              </w:rPr>
              <w:t>Stock and Option Awards</w:t>
            </w:r>
          </w:p>
        </w:tc>
        <w:tc>
          <w:tcPr>
            <w:tcW w:w="4600" w:type="dxa"/>
            <w:vAlign w:val="bottom"/>
            <w:gridSpan w:val="2"/>
            <w:shd w:val="clear" w:color="auto" w:fill="CCEEFF"/>
          </w:tcPr>
          <w:p>
            <w:pPr>
              <w:jc w:val="center"/>
              <w:ind w:right="360"/>
              <w:spacing w:after="0" w:line="168" w:lineRule="exact"/>
              <w:rPr>
                <w:sz w:val="20"/>
                <w:szCs w:val="20"/>
                <w:color w:val="auto"/>
              </w:rPr>
            </w:pPr>
            <w:r>
              <w:rPr>
                <w:rFonts w:ascii="Arial" w:cs="Arial" w:eastAsia="Arial" w:hAnsi="Arial"/>
                <w:sz w:val="16"/>
                <w:szCs w:val="16"/>
                <w:color w:val="auto"/>
                <w:w w:val="98"/>
              </w:rPr>
              <w:t>Grant date fair value of stock and option awards granted</w:t>
            </w:r>
          </w:p>
        </w:tc>
        <w:tc>
          <w:tcPr>
            <w:tcW w:w="42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8"/>
              </w:rPr>
              <w:t>Year over year change in the fair value of stock and option</w:t>
            </w:r>
          </w:p>
        </w:tc>
      </w:tr>
      <w:tr>
        <w:trPr>
          <w:trHeight w:val="184"/>
        </w:trPr>
        <w:tc>
          <w:tcPr>
            <w:tcW w:w="2380" w:type="dxa"/>
            <w:vAlign w:val="bottom"/>
            <w:shd w:val="clear" w:color="auto" w:fill="CCEEFF"/>
          </w:tcPr>
          <w:p>
            <w:pPr>
              <w:spacing w:after="0"/>
              <w:rPr>
                <w:sz w:val="15"/>
                <w:szCs w:val="15"/>
                <w:color w:val="auto"/>
              </w:rPr>
            </w:pPr>
          </w:p>
        </w:tc>
        <w:tc>
          <w:tcPr>
            <w:tcW w:w="460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color w:val="auto"/>
                <w:w w:val="97"/>
              </w:rPr>
              <w:t>during the year</w:t>
            </w:r>
          </w:p>
        </w:tc>
        <w:tc>
          <w:tcPr>
            <w:tcW w:w="4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awards that are unvested as of the end of the year, or</w:t>
            </w:r>
          </w:p>
        </w:tc>
      </w:tr>
      <w:tr>
        <w:trPr>
          <w:trHeight w:val="222"/>
        </w:trPr>
        <w:tc>
          <w:tcPr>
            <w:tcW w:w="2380" w:type="dxa"/>
            <w:vAlign w:val="bottom"/>
            <w:shd w:val="clear" w:color="auto" w:fill="CCEEFF"/>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vested or were forfeited during the year</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 Versus Performance Table</w:t>
      </w:r>
    </w:p>
    <w:p>
      <w:pPr>
        <w:spacing w:after="0" w:line="119" w:lineRule="exact"/>
        <w:rPr>
          <w:sz w:val="20"/>
          <w:szCs w:val="20"/>
          <w:color w:val="auto"/>
        </w:rPr>
      </w:pPr>
    </w:p>
    <w:p>
      <w:pPr>
        <w:ind w:right="140" w:firstLine="315"/>
        <w:spacing w:after="0" w:line="300" w:lineRule="auto"/>
        <w:rPr>
          <w:sz w:val="20"/>
          <w:szCs w:val="20"/>
          <w:color w:val="auto"/>
        </w:rPr>
      </w:pPr>
      <w:r>
        <w:rPr>
          <w:rFonts w:ascii="Arial" w:cs="Arial" w:eastAsia="Arial" w:hAnsi="Arial"/>
          <w:sz w:val="17"/>
          <w:szCs w:val="17"/>
          <w:color w:val="auto"/>
        </w:rPr>
        <w:t>In accordance with the SEC’s PVP rules, the following table sets forth information concerning the compensation of our NEOs for each of the fiscal years ended December 31, 2023, 2022 and 2021, and our financial performance for each such fiscal year: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 Summary</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Value of Initial Fixed</w:t>
            </w:r>
          </w:p>
        </w:tc>
        <w:tc>
          <w:tcPr>
            <w:tcW w:w="1040" w:type="dxa"/>
            <w:vAlign w:val="bottom"/>
          </w:tcPr>
          <w:p>
            <w:pPr>
              <w:spacing w:after="0"/>
              <w:rPr>
                <w:sz w:val="16"/>
                <w:szCs w:val="16"/>
                <w:color w:val="auto"/>
              </w:rPr>
            </w:pPr>
          </w:p>
        </w:tc>
      </w:tr>
      <w:tr>
        <w:trPr>
          <w:trHeight w:val="184"/>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Summary</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Compensation</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Compensation Table</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Compensation</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$100 Investment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GAAP</w:t>
            </w:r>
          </w:p>
        </w:tc>
      </w:tr>
      <w:tr>
        <w:trPr>
          <w:trHeight w:val="170"/>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140"/>
              <w:spacing w:after="0" w:line="171" w:lineRule="exact"/>
              <w:rPr>
                <w:sz w:val="20"/>
                <w:szCs w:val="20"/>
                <w:color w:val="auto"/>
              </w:rPr>
            </w:pPr>
            <w:r>
              <w:rPr>
                <w:rFonts w:ascii="Arial" w:cs="Arial" w:eastAsia="Arial" w:hAnsi="Arial"/>
                <w:sz w:val="16"/>
                <w:szCs w:val="16"/>
                <w:b w:val="1"/>
                <w:bCs w:val="1"/>
                <w:color w:val="auto"/>
                <w:w w:val="97"/>
              </w:rPr>
              <w:t>Compensation Table</w:t>
            </w:r>
          </w:p>
        </w:tc>
        <w:tc>
          <w:tcPr>
            <w:tcW w:w="184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8"/>
              </w:rPr>
              <w:t>Actually Paid to PEO</w:t>
            </w:r>
          </w:p>
        </w:tc>
        <w:tc>
          <w:tcPr>
            <w:tcW w:w="186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6"/>
              </w:rPr>
              <w:t>Total for Non-PEO</w:t>
            </w:r>
          </w:p>
        </w:tc>
        <w:tc>
          <w:tcPr>
            <w:tcW w:w="186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8"/>
              </w:rPr>
              <w:t>Actually Paid to Non-</w:t>
            </w:r>
          </w:p>
        </w:tc>
        <w:tc>
          <w:tcPr>
            <w:tcW w:w="1860" w:type="dxa"/>
            <w:vAlign w:val="bottom"/>
            <w:gridSpan w:val="2"/>
          </w:tcPr>
          <w:p>
            <w:pPr>
              <w:jc w:val="center"/>
              <w:ind w:right="100"/>
              <w:spacing w:after="0" w:line="171" w:lineRule="exact"/>
              <w:rPr>
                <w:sz w:val="20"/>
                <w:szCs w:val="20"/>
                <w:color w:val="auto"/>
              </w:rPr>
            </w:pPr>
            <w:r>
              <w:rPr>
                <w:rFonts w:ascii="Arial" w:cs="Arial" w:eastAsia="Arial" w:hAnsi="Arial"/>
                <w:sz w:val="16"/>
                <w:szCs w:val="16"/>
                <w:b w:val="1"/>
                <w:bCs w:val="1"/>
                <w:color w:val="auto"/>
                <w:w w:val="96"/>
              </w:rPr>
              <w:t>Based on: Total</w:t>
            </w:r>
          </w:p>
        </w:tc>
        <w:tc>
          <w:tcPr>
            <w:tcW w:w="104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7"/>
              </w:rPr>
              <w:t>Net Income</w:t>
            </w:r>
          </w:p>
        </w:tc>
      </w:tr>
      <w:tr>
        <w:trPr>
          <w:trHeight w:val="233"/>
        </w:trPr>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Year (1)</w:t>
            </w: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Total for PEO ($)</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auto"/>
                <w:w w:val="98"/>
              </w:rPr>
              <w:t>($)(2)(3)</w:t>
            </w: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NEOs ($)</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PEO NEOs ($)(2)(3)</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Shareholder Return ($)</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($)(4)</w:t>
            </w:r>
          </w:p>
        </w:tc>
      </w:tr>
      <w:tr>
        <w:trPr>
          <w:trHeight w:val="220"/>
        </w:trPr>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2023</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2,120,512</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1,398,586</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933,453</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726,983</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$2.70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-123</w:t>
            </w:r>
          </w:p>
        </w:tc>
      </w:tr>
      <w:tr>
        <w:trPr>
          <w:trHeight w:val="215"/>
        </w:trPr>
        <w:tc>
          <w:tcPr>
            <w:tcW w:w="820" w:type="dxa"/>
            <w:vAlign w:val="bottom"/>
          </w:tcPr>
          <w:p>
            <w:pPr>
              <w:jc w:val="center"/>
              <w:spacing w:after="0"/>
              <w:rPr>
                <w:sz w:val="20"/>
                <w:szCs w:val="20"/>
                <w:color w:val="auto"/>
              </w:rPr>
            </w:pPr>
            <w:r>
              <w:rPr>
                <w:rFonts w:ascii="Arial" w:cs="Arial" w:eastAsia="Arial" w:hAnsi="Arial"/>
                <w:sz w:val="16"/>
                <w:szCs w:val="16"/>
                <w:color w:val="auto"/>
                <w:w w:val="95"/>
              </w:rPr>
              <w:t>2022</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8"/>
              </w:rPr>
              <w:t>6,028,078</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8"/>
              </w:rPr>
              <w:t>-17,643,206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8"/>
              </w:rPr>
              <w:t>2,450,241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-1,656,422</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$4.33</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-214</w:t>
            </w:r>
          </w:p>
        </w:tc>
      </w:tr>
      <w:tr>
        <w:trPr>
          <w:trHeight w:val="231"/>
        </w:trPr>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2021</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10,905,820</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-62,152,872</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4,118,514</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-6,315,773</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$35.81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-167</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2" w:lineRule="exact"/>
        <w:rPr>
          <w:sz w:val="20"/>
          <w:szCs w:val="20"/>
          <w:color w:val="auto"/>
        </w:rPr>
      </w:pPr>
    </w:p>
    <w:p>
      <w:pPr>
        <w:ind w:left="640" w:right="120" w:hanging="320"/>
        <w:spacing w:after="0" w:line="269" w:lineRule="auto"/>
        <w:tabs>
          <w:tab w:leader="none" w:pos="63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PEO (CEO) in both reporting years is Marcio Souza. The non-PEO NEOs in the 2023 reporting year are Timothy Kelly and Alex Nemiroff. The non-PEO NEOs in the 2022 reporting year are Timothy Kelly, Nicole Sweeny and Bernard Ravina. The non-PEO NEOs in the 2021 reporting year are Nicole Sweeny and Bernard Ravina.</w:t>
      </w:r>
    </w:p>
    <w:p>
      <w:pPr>
        <w:spacing w:after="0" w:line="61" w:lineRule="exact"/>
        <w:rPr>
          <w:rFonts w:ascii="Arial" w:cs="Arial" w:eastAsia="Arial" w:hAnsi="Arial"/>
          <w:sz w:val="17"/>
          <w:szCs w:val="17"/>
          <w:color w:val="auto"/>
        </w:rPr>
      </w:pPr>
    </w:p>
    <w:p>
      <w:pPr>
        <w:ind w:left="640" w:right="200" w:hanging="320"/>
        <w:spacing w:after="0" w:line="300" w:lineRule="auto"/>
        <w:tabs>
          <w:tab w:leader="none" w:pos="63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CAP was calculated beginning with the PEO’s SCT total. Thee following amounts were deducted from and added to the applicable SCT total compensation:</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60"/>
        <w:spacing w:after="0" w:line="264" w:lineRule="auto"/>
        <w:rPr>
          <w:sz w:val="20"/>
          <w:szCs w:val="20"/>
          <w:color w:val="auto"/>
        </w:rPr>
      </w:pPr>
      <w:r>
        <w:rPr>
          <w:rFonts w:ascii="Arial" w:cs="Arial" w:eastAsia="Arial" w:hAnsi="Arial"/>
          <w:sz w:val="16"/>
          <w:szCs w:val="16"/>
          <w:b w:val="1"/>
          <w:bCs w:val="1"/>
          <w:color w:val="auto"/>
        </w:rPr>
        <w:t>Summary Compensation Table Total</w:t>
      </w:r>
    </w:p>
    <w:p>
      <w:pPr>
        <w:spacing w:after="0" w:line="4" w:lineRule="exact"/>
        <w:rPr>
          <w:sz w:val="20"/>
          <w:szCs w:val="20"/>
          <w:color w:val="auto"/>
        </w:rPr>
      </w:pPr>
    </w:p>
    <w:p>
      <w:pPr>
        <w:ind w:left="20" w:right="320"/>
        <w:spacing w:after="0"/>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Change in Pension Value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in Summary</w:t>
      </w:r>
    </w:p>
    <w:p>
      <w:pPr>
        <w:ind w:left="20"/>
        <w:spacing w:after="0"/>
        <w:rPr>
          <w:sz w:val="20"/>
          <w:szCs w:val="20"/>
          <w:color w:val="auto"/>
        </w:rPr>
      </w:pPr>
      <w:r>
        <w:rPr>
          <w:rFonts w:ascii="Arial" w:cs="Arial" w:eastAsia="Arial" w:hAnsi="Arial"/>
          <w:sz w:val="16"/>
          <w:szCs w:val="16"/>
          <w:color w:val="auto"/>
        </w:rPr>
        <w:t>Compensation Table</w:t>
      </w:r>
    </w:p>
    <w:p>
      <w:pPr>
        <w:spacing w:after="0" w:line="25" w:lineRule="exact"/>
        <w:rPr>
          <w:sz w:val="20"/>
          <w:szCs w:val="20"/>
          <w:color w:val="auto"/>
        </w:rPr>
      </w:pPr>
    </w:p>
    <w:p>
      <w:pPr>
        <w:ind w:left="20" w:right="80"/>
        <w:spacing w:after="0" w:line="238" w:lineRule="auto"/>
        <w:rPr>
          <w:sz w:val="20"/>
          <w:szCs w:val="20"/>
          <w:color w:val="auto"/>
        </w:rPr>
      </w:pPr>
      <w:r>
        <w:rPr>
          <w:rFonts w:ascii="Arial" w:cs="Arial" w:eastAsia="Arial" w:hAnsi="Arial"/>
          <w:sz w:val="16"/>
          <w:szCs w:val="16"/>
          <w:i w:val="1"/>
          <w:iCs w:val="1"/>
          <w:color w:val="auto"/>
        </w:rPr>
        <w:t xml:space="preserve">Less </w:t>
      </w:r>
      <w:r>
        <w:rPr>
          <w:rFonts w:ascii="Arial" w:cs="Arial" w:eastAsia="Arial" w:hAnsi="Arial"/>
          <w:sz w:val="16"/>
          <w:szCs w:val="16"/>
          <w:color w:val="auto"/>
        </w:rPr>
        <w:t>values of Stock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Awards Reported in Summary Compensation Table for the Covered Year</w:t>
      </w:r>
    </w:p>
    <w:p>
      <w:pPr>
        <w:spacing w:after="0" w:line="31" w:lineRule="exact"/>
        <w:rPr>
          <w:sz w:val="20"/>
          <w:szCs w:val="20"/>
          <w:color w:val="auto"/>
        </w:rPr>
      </w:pPr>
    </w:p>
    <w:p>
      <w:pPr>
        <w:ind w:left="20" w:right="140"/>
        <w:spacing w:after="0" w:line="238" w:lineRule="auto"/>
        <w:rPr>
          <w:sz w:val="20"/>
          <w:szCs w:val="20"/>
          <w:color w:val="auto"/>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Fair Value of Equity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During Fiscal Year that are Outstanding and Unvested at End of Year</w:t>
      </w:r>
    </w:p>
    <w:p>
      <w:pPr>
        <w:spacing w:after="0" w:line="31" w:lineRule="exact"/>
        <w:rPr>
          <w:sz w:val="20"/>
          <w:szCs w:val="20"/>
          <w:color w:val="auto"/>
        </w:rPr>
      </w:pPr>
    </w:p>
    <w:p>
      <w:pPr>
        <w:ind w:left="20" w:right="100"/>
        <w:spacing w:after="0" w:line="238" w:lineRule="auto"/>
        <w:rPr>
          <w:sz w:val="20"/>
          <w:szCs w:val="20"/>
          <w:color w:val="auto"/>
        </w:rPr>
      </w:pPr>
      <w:r>
        <w:rPr>
          <w:rFonts w:ascii="Arial" w:cs="Arial" w:eastAsia="Arial" w:hAnsi="Arial"/>
          <w:sz w:val="16"/>
          <w:szCs w:val="16"/>
          <w:i w:val="1"/>
          <w:iCs w:val="1"/>
          <w:color w:val="auto"/>
        </w:rPr>
        <w:t xml:space="preserve">Plus (Less) </w:t>
      </w:r>
      <w:r>
        <w:rPr>
          <w:rFonts w:ascii="Arial" w:cs="Arial" w:eastAsia="Arial" w:hAnsi="Arial"/>
          <w:sz w:val="16"/>
          <w:szCs w:val="16"/>
          <w:color w:val="auto"/>
        </w:rPr>
        <w:t>Change in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Equity Awards Granted in Any Prior Fiscal Year that are Outstanding and Unvested at End of Year</w:t>
      </w:r>
    </w:p>
    <w:p>
      <w:pPr>
        <w:spacing w:after="0" w:line="19" w:lineRule="exact"/>
        <w:rPr>
          <w:sz w:val="20"/>
          <w:szCs w:val="20"/>
          <w:color w:val="auto"/>
        </w:rPr>
      </w:pPr>
    </w:p>
    <w:p>
      <w:pPr>
        <w:ind w:left="20" w:right="20"/>
        <w:spacing w:after="0" w:line="245" w:lineRule="auto"/>
        <w:rPr>
          <w:sz w:val="20"/>
          <w:szCs w:val="20"/>
          <w:color w:val="auto"/>
        </w:rPr>
      </w:pPr>
      <w:r>
        <w:rPr>
          <w:rFonts w:ascii="Arial" w:cs="Arial" w:eastAsia="Arial" w:hAnsi="Arial"/>
          <w:sz w:val="16"/>
          <w:szCs w:val="16"/>
          <w:i w:val="1"/>
          <w:iCs w:val="1"/>
          <w:color w:val="auto"/>
        </w:rPr>
        <w:t xml:space="preserve">Plus </w:t>
      </w:r>
      <w:r>
        <w:rPr>
          <w:rFonts w:ascii="Arial" w:cs="Arial" w:eastAsia="Arial" w:hAnsi="Arial"/>
          <w:sz w:val="16"/>
          <w:szCs w:val="16"/>
          <w:color w:val="auto"/>
        </w:rPr>
        <w:t>Fair Value at Vesting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Equity Awards Granted and Vested During the Fiscal Year</w:t>
      </w:r>
    </w:p>
    <w:p>
      <w:pPr>
        <w:spacing w:after="0" w:line="14" w:lineRule="exact"/>
        <w:rPr>
          <w:sz w:val="20"/>
          <w:szCs w:val="20"/>
          <w:color w:val="auto"/>
        </w:rPr>
      </w:pPr>
    </w:p>
    <w:p>
      <w:pPr>
        <w:ind w:left="20"/>
        <w:spacing w:after="0" w:line="238" w:lineRule="auto"/>
        <w:rPr>
          <w:sz w:val="20"/>
          <w:szCs w:val="20"/>
          <w:color w:val="auto"/>
        </w:rPr>
      </w:pPr>
      <w:r>
        <w:rPr>
          <w:rFonts w:ascii="Arial" w:cs="Arial" w:eastAsia="Arial" w:hAnsi="Arial"/>
          <w:sz w:val="16"/>
          <w:szCs w:val="16"/>
          <w:i w:val="1"/>
          <w:iCs w:val="1"/>
          <w:color w:val="auto"/>
        </w:rPr>
        <w:t xml:space="preserve">Plus (Less) </w:t>
      </w:r>
      <w:r>
        <w:rPr>
          <w:rFonts w:ascii="Arial" w:cs="Arial" w:eastAsia="Arial" w:hAnsi="Arial"/>
          <w:sz w:val="16"/>
          <w:szCs w:val="16"/>
          <w:color w:val="auto"/>
        </w:rPr>
        <w:t>Change in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Equity Awards granted in Prior Years that Vested During the Fiscal Year</w:t>
      </w:r>
    </w:p>
    <w:p>
      <w:pPr>
        <w:spacing w:after="0" w:line="31" w:lineRule="exact"/>
        <w:rPr>
          <w:sz w:val="20"/>
          <w:szCs w:val="20"/>
          <w:color w:val="auto"/>
        </w:rPr>
      </w:pPr>
    </w:p>
    <w:p>
      <w:pPr>
        <w:ind w:left="20" w:right="160"/>
        <w:spacing w:after="0" w:line="267" w:lineRule="auto"/>
        <w:rPr>
          <w:sz w:val="20"/>
          <w:szCs w:val="20"/>
          <w:color w:val="auto"/>
        </w:rPr>
      </w:pPr>
      <w:r>
        <w:rPr>
          <w:rFonts w:ascii="Arial" w:cs="Arial" w:eastAsia="Arial" w:hAnsi="Arial"/>
          <w:sz w:val="15"/>
          <w:szCs w:val="15"/>
          <w:i w:val="1"/>
          <w:iCs w:val="1"/>
          <w:color w:val="auto"/>
        </w:rPr>
        <w:t xml:space="preserve">Less </w:t>
      </w:r>
      <w:r>
        <w:rPr>
          <w:rFonts w:ascii="Arial" w:cs="Arial" w:eastAsia="Arial" w:hAnsi="Arial"/>
          <w:sz w:val="15"/>
          <w:szCs w:val="15"/>
          <w:color w:val="auto"/>
        </w:rPr>
        <w:t>Fair Value of Equity Awards</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in Prior Year that were Forfeited During the Fiscal Year</w:t>
      </w:r>
    </w:p>
    <w:p>
      <w:pPr>
        <w:spacing w:after="0" w:line="1" w:lineRule="exact"/>
        <w:rPr>
          <w:sz w:val="20"/>
          <w:szCs w:val="20"/>
          <w:color w:val="auto"/>
        </w:rPr>
      </w:pPr>
    </w:p>
    <w:p>
      <w:pPr>
        <w:ind w:left="20" w:right="180"/>
        <w:spacing w:after="0" w:line="259" w:lineRule="auto"/>
        <w:rPr>
          <w:sz w:val="20"/>
          <w:szCs w:val="20"/>
          <w:color w:val="auto"/>
        </w:rPr>
      </w:pPr>
      <w:r>
        <w:rPr>
          <w:rFonts w:ascii="Arial" w:cs="Arial" w:eastAsia="Arial" w:hAnsi="Arial"/>
          <w:sz w:val="15"/>
          <w:szCs w:val="15"/>
          <w:i w:val="1"/>
          <w:iCs w:val="1"/>
          <w:color w:val="auto"/>
        </w:rPr>
        <w:t xml:space="preserve">Plus </w:t>
      </w:r>
      <w:r>
        <w:rPr>
          <w:rFonts w:ascii="Arial" w:cs="Arial" w:eastAsia="Arial" w:hAnsi="Arial"/>
          <w:sz w:val="15"/>
          <w:szCs w:val="15"/>
          <w:color w:val="auto"/>
        </w:rPr>
        <w:t>Value of Dividends or Other</w:t>
      </w:r>
      <w:r>
        <w:rPr>
          <w:rFonts w:ascii="Arial" w:cs="Arial" w:eastAsia="Arial" w:hAnsi="Arial"/>
          <w:sz w:val="15"/>
          <w:szCs w:val="15"/>
          <w:i w:val="1"/>
          <w:iCs w:val="1"/>
          <w:color w:val="auto"/>
        </w:rPr>
        <w:t xml:space="preserve"> </w:t>
      </w:r>
      <w:r>
        <w:rPr>
          <w:rFonts w:ascii="Arial" w:cs="Arial" w:eastAsia="Arial" w:hAnsi="Arial"/>
          <w:sz w:val="15"/>
          <w:szCs w:val="15"/>
          <w:color w:val="auto"/>
        </w:rPr>
        <w:t>Earnings Paid on Equity Awards not Otherwise Reflected in Fair Value or Total Compensation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Actually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6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b w:val="1"/>
                <w:bCs w:val="1"/>
                <w:color w:val="auto"/>
              </w:rPr>
              <w:t>2021</w:t>
            </w:r>
          </w:p>
        </w:tc>
      </w:tr>
      <w:tr>
        <w:trPr>
          <w:trHeight w:val="166"/>
        </w:trPr>
        <w:tc>
          <w:tcPr>
            <w:tcW w:w="1140" w:type="dxa"/>
            <w:vAlign w:val="bottom"/>
          </w:tcPr>
          <w:p>
            <w:pPr>
              <w:spacing w:after="0"/>
              <w:rPr>
                <w:sz w:val="14"/>
                <w:szCs w:val="14"/>
                <w:color w:val="auto"/>
              </w:rPr>
            </w:pPr>
          </w:p>
        </w:tc>
        <w:tc>
          <w:tcPr>
            <w:tcW w:w="1700" w:type="dxa"/>
            <w:vAlign w:val="bottom"/>
          </w:tcPr>
          <w:p>
            <w:pPr>
              <w:jc w:val="center"/>
              <w:ind w:left="161"/>
              <w:spacing w:after="0" w:line="166" w:lineRule="exact"/>
              <w:rPr>
                <w:sz w:val="20"/>
                <w:szCs w:val="20"/>
                <w:color w:val="auto"/>
              </w:rPr>
            </w:pPr>
            <w:r>
              <w:rPr>
                <w:rFonts w:ascii="Arial" w:cs="Arial" w:eastAsia="Arial" w:hAnsi="Arial"/>
                <w:sz w:val="16"/>
                <w:szCs w:val="16"/>
                <w:b w:val="1"/>
                <w:bCs w:val="1"/>
                <w:color w:val="auto"/>
                <w:w w:val="98"/>
              </w:rPr>
              <w:t>Average</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jc w:val="center"/>
              <w:ind w:left="101"/>
              <w:spacing w:after="0" w:line="166" w:lineRule="exact"/>
              <w:rPr>
                <w:sz w:val="20"/>
                <w:szCs w:val="20"/>
                <w:color w:val="auto"/>
              </w:rPr>
            </w:pPr>
            <w:r>
              <w:rPr>
                <w:rFonts w:ascii="Arial" w:cs="Arial" w:eastAsia="Arial" w:hAnsi="Arial"/>
                <w:sz w:val="16"/>
                <w:szCs w:val="16"/>
                <w:b w:val="1"/>
                <w:bCs w:val="1"/>
                <w:color w:val="auto"/>
                <w:w w:val="98"/>
              </w:rPr>
              <w:t>Average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60" w:type="dxa"/>
            <w:vAlign w:val="bottom"/>
          </w:tcPr>
          <w:p>
            <w:pPr>
              <w:jc w:val="center"/>
              <w:ind w:left="121"/>
              <w:spacing w:after="0" w:line="166" w:lineRule="exact"/>
              <w:rPr>
                <w:sz w:val="20"/>
                <w:szCs w:val="20"/>
                <w:color w:val="auto"/>
              </w:rPr>
            </w:pPr>
            <w:r>
              <w:rPr>
                <w:rFonts w:ascii="Arial" w:cs="Arial" w:eastAsia="Arial" w:hAnsi="Arial"/>
                <w:sz w:val="16"/>
                <w:szCs w:val="16"/>
                <w:b w:val="1"/>
                <w:bCs w:val="1"/>
                <w:color w:val="auto"/>
                <w:w w:val="98"/>
              </w:rPr>
              <w:t>Average</w:t>
            </w:r>
          </w:p>
        </w:tc>
      </w:tr>
      <w:tr>
        <w:trPr>
          <w:trHeight w:val="184"/>
        </w:trPr>
        <w:tc>
          <w:tcPr>
            <w:tcW w:w="1140" w:type="dxa"/>
            <w:vAlign w:val="bottom"/>
          </w:tcPr>
          <w:p>
            <w:pPr>
              <w:spacing w:after="0"/>
              <w:rPr>
                <w:sz w:val="15"/>
                <w:szCs w:val="15"/>
                <w:color w:val="auto"/>
              </w:rPr>
            </w:pPr>
          </w:p>
        </w:tc>
        <w:tc>
          <w:tcPr>
            <w:tcW w:w="1800" w:type="dxa"/>
            <w:vAlign w:val="bottom"/>
            <w:gridSpan w:val="2"/>
          </w:tcPr>
          <w:p>
            <w:pPr>
              <w:jc w:val="center"/>
              <w:ind w:left="81"/>
              <w:spacing w:after="0"/>
              <w:rPr>
                <w:sz w:val="20"/>
                <w:szCs w:val="20"/>
                <w:color w:val="auto"/>
              </w:rPr>
            </w:pPr>
            <w:r>
              <w:rPr>
                <w:rFonts w:ascii="Arial" w:cs="Arial" w:eastAsia="Arial" w:hAnsi="Arial"/>
                <w:sz w:val="16"/>
                <w:szCs w:val="16"/>
                <w:b w:val="1"/>
                <w:bCs w:val="1"/>
                <w:color w:val="auto"/>
                <w:w w:val="98"/>
              </w:rPr>
              <w:t>Non-PEO NEOs</w:t>
            </w:r>
          </w:p>
        </w:tc>
        <w:tc>
          <w:tcPr>
            <w:tcW w:w="1180" w:type="dxa"/>
            <w:vAlign w:val="bottom"/>
          </w:tcPr>
          <w:p>
            <w:pPr>
              <w:spacing w:after="0"/>
              <w:rPr>
                <w:sz w:val="15"/>
                <w:szCs w:val="15"/>
                <w:color w:val="auto"/>
              </w:rPr>
            </w:pPr>
          </w:p>
        </w:tc>
        <w:tc>
          <w:tcPr>
            <w:tcW w:w="1760" w:type="dxa"/>
            <w:vAlign w:val="bottom"/>
            <w:gridSpan w:val="2"/>
          </w:tcPr>
          <w:p>
            <w:pPr>
              <w:jc w:val="center"/>
              <w:ind w:left="81"/>
              <w:spacing w:after="0"/>
              <w:rPr>
                <w:sz w:val="20"/>
                <w:szCs w:val="20"/>
                <w:color w:val="auto"/>
              </w:rPr>
            </w:pPr>
            <w:r>
              <w:rPr>
                <w:rFonts w:ascii="Arial" w:cs="Arial" w:eastAsia="Arial" w:hAnsi="Arial"/>
                <w:sz w:val="16"/>
                <w:szCs w:val="16"/>
                <w:b w:val="1"/>
                <w:bCs w:val="1"/>
                <w:color w:val="auto"/>
                <w:w w:val="98"/>
              </w:rPr>
              <w:t>Non-PEO NEOs</w:t>
            </w:r>
          </w:p>
        </w:tc>
        <w:tc>
          <w:tcPr>
            <w:tcW w:w="1200" w:type="dxa"/>
            <w:vAlign w:val="bottom"/>
          </w:tcPr>
          <w:p>
            <w:pPr>
              <w:spacing w:after="0"/>
              <w:rPr>
                <w:sz w:val="15"/>
                <w:szCs w:val="15"/>
                <w:color w:val="auto"/>
              </w:rPr>
            </w:pPr>
          </w:p>
        </w:tc>
        <w:tc>
          <w:tcPr>
            <w:tcW w:w="1660" w:type="dxa"/>
            <w:vAlign w:val="bottom"/>
          </w:tcPr>
          <w:p>
            <w:pPr>
              <w:jc w:val="center"/>
              <w:ind w:left="141"/>
              <w:spacing w:after="0"/>
              <w:rPr>
                <w:sz w:val="20"/>
                <w:szCs w:val="20"/>
                <w:color w:val="auto"/>
              </w:rPr>
            </w:pPr>
            <w:r>
              <w:rPr>
                <w:rFonts w:ascii="Arial" w:cs="Arial" w:eastAsia="Arial" w:hAnsi="Arial"/>
                <w:sz w:val="16"/>
                <w:szCs w:val="16"/>
                <w:b w:val="1"/>
                <w:bCs w:val="1"/>
                <w:color w:val="auto"/>
                <w:w w:val="98"/>
              </w:rPr>
              <w:t>Non-PEO NEOs</w:t>
            </w:r>
          </w:p>
        </w:tc>
      </w:tr>
      <w:tr>
        <w:trPr>
          <w:trHeight w:val="220"/>
        </w:trPr>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PEO ($)</w:t>
            </w:r>
          </w:p>
        </w:tc>
        <w:tc>
          <w:tcPr>
            <w:tcW w:w="1700" w:type="dxa"/>
            <w:vAlign w:val="bottom"/>
            <w:tcBorders>
              <w:bottom w:val="single" w:sz="8" w:color="auto"/>
            </w:tcBorders>
          </w:tcPr>
          <w:p>
            <w:pPr>
              <w:jc w:val="center"/>
              <w:ind w:left="201"/>
              <w:spacing w:after="0"/>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9"/>
                <w:szCs w:val="19"/>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PEO ($)</w:t>
            </w:r>
          </w:p>
        </w:tc>
        <w:tc>
          <w:tcPr>
            <w:tcW w:w="168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9"/>
                <w:szCs w:val="19"/>
                <w:color w:val="auto"/>
              </w:rPr>
            </w:pPr>
          </w:p>
        </w:tc>
        <w:tc>
          <w:tcPr>
            <w:tcW w:w="12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PEO ($)</w:t>
            </w:r>
          </w:p>
        </w:tc>
        <w:tc>
          <w:tcPr>
            <w:tcW w:w="166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b w:val="1"/>
                <w:bCs w:val="1"/>
                <w:color w:val="auto"/>
                <w:w w:val="91"/>
              </w:rPr>
              <w:t>($)</w:t>
            </w:r>
          </w:p>
        </w:tc>
      </w:tr>
      <w:tr>
        <w:trPr>
          <w:trHeight w:val="291"/>
        </w:trPr>
        <w:tc>
          <w:tcPr>
            <w:tcW w:w="1140" w:type="dxa"/>
            <w:vAlign w:val="bottom"/>
          </w:tcPr>
          <w:p>
            <w:pPr>
              <w:jc w:val="center"/>
              <w:ind w:left="201"/>
              <w:spacing w:after="0"/>
              <w:rPr>
                <w:sz w:val="20"/>
                <w:szCs w:val="20"/>
                <w:color w:val="auto"/>
              </w:rPr>
            </w:pPr>
            <w:r>
              <w:rPr>
                <w:rFonts w:ascii="Arial" w:cs="Arial" w:eastAsia="Arial" w:hAnsi="Arial"/>
                <w:sz w:val="16"/>
                <w:szCs w:val="16"/>
                <w:b w:val="1"/>
                <w:bCs w:val="1"/>
                <w:color w:val="auto"/>
                <w:w w:val="98"/>
              </w:rPr>
              <w:t>2,120,512</w:t>
            </w:r>
          </w:p>
        </w:tc>
        <w:tc>
          <w:tcPr>
            <w:tcW w:w="1700" w:type="dxa"/>
            <w:vAlign w:val="bottom"/>
          </w:tcPr>
          <w:p>
            <w:pPr>
              <w:jc w:val="center"/>
              <w:ind w:left="201"/>
              <w:spacing w:after="0"/>
              <w:rPr>
                <w:sz w:val="20"/>
                <w:szCs w:val="20"/>
                <w:color w:val="auto"/>
              </w:rPr>
            </w:pPr>
            <w:r>
              <w:rPr>
                <w:rFonts w:ascii="Arial" w:cs="Arial" w:eastAsia="Arial" w:hAnsi="Arial"/>
                <w:sz w:val="16"/>
                <w:szCs w:val="16"/>
                <w:b w:val="1"/>
                <w:bCs w:val="1"/>
                <w:color w:val="auto"/>
              </w:rPr>
              <w:t>933,453</w:t>
            </w:r>
          </w:p>
        </w:tc>
        <w:tc>
          <w:tcPr>
            <w:tcW w:w="100" w:type="dxa"/>
            <w:vAlign w:val="bottom"/>
          </w:tcPr>
          <w:p>
            <w:pPr>
              <w:spacing w:after="0"/>
              <w:rPr>
                <w:sz w:val="24"/>
                <w:szCs w:val="24"/>
                <w:color w:val="auto"/>
              </w:rPr>
            </w:pPr>
          </w:p>
        </w:tc>
        <w:tc>
          <w:tcPr>
            <w:tcW w:w="1180" w:type="dxa"/>
            <w:vAlign w:val="bottom"/>
          </w:tcPr>
          <w:p>
            <w:pPr>
              <w:jc w:val="center"/>
              <w:ind w:left="161"/>
              <w:spacing w:after="0"/>
              <w:rPr>
                <w:sz w:val="20"/>
                <w:szCs w:val="20"/>
                <w:color w:val="auto"/>
              </w:rPr>
            </w:pPr>
            <w:r>
              <w:rPr>
                <w:rFonts w:ascii="Arial" w:cs="Arial" w:eastAsia="Arial" w:hAnsi="Arial"/>
                <w:sz w:val="16"/>
                <w:szCs w:val="16"/>
                <w:b w:val="1"/>
                <w:bCs w:val="1"/>
                <w:color w:val="auto"/>
                <w:w w:val="98"/>
              </w:rPr>
              <w:t>6,028,078</w:t>
            </w:r>
          </w:p>
        </w:tc>
        <w:tc>
          <w:tcPr>
            <w:tcW w:w="1680" w:type="dxa"/>
            <w:vAlign w:val="bottom"/>
          </w:tcPr>
          <w:p>
            <w:pPr>
              <w:jc w:val="center"/>
              <w:ind w:left="141"/>
              <w:spacing w:after="0"/>
              <w:rPr>
                <w:sz w:val="20"/>
                <w:szCs w:val="20"/>
                <w:color w:val="auto"/>
              </w:rPr>
            </w:pPr>
            <w:r>
              <w:rPr>
                <w:rFonts w:ascii="Arial" w:cs="Arial" w:eastAsia="Arial" w:hAnsi="Arial"/>
                <w:sz w:val="16"/>
                <w:szCs w:val="16"/>
                <w:b w:val="1"/>
                <w:bCs w:val="1"/>
                <w:color w:val="auto"/>
                <w:w w:val="98"/>
              </w:rPr>
              <w:t>2,450,241</w:t>
            </w:r>
          </w:p>
        </w:tc>
        <w:tc>
          <w:tcPr>
            <w:tcW w:w="80" w:type="dxa"/>
            <w:vAlign w:val="bottom"/>
          </w:tcPr>
          <w:p>
            <w:pPr>
              <w:spacing w:after="0"/>
              <w:rPr>
                <w:sz w:val="24"/>
                <w:szCs w:val="24"/>
                <w:color w:val="auto"/>
              </w:rPr>
            </w:pPr>
          </w:p>
        </w:tc>
        <w:tc>
          <w:tcPr>
            <w:tcW w:w="1200" w:type="dxa"/>
            <w:vAlign w:val="bottom"/>
          </w:tcPr>
          <w:p>
            <w:pPr>
              <w:jc w:val="center"/>
              <w:ind w:left="161"/>
              <w:spacing w:after="0"/>
              <w:rPr>
                <w:sz w:val="20"/>
                <w:szCs w:val="20"/>
                <w:color w:val="auto"/>
              </w:rPr>
            </w:pPr>
            <w:r>
              <w:rPr>
                <w:rFonts w:ascii="Arial" w:cs="Arial" w:eastAsia="Arial" w:hAnsi="Arial"/>
                <w:sz w:val="16"/>
                <w:szCs w:val="16"/>
                <w:b w:val="1"/>
                <w:bCs w:val="1"/>
                <w:color w:val="auto"/>
                <w:w w:val="99"/>
              </w:rPr>
              <w:t>10,905,820</w:t>
            </w:r>
          </w:p>
        </w:tc>
        <w:tc>
          <w:tcPr>
            <w:tcW w:w="1660" w:type="dxa"/>
            <w:vAlign w:val="bottom"/>
          </w:tcPr>
          <w:p>
            <w:pPr>
              <w:jc w:val="center"/>
              <w:ind w:left="161"/>
              <w:spacing w:after="0"/>
              <w:rPr>
                <w:sz w:val="20"/>
                <w:szCs w:val="20"/>
                <w:color w:val="auto"/>
              </w:rPr>
            </w:pPr>
            <w:r>
              <w:rPr>
                <w:rFonts w:ascii="Arial" w:cs="Arial" w:eastAsia="Arial" w:hAnsi="Arial"/>
                <w:sz w:val="16"/>
                <w:szCs w:val="16"/>
                <w:b w:val="1"/>
                <w:bCs w:val="1"/>
                <w:color w:val="auto"/>
                <w:w w:val="98"/>
              </w:rPr>
              <w:t>4,118,514</w:t>
            </w:r>
          </w:p>
        </w:tc>
      </w:tr>
      <w:tr>
        <w:trPr>
          <w:trHeight w:val="477"/>
        </w:trPr>
        <w:tc>
          <w:tcPr>
            <w:tcW w:w="1140" w:type="dxa"/>
            <w:vAlign w:val="bottom"/>
          </w:tcPr>
          <w:p>
            <w:pPr>
              <w:jc w:val="center"/>
              <w:ind w:left="181"/>
              <w:spacing w:after="0"/>
              <w:rPr>
                <w:sz w:val="20"/>
                <w:szCs w:val="20"/>
                <w:color w:val="auto"/>
              </w:rPr>
            </w:pPr>
            <w:r>
              <w:rPr>
                <w:rFonts w:ascii="Arial" w:cs="Arial" w:eastAsia="Arial" w:hAnsi="Arial"/>
                <w:sz w:val="16"/>
                <w:szCs w:val="16"/>
                <w:color w:val="auto"/>
                <w:w w:val="89"/>
              </w:rPr>
              <w:t>0</w:t>
            </w:r>
          </w:p>
        </w:tc>
        <w:tc>
          <w:tcPr>
            <w:tcW w:w="1700" w:type="dxa"/>
            <w:vAlign w:val="bottom"/>
          </w:tcPr>
          <w:p>
            <w:pPr>
              <w:jc w:val="center"/>
              <w:ind w:left="20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180" w:type="dxa"/>
            <w:vAlign w:val="bottom"/>
          </w:tcPr>
          <w:p>
            <w:pPr>
              <w:jc w:val="center"/>
              <w:ind w:left="161"/>
              <w:spacing w:after="0"/>
              <w:rPr>
                <w:sz w:val="20"/>
                <w:szCs w:val="20"/>
                <w:color w:val="auto"/>
              </w:rPr>
            </w:pPr>
            <w:r>
              <w:rPr>
                <w:rFonts w:ascii="Arial" w:cs="Arial" w:eastAsia="Arial" w:hAnsi="Arial"/>
                <w:sz w:val="16"/>
                <w:szCs w:val="16"/>
                <w:color w:val="auto"/>
              </w:rPr>
              <w:t>0</w:t>
            </w:r>
          </w:p>
        </w:tc>
        <w:tc>
          <w:tcPr>
            <w:tcW w:w="1680" w:type="dxa"/>
            <w:vAlign w:val="bottom"/>
          </w:tcPr>
          <w:p>
            <w:pPr>
              <w:jc w:val="center"/>
              <w:ind w:left="161"/>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24"/>
                <w:szCs w:val="24"/>
                <w:color w:val="auto"/>
              </w:rPr>
            </w:pPr>
          </w:p>
        </w:tc>
        <w:tc>
          <w:tcPr>
            <w:tcW w:w="1200" w:type="dxa"/>
            <w:vAlign w:val="bottom"/>
          </w:tcPr>
          <w:p>
            <w:pPr>
              <w:jc w:val="center"/>
              <w:ind w:left="161"/>
              <w:spacing w:after="0"/>
              <w:rPr>
                <w:sz w:val="20"/>
                <w:szCs w:val="20"/>
                <w:color w:val="auto"/>
              </w:rPr>
            </w:pPr>
            <w:r>
              <w:rPr>
                <w:rFonts w:ascii="Arial" w:cs="Arial" w:eastAsia="Arial" w:hAnsi="Arial"/>
                <w:sz w:val="16"/>
                <w:szCs w:val="16"/>
                <w:color w:val="auto"/>
                <w:w w:val="89"/>
              </w:rPr>
              <w:t>0</w:t>
            </w:r>
          </w:p>
        </w:tc>
        <w:tc>
          <w:tcPr>
            <w:tcW w:w="1660" w:type="dxa"/>
            <w:vAlign w:val="bottom"/>
          </w:tcPr>
          <w:p>
            <w:pPr>
              <w:jc w:val="center"/>
              <w:ind w:left="161"/>
              <w:spacing w:after="0"/>
              <w:rPr>
                <w:sz w:val="20"/>
                <w:szCs w:val="20"/>
                <w:color w:val="auto"/>
              </w:rPr>
            </w:pPr>
            <w:r>
              <w:rPr>
                <w:rFonts w:ascii="Arial" w:cs="Arial" w:eastAsia="Arial" w:hAnsi="Arial"/>
                <w:sz w:val="16"/>
                <w:szCs w:val="16"/>
                <w:color w:val="auto"/>
              </w:rPr>
              <w:t>0</w:t>
            </w:r>
          </w:p>
        </w:tc>
      </w:tr>
      <w:tr>
        <w:trPr>
          <w:trHeight w:val="669"/>
        </w:trPr>
        <w:tc>
          <w:tcPr>
            <w:tcW w:w="1140" w:type="dxa"/>
            <w:vAlign w:val="bottom"/>
          </w:tcPr>
          <w:p>
            <w:pPr>
              <w:jc w:val="center"/>
              <w:ind w:left="181"/>
              <w:spacing w:after="0"/>
              <w:rPr>
                <w:sz w:val="20"/>
                <w:szCs w:val="20"/>
                <w:color w:val="auto"/>
              </w:rPr>
            </w:pPr>
            <w:r>
              <w:rPr>
                <w:rFonts w:ascii="Arial" w:cs="Arial" w:eastAsia="Arial" w:hAnsi="Arial"/>
                <w:sz w:val="16"/>
                <w:szCs w:val="16"/>
                <w:color w:val="auto"/>
                <w:w w:val="96"/>
              </w:rPr>
              <w:t>941,364</w:t>
            </w:r>
          </w:p>
        </w:tc>
        <w:tc>
          <w:tcPr>
            <w:tcW w:w="1700" w:type="dxa"/>
            <w:vAlign w:val="bottom"/>
          </w:tcPr>
          <w:p>
            <w:pPr>
              <w:jc w:val="center"/>
              <w:ind w:left="201"/>
              <w:spacing w:after="0"/>
              <w:rPr>
                <w:sz w:val="20"/>
                <w:szCs w:val="20"/>
                <w:color w:val="auto"/>
              </w:rPr>
            </w:pPr>
            <w:r>
              <w:rPr>
                <w:rFonts w:ascii="Arial" w:cs="Arial" w:eastAsia="Arial" w:hAnsi="Arial"/>
                <w:sz w:val="16"/>
                <w:szCs w:val="16"/>
                <w:color w:val="auto"/>
              </w:rPr>
              <w:t>298,992</w:t>
            </w:r>
          </w:p>
        </w:tc>
        <w:tc>
          <w:tcPr>
            <w:tcW w:w="100" w:type="dxa"/>
            <w:vAlign w:val="bottom"/>
          </w:tcPr>
          <w:p>
            <w:pPr>
              <w:spacing w:after="0"/>
              <w:rPr>
                <w:sz w:val="24"/>
                <w:szCs w:val="24"/>
                <w:color w:val="auto"/>
              </w:rPr>
            </w:pPr>
          </w:p>
        </w:tc>
        <w:tc>
          <w:tcPr>
            <w:tcW w:w="1180" w:type="dxa"/>
            <w:vAlign w:val="bottom"/>
          </w:tcPr>
          <w:p>
            <w:pPr>
              <w:jc w:val="center"/>
              <w:ind w:left="161"/>
              <w:spacing w:after="0"/>
              <w:rPr>
                <w:sz w:val="20"/>
                <w:szCs w:val="20"/>
                <w:color w:val="auto"/>
              </w:rPr>
            </w:pPr>
            <w:r>
              <w:rPr>
                <w:rFonts w:ascii="Arial" w:cs="Arial" w:eastAsia="Arial" w:hAnsi="Arial"/>
                <w:sz w:val="16"/>
                <w:szCs w:val="16"/>
                <w:color w:val="auto"/>
                <w:w w:val="98"/>
              </w:rPr>
              <w:t>4,989,560</w:t>
            </w:r>
          </w:p>
        </w:tc>
        <w:tc>
          <w:tcPr>
            <w:tcW w:w="1680" w:type="dxa"/>
            <w:vAlign w:val="bottom"/>
          </w:tcPr>
          <w:p>
            <w:pPr>
              <w:jc w:val="center"/>
              <w:ind w:left="141"/>
              <w:spacing w:after="0"/>
              <w:rPr>
                <w:sz w:val="20"/>
                <w:szCs w:val="20"/>
                <w:color w:val="auto"/>
              </w:rPr>
            </w:pPr>
            <w:r>
              <w:rPr>
                <w:rFonts w:ascii="Arial" w:cs="Arial" w:eastAsia="Arial" w:hAnsi="Arial"/>
                <w:sz w:val="16"/>
                <w:szCs w:val="16"/>
                <w:color w:val="auto"/>
                <w:w w:val="98"/>
              </w:rPr>
              <w:t>1,665,658</w:t>
            </w:r>
          </w:p>
        </w:tc>
        <w:tc>
          <w:tcPr>
            <w:tcW w:w="80" w:type="dxa"/>
            <w:vAlign w:val="bottom"/>
          </w:tcPr>
          <w:p>
            <w:pPr>
              <w:spacing w:after="0"/>
              <w:rPr>
                <w:sz w:val="24"/>
                <w:szCs w:val="24"/>
                <w:color w:val="auto"/>
              </w:rPr>
            </w:pPr>
          </w:p>
        </w:tc>
        <w:tc>
          <w:tcPr>
            <w:tcW w:w="1200" w:type="dxa"/>
            <w:vAlign w:val="bottom"/>
          </w:tcPr>
          <w:p>
            <w:pPr>
              <w:jc w:val="center"/>
              <w:ind w:left="141"/>
              <w:spacing w:after="0"/>
              <w:rPr>
                <w:sz w:val="20"/>
                <w:szCs w:val="20"/>
                <w:color w:val="auto"/>
              </w:rPr>
            </w:pPr>
            <w:r>
              <w:rPr>
                <w:rFonts w:ascii="Arial" w:cs="Arial" w:eastAsia="Arial" w:hAnsi="Arial"/>
                <w:sz w:val="16"/>
                <w:szCs w:val="16"/>
                <w:color w:val="auto"/>
                <w:w w:val="98"/>
              </w:rPr>
              <w:t>9,657,384</w:t>
            </w:r>
          </w:p>
        </w:tc>
        <w:tc>
          <w:tcPr>
            <w:tcW w:w="1660" w:type="dxa"/>
            <w:vAlign w:val="bottom"/>
          </w:tcPr>
          <w:p>
            <w:pPr>
              <w:jc w:val="center"/>
              <w:ind w:left="161"/>
              <w:spacing w:after="0"/>
              <w:rPr>
                <w:sz w:val="20"/>
                <w:szCs w:val="20"/>
                <w:color w:val="auto"/>
              </w:rPr>
            </w:pPr>
            <w:r>
              <w:rPr>
                <w:rFonts w:ascii="Arial" w:cs="Arial" w:eastAsia="Arial" w:hAnsi="Arial"/>
                <w:sz w:val="16"/>
                <w:szCs w:val="16"/>
                <w:color w:val="auto"/>
                <w:w w:val="98"/>
              </w:rPr>
              <w:t>3,407,225</w:t>
            </w:r>
          </w:p>
        </w:tc>
      </w:tr>
      <w:tr>
        <w:trPr>
          <w:trHeight w:val="761"/>
        </w:trPr>
        <w:tc>
          <w:tcPr>
            <w:tcW w:w="1140" w:type="dxa"/>
            <w:vAlign w:val="bottom"/>
          </w:tcPr>
          <w:p>
            <w:pPr>
              <w:jc w:val="center"/>
              <w:ind w:left="181"/>
              <w:spacing w:after="0"/>
              <w:rPr>
                <w:sz w:val="20"/>
                <w:szCs w:val="20"/>
                <w:color w:val="auto"/>
              </w:rPr>
            </w:pPr>
            <w:r>
              <w:rPr>
                <w:rFonts w:ascii="Arial" w:cs="Arial" w:eastAsia="Arial" w:hAnsi="Arial"/>
                <w:sz w:val="16"/>
                <w:szCs w:val="16"/>
                <w:color w:val="auto"/>
                <w:w w:val="96"/>
              </w:rPr>
              <w:t>484,016</w:t>
            </w:r>
          </w:p>
        </w:tc>
        <w:tc>
          <w:tcPr>
            <w:tcW w:w="1700" w:type="dxa"/>
            <w:vAlign w:val="bottom"/>
          </w:tcPr>
          <w:p>
            <w:pPr>
              <w:jc w:val="center"/>
              <w:ind w:left="201"/>
              <w:spacing w:after="0"/>
              <w:rPr>
                <w:sz w:val="20"/>
                <w:szCs w:val="20"/>
                <w:color w:val="auto"/>
              </w:rPr>
            </w:pPr>
            <w:r>
              <w:rPr>
                <w:rFonts w:ascii="Arial" w:cs="Arial" w:eastAsia="Arial" w:hAnsi="Arial"/>
                <w:sz w:val="16"/>
                <w:szCs w:val="16"/>
                <w:color w:val="auto"/>
              </w:rPr>
              <w:t>153,746</w:t>
            </w:r>
          </w:p>
        </w:tc>
        <w:tc>
          <w:tcPr>
            <w:tcW w:w="100" w:type="dxa"/>
            <w:vAlign w:val="bottom"/>
          </w:tcPr>
          <w:p>
            <w:pPr>
              <w:spacing w:after="0"/>
              <w:rPr>
                <w:sz w:val="24"/>
                <w:szCs w:val="24"/>
                <w:color w:val="auto"/>
              </w:rPr>
            </w:pPr>
          </w:p>
        </w:tc>
        <w:tc>
          <w:tcPr>
            <w:tcW w:w="1180" w:type="dxa"/>
            <w:vAlign w:val="bottom"/>
          </w:tcPr>
          <w:p>
            <w:pPr>
              <w:jc w:val="center"/>
              <w:ind w:left="161"/>
              <w:spacing w:after="0"/>
              <w:rPr>
                <w:sz w:val="20"/>
                <w:szCs w:val="20"/>
                <w:color w:val="auto"/>
              </w:rPr>
            </w:pPr>
            <w:r>
              <w:rPr>
                <w:rFonts w:ascii="Arial" w:cs="Arial" w:eastAsia="Arial" w:hAnsi="Arial"/>
                <w:sz w:val="16"/>
                <w:szCs w:val="16"/>
                <w:color w:val="auto"/>
              </w:rPr>
              <w:t>735,325</w:t>
            </w:r>
          </w:p>
        </w:tc>
        <w:tc>
          <w:tcPr>
            <w:tcW w:w="1680" w:type="dxa"/>
            <w:vAlign w:val="bottom"/>
          </w:tcPr>
          <w:p>
            <w:pPr>
              <w:jc w:val="center"/>
              <w:ind w:left="161"/>
              <w:spacing w:after="0"/>
              <w:rPr>
                <w:sz w:val="20"/>
                <w:szCs w:val="20"/>
                <w:color w:val="auto"/>
              </w:rPr>
            </w:pPr>
            <w:r>
              <w:rPr>
                <w:rFonts w:ascii="Arial" w:cs="Arial" w:eastAsia="Arial" w:hAnsi="Arial"/>
                <w:sz w:val="16"/>
                <w:szCs w:val="16"/>
                <w:color w:val="auto"/>
                <w:w w:val="96"/>
              </w:rPr>
              <w:t>262,809</w:t>
            </w:r>
          </w:p>
        </w:tc>
        <w:tc>
          <w:tcPr>
            <w:tcW w:w="80" w:type="dxa"/>
            <w:vAlign w:val="bottom"/>
          </w:tcPr>
          <w:p>
            <w:pPr>
              <w:spacing w:after="0"/>
              <w:rPr>
                <w:sz w:val="24"/>
                <w:szCs w:val="24"/>
                <w:color w:val="auto"/>
              </w:rPr>
            </w:pPr>
          </w:p>
        </w:tc>
        <w:tc>
          <w:tcPr>
            <w:tcW w:w="1200" w:type="dxa"/>
            <w:vAlign w:val="bottom"/>
          </w:tcPr>
          <w:p>
            <w:pPr>
              <w:jc w:val="center"/>
              <w:ind w:left="141"/>
              <w:spacing w:after="0"/>
              <w:rPr>
                <w:sz w:val="20"/>
                <w:szCs w:val="20"/>
                <w:color w:val="auto"/>
              </w:rPr>
            </w:pPr>
            <w:r>
              <w:rPr>
                <w:rFonts w:ascii="Arial" w:cs="Arial" w:eastAsia="Arial" w:hAnsi="Arial"/>
                <w:sz w:val="16"/>
                <w:szCs w:val="16"/>
                <w:color w:val="auto"/>
                <w:w w:val="98"/>
              </w:rPr>
              <w:t>3,730,538</w:t>
            </w:r>
          </w:p>
        </w:tc>
        <w:tc>
          <w:tcPr>
            <w:tcW w:w="1660" w:type="dxa"/>
            <w:vAlign w:val="bottom"/>
          </w:tcPr>
          <w:p>
            <w:pPr>
              <w:jc w:val="center"/>
              <w:ind w:left="161"/>
              <w:spacing w:after="0"/>
              <w:rPr>
                <w:sz w:val="20"/>
                <w:szCs w:val="20"/>
                <w:color w:val="auto"/>
              </w:rPr>
            </w:pPr>
            <w:r>
              <w:rPr>
                <w:rFonts w:ascii="Arial" w:cs="Arial" w:eastAsia="Arial" w:hAnsi="Arial"/>
                <w:sz w:val="16"/>
                <w:szCs w:val="16"/>
                <w:color w:val="auto"/>
                <w:w w:val="98"/>
              </w:rPr>
              <w:t>1,314,489</w:t>
            </w:r>
          </w:p>
        </w:tc>
      </w:tr>
      <w:tr>
        <w:trPr>
          <w:trHeight w:val="852"/>
        </w:trPr>
        <w:tc>
          <w:tcPr>
            <w:tcW w:w="1140" w:type="dxa"/>
            <w:vAlign w:val="bottom"/>
          </w:tcPr>
          <w:p>
            <w:pPr>
              <w:jc w:val="center"/>
              <w:ind w:left="181"/>
              <w:spacing w:after="0"/>
              <w:rPr>
                <w:sz w:val="20"/>
                <w:szCs w:val="20"/>
                <w:color w:val="auto"/>
              </w:rPr>
            </w:pPr>
            <w:r>
              <w:rPr>
                <w:rFonts w:ascii="Arial" w:cs="Arial" w:eastAsia="Arial" w:hAnsi="Arial"/>
                <w:sz w:val="16"/>
                <w:szCs w:val="16"/>
                <w:color w:val="auto"/>
                <w:w w:val="94"/>
              </w:rPr>
              <w:t>-428,116</w:t>
            </w:r>
          </w:p>
        </w:tc>
        <w:tc>
          <w:tcPr>
            <w:tcW w:w="1700" w:type="dxa"/>
            <w:vAlign w:val="bottom"/>
          </w:tcPr>
          <w:p>
            <w:pPr>
              <w:jc w:val="center"/>
              <w:ind w:left="201"/>
              <w:spacing w:after="0"/>
              <w:rPr>
                <w:sz w:val="20"/>
                <w:szCs w:val="20"/>
                <w:color w:val="auto"/>
              </w:rPr>
            </w:pPr>
            <w:r>
              <w:rPr>
                <w:rFonts w:ascii="Arial" w:cs="Arial" w:eastAsia="Arial" w:hAnsi="Arial"/>
                <w:sz w:val="16"/>
                <w:szCs w:val="16"/>
                <w:color w:val="auto"/>
                <w:w w:val="98"/>
              </w:rPr>
              <w:t>-104,841</w:t>
            </w:r>
          </w:p>
        </w:tc>
        <w:tc>
          <w:tcPr>
            <w:tcW w:w="100" w:type="dxa"/>
            <w:vAlign w:val="bottom"/>
          </w:tcPr>
          <w:p>
            <w:pPr>
              <w:spacing w:after="0"/>
              <w:rPr>
                <w:sz w:val="24"/>
                <w:szCs w:val="24"/>
                <w:color w:val="auto"/>
              </w:rPr>
            </w:pPr>
          </w:p>
        </w:tc>
        <w:tc>
          <w:tcPr>
            <w:tcW w:w="1180" w:type="dxa"/>
            <w:vAlign w:val="bottom"/>
          </w:tcPr>
          <w:p>
            <w:pPr>
              <w:jc w:val="center"/>
              <w:ind w:left="141"/>
              <w:spacing w:after="0"/>
              <w:rPr>
                <w:sz w:val="20"/>
                <w:szCs w:val="20"/>
                <w:color w:val="auto"/>
              </w:rPr>
            </w:pPr>
            <w:r>
              <w:rPr>
                <w:rFonts w:ascii="Arial" w:cs="Arial" w:eastAsia="Arial" w:hAnsi="Arial"/>
                <w:sz w:val="16"/>
                <w:szCs w:val="16"/>
                <w:color w:val="auto"/>
                <w:w w:val="98"/>
              </w:rPr>
              <w:t>-13,095,416</w:t>
            </w:r>
          </w:p>
        </w:tc>
        <w:tc>
          <w:tcPr>
            <w:tcW w:w="1680" w:type="dxa"/>
            <w:vAlign w:val="bottom"/>
          </w:tcPr>
          <w:p>
            <w:pPr>
              <w:jc w:val="center"/>
              <w:ind w:left="161"/>
              <w:spacing w:after="0"/>
              <w:rPr>
                <w:sz w:val="20"/>
                <w:szCs w:val="20"/>
                <w:color w:val="auto"/>
              </w:rPr>
            </w:pPr>
            <w:r>
              <w:rPr>
                <w:rFonts w:ascii="Arial" w:cs="Arial" w:eastAsia="Arial" w:hAnsi="Arial"/>
                <w:sz w:val="16"/>
                <w:szCs w:val="16"/>
                <w:color w:val="auto"/>
                <w:w w:val="99"/>
              </w:rPr>
              <w:t>-1,762,663</w:t>
            </w:r>
          </w:p>
        </w:tc>
        <w:tc>
          <w:tcPr>
            <w:tcW w:w="80" w:type="dxa"/>
            <w:vAlign w:val="bottom"/>
          </w:tcPr>
          <w:p>
            <w:pPr>
              <w:spacing w:after="0"/>
              <w:rPr>
                <w:sz w:val="24"/>
                <w:szCs w:val="24"/>
                <w:color w:val="auto"/>
              </w:rPr>
            </w:pPr>
          </w:p>
        </w:tc>
        <w:tc>
          <w:tcPr>
            <w:tcW w:w="1200" w:type="dxa"/>
            <w:vAlign w:val="bottom"/>
          </w:tcPr>
          <w:p>
            <w:pPr>
              <w:jc w:val="center"/>
              <w:ind w:left="161"/>
              <w:spacing w:after="0"/>
              <w:rPr>
                <w:sz w:val="20"/>
                <w:szCs w:val="20"/>
                <w:color w:val="auto"/>
              </w:rPr>
            </w:pPr>
            <w:r>
              <w:rPr>
                <w:rFonts w:ascii="Arial" w:cs="Arial" w:eastAsia="Arial" w:hAnsi="Arial"/>
                <w:sz w:val="16"/>
                <w:szCs w:val="16"/>
                <w:color w:val="auto"/>
                <w:w w:val="98"/>
              </w:rPr>
              <w:t>-43,901,234</w:t>
            </w:r>
          </w:p>
        </w:tc>
        <w:tc>
          <w:tcPr>
            <w:tcW w:w="1660" w:type="dxa"/>
            <w:vAlign w:val="bottom"/>
          </w:tcPr>
          <w:p>
            <w:pPr>
              <w:jc w:val="center"/>
              <w:ind w:left="161"/>
              <w:spacing w:after="0"/>
              <w:rPr>
                <w:sz w:val="20"/>
                <w:szCs w:val="20"/>
                <w:color w:val="auto"/>
              </w:rPr>
            </w:pPr>
            <w:r>
              <w:rPr>
                <w:rFonts w:ascii="Arial" w:cs="Arial" w:eastAsia="Arial" w:hAnsi="Arial"/>
                <w:sz w:val="16"/>
                <w:szCs w:val="16"/>
                <w:color w:val="auto"/>
                <w:w w:val="96"/>
              </w:rPr>
              <w:t>-5,177,507</w:t>
            </w:r>
          </w:p>
        </w:tc>
      </w:tr>
      <w:tr>
        <w:trPr>
          <w:trHeight w:val="747"/>
        </w:trPr>
        <w:tc>
          <w:tcPr>
            <w:tcW w:w="1140" w:type="dxa"/>
            <w:vAlign w:val="bottom"/>
          </w:tcPr>
          <w:p>
            <w:pPr>
              <w:jc w:val="center"/>
              <w:ind w:left="181"/>
              <w:spacing w:after="0"/>
              <w:rPr>
                <w:sz w:val="20"/>
                <w:szCs w:val="20"/>
                <w:color w:val="auto"/>
              </w:rPr>
            </w:pPr>
            <w:r>
              <w:rPr>
                <w:rFonts w:ascii="Arial" w:cs="Arial" w:eastAsia="Arial" w:hAnsi="Arial"/>
                <w:sz w:val="16"/>
                <w:szCs w:val="16"/>
                <w:color w:val="auto"/>
                <w:w w:val="96"/>
              </w:rPr>
              <w:t>515,625</w:t>
            </w:r>
          </w:p>
        </w:tc>
        <w:tc>
          <w:tcPr>
            <w:tcW w:w="1700" w:type="dxa"/>
            <w:vAlign w:val="bottom"/>
          </w:tcPr>
          <w:p>
            <w:pPr>
              <w:jc w:val="center"/>
              <w:ind w:left="181"/>
              <w:spacing w:after="0"/>
              <w:rPr>
                <w:sz w:val="20"/>
                <w:szCs w:val="20"/>
                <w:color w:val="auto"/>
              </w:rPr>
            </w:pPr>
            <w:r>
              <w:rPr>
                <w:rFonts w:ascii="Arial" w:cs="Arial" w:eastAsia="Arial" w:hAnsi="Arial"/>
                <w:sz w:val="16"/>
                <w:szCs w:val="16"/>
                <w:color w:val="auto"/>
                <w:w w:val="98"/>
              </w:rPr>
              <w:t>95,154</w:t>
            </w:r>
          </w:p>
        </w:tc>
        <w:tc>
          <w:tcPr>
            <w:tcW w:w="100" w:type="dxa"/>
            <w:vAlign w:val="bottom"/>
          </w:tcPr>
          <w:p>
            <w:pPr>
              <w:spacing w:after="0"/>
              <w:rPr>
                <w:sz w:val="24"/>
                <w:szCs w:val="24"/>
                <w:color w:val="auto"/>
              </w:rPr>
            </w:pPr>
          </w:p>
        </w:tc>
        <w:tc>
          <w:tcPr>
            <w:tcW w:w="1180" w:type="dxa"/>
            <w:vAlign w:val="bottom"/>
          </w:tcPr>
          <w:p>
            <w:pPr>
              <w:jc w:val="center"/>
              <w:ind w:left="161"/>
              <w:spacing w:after="0"/>
              <w:rPr>
                <w:sz w:val="20"/>
                <w:szCs w:val="20"/>
                <w:color w:val="auto"/>
              </w:rPr>
            </w:pPr>
            <w:r>
              <w:rPr>
                <w:rFonts w:ascii="Arial" w:cs="Arial" w:eastAsia="Arial" w:hAnsi="Arial"/>
                <w:sz w:val="16"/>
                <w:szCs w:val="16"/>
                <w:color w:val="auto"/>
              </w:rPr>
              <w:t>0</w:t>
            </w:r>
          </w:p>
        </w:tc>
        <w:tc>
          <w:tcPr>
            <w:tcW w:w="1680" w:type="dxa"/>
            <w:vAlign w:val="bottom"/>
          </w:tcPr>
          <w:p>
            <w:pPr>
              <w:jc w:val="center"/>
              <w:ind w:left="161"/>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24"/>
                <w:szCs w:val="24"/>
                <w:color w:val="auto"/>
              </w:rPr>
            </w:pPr>
          </w:p>
        </w:tc>
        <w:tc>
          <w:tcPr>
            <w:tcW w:w="1200" w:type="dxa"/>
            <w:vAlign w:val="bottom"/>
          </w:tcPr>
          <w:p>
            <w:pPr>
              <w:jc w:val="center"/>
              <w:ind w:left="161"/>
              <w:spacing w:after="0"/>
              <w:rPr>
                <w:sz w:val="20"/>
                <w:szCs w:val="20"/>
                <w:color w:val="auto"/>
              </w:rPr>
            </w:pPr>
            <w:r>
              <w:rPr>
                <w:rFonts w:ascii="Arial" w:cs="Arial" w:eastAsia="Arial" w:hAnsi="Arial"/>
                <w:sz w:val="16"/>
                <w:szCs w:val="16"/>
                <w:color w:val="auto"/>
                <w:w w:val="89"/>
              </w:rPr>
              <w:t>0</w:t>
            </w:r>
          </w:p>
        </w:tc>
        <w:tc>
          <w:tcPr>
            <w:tcW w:w="1660" w:type="dxa"/>
            <w:vAlign w:val="bottom"/>
          </w:tcPr>
          <w:p>
            <w:pPr>
              <w:jc w:val="center"/>
              <w:ind w:left="161"/>
              <w:spacing w:after="0"/>
              <w:rPr>
                <w:sz w:val="20"/>
                <w:szCs w:val="20"/>
                <w:color w:val="auto"/>
              </w:rPr>
            </w:pPr>
            <w:r>
              <w:rPr>
                <w:rFonts w:ascii="Arial" w:cs="Arial" w:eastAsia="Arial" w:hAnsi="Arial"/>
                <w:sz w:val="16"/>
                <w:szCs w:val="16"/>
                <w:color w:val="auto"/>
              </w:rPr>
              <w:t>0</w:t>
            </w:r>
          </w:p>
        </w:tc>
      </w:tr>
      <w:tr>
        <w:trPr>
          <w:trHeight w:val="669"/>
        </w:trPr>
        <w:tc>
          <w:tcPr>
            <w:tcW w:w="1140" w:type="dxa"/>
            <w:vAlign w:val="bottom"/>
          </w:tcPr>
          <w:p>
            <w:pPr>
              <w:jc w:val="center"/>
              <w:ind w:left="201"/>
              <w:spacing w:after="0"/>
              <w:rPr>
                <w:sz w:val="20"/>
                <w:szCs w:val="20"/>
                <w:color w:val="auto"/>
              </w:rPr>
            </w:pPr>
            <w:r>
              <w:rPr>
                <w:rFonts w:ascii="Arial" w:cs="Arial" w:eastAsia="Arial" w:hAnsi="Arial"/>
                <w:sz w:val="16"/>
                <w:szCs w:val="16"/>
                <w:color w:val="auto"/>
                <w:w w:val="98"/>
              </w:rPr>
              <w:t>-352,087</w:t>
            </w:r>
          </w:p>
        </w:tc>
        <w:tc>
          <w:tcPr>
            <w:tcW w:w="1700" w:type="dxa"/>
            <w:vAlign w:val="bottom"/>
          </w:tcPr>
          <w:p>
            <w:pPr>
              <w:jc w:val="center"/>
              <w:ind w:left="201"/>
              <w:spacing w:after="0"/>
              <w:rPr>
                <w:sz w:val="20"/>
                <w:szCs w:val="20"/>
                <w:color w:val="auto"/>
              </w:rPr>
            </w:pPr>
            <w:r>
              <w:rPr>
                <w:rFonts w:ascii="Arial" w:cs="Arial" w:eastAsia="Arial" w:hAnsi="Arial"/>
                <w:sz w:val="16"/>
                <w:szCs w:val="16"/>
                <w:color w:val="auto"/>
                <w:w w:val="99"/>
              </w:rPr>
              <w:t>-51,537</w:t>
            </w:r>
          </w:p>
        </w:tc>
        <w:tc>
          <w:tcPr>
            <w:tcW w:w="100" w:type="dxa"/>
            <w:vAlign w:val="bottom"/>
          </w:tcPr>
          <w:p>
            <w:pPr>
              <w:spacing w:after="0"/>
              <w:rPr>
                <w:sz w:val="24"/>
                <w:szCs w:val="24"/>
                <w:color w:val="auto"/>
              </w:rPr>
            </w:pPr>
          </w:p>
        </w:tc>
        <w:tc>
          <w:tcPr>
            <w:tcW w:w="1180" w:type="dxa"/>
            <w:vAlign w:val="bottom"/>
          </w:tcPr>
          <w:p>
            <w:pPr>
              <w:jc w:val="center"/>
              <w:ind w:left="161"/>
              <w:spacing w:after="0"/>
              <w:rPr>
                <w:sz w:val="20"/>
                <w:szCs w:val="20"/>
                <w:color w:val="auto"/>
              </w:rPr>
            </w:pPr>
            <w:r>
              <w:rPr>
                <w:rFonts w:ascii="Arial" w:cs="Arial" w:eastAsia="Arial" w:hAnsi="Arial"/>
                <w:sz w:val="16"/>
                <w:szCs w:val="16"/>
                <w:color w:val="auto"/>
                <w:w w:val="96"/>
              </w:rPr>
              <w:t>-6,321,633</w:t>
            </w:r>
          </w:p>
        </w:tc>
        <w:tc>
          <w:tcPr>
            <w:tcW w:w="1680" w:type="dxa"/>
            <w:vAlign w:val="bottom"/>
          </w:tcPr>
          <w:p>
            <w:pPr>
              <w:jc w:val="center"/>
              <w:ind w:left="141"/>
              <w:spacing w:after="0"/>
              <w:rPr>
                <w:sz w:val="20"/>
                <w:szCs w:val="20"/>
                <w:color w:val="auto"/>
              </w:rPr>
            </w:pPr>
            <w:r>
              <w:rPr>
                <w:rFonts w:ascii="Arial" w:cs="Arial" w:eastAsia="Arial" w:hAnsi="Arial"/>
                <w:sz w:val="16"/>
                <w:szCs w:val="16"/>
                <w:color w:val="auto"/>
                <w:w w:val="98"/>
              </w:rPr>
              <w:t>-941,151</w:t>
            </w:r>
          </w:p>
        </w:tc>
        <w:tc>
          <w:tcPr>
            <w:tcW w:w="80" w:type="dxa"/>
            <w:vAlign w:val="bottom"/>
          </w:tcPr>
          <w:p>
            <w:pPr>
              <w:spacing w:after="0"/>
              <w:rPr>
                <w:sz w:val="24"/>
                <w:szCs w:val="24"/>
                <w:color w:val="auto"/>
              </w:rPr>
            </w:pPr>
          </w:p>
        </w:tc>
        <w:tc>
          <w:tcPr>
            <w:tcW w:w="1200" w:type="dxa"/>
            <w:vAlign w:val="bottom"/>
          </w:tcPr>
          <w:p>
            <w:pPr>
              <w:jc w:val="center"/>
              <w:ind w:left="161"/>
              <w:spacing w:after="0"/>
              <w:rPr>
                <w:sz w:val="20"/>
                <w:szCs w:val="20"/>
                <w:color w:val="auto"/>
              </w:rPr>
            </w:pPr>
            <w:r>
              <w:rPr>
                <w:rFonts w:ascii="Arial" w:cs="Arial" w:eastAsia="Arial" w:hAnsi="Arial"/>
                <w:sz w:val="16"/>
                <w:szCs w:val="16"/>
                <w:color w:val="auto"/>
                <w:w w:val="98"/>
              </w:rPr>
              <w:t>-23,230,612</w:t>
            </w:r>
          </w:p>
        </w:tc>
        <w:tc>
          <w:tcPr>
            <w:tcW w:w="1660" w:type="dxa"/>
            <w:vAlign w:val="bottom"/>
          </w:tcPr>
          <w:p>
            <w:pPr>
              <w:jc w:val="center"/>
              <w:ind w:left="161"/>
              <w:spacing w:after="0"/>
              <w:rPr>
                <w:sz w:val="20"/>
                <w:szCs w:val="20"/>
                <w:color w:val="auto"/>
              </w:rPr>
            </w:pPr>
            <w:r>
              <w:rPr>
                <w:rFonts w:ascii="Arial" w:cs="Arial" w:eastAsia="Arial" w:hAnsi="Arial"/>
                <w:sz w:val="16"/>
                <w:szCs w:val="16"/>
                <w:color w:val="auto"/>
                <w:w w:val="96"/>
              </w:rPr>
              <w:t>-3,164,044</w:t>
            </w:r>
          </w:p>
        </w:tc>
      </w:tr>
      <w:tr>
        <w:trPr>
          <w:trHeight w:val="669"/>
        </w:trPr>
        <w:tc>
          <w:tcPr>
            <w:tcW w:w="1140" w:type="dxa"/>
            <w:vAlign w:val="bottom"/>
          </w:tcPr>
          <w:p>
            <w:pPr>
              <w:jc w:val="center"/>
              <w:ind w:left="181"/>
              <w:spacing w:after="0"/>
              <w:rPr>
                <w:sz w:val="20"/>
                <w:szCs w:val="20"/>
                <w:color w:val="auto"/>
              </w:rPr>
            </w:pPr>
            <w:r>
              <w:rPr>
                <w:rFonts w:ascii="Arial" w:cs="Arial" w:eastAsia="Arial" w:hAnsi="Arial"/>
                <w:sz w:val="16"/>
                <w:szCs w:val="16"/>
                <w:color w:val="auto"/>
                <w:w w:val="89"/>
              </w:rPr>
              <w:t>0</w:t>
            </w:r>
          </w:p>
        </w:tc>
        <w:tc>
          <w:tcPr>
            <w:tcW w:w="1700" w:type="dxa"/>
            <w:vAlign w:val="bottom"/>
          </w:tcPr>
          <w:p>
            <w:pPr>
              <w:jc w:val="center"/>
              <w:ind w:left="20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180" w:type="dxa"/>
            <w:vAlign w:val="bottom"/>
          </w:tcPr>
          <w:p>
            <w:pPr>
              <w:jc w:val="center"/>
              <w:ind w:left="161"/>
              <w:spacing w:after="0"/>
              <w:rPr>
                <w:sz w:val="20"/>
                <w:szCs w:val="20"/>
                <w:color w:val="auto"/>
              </w:rPr>
            </w:pPr>
            <w:r>
              <w:rPr>
                <w:rFonts w:ascii="Arial" w:cs="Arial" w:eastAsia="Arial" w:hAnsi="Arial"/>
                <w:sz w:val="16"/>
                <w:szCs w:val="16"/>
                <w:color w:val="auto"/>
              </w:rPr>
              <w:t>0</w:t>
            </w:r>
          </w:p>
        </w:tc>
        <w:tc>
          <w:tcPr>
            <w:tcW w:w="1680" w:type="dxa"/>
            <w:vAlign w:val="bottom"/>
          </w:tcPr>
          <w:p>
            <w:pPr>
              <w:jc w:val="center"/>
              <w:ind w:left="161"/>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24"/>
                <w:szCs w:val="24"/>
                <w:color w:val="auto"/>
              </w:rPr>
            </w:pPr>
          </w:p>
        </w:tc>
        <w:tc>
          <w:tcPr>
            <w:tcW w:w="1200" w:type="dxa"/>
            <w:vAlign w:val="bottom"/>
          </w:tcPr>
          <w:p>
            <w:pPr>
              <w:jc w:val="center"/>
              <w:ind w:left="161"/>
              <w:spacing w:after="0"/>
              <w:rPr>
                <w:sz w:val="20"/>
                <w:szCs w:val="20"/>
                <w:color w:val="auto"/>
              </w:rPr>
            </w:pPr>
            <w:r>
              <w:rPr>
                <w:rFonts w:ascii="Arial" w:cs="Arial" w:eastAsia="Arial" w:hAnsi="Arial"/>
                <w:sz w:val="16"/>
                <w:szCs w:val="16"/>
                <w:color w:val="auto"/>
                <w:w w:val="89"/>
              </w:rPr>
              <w:t>0</w:t>
            </w:r>
          </w:p>
        </w:tc>
        <w:tc>
          <w:tcPr>
            <w:tcW w:w="1660" w:type="dxa"/>
            <w:vAlign w:val="bottom"/>
          </w:tcPr>
          <w:p>
            <w:pPr>
              <w:jc w:val="center"/>
              <w:ind w:left="161"/>
              <w:spacing w:after="0"/>
              <w:rPr>
                <w:sz w:val="20"/>
                <w:szCs w:val="20"/>
                <w:color w:val="auto"/>
              </w:rPr>
            </w:pPr>
            <w:r>
              <w:rPr>
                <w:rFonts w:ascii="Arial" w:cs="Arial" w:eastAsia="Arial" w:hAnsi="Arial"/>
                <w:sz w:val="16"/>
                <w:szCs w:val="16"/>
                <w:color w:val="auto"/>
              </w:rPr>
              <w:t>0</w:t>
            </w:r>
          </w:p>
        </w:tc>
      </w:tr>
      <w:tr>
        <w:trPr>
          <w:trHeight w:val="669"/>
        </w:trPr>
        <w:tc>
          <w:tcPr>
            <w:tcW w:w="1140" w:type="dxa"/>
            <w:vAlign w:val="bottom"/>
          </w:tcPr>
          <w:p>
            <w:pPr>
              <w:jc w:val="center"/>
              <w:ind w:left="181"/>
              <w:spacing w:after="0"/>
              <w:rPr>
                <w:sz w:val="20"/>
                <w:szCs w:val="20"/>
                <w:color w:val="auto"/>
              </w:rPr>
            </w:pPr>
            <w:r>
              <w:rPr>
                <w:rFonts w:ascii="Arial" w:cs="Arial" w:eastAsia="Arial" w:hAnsi="Arial"/>
                <w:sz w:val="16"/>
                <w:szCs w:val="16"/>
                <w:color w:val="auto"/>
                <w:w w:val="89"/>
              </w:rPr>
              <w:t>0</w:t>
            </w:r>
          </w:p>
        </w:tc>
        <w:tc>
          <w:tcPr>
            <w:tcW w:w="1700" w:type="dxa"/>
            <w:vAlign w:val="bottom"/>
          </w:tcPr>
          <w:p>
            <w:pPr>
              <w:jc w:val="center"/>
              <w:ind w:left="201"/>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180" w:type="dxa"/>
            <w:vAlign w:val="bottom"/>
          </w:tcPr>
          <w:p>
            <w:pPr>
              <w:jc w:val="center"/>
              <w:ind w:left="161"/>
              <w:spacing w:after="0"/>
              <w:rPr>
                <w:sz w:val="20"/>
                <w:szCs w:val="20"/>
                <w:color w:val="auto"/>
              </w:rPr>
            </w:pPr>
            <w:r>
              <w:rPr>
                <w:rFonts w:ascii="Arial" w:cs="Arial" w:eastAsia="Arial" w:hAnsi="Arial"/>
                <w:sz w:val="16"/>
                <w:szCs w:val="16"/>
                <w:color w:val="auto"/>
              </w:rPr>
              <w:t>0</w:t>
            </w:r>
          </w:p>
        </w:tc>
        <w:tc>
          <w:tcPr>
            <w:tcW w:w="1680" w:type="dxa"/>
            <w:vAlign w:val="bottom"/>
          </w:tcPr>
          <w:p>
            <w:pPr>
              <w:jc w:val="center"/>
              <w:ind w:left="161"/>
              <w:spacing w:after="0"/>
              <w:rPr>
                <w:sz w:val="20"/>
                <w:szCs w:val="20"/>
                <w:color w:val="auto"/>
              </w:rPr>
            </w:pPr>
            <w:r>
              <w:rPr>
                <w:rFonts w:ascii="Arial" w:cs="Arial" w:eastAsia="Arial" w:hAnsi="Arial"/>
                <w:sz w:val="16"/>
                <w:szCs w:val="16"/>
                <w:color w:val="auto"/>
                <w:w w:val="89"/>
              </w:rPr>
              <w:t>0</w:t>
            </w:r>
          </w:p>
        </w:tc>
        <w:tc>
          <w:tcPr>
            <w:tcW w:w="80" w:type="dxa"/>
            <w:vAlign w:val="bottom"/>
          </w:tcPr>
          <w:p>
            <w:pPr>
              <w:spacing w:after="0"/>
              <w:rPr>
                <w:sz w:val="24"/>
                <w:szCs w:val="24"/>
                <w:color w:val="auto"/>
              </w:rPr>
            </w:pPr>
          </w:p>
        </w:tc>
        <w:tc>
          <w:tcPr>
            <w:tcW w:w="1200" w:type="dxa"/>
            <w:vAlign w:val="bottom"/>
          </w:tcPr>
          <w:p>
            <w:pPr>
              <w:jc w:val="center"/>
              <w:ind w:left="161"/>
              <w:spacing w:after="0"/>
              <w:rPr>
                <w:sz w:val="20"/>
                <w:szCs w:val="20"/>
                <w:color w:val="auto"/>
              </w:rPr>
            </w:pPr>
            <w:r>
              <w:rPr>
                <w:rFonts w:ascii="Arial" w:cs="Arial" w:eastAsia="Arial" w:hAnsi="Arial"/>
                <w:sz w:val="16"/>
                <w:szCs w:val="16"/>
                <w:color w:val="auto"/>
                <w:w w:val="89"/>
              </w:rPr>
              <w:t>0</w:t>
            </w:r>
          </w:p>
        </w:tc>
        <w:tc>
          <w:tcPr>
            <w:tcW w:w="1660" w:type="dxa"/>
            <w:vAlign w:val="bottom"/>
          </w:tcPr>
          <w:p>
            <w:pPr>
              <w:jc w:val="center"/>
              <w:ind w:left="161"/>
              <w:spacing w:after="0"/>
              <w:rPr>
                <w:sz w:val="20"/>
                <w:szCs w:val="20"/>
                <w:color w:val="auto"/>
              </w:rPr>
            </w:pPr>
            <w:r>
              <w:rPr>
                <w:rFonts w:ascii="Arial" w:cs="Arial" w:eastAsia="Arial" w:hAnsi="Arial"/>
                <w:sz w:val="16"/>
                <w:szCs w:val="16"/>
                <w:color w:val="auto"/>
              </w:rPr>
              <w:t>0</w:t>
            </w:r>
          </w:p>
        </w:tc>
      </w:tr>
      <w:tr>
        <w:trPr>
          <w:trHeight w:val="506"/>
        </w:trPr>
        <w:tc>
          <w:tcPr>
            <w:tcW w:w="1140" w:type="dxa"/>
            <w:vAlign w:val="bottom"/>
          </w:tcPr>
          <w:p>
            <w:pPr>
              <w:jc w:val="center"/>
              <w:ind w:left="201"/>
              <w:spacing w:after="0"/>
              <w:rPr>
                <w:sz w:val="20"/>
                <w:szCs w:val="20"/>
                <w:color w:val="auto"/>
              </w:rPr>
            </w:pPr>
            <w:r>
              <w:rPr>
                <w:rFonts w:ascii="Arial" w:cs="Arial" w:eastAsia="Arial" w:hAnsi="Arial"/>
                <w:sz w:val="16"/>
                <w:szCs w:val="16"/>
                <w:b w:val="1"/>
                <w:bCs w:val="1"/>
                <w:color w:val="auto"/>
                <w:w w:val="98"/>
              </w:rPr>
              <w:t>1,398,586</w:t>
            </w:r>
          </w:p>
        </w:tc>
        <w:tc>
          <w:tcPr>
            <w:tcW w:w="1700" w:type="dxa"/>
            <w:vAlign w:val="bottom"/>
          </w:tcPr>
          <w:p>
            <w:pPr>
              <w:jc w:val="center"/>
              <w:ind w:left="201"/>
              <w:spacing w:after="0"/>
              <w:rPr>
                <w:sz w:val="20"/>
                <w:szCs w:val="20"/>
                <w:color w:val="auto"/>
              </w:rPr>
            </w:pPr>
            <w:r>
              <w:rPr>
                <w:rFonts w:ascii="Arial" w:cs="Arial" w:eastAsia="Arial" w:hAnsi="Arial"/>
                <w:sz w:val="16"/>
                <w:szCs w:val="16"/>
                <w:b w:val="1"/>
                <w:bCs w:val="1"/>
                <w:color w:val="auto"/>
              </w:rPr>
              <w:t>726,983</w:t>
            </w:r>
          </w:p>
        </w:tc>
        <w:tc>
          <w:tcPr>
            <w:tcW w:w="100" w:type="dxa"/>
            <w:vAlign w:val="bottom"/>
          </w:tcPr>
          <w:p>
            <w:pPr>
              <w:spacing w:after="0"/>
              <w:rPr>
                <w:sz w:val="24"/>
                <w:szCs w:val="24"/>
                <w:color w:val="auto"/>
              </w:rPr>
            </w:pPr>
          </w:p>
        </w:tc>
        <w:tc>
          <w:tcPr>
            <w:tcW w:w="1180" w:type="dxa"/>
            <w:vAlign w:val="bottom"/>
          </w:tcPr>
          <w:p>
            <w:pPr>
              <w:jc w:val="center"/>
              <w:ind w:left="141"/>
              <w:spacing w:after="0"/>
              <w:rPr>
                <w:sz w:val="20"/>
                <w:szCs w:val="20"/>
                <w:color w:val="auto"/>
              </w:rPr>
            </w:pPr>
            <w:r>
              <w:rPr>
                <w:rFonts w:ascii="Arial" w:cs="Arial" w:eastAsia="Arial" w:hAnsi="Arial"/>
                <w:sz w:val="16"/>
                <w:szCs w:val="16"/>
                <w:b w:val="1"/>
                <w:bCs w:val="1"/>
                <w:color w:val="auto"/>
                <w:w w:val="98"/>
              </w:rPr>
              <w:t>-17,643,206</w:t>
            </w:r>
          </w:p>
        </w:tc>
        <w:tc>
          <w:tcPr>
            <w:tcW w:w="1680" w:type="dxa"/>
            <w:vAlign w:val="bottom"/>
          </w:tcPr>
          <w:p>
            <w:pPr>
              <w:jc w:val="center"/>
              <w:ind w:left="161"/>
              <w:spacing w:after="0"/>
              <w:rPr>
                <w:sz w:val="20"/>
                <w:szCs w:val="20"/>
                <w:color w:val="auto"/>
              </w:rPr>
            </w:pPr>
            <w:r>
              <w:rPr>
                <w:rFonts w:ascii="Arial" w:cs="Arial" w:eastAsia="Arial" w:hAnsi="Arial"/>
                <w:sz w:val="16"/>
                <w:szCs w:val="16"/>
                <w:b w:val="1"/>
                <w:bCs w:val="1"/>
                <w:color w:val="auto"/>
                <w:w w:val="99"/>
              </w:rPr>
              <w:t>-1,656,422</w:t>
            </w:r>
          </w:p>
        </w:tc>
        <w:tc>
          <w:tcPr>
            <w:tcW w:w="80" w:type="dxa"/>
            <w:vAlign w:val="bottom"/>
          </w:tcPr>
          <w:p>
            <w:pPr>
              <w:spacing w:after="0"/>
              <w:rPr>
                <w:sz w:val="24"/>
                <w:szCs w:val="24"/>
                <w:color w:val="auto"/>
              </w:rPr>
            </w:pPr>
          </w:p>
        </w:tc>
        <w:tc>
          <w:tcPr>
            <w:tcW w:w="1200" w:type="dxa"/>
            <w:vAlign w:val="bottom"/>
          </w:tcPr>
          <w:p>
            <w:pPr>
              <w:jc w:val="center"/>
              <w:ind w:left="161"/>
              <w:spacing w:after="0"/>
              <w:rPr>
                <w:sz w:val="20"/>
                <w:szCs w:val="20"/>
                <w:color w:val="auto"/>
              </w:rPr>
            </w:pPr>
            <w:r>
              <w:rPr>
                <w:rFonts w:ascii="Arial" w:cs="Arial" w:eastAsia="Arial" w:hAnsi="Arial"/>
                <w:sz w:val="16"/>
                <w:szCs w:val="16"/>
                <w:b w:val="1"/>
                <w:bCs w:val="1"/>
                <w:color w:val="auto"/>
                <w:w w:val="98"/>
              </w:rPr>
              <w:t>-62,152,872</w:t>
            </w:r>
          </w:p>
        </w:tc>
        <w:tc>
          <w:tcPr>
            <w:tcW w:w="1660" w:type="dxa"/>
            <w:vAlign w:val="bottom"/>
          </w:tcPr>
          <w:p>
            <w:pPr>
              <w:jc w:val="center"/>
              <w:ind w:left="161"/>
              <w:spacing w:after="0"/>
              <w:rPr>
                <w:sz w:val="20"/>
                <w:szCs w:val="20"/>
                <w:color w:val="auto"/>
              </w:rPr>
            </w:pPr>
            <w:r>
              <w:rPr>
                <w:rFonts w:ascii="Arial" w:cs="Arial" w:eastAsia="Arial" w:hAnsi="Arial"/>
                <w:sz w:val="16"/>
                <w:szCs w:val="16"/>
                <w:b w:val="1"/>
                <w:bCs w:val="1"/>
                <w:color w:val="auto"/>
                <w:w w:val="96"/>
              </w:rPr>
              <w:t>-6,315,773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-4016375</wp:posOffset>
            </wp:positionV>
            <wp:extent cx="7136130" cy="2584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6130" cy="25844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-3392170</wp:posOffset>
            </wp:positionV>
            <wp:extent cx="7136130" cy="4832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6130" cy="48323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-2426335</wp:posOffset>
            </wp:positionV>
            <wp:extent cx="7136130" cy="5911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6130" cy="59118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-1468755</wp:posOffset>
            </wp:positionV>
            <wp:extent cx="7136130" cy="4832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6130" cy="483235"/>
                    </a:xfrm>
                    <a:prstGeom prst="rect">
                      <a:avLst/>
                    </a:prstGeom>
                    <a:noFill/>
                  </pic:spPr>
                </pic:pic>
              </a:graphicData>
            </a:graphic>
          </wp:anchor>
        </w:drawing>
        <w:drawing>
          <wp:anchor simplePos="0" relativeHeight="251657728" behindDoc="1" locked="0" layoutInCell="0" allowOverlap="1">
            <wp:simplePos x="0" y="0"/>
            <wp:positionH relativeFrom="column">
              <wp:posOffset>-1583690</wp:posOffset>
            </wp:positionH>
            <wp:positionV relativeFrom="paragraph">
              <wp:posOffset>-619125</wp:posOffset>
            </wp:positionV>
            <wp:extent cx="7136130" cy="4832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6130" cy="48323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2480" w:space="20"/>
            <w:col w:w="8740"/>
          </w:cols>
          <w:pgMar w:left="320" w:top="115" w:right="339" w:bottom="1440" w:gutter="0" w:footer="0" w:header="0"/>
          <w:type w:val="continuous"/>
        </w:sectPr>
      </w:pPr>
    </w:p>
    <w:p>
      <w:pPr>
        <w:ind w:left="640" w:hanging="320"/>
        <w:spacing w:after="0" w:line="271" w:lineRule="auto"/>
        <w:tabs>
          <w:tab w:leader="none" w:pos="63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fair value of stock options reported for CAP purposes in columns (C) and (E) is estimated using a Black-Scholes option pricing model for the purposes of this PVP calculation in accordance with the SEC rules. This model uses both historical data and current market data to estimate the fair value of options and requires several assumptions. The assumptions used in estimating fair value for awards granted during 2023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Grant Year</w:t>
            </w:r>
          </w:p>
        </w:tc>
        <w:tc>
          <w:tcPr>
            <w:tcW w:w="80" w:type="dxa"/>
            <w:vAlign w:val="bottom"/>
            <w:tcBorders>
              <w:bottom w:val="single" w:sz="8" w:color="CCEEFF"/>
            </w:tcBorders>
          </w:tcPr>
          <w:p>
            <w:pPr>
              <w:spacing w:after="0"/>
              <w:rPr>
                <w:sz w:val="19"/>
                <w:szCs w:val="19"/>
                <w:color w:val="auto"/>
              </w:rPr>
            </w:pPr>
          </w:p>
        </w:tc>
        <w:tc>
          <w:tcPr>
            <w:tcW w:w="3140" w:type="dxa"/>
            <w:vAlign w:val="bottom"/>
            <w:tcBorders>
              <w:bottom w:val="single" w:sz="8" w:color="auto"/>
            </w:tcBorders>
            <w:gridSpan w:val="2"/>
          </w:tcPr>
          <w:p>
            <w:pPr>
              <w:jc w:val="right"/>
              <w:ind w:right="1301"/>
              <w:spacing w:after="0"/>
              <w:rPr>
                <w:sz w:val="20"/>
                <w:szCs w:val="20"/>
                <w:color w:val="auto"/>
              </w:rPr>
            </w:pPr>
            <w:r>
              <w:rPr>
                <w:rFonts w:ascii="Arial" w:cs="Arial" w:eastAsia="Arial" w:hAnsi="Arial"/>
                <w:sz w:val="16"/>
                <w:szCs w:val="16"/>
                <w:b w:val="1"/>
                <w:bCs w:val="1"/>
                <w:color w:val="auto"/>
              </w:rPr>
              <w:t>2023</w:t>
            </w:r>
          </w:p>
        </w:tc>
      </w:tr>
      <w:tr>
        <w:trPr>
          <w:trHeight w:val="22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- 92.26%</w:t>
            </w:r>
          </w:p>
        </w:tc>
      </w:tr>
      <w:tr>
        <w:trPr>
          <w:trHeight w:val="21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Expected life (in years)</w:t>
            </w:r>
          </w:p>
        </w:tc>
        <w:tc>
          <w:tcPr>
            <w:tcW w:w="3140" w:type="dxa"/>
            <w:vAlign w:val="bottom"/>
            <w:gridSpan w:val="2"/>
          </w:tcPr>
          <w:p>
            <w:pPr>
              <w:ind w:left="980"/>
              <w:spacing w:after="0"/>
              <w:rPr>
                <w:sz w:val="20"/>
                <w:szCs w:val="20"/>
                <w:color w:val="auto"/>
              </w:rPr>
            </w:pPr>
            <w:r>
              <w:rPr>
                <w:rFonts w:ascii="Arial" w:cs="Arial" w:eastAsia="Arial" w:hAnsi="Arial"/>
                <w:sz w:val="16"/>
                <w:szCs w:val="16"/>
                <w:color w:val="auto"/>
              </w:rPr>
              <w:t>4.18 - 9.03 years</w:t>
            </w:r>
          </w:p>
        </w:tc>
      </w:tr>
      <w:tr>
        <w:trPr>
          <w:trHeight w:val="231"/>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3140" w:type="dxa"/>
            <w:vAlign w:val="bottom"/>
            <w:gridSpan w:val="2"/>
            <w:shd w:val="clear" w:color="auto" w:fill="CCEEFF"/>
          </w:tcPr>
          <w:p>
            <w:pPr>
              <w:jc w:val="right"/>
              <w:ind w:right="1261"/>
              <w:spacing w:after="0"/>
              <w:rPr>
                <w:sz w:val="20"/>
                <w:szCs w:val="20"/>
                <w:color w:val="auto"/>
              </w:rPr>
            </w:pPr>
            <w:r>
              <w:rPr>
                <w:rFonts w:ascii="Arial" w:cs="Arial" w:eastAsia="Arial" w:hAnsi="Arial"/>
                <w:sz w:val="16"/>
                <w:szCs w:val="16"/>
                <w:color w:val="auto"/>
              </w:rPr>
              <w:t>0.00%</w:t>
            </w:r>
          </w:p>
        </w:tc>
      </w:tr>
      <w:tr>
        <w:trPr>
          <w:trHeight w:val="207"/>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Risk-free rate</w:t>
            </w:r>
          </w:p>
        </w:tc>
        <w:tc>
          <w:tcPr>
            <w:tcW w:w="1460" w:type="dxa"/>
            <w:vAlign w:val="bottom"/>
          </w:tcPr>
          <w:p>
            <w:pPr>
              <w:jc w:val="right"/>
              <w:spacing w:after="0"/>
              <w:rPr>
                <w:sz w:val="20"/>
                <w:szCs w:val="20"/>
                <w:color w:val="auto"/>
              </w:rPr>
            </w:pPr>
            <w:r>
              <w:rPr>
                <w:rFonts w:ascii="Arial" w:cs="Arial" w:eastAsia="Arial" w:hAnsi="Arial"/>
                <w:sz w:val="16"/>
                <w:szCs w:val="16"/>
                <w:color w:val="auto"/>
              </w:rPr>
              <w:t>3.32</w:t>
            </w:r>
          </w:p>
        </w:tc>
        <w:tc>
          <w:tcPr>
            <w:tcW w:w="1680" w:type="dxa"/>
            <w:vAlign w:val="bottom"/>
          </w:tcPr>
          <w:p>
            <w:pPr>
              <w:ind w:left="20"/>
              <w:spacing w:after="0"/>
              <w:rPr>
                <w:sz w:val="20"/>
                <w:szCs w:val="20"/>
                <w:color w:val="auto"/>
              </w:rPr>
            </w:pPr>
            <w:r>
              <w:rPr>
                <w:rFonts w:ascii="Arial" w:cs="Arial" w:eastAsia="Arial" w:hAnsi="Arial"/>
                <w:sz w:val="16"/>
                <w:szCs w:val="16"/>
                <w:color w:val="auto"/>
              </w:rPr>
              <w:t>- 4.85%</w:t>
            </w:r>
          </w:p>
        </w:tc>
      </w:tr>
    </w:tbl>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 Values shown are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Narrative Disclosure to Pay Versus Performance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Pay and TSR</w:t>
      </w:r>
    </w:p>
    <w:p>
      <w:pPr>
        <w:spacing w:after="0" w:line="121" w:lineRule="exact"/>
        <w:rPr>
          <w:sz w:val="20"/>
          <w:szCs w:val="20"/>
          <w:color w:val="auto"/>
        </w:rPr>
      </w:pPr>
    </w:p>
    <w:p>
      <w:pPr>
        <w:ind w:firstLine="315"/>
        <w:spacing w:after="0" w:line="300" w:lineRule="auto"/>
        <w:rPr>
          <w:sz w:val="20"/>
          <w:szCs w:val="20"/>
          <w:color w:val="auto"/>
        </w:rPr>
      </w:pPr>
      <w:r>
        <w:rPr>
          <w:rFonts w:ascii="Arial" w:cs="Arial" w:eastAsia="Arial" w:hAnsi="Arial"/>
          <w:sz w:val="17"/>
          <w:szCs w:val="17"/>
          <w:color w:val="auto"/>
        </w:rPr>
        <w:t>The graphs below reflect the relationship between the PEO and Average Non-PEO NEO CAP and the Company’s cumulative indexed Total Shareholder Return, or TSR, (assuming an initial fixed investment of $100) for the fiscal years ended December 31, 2021, 2022 and 2023:</w:t>
      </w: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i w:val="1"/>
          <w:iCs w:val="1"/>
          <w:color w:val="auto"/>
        </w:rPr>
        <w:t>CEO Pay vs Performance: Total Shareholder Return (12/31/20 to 12/31/23)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86360</wp:posOffset>
            </wp:positionV>
            <wp:extent cx="4496435" cy="31140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496435" cy="311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i w:val="1"/>
          <w:iCs w:val="1"/>
          <w:color w:val="auto"/>
        </w:rPr>
        <w:t>Average Other NEO Pay vs Performance: Total Shareholder Return (12/31/20 to 12/31/23)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19685</wp:posOffset>
            </wp:positionV>
            <wp:extent cx="4496435" cy="31140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496435" cy="3114040"/>
                    </a:xfrm>
                    <a:prstGeom prst="rect">
                      <a:avLst/>
                    </a:prstGeom>
                    <a:noFill/>
                  </pic:spPr>
                </pic:pic>
              </a:graphicData>
            </a:graphic>
          </wp:anchor>
        </w:drawing>
      </w:r>
    </w:p>
    <w:p>
      <w:pPr>
        <w:sectPr>
          <w:pgSz w:w="11900" w:h="16838" w:orient="portrait"/>
          <w:cols w:equalWidth="0" w:num="1">
            <w:col w:w="11060"/>
          </w:cols>
          <w:pgMar w:left="320" w:top="11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320" w:top="115" w:right="51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Pay and Net Income (GAAP)</w:t>
      </w:r>
    </w:p>
    <w:p>
      <w:pPr>
        <w:spacing w:after="0" w:line="108" w:lineRule="exact"/>
        <w:rPr>
          <w:sz w:val="20"/>
          <w:szCs w:val="20"/>
          <w:color w:val="auto"/>
        </w:rPr>
      </w:pPr>
    </w:p>
    <w:p>
      <w:pPr>
        <w:ind w:firstLine="315"/>
        <w:spacing w:after="0" w:line="300" w:lineRule="auto"/>
        <w:rPr>
          <w:sz w:val="20"/>
          <w:szCs w:val="20"/>
          <w:color w:val="auto"/>
        </w:rPr>
      </w:pPr>
      <w:r>
        <w:rPr>
          <w:rFonts w:ascii="Arial" w:cs="Arial" w:eastAsia="Arial" w:hAnsi="Arial"/>
          <w:sz w:val="17"/>
          <w:szCs w:val="17"/>
          <w:color w:val="auto"/>
        </w:rPr>
        <w:t>The graph below reflects the relationship between the PEO and Average Non-PEO NEO CAP and the Company’s GAAP Net Income for the applicable reporting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1127125</wp:posOffset>
            </wp:positionH>
            <wp:positionV relativeFrom="paragraph">
              <wp:posOffset>33655</wp:posOffset>
            </wp:positionV>
            <wp:extent cx="4896485" cy="3089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96485" cy="308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 Compensation Policy</w:t>
      </w:r>
    </w:p>
    <w:p>
      <w:pPr>
        <w:spacing w:after="0" w:line="119" w:lineRule="exact"/>
        <w:rPr>
          <w:sz w:val="20"/>
          <w:szCs w:val="20"/>
          <w:color w:val="auto"/>
        </w:rPr>
      </w:pPr>
    </w:p>
    <w:p>
      <w:pPr>
        <w:ind w:right="560" w:firstLine="433"/>
        <w:spacing w:after="0" w:line="300" w:lineRule="auto"/>
        <w:rPr>
          <w:sz w:val="20"/>
          <w:szCs w:val="20"/>
          <w:color w:val="auto"/>
        </w:rPr>
      </w:pPr>
      <w:r>
        <w:rPr>
          <w:rFonts w:ascii="Arial" w:cs="Arial" w:eastAsia="Arial" w:hAnsi="Arial"/>
          <w:sz w:val="17"/>
          <w:szCs w:val="17"/>
          <w:color w:val="auto"/>
        </w:rPr>
        <w:t>Our non-employee director compensation policy enables us to attract and retain, on a long-term basis, highly qualified non-employee directors. Under the policy, each director who is not an employee is paid cash compensation as set forth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2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Annual Retainer</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Board of Directors:</w:t>
            </w:r>
          </w:p>
        </w:tc>
        <w:tc>
          <w:tcPr>
            <w:tcW w:w="2220" w:type="dxa"/>
            <w:vAlign w:val="bottom"/>
            <w:shd w:val="clear" w:color="auto" w:fill="CCEEFF"/>
          </w:tcPr>
          <w:p>
            <w:pPr>
              <w:spacing w:after="0"/>
              <w:rPr>
                <w:sz w:val="19"/>
                <w:szCs w:val="19"/>
                <w:color w:val="auto"/>
              </w:rPr>
            </w:pP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Members</w:t>
            </w:r>
          </w:p>
        </w:tc>
        <w:tc>
          <w:tcPr>
            <w:tcW w:w="2220" w:type="dxa"/>
            <w:vAlign w:val="bottom"/>
          </w:tcPr>
          <w:p>
            <w:pPr>
              <w:jc w:val="center"/>
              <w:spacing w:after="0"/>
              <w:rPr>
                <w:sz w:val="20"/>
                <w:szCs w:val="20"/>
                <w:color w:val="auto"/>
              </w:rPr>
            </w:pPr>
            <w:r>
              <w:rPr>
                <w:rFonts w:ascii="Arial" w:cs="Arial" w:eastAsia="Arial" w:hAnsi="Arial"/>
                <w:sz w:val="16"/>
                <w:szCs w:val="16"/>
                <w:color w:val="auto"/>
              </w:rPr>
              <w:t>$40,000</w:t>
            </w:r>
          </w:p>
        </w:tc>
      </w:tr>
      <w:tr>
        <w:trPr>
          <w:trHeight w:val="244"/>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Additional retainer for non-executive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$35,000</w:t>
            </w:r>
          </w:p>
        </w:tc>
      </w:tr>
      <w:tr>
        <w:trPr>
          <w:trHeight w:val="232"/>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Audit Committee:</w:t>
            </w:r>
          </w:p>
        </w:tc>
        <w:tc>
          <w:tcPr>
            <w:tcW w:w="2220" w:type="dxa"/>
            <w:vAlign w:val="bottom"/>
          </w:tcPr>
          <w:p>
            <w:pPr>
              <w:spacing w:after="0"/>
              <w:rPr>
                <w:sz w:val="20"/>
                <w:szCs w:val="20"/>
                <w:color w:val="auto"/>
              </w:rPr>
            </w:pPr>
          </w:p>
        </w:tc>
      </w:tr>
      <w:tr>
        <w:trPr>
          <w:trHeight w:val="240"/>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Members (other than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$8,000</w:t>
            </w: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Retainer for chair</w:t>
            </w:r>
          </w:p>
        </w:tc>
        <w:tc>
          <w:tcPr>
            <w:tcW w:w="2220" w:type="dxa"/>
            <w:vAlign w:val="bottom"/>
          </w:tcPr>
          <w:p>
            <w:pPr>
              <w:jc w:val="center"/>
              <w:spacing w:after="0"/>
              <w:rPr>
                <w:sz w:val="20"/>
                <w:szCs w:val="20"/>
                <w:color w:val="auto"/>
              </w:rPr>
            </w:pPr>
            <w:r>
              <w:rPr>
                <w:rFonts w:ascii="Arial" w:cs="Arial" w:eastAsia="Arial" w:hAnsi="Arial"/>
                <w:sz w:val="16"/>
                <w:szCs w:val="16"/>
                <w:color w:val="auto"/>
              </w:rPr>
              <w:t>$16,000</w:t>
            </w:r>
          </w:p>
        </w:tc>
      </w:tr>
      <w:tr>
        <w:trPr>
          <w:trHeight w:val="244"/>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Compensation Committee:</w:t>
            </w:r>
          </w:p>
        </w:tc>
        <w:tc>
          <w:tcPr>
            <w:tcW w:w="2220" w:type="dxa"/>
            <w:vAlign w:val="bottom"/>
            <w:shd w:val="clear" w:color="auto" w:fill="CCEEFF"/>
          </w:tcPr>
          <w:p>
            <w:pPr>
              <w:spacing w:after="0"/>
              <w:rPr>
                <w:sz w:val="21"/>
                <w:szCs w:val="21"/>
                <w:color w:val="auto"/>
              </w:rPr>
            </w:pP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Members (other than chair)</w:t>
            </w: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$6,000</w:t>
            </w:r>
          </w:p>
        </w:tc>
      </w:tr>
      <w:tr>
        <w:trPr>
          <w:trHeight w:val="244"/>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Retainer for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$12,000</w:t>
            </w:r>
          </w:p>
        </w:tc>
      </w:tr>
      <w:tr>
        <w:trPr>
          <w:trHeight w:val="232"/>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Nominating and Corporate Governance Committee:</w:t>
            </w:r>
          </w:p>
        </w:tc>
        <w:tc>
          <w:tcPr>
            <w:tcW w:w="2220" w:type="dxa"/>
            <w:vAlign w:val="bottom"/>
          </w:tcPr>
          <w:p>
            <w:pPr>
              <w:spacing w:after="0"/>
              <w:rPr>
                <w:sz w:val="20"/>
                <w:szCs w:val="20"/>
                <w:color w:val="auto"/>
              </w:rPr>
            </w:pPr>
          </w:p>
        </w:tc>
      </w:tr>
      <w:tr>
        <w:trPr>
          <w:trHeight w:val="240"/>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Members (other than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$4,000</w:t>
            </w: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Retainer for chair</w:t>
            </w: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$8,000</w:t>
            </w:r>
          </w:p>
        </w:tc>
      </w:tr>
      <w:tr>
        <w:trPr>
          <w:trHeight w:val="244"/>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Science &amp; Technology Committee:</w:t>
            </w:r>
          </w:p>
        </w:tc>
        <w:tc>
          <w:tcPr>
            <w:tcW w:w="2220" w:type="dxa"/>
            <w:vAlign w:val="bottom"/>
            <w:shd w:val="clear" w:color="auto" w:fill="CCEEFF"/>
          </w:tcPr>
          <w:p>
            <w:pPr>
              <w:spacing w:after="0"/>
              <w:rPr>
                <w:sz w:val="21"/>
                <w:szCs w:val="21"/>
                <w:color w:val="auto"/>
              </w:rPr>
            </w:pPr>
          </w:p>
        </w:tc>
      </w:tr>
      <w:tr>
        <w:trPr>
          <w:trHeight w:val="228"/>
        </w:trPr>
        <w:tc>
          <w:tcPr>
            <w:tcW w:w="9020" w:type="dxa"/>
            <w:vAlign w:val="bottom"/>
          </w:tcPr>
          <w:p>
            <w:pPr>
              <w:ind w:left="180"/>
              <w:spacing w:after="0"/>
              <w:rPr>
                <w:sz w:val="20"/>
                <w:szCs w:val="20"/>
                <w:color w:val="auto"/>
              </w:rPr>
            </w:pPr>
            <w:r>
              <w:rPr>
                <w:rFonts w:ascii="Arial" w:cs="Arial" w:eastAsia="Arial" w:hAnsi="Arial"/>
                <w:sz w:val="16"/>
                <w:szCs w:val="16"/>
                <w:color w:val="auto"/>
              </w:rPr>
              <w:t>Members (other than chair)</w:t>
            </w:r>
          </w:p>
        </w:tc>
        <w:tc>
          <w:tcPr>
            <w:tcW w:w="2220" w:type="dxa"/>
            <w:vAlign w:val="bottom"/>
          </w:tcPr>
          <w:p>
            <w:pPr>
              <w:jc w:val="center"/>
              <w:spacing w:after="0"/>
              <w:rPr>
                <w:sz w:val="20"/>
                <w:szCs w:val="20"/>
                <w:color w:val="auto"/>
              </w:rPr>
            </w:pPr>
            <w:r>
              <w:rPr>
                <w:rFonts w:ascii="Arial" w:cs="Arial" w:eastAsia="Arial" w:hAnsi="Arial"/>
                <w:sz w:val="16"/>
                <w:szCs w:val="16"/>
                <w:color w:val="auto"/>
                <w:w w:val="98"/>
              </w:rPr>
              <w:t>$4,000</w:t>
            </w:r>
          </w:p>
        </w:tc>
      </w:tr>
      <w:tr>
        <w:trPr>
          <w:trHeight w:val="244"/>
        </w:trPr>
        <w:tc>
          <w:tcPr>
            <w:tcW w:w="9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Retainer for chair</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$8,000</w:t>
            </w:r>
          </w:p>
        </w:tc>
      </w:tr>
    </w:tbl>
    <w:p>
      <w:pPr>
        <w:spacing w:after="0" w:line="180" w:lineRule="exact"/>
        <w:rPr>
          <w:sz w:val="20"/>
          <w:szCs w:val="20"/>
          <w:color w:val="auto"/>
        </w:rPr>
      </w:pPr>
    </w:p>
    <w:p>
      <w:pPr>
        <w:ind w:right="20" w:firstLine="433"/>
        <w:spacing w:after="0" w:line="263" w:lineRule="auto"/>
        <w:rPr>
          <w:sz w:val="20"/>
          <w:szCs w:val="20"/>
          <w:color w:val="auto"/>
        </w:rPr>
      </w:pPr>
      <w:r>
        <w:rPr>
          <w:rFonts w:ascii="Arial" w:cs="Arial" w:eastAsia="Arial" w:hAnsi="Arial"/>
          <w:sz w:val="17"/>
          <w:szCs w:val="17"/>
          <w:color w:val="auto"/>
        </w:rPr>
        <w:t>In addition, the non-employee director compensation policy provides that, upon initial election to our Board of Directors, each non-employee director will be granted an option to purchase a number of shares equal to 0.1% of the total number of shares of our common stock issued and outstanding on the grant date, or the Initial Grant. The Initial Grant vests in equal monthly installments over three years from the grant date, subject to continued service as a director through the applicable vesting date. Furthermore, each non-employee director who continues as a non-employee director following the Annual Meeting will be granted an annual option to purchase a number of shares equal to 0.05% of the total number of shares of our common stock issued and outstanding on the grant date, or the Annual Grant. The Annual Grant vests in 12 equal monthly installments, subject to continued service as a director through the applicable vesting date. Such awards are subject to full accelerated vesting upon the sale of the company.</w:t>
      </w:r>
    </w:p>
    <w:p>
      <w:pPr>
        <w:spacing w:after="0" w:line="70" w:lineRule="exact"/>
        <w:rPr>
          <w:sz w:val="20"/>
          <w:szCs w:val="20"/>
          <w:color w:val="auto"/>
        </w:rPr>
      </w:pPr>
    </w:p>
    <w:p>
      <w:pPr>
        <w:ind w:right="280" w:firstLine="433"/>
        <w:spacing w:after="0" w:line="300" w:lineRule="auto"/>
        <w:rPr>
          <w:sz w:val="20"/>
          <w:szCs w:val="20"/>
          <w:color w:val="auto"/>
        </w:rPr>
      </w:pPr>
      <w:r>
        <w:rPr>
          <w:rFonts w:ascii="Arial" w:cs="Arial" w:eastAsia="Arial" w:hAnsi="Arial"/>
          <w:sz w:val="17"/>
          <w:szCs w:val="17"/>
          <w:color w:val="auto"/>
        </w:rPr>
        <w:t>We reimburse all reasonable out-of-pocket expenses incurred by non-employee directors in attending meetings of the Board of Directors and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2023 Director Compensation Table</w:t>
      </w:r>
    </w:p>
    <w:p>
      <w:pPr>
        <w:spacing w:after="0" w:line="119" w:lineRule="exact"/>
        <w:rPr>
          <w:sz w:val="20"/>
          <w:szCs w:val="20"/>
          <w:color w:val="auto"/>
        </w:rPr>
      </w:pPr>
    </w:p>
    <w:p>
      <w:pPr>
        <w:ind w:right="20" w:firstLine="433"/>
        <w:spacing w:after="0" w:line="275" w:lineRule="auto"/>
        <w:rPr>
          <w:sz w:val="20"/>
          <w:szCs w:val="20"/>
          <w:color w:val="auto"/>
        </w:rPr>
      </w:pPr>
      <w:r>
        <w:rPr>
          <w:rFonts w:ascii="Arial" w:cs="Arial" w:eastAsia="Arial" w:hAnsi="Arial"/>
          <w:sz w:val="17"/>
          <w:szCs w:val="17"/>
          <w:color w:val="auto"/>
        </w:rPr>
        <w:t>The following table presents the total compensation for each person who served as a non-employee member of our Board of Directors during the year ended December 31, 2023. Other than as set forth in the table and described more fully below, we did not pay any compensation, make any equity awards or non-equity awards to or pay any other compensation to any of the non-employee members of our Board of Directors for 2023.</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7"/>
              </w:rPr>
              <w:t>Fees Earned or Paid</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020" w:type="dxa"/>
            <w:vAlign w:val="bottom"/>
            <w:vMerge w:val="restart"/>
          </w:tcPr>
          <w:p>
            <w:pPr>
              <w:ind w:left="2800"/>
              <w:spacing w:after="0"/>
              <w:rPr>
                <w:sz w:val="20"/>
                <w:szCs w:val="20"/>
                <w:color w:val="auto"/>
              </w:rPr>
            </w:pPr>
            <w:r>
              <w:rPr>
                <w:rFonts w:ascii="Arial" w:cs="Arial" w:eastAsia="Arial" w:hAnsi="Arial"/>
                <w:sz w:val="16"/>
                <w:szCs w:val="16"/>
                <w:b w:val="1"/>
                <w:bCs w:val="1"/>
                <w:color w:val="auto"/>
              </w:rPr>
              <w:t>Name</w:t>
            </w:r>
          </w:p>
        </w:tc>
        <w:tc>
          <w:tcPr>
            <w:tcW w:w="80" w:type="dxa"/>
            <w:vAlign w:val="bottom"/>
            <w:vMerge w:val="restart"/>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7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6"/>
              </w:rPr>
              <w:t>Awards</w:t>
            </w:r>
          </w:p>
        </w:tc>
        <w:tc>
          <w:tcPr>
            <w:tcW w:w="1620" w:type="dxa"/>
            <w:vAlign w:val="bottom"/>
            <w:vMerge w:val="restart"/>
          </w:tcPr>
          <w:p>
            <w:pPr>
              <w:ind w:left="52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Cash ($)</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($)(1)(2)</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Jeffrey Chodakewitz, M.D.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52,000</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20,866</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72,866</w:t>
            </w:r>
          </w:p>
        </w:tc>
        <w:tc>
          <w:tcPr>
            <w:tcW w:w="0" w:type="dxa"/>
            <w:vAlign w:val="bottom"/>
          </w:tcPr>
          <w:p>
            <w:pPr>
              <w:spacing w:after="0"/>
              <w:rPr>
                <w:sz w:val="1"/>
                <w:szCs w:val="1"/>
                <w:color w:val="auto"/>
              </w:rPr>
            </w:pPr>
          </w:p>
        </w:tc>
      </w:tr>
      <w:tr>
        <w:trPr>
          <w:trHeight w:val="209"/>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Merit Cudkowicz, M.D.</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55,418</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20,866</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76,284</w:t>
            </w:r>
          </w:p>
        </w:tc>
        <w:tc>
          <w:tcPr>
            <w:tcW w:w="0" w:type="dxa"/>
            <w:vAlign w:val="bottom"/>
          </w:tcPr>
          <w:p>
            <w:pPr>
              <w:spacing w:after="0"/>
              <w:rPr>
                <w:sz w:val="1"/>
                <w:szCs w:val="1"/>
                <w:color w:val="auto"/>
              </w:rPr>
            </w:pPr>
          </w:p>
        </w:tc>
      </w:tr>
      <w:tr>
        <w:trPr>
          <w:trHeight w:val="211"/>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Jill DeSimone</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58,000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20,866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78,866</w:t>
            </w:r>
          </w:p>
        </w:tc>
        <w:tc>
          <w:tcPr>
            <w:tcW w:w="0" w:type="dxa"/>
            <w:vAlign w:val="bottom"/>
          </w:tcPr>
          <w:p>
            <w:pPr>
              <w:spacing w:after="0"/>
              <w:rPr>
                <w:sz w:val="1"/>
                <w:szCs w:val="1"/>
                <w:color w:val="auto"/>
              </w:rPr>
            </w:pPr>
          </w:p>
        </w:tc>
      </w:tr>
      <w:tr>
        <w:trPr>
          <w:trHeight w:val="209"/>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Dean Mitchell</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83,503</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20,866</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104,369</w:t>
            </w:r>
          </w:p>
        </w:tc>
        <w:tc>
          <w:tcPr>
            <w:tcW w:w="0" w:type="dxa"/>
            <w:vAlign w:val="bottom"/>
          </w:tcPr>
          <w:p>
            <w:pPr>
              <w:spacing w:after="0"/>
              <w:rPr>
                <w:sz w:val="1"/>
                <w:szCs w:val="1"/>
                <w:color w:val="auto"/>
              </w:rPr>
            </w:pPr>
          </w:p>
        </w:tc>
      </w:tr>
      <w:tr>
        <w:trPr>
          <w:trHeight w:val="211"/>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Gregory Norden</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62,000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20,866</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82,866</w:t>
            </w:r>
          </w:p>
        </w:tc>
        <w:tc>
          <w:tcPr>
            <w:tcW w:w="0" w:type="dxa"/>
            <w:vAlign w:val="bottom"/>
          </w:tcPr>
          <w:p>
            <w:pPr>
              <w:spacing w:after="0"/>
              <w:rPr>
                <w:sz w:val="1"/>
                <w:szCs w:val="1"/>
                <w:color w:val="auto"/>
              </w:rPr>
            </w:pPr>
          </w:p>
        </w:tc>
      </w:tr>
      <w:tr>
        <w:trPr>
          <w:trHeight w:val="207"/>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William Young</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58,418</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20,866</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79,284</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30" w:lineRule="exact"/>
        <w:rPr>
          <w:sz w:val="20"/>
          <w:szCs w:val="20"/>
          <w:color w:val="auto"/>
        </w:rPr>
      </w:pPr>
    </w:p>
    <w:p>
      <w:pPr>
        <w:ind w:left="320" w:hanging="315"/>
        <w:spacing w:after="0" w:line="257"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amount reported represents the aggregate grant date fair value of stock options awarded during fiscal year 2023, calculated in accordance with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in this Annual Report. The amounts reported in this column reflect the accounting cost for these stock options and do not correspond to the actual economic value that may be received by our directors upon the exercise of the stock options or any sale of the underlying shares of common stock.</w:t>
      </w:r>
    </w:p>
    <w:p>
      <w:pPr>
        <w:spacing w:after="0" w:line="2" w:lineRule="exact"/>
        <w:rPr>
          <w:rFonts w:ascii="Arial" w:cs="Arial" w:eastAsia="Arial" w:hAnsi="Arial"/>
          <w:sz w:val="17"/>
          <w:szCs w:val="17"/>
          <w:color w:val="auto"/>
        </w:rPr>
      </w:pPr>
    </w:p>
    <w:p>
      <w:pPr>
        <w:ind w:left="320" w:right="180" w:hanging="315"/>
        <w:spacing w:after="0" w:line="265" w:lineRule="auto"/>
        <w:tabs>
          <w:tab w:leader="none" w:pos="311"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 of December 31, 2023, Dr. Chodakewitz held options to purchase 6,019 shares of our common stock, Dr. Cudkowicz held options to purchase 6,019 shares of our common stock, Ms. DeSimone held options to purchase 4,966 shares of our common stock, Mr. Mitchell held options to purchase 9,298 shares of our common stock, Mr. Norden held options to purchase 11,570 shares of our common stock and Mr. Young held options to purchase 11,746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180"/>
        <w:spacing w:after="0" w:line="387"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 Equity Compensation Plan Information</w:t>
      </w:r>
    </w:p>
    <w:p>
      <w:pPr>
        <w:spacing w:after="0" w:line="1" w:lineRule="exact"/>
        <w:rPr>
          <w:sz w:val="20"/>
          <w:szCs w:val="20"/>
          <w:color w:val="auto"/>
        </w:rPr>
      </w:pPr>
    </w:p>
    <w:p>
      <w:pPr>
        <w:ind w:right="120" w:firstLine="433"/>
        <w:spacing w:after="0" w:line="274" w:lineRule="auto"/>
        <w:rPr>
          <w:sz w:val="20"/>
          <w:szCs w:val="20"/>
          <w:color w:val="auto"/>
        </w:rPr>
      </w:pPr>
      <w:r>
        <w:rPr>
          <w:rFonts w:ascii="Arial" w:cs="Arial" w:eastAsia="Arial" w:hAnsi="Arial"/>
          <w:sz w:val="17"/>
          <w:szCs w:val="17"/>
          <w:color w:val="auto"/>
        </w:rPr>
        <w:t>The following table provides information as of December 31, 2023 regarding shares of common stock that may be issued under our equity compensation plans, consisting of our 2017 Stock Incentive Plan, our 2020 Stock Option and Incentive Plan and our 2020 Employee Stock Purchase Plan.</w:t>
      </w:r>
    </w:p>
    <w:p>
      <w:pPr>
        <w:sectPr>
          <w:pgSz w:w="11900" w:h="16838" w:orient="portrait"/>
          <w:cols w:equalWidth="0" w:num="1">
            <w:col w:w="11200"/>
          </w:cols>
          <w:pgMar w:left="320" w:top="11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Plan Category</w:t>
      </w:r>
    </w:p>
    <w:p>
      <w:pPr>
        <w:spacing w:after="0" w:line="41" w:lineRule="exact"/>
        <w:rPr>
          <w:sz w:val="20"/>
          <w:szCs w:val="20"/>
          <w:color w:val="auto"/>
        </w:rPr>
      </w:pPr>
    </w:p>
    <w:p>
      <w:pPr>
        <w:ind w:left="80" w:right="260"/>
        <w:spacing w:after="0" w:line="268" w:lineRule="auto"/>
        <w:rPr>
          <w:sz w:val="20"/>
          <w:szCs w:val="20"/>
          <w:color w:val="auto"/>
        </w:rPr>
      </w:pPr>
      <w:r>
        <w:rPr>
          <w:rFonts w:ascii="Arial" w:cs="Arial" w:eastAsia="Arial" w:hAnsi="Arial"/>
          <w:sz w:val="16"/>
          <w:szCs w:val="16"/>
          <w:color w:val="auto"/>
        </w:rPr>
        <w:t>Equity compensation plans approved by security holders:</w:t>
      </w:r>
    </w:p>
    <w:p>
      <w:pPr>
        <w:spacing w:after="0" w:line="9" w:lineRule="exact"/>
        <w:rPr>
          <w:sz w:val="20"/>
          <w:szCs w:val="20"/>
          <w:color w:val="auto"/>
        </w:rPr>
      </w:pPr>
    </w:p>
    <w:p>
      <w:pPr>
        <w:ind w:left="80"/>
        <w:spacing w:after="0" w:line="268" w:lineRule="auto"/>
        <w:rPr>
          <w:sz w:val="20"/>
          <w:szCs w:val="20"/>
          <w:color w:val="auto"/>
        </w:rPr>
      </w:pPr>
      <w:r>
        <w:rPr>
          <w:rFonts w:ascii="Arial" w:cs="Arial" w:eastAsia="Arial" w:hAnsi="Arial"/>
          <w:sz w:val="16"/>
          <w:szCs w:val="16"/>
          <w:color w:val="auto"/>
        </w:rPr>
        <w:t>Equity compensation plans not approved by security holders: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Number of securities remaining</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Number of securities to be issued</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available for future issuance under</w:t>
            </w:r>
          </w:p>
        </w:tc>
      </w:tr>
      <w:tr>
        <w:trPr>
          <w:trHeight w:val="170"/>
        </w:trPr>
        <w:tc>
          <w:tcPr>
            <w:tcW w:w="2780" w:type="dxa"/>
            <w:vAlign w:val="bottom"/>
            <w:gridSpan w:val="2"/>
          </w:tcPr>
          <w:p>
            <w:pPr>
              <w:jc w:val="center"/>
              <w:ind w:right="120"/>
              <w:spacing w:after="0" w:line="171" w:lineRule="exact"/>
              <w:rPr>
                <w:sz w:val="20"/>
                <w:szCs w:val="20"/>
                <w:color w:val="auto"/>
              </w:rPr>
            </w:pPr>
            <w:r>
              <w:rPr>
                <w:rFonts w:ascii="Arial" w:cs="Arial" w:eastAsia="Arial" w:hAnsi="Arial"/>
                <w:sz w:val="16"/>
                <w:szCs w:val="16"/>
                <w:b w:val="1"/>
                <w:bCs w:val="1"/>
                <w:color w:val="auto"/>
                <w:w w:val="97"/>
              </w:rPr>
              <w:t>upon exercise of outstanding</w:t>
            </w:r>
          </w:p>
        </w:tc>
        <w:tc>
          <w:tcPr>
            <w:tcW w:w="2240" w:type="dxa"/>
            <w:vAlign w:val="bottom"/>
            <w:gridSpan w:val="2"/>
          </w:tcPr>
          <w:p>
            <w:pPr>
              <w:jc w:val="center"/>
              <w:ind w:right="100"/>
              <w:spacing w:after="0" w:line="171" w:lineRule="exact"/>
              <w:rPr>
                <w:sz w:val="20"/>
                <w:szCs w:val="20"/>
                <w:color w:val="auto"/>
              </w:rPr>
            </w:pPr>
            <w:r>
              <w:rPr>
                <w:rFonts w:ascii="Arial" w:cs="Arial" w:eastAsia="Arial" w:hAnsi="Arial"/>
                <w:sz w:val="16"/>
                <w:szCs w:val="16"/>
                <w:b w:val="1"/>
                <w:bCs w:val="1"/>
                <w:color w:val="auto"/>
                <w:w w:val="98"/>
              </w:rPr>
              <w:t>Weighted average exercise</w:t>
            </w:r>
          </w:p>
        </w:tc>
        <w:tc>
          <w:tcPr>
            <w:tcW w:w="268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8"/>
              </w:rPr>
              <w:t>equity compensation plan</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options, restricted stock units and</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price of outstanding</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8"/>
              </w:rPr>
              <w:t>(excluding securities reflected in</w:t>
            </w:r>
          </w:p>
        </w:tc>
      </w:tr>
      <w:tr>
        <w:trPr>
          <w:trHeight w:val="184"/>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rights</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options</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9"/>
              </w:rPr>
              <w:t>column (a))</w:t>
            </w:r>
          </w:p>
        </w:tc>
      </w:tr>
      <w:tr>
        <w:trPr>
          <w:trHeight w:val="216"/>
        </w:trPr>
        <w:tc>
          <w:tcPr>
            <w:tcW w:w="2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(b)</w:t>
            </w:r>
          </w:p>
        </w:tc>
        <w:tc>
          <w:tcPr>
            <w:tcW w:w="268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410"/>
        </w:trPr>
        <w:tc>
          <w:tcPr>
            <w:tcW w:w="2660" w:type="dxa"/>
            <w:vAlign w:val="bottom"/>
          </w:tcPr>
          <w:p>
            <w:pPr>
              <w:jc w:val="center"/>
              <w:spacing w:after="0"/>
              <w:rPr>
                <w:sz w:val="20"/>
                <w:szCs w:val="20"/>
                <w:color w:val="auto"/>
              </w:rPr>
            </w:pPr>
            <w:r>
              <w:rPr>
                <w:rFonts w:ascii="Arial" w:cs="Arial" w:eastAsia="Arial" w:hAnsi="Arial"/>
                <w:sz w:val="16"/>
                <w:szCs w:val="16"/>
                <w:color w:val="auto"/>
                <w:w w:val="98"/>
              </w:rPr>
              <w:t>713,308(1)</w:t>
            </w:r>
          </w:p>
        </w:tc>
        <w:tc>
          <w:tcPr>
            <w:tcW w:w="1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8"/>
              </w:rPr>
              <w:t>$160.19(2)</w:t>
            </w:r>
          </w:p>
        </w:tc>
        <w:tc>
          <w:tcPr>
            <w:tcW w:w="1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w w:val="98"/>
              </w:rPr>
              <w:t>201,375(3)</w:t>
            </w:r>
          </w:p>
        </w:tc>
      </w:tr>
      <w:tr>
        <w:trPr>
          <w:trHeight w:val="421"/>
        </w:trPr>
        <w:tc>
          <w:tcPr>
            <w:tcW w:w="278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w:t>
            </w: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2"/>
        </w:trPr>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713,308</w:t>
            </w:r>
          </w:p>
        </w:tc>
        <w:tc>
          <w:tcPr>
            <w:tcW w:w="120" w:type="dxa"/>
            <w:vAlign w:val="bottom"/>
          </w:tcPr>
          <w:p>
            <w:pPr>
              <w:spacing w:after="0"/>
              <w:rPr>
                <w:sz w:val="17"/>
                <w:szCs w:val="17"/>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$160.19</w:t>
            </w:r>
          </w:p>
        </w:tc>
        <w:tc>
          <w:tcPr>
            <w:tcW w:w="100" w:type="dxa"/>
            <w:vAlign w:val="bottom"/>
          </w:tcPr>
          <w:p>
            <w:pPr>
              <w:spacing w:after="0"/>
              <w:rPr>
                <w:sz w:val="17"/>
                <w:szCs w:val="17"/>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201,375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-139065</wp:posOffset>
            </wp:positionV>
            <wp:extent cx="7061200" cy="141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61200" cy="141605"/>
                    </a:xfrm>
                    <a:prstGeom prst="rect">
                      <a:avLst/>
                    </a:prstGeom>
                    <a:noFill/>
                  </pic:spPr>
                </pic:pic>
              </a:graphicData>
            </a:graphic>
          </wp:anchor>
        </w:drawing>
        <w:drawing>
          <wp:anchor simplePos="0" relativeHeight="251657728" behindDoc="1" locked="0" layoutInCell="0" allowOverlap="1">
            <wp:simplePos x="0" y="0"/>
            <wp:positionH relativeFrom="column">
              <wp:posOffset>-2177415</wp:posOffset>
            </wp:positionH>
            <wp:positionV relativeFrom="paragraph">
              <wp:posOffset>-680720</wp:posOffset>
            </wp:positionV>
            <wp:extent cx="7061200" cy="274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61200" cy="2749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3140" w:space="360"/>
            <w:col w:w="7700"/>
          </w:cols>
          <w:pgMar w:left="320" w:top="115" w:right="379" w:bottom="1440" w:gutter="0" w:footer="0" w:header="0"/>
          <w:type w:val="continuous"/>
        </w:sectPr>
      </w:pPr>
    </w:p>
    <w:p>
      <w:pPr>
        <w:spacing w:after="0"/>
        <w:rPr>
          <w:sz w:val="20"/>
          <w:szCs w:val="20"/>
          <w:color w:val="auto"/>
        </w:rPr>
      </w:pPr>
      <w:r>
        <w:rPr>
          <w:rFonts w:ascii="Arial" w:cs="Arial" w:eastAsia="Arial" w:hAnsi="Arial"/>
          <w:sz w:val="17"/>
          <w:szCs w:val="17"/>
          <w:color w:val="auto"/>
        </w:rPr>
        <w:t>_____________________</w:t>
      </w:r>
    </w:p>
    <w:p>
      <w:pPr>
        <w:spacing w:after="0" w:line="30" w:lineRule="exact"/>
        <w:rPr>
          <w:sz w:val="20"/>
          <w:szCs w:val="20"/>
          <w:color w:val="auto"/>
        </w:rPr>
      </w:pPr>
    </w:p>
    <w:p>
      <w:pPr>
        <w:ind w:left="320" w:right="220" w:hanging="315"/>
        <w:spacing w:after="0" w:line="257" w:lineRule="auto"/>
        <w:tabs>
          <w:tab w:leader="none" w:pos="3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Includes 666,163 shares of common stock issuable upon the exercise of outstanding options and 47,145 shares subject to restricted stock units that will entitle the holder to one share of common stock for each unit that vests.</w:t>
      </w:r>
    </w:p>
    <w:p>
      <w:pPr>
        <w:ind w:left="320" w:right="60" w:hanging="315"/>
        <w:spacing w:after="0" w:line="257" w:lineRule="auto"/>
        <w:tabs>
          <w:tab w:leader="none" w:pos="3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calculation does not take into account the 47,145 shares of common stock subject to outstanding restricted stock units. Such shares will be issued at the time the restricted stock unit vests, without any cash consideration payable for those shares.</w:t>
      </w:r>
    </w:p>
    <w:p>
      <w:pPr>
        <w:ind w:left="320" w:right="40" w:hanging="315"/>
        <w:spacing w:after="0" w:line="269" w:lineRule="auto"/>
        <w:tabs>
          <w:tab w:leader="none" w:pos="3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As of December 31, 2023, there were no shares available for grant under the 2017 Stock Incentive Plan, 148,264 shares available for grants under the 2020 Stock Option and Incentive Plan and 53,111 shares available for grants under the 2020 Employee Stock Purchase Plan (of which 24,972 shares were subject to outstanding purchase rights).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certain information known to us regarding beneficial ownership of our capital stock outstanding as of March 1,</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2024 for:</w:t>
      </w:r>
    </w:p>
    <w:p>
      <w:pPr>
        <w:spacing w:after="0" w:line="103" w:lineRule="exact"/>
        <w:rPr>
          <w:sz w:val="20"/>
          <w:szCs w:val="20"/>
          <w:color w:val="auto"/>
        </w:rPr>
      </w:pPr>
    </w:p>
    <w:p>
      <w:pPr>
        <w:ind w:left="640" w:right="400" w:hanging="320"/>
        <w:spacing w:after="0" w:line="300" w:lineRule="auto"/>
        <w:tabs>
          <w:tab w:leader="none" w:pos="6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 the beneficial owner of five percent or more of our outstanding common stock;</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119" w:lineRule="exact"/>
        <w:rPr>
          <w:sz w:val="20"/>
          <w:szCs w:val="20"/>
          <w:color w:val="auto"/>
        </w:rPr>
      </w:pPr>
    </w:p>
    <w:p>
      <w:pPr>
        <w:ind w:right="60" w:firstLine="315"/>
        <w:spacing w:after="0" w:line="262"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These rules generally attribute beneficial ownership of securities to persons who possess sole or shared voting power or investment power with respect to those securities as well as any shares of common stock that the person has the right to acquire within 60 days of March 1, 2024 through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Each individual or entity shown on the table has furnished information with respect to beneficial ownership. Except as otherwise indicated below, the address of each officer, director and five percent stockholder listed below is c/o Praxis Precision Medicines, Inc., 99 High Street, 30th Floor, Boston, MA 02110.</w:t>
      </w:r>
    </w:p>
    <w:p>
      <w:pPr>
        <w:spacing w:after="0" w:line="283" w:lineRule="exact"/>
        <w:rPr>
          <w:sz w:val="20"/>
          <w:szCs w:val="20"/>
          <w:color w:val="auto"/>
        </w:rPr>
      </w:pPr>
    </w:p>
    <w:p>
      <w:pPr>
        <w:ind w:right="120" w:firstLine="315"/>
        <w:spacing w:after="0" w:line="300" w:lineRule="auto"/>
        <w:rPr>
          <w:sz w:val="20"/>
          <w:szCs w:val="20"/>
          <w:color w:val="auto"/>
        </w:rPr>
      </w:pPr>
      <w:r>
        <w:rPr>
          <w:rFonts w:ascii="Arial" w:cs="Arial" w:eastAsia="Arial" w:hAnsi="Arial"/>
          <w:sz w:val="17"/>
          <w:szCs w:val="17"/>
          <w:color w:val="auto"/>
        </w:rPr>
        <w:t>The percentage of beneficial ownership in the table below is based on 13,238,349 shares of common stock deemed to be outstanding as of March 1, 2024.</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3240" w:type="dxa"/>
            <w:vAlign w:val="bottom"/>
            <w:gridSpan w:val="4"/>
          </w:tcPr>
          <w:p>
            <w:pPr>
              <w:jc w:val="center"/>
              <w:spacing w:after="0"/>
              <w:rPr>
                <w:sz w:val="20"/>
                <w:szCs w:val="20"/>
                <w:color w:val="auto"/>
              </w:rPr>
            </w:pPr>
            <w:r>
              <w:rPr>
                <w:rFonts w:ascii="Arial" w:cs="Arial" w:eastAsia="Arial" w:hAnsi="Arial"/>
                <w:sz w:val="17"/>
                <w:szCs w:val="17"/>
                <w:b w:val="1"/>
                <w:bCs w:val="1"/>
                <w:color w:val="auto"/>
              </w:rPr>
              <w:t>COMMON STOCK BENEFICIALLY</w:t>
            </w:r>
          </w:p>
        </w:tc>
      </w:tr>
      <w:tr>
        <w:trPr>
          <w:trHeight w:val="236"/>
        </w:trPr>
        <w:tc>
          <w:tcPr>
            <w:tcW w:w="79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center"/>
              <w:ind w:right="1073"/>
              <w:spacing w:after="0"/>
              <w:rPr>
                <w:sz w:val="20"/>
                <w:szCs w:val="20"/>
                <w:color w:val="auto"/>
              </w:rPr>
            </w:pPr>
            <w:r>
              <w:rPr>
                <w:rFonts w:ascii="Arial" w:cs="Arial" w:eastAsia="Arial" w:hAnsi="Arial"/>
                <w:sz w:val="17"/>
                <w:szCs w:val="17"/>
                <w:b w:val="1"/>
                <w:bCs w:val="1"/>
                <w:color w:val="auto"/>
              </w:rPr>
              <w:t>OWNED</w:t>
            </w:r>
          </w:p>
        </w:tc>
      </w:tr>
      <w:tr>
        <w:trPr>
          <w:trHeight w:val="216"/>
        </w:trPr>
        <w:tc>
          <w:tcPr>
            <w:tcW w:w="79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PERCENTAGE</w:t>
            </w:r>
          </w:p>
        </w:tc>
      </w:tr>
      <w:tr>
        <w:trPr>
          <w:trHeight w:val="203"/>
        </w:trPr>
        <w:tc>
          <w:tcPr>
            <w:tcW w:w="7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5% or Greater Stockholders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49"/>
        </w:trPr>
        <w:tc>
          <w:tcPr>
            <w:tcW w:w="7940" w:type="dxa"/>
            <w:vAlign w:val="bottom"/>
          </w:tcPr>
          <w:p>
            <w:pPr>
              <w:spacing w:after="0"/>
              <w:rPr>
                <w:sz w:val="20"/>
                <w:szCs w:val="20"/>
                <w:color w:val="auto"/>
              </w:rPr>
            </w:pPr>
            <w:r>
              <w:rPr>
                <w:rFonts w:ascii="Arial" w:cs="Arial" w:eastAsia="Arial" w:hAnsi="Arial"/>
                <w:sz w:val="17"/>
                <w:szCs w:val="17"/>
                <w:color w:val="auto"/>
              </w:rPr>
              <w:t>Entities affiliated with Venrock (1)</w:t>
            </w:r>
          </w:p>
        </w:tc>
        <w:tc>
          <w:tcPr>
            <w:tcW w:w="1160" w:type="dxa"/>
            <w:vAlign w:val="bottom"/>
          </w:tcPr>
          <w:p>
            <w:pPr>
              <w:jc w:val="center"/>
              <w:ind w:left="133"/>
              <w:spacing w:after="0"/>
              <w:rPr>
                <w:sz w:val="20"/>
                <w:szCs w:val="20"/>
                <w:color w:val="auto"/>
              </w:rPr>
            </w:pPr>
            <w:r>
              <w:rPr>
                <w:rFonts w:ascii="Arial" w:cs="Arial" w:eastAsia="Arial" w:hAnsi="Arial"/>
                <w:sz w:val="17"/>
                <w:szCs w:val="17"/>
                <w:color w:val="auto"/>
              </w:rPr>
              <w:t>823,626</w:t>
            </w:r>
          </w:p>
        </w:tc>
        <w:tc>
          <w:tcPr>
            <w:tcW w:w="2080" w:type="dxa"/>
            <w:vAlign w:val="bottom"/>
            <w:gridSpan w:val="3"/>
          </w:tcPr>
          <w:p>
            <w:pPr>
              <w:jc w:val="center"/>
              <w:ind w:left="233"/>
              <w:spacing w:after="0"/>
              <w:rPr>
                <w:sz w:val="20"/>
                <w:szCs w:val="20"/>
                <w:color w:val="auto"/>
              </w:rPr>
            </w:pPr>
            <w:r>
              <w:rPr>
                <w:rFonts w:ascii="Arial" w:cs="Arial" w:eastAsia="Arial" w:hAnsi="Arial"/>
                <w:sz w:val="17"/>
                <w:szCs w:val="17"/>
                <w:color w:val="auto"/>
              </w:rPr>
              <w:t>6.2%</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Point72 (2)</w:t>
            </w:r>
          </w:p>
        </w:tc>
        <w:tc>
          <w:tcPr>
            <w:tcW w:w="1160" w:type="dxa"/>
            <w:vAlign w:val="bottom"/>
            <w:shd w:val="clear" w:color="auto" w:fill="CCEEFF"/>
          </w:tcPr>
          <w:p>
            <w:pPr>
              <w:jc w:val="center"/>
              <w:ind w:left="133"/>
              <w:spacing w:after="0"/>
              <w:rPr>
                <w:sz w:val="20"/>
                <w:szCs w:val="20"/>
                <w:color w:val="auto"/>
              </w:rPr>
            </w:pPr>
            <w:r>
              <w:rPr>
                <w:rFonts w:ascii="Arial" w:cs="Arial" w:eastAsia="Arial" w:hAnsi="Arial"/>
                <w:sz w:val="17"/>
                <w:szCs w:val="17"/>
                <w:color w:val="auto"/>
              </w:rPr>
              <w:t>758,185</w:t>
            </w:r>
          </w:p>
        </w:tc>
        <w:tc>
          <w:tcPr>
            <w:tcW w:w="2080" w:type="dxa"/>
            <w:vAlign w:val="bottom"/>
            <w:gridSpan w:val="3"/>
            <w:shd w:val="clear" w:color="auto" w:fill="CCEEFF"/>
          </w:tcPr>
          <w:p>
            <w:pPr>
              <w:jc w:val="center"/>
              <w:ind w:left="233"/>
              <w:spacing w:after="0"/>
              <w:rPr>
                <w:sz w:val="20"/>
                <w:szCs w:val="20"/>
                <w:color w:val="auto"/>
              </w:rPr>
            </w:pPr>
            <w:r>
              <w:rPr>
                <w:rFonts w:ascii="Arial" w:cs="Arial" w:eastAsia="Arial" w:hAnsi="Arial"/>
                <w:sz w:val="17"/>
                <w:szCs w:val="17"/>
                <w:color w:val="auto"/>
              </w:rPr>
              <w:t>5.7%</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Entities affiliated with Adage (3)</w:t>
            </w:r>
          </w:p>
        </w:tc>
        <w:tc>
          <w:tcPr>
            <w:tcW w:w="1160" w:type="dxa"/>
            <w:vAlign w:val="bottom"/>
          </w:tcPr>
          <w:p>
            <w:pPr>
              <w:jc w:val="center"/>
              <w:ind w:left="133"/>
              <w:spacing w:after="0"/>
              <w:rPr>
                <w:sz w:val="20"/>
                <w:szCs w:val="20"/>
                <w:color w:val="auto"/>
              </w:rPr>
            </w:pPr>
            <w:r>
              <w:rPr>
                <w:rFonts w:ascii="Arial" w:cs="Arial" w:eastAsia="Arial" w:hAnsi="Arial"/>
                <w:sz w:val="17"/>
                <w:szCs w:val="17"/>
                <w:color w:val="auto"/>
              </w:rPr>
              <w:t>738,666</w:t>
            </w:r>
          </w:p>
        </w:tc>
        <w:tc>
          <w:tcPr>
            <w:tcW w:w="2080" w:type="dxa"/>
            <w:vAlign w:val="bottom"/>
            <w:gridSpan w:val="3"/>
          </w:tcPr>
          <w:p>
            <w:pPr>
              <w:jc w:val="center"/>
              <w:ind w:left="233"/>
              <w:spacing w:after="0"/>
              <w:rPr>
                <w:sz w:val="20"/>
                <w:szCs w:val="20"/>
                <w:color w:val="auto"/>
              </w:rPr>
            </w:pPr>
            <w:r>
              <w:rPr>
                <w:rFonts w:ascii="Arial" w:cs="Arial" w:eastAsia="Arial" w:hAnsi="Arial"/>
                <w:sz w:val="17"/>
                <w:szCs w:val="17"/>
                <w:color w:val="auto"/>
              </w:rPr>
              <w:t>5.6%</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Verition Fund Management LLC (4)</w:t>
            </w:r>
          </w:p>
        </w:tc>
        <w:tc>
          <w:tcPr>
            <w:tcW w:w="1160" w:type="dxa"/>
            <w:vAlign w:val="bottom"/>
            <w:shd w:val="clear" w:color="auto" w:fill="CCEEFF"/>
          </w:tcPr>
          <w:p>
            <w:pPr>
              <w:jc w:val="center"/>
              <w:ind w:left="133"/>
              <w:spacing w:after="0"/>
              <w:rPr>
                <w:sz w:val="20"/>
                <w:szCs w:val="20"/>
                <w:color w:val="auto"/>
              </w:rPr>
            </w:pPr>
            <w:r>
              <w:rPr>
                <w:rFonts w:ascii="Arial" w:cs="Arial" w:eastAsia="Arial" w:hAnsi="Arial"/>
                <w:sz w:val="17"/>
                <w:szCs w:val="17"/>
                <w:color w:val="auto"/>
              </w:rPr>
              <w:t>702,979</w:t>
            </w:r>
          </w:p>
        </w:tc>
        <w:tc>
          <w:tcPr>
            <w:tcW w:w="2080" w:type="dxa"/>
            <w:vAlign w:val="bottom"/>
            <w:gridSpan w:val="3"/>
            <w:shd w:val="clear" w:color="auto" w:fill="CCEEFF"/>
          </w:tcPr>
          <w:p>
            <w:pPr>
              <w:jc w:val="center"/>
              <w:ind w:left="233"/>
              <w:spacing w:after="0"/>
              <w:rPr>
                <w:sz w:val="20"/>
                <w:szCs w:val="20"/>
                <w:color w:val="auto"/>
              </w:rPr>
            </w:pPr>
            <w:r>
              <w:rPr>
                <w:rFonts w:ascii="Arial" w:cs="Arial" w:eastAsia="Arial" w:hAnsi="Arial"/>
                <w:sz w:val="17"/>
                <w:szCs w:val="17"/>
                <w:color w:val="auto"/>
              </w:rPr>
              <w:t>5.3%</w:t>
            </w:r>
          </w:p>
        </w:tc>
      </w:tr>
      <w:tr>
        <w:trPr>
          <w:trHeight w:val="223"/>
        </w:trPr>
        <w:tc>
          <w:tcPr>
            <w:tcW w:w="7940" w:type="dxa"/>
            <w:vAlign w:val="bottom"/>
          </w:tcPr>
          <w:p>
            <w:pPr>
              <w:spacing w:after="0"/>
              <w:rPr>
                <w:sz w:val="20"/>
                <w:szCs w:val="20"/>
                <w:color w:val="auto"/>
              </w:rPr>
            </w:pPr>
            <w:r>
              <w:rPr>
                <w:rFonts w:ascii="Arial" w:cs="Arial" w:eastAsia="Arial" w:hAnsi="Arial"/>
                <w:sz w:val="17"/>
                <w:szCs w:val="17"/>
                <w:b w:val="1"/>
                <w:bCs w:val="1"/>
                <w:color w:val="auto"/>
              </w:rPr>
              <w:t>Directors, Named Executive Officers and Other Executive Officers</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Marcio Souza (5)</w:t>
            </w:r>
          </w:p>
        </w:tc>
        <w:tc>
          <w:tcPr>
            <w:tcW w:w="1160" w:type="dxa"/>
            <w:vAlign w:val="bottom"/>
            <w:shd w:val="clear" w:color="auto" w:fill="CCEEFF"/>
          </w:tcPr>
          <w:p>
            <w:pPr>
              <w:jc w:val="center"/>
              <w:ind w:left="133"/>
              <w:spacing w:after="0"/>
              <w:rPr>
                <w:sz w:val="20"/>
                <w:szCs w:val="20"/>
                <w:color w:val="auto"/>
              </w:rPr>
            </w:pPr>
            <w:r>
              <w:rPr>
                <w:rFonts w:ascii="Arial" w:cs="Arial" w:eastAsia="Arial" w:hAnsi="Arial"/>
                <w:sz w:val="17"/>
                <w:szCs w:val="17"/>
                <w:color w:val="auto"/>
              </w:rPr>
              <w:t>235,537</w:t>
            </w:r>
          </w:p>
        </w:tc>
        <w:tc>
          <w:tcPr>
            <w:tcW w:w="2080" w:type="dxa"/>
            <w:vAlign w:val="bottom"/>
            <w:gridSpan w:val="3"/>
            <w:shd w:val="clear" w:color="auto" w:fill="CCEEFF"/>
          </w:tcPr>
          <w:p>
            <w:pPr>
              <w:jc w:val="center"/>
              <w:ind w:left="233"/>
              <w:spacing w:after="0"/>
              <w:rPr>
                <w:sz w:val="20"/>
                <w:szCs w:val="20"/>
                <w:color w:val="auto"/>
              </w:rPr>
            </w:pPr>
            <w:r>
              <w:rPr>
                <w:rFonts w:ascii="Arial" w:cs="Arial" w:eastAsia="Arial" w:hAnsi="Arial"/>
                <w:sz w:val="17"/>
                <w:szCs w:val="17"/>
                <w:color w:val="auto"/>
              </w:rPr>
              <w:t>1.8%</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Timothy Kelly (6)</w:t>
            </w:r>
          </w:p>
        </w:tc>
        <w:tc>
          <w:tcPr>
            <w:tcW w:w="1160" w:type="dxa"/>
            <w:vAlign w:val="bottom"/>
          </w:tcPr>
          <w:p>
            <w:pPr>
              <w:jc w:val="center"/>
              <w:ind w:left="133"/>
              <w:spacing w:after="0"/>
              <w:rPr>
                <w:sz w:val="20"/>
                <w:szCs w:val="20"/>
                <w:color w:val="auto"/>
              </w:rPr>
            </w:pPr>
            <w:r>
              <w:rPr>
                <w:rFonts w:ascii="Arial" w:cs="Arial" w:eastAsia="Arial" w:hAnsi="Arial"/>
                <w:sz w:val="17"/>
                <w:szCs w:val="17"/>
                <w:color w:val="auto"/>
              </w:rPr>
              <w:t>38,736</w:t>
            </w:r>
          </w:p>
        </w:tc>
        <w:tc>
          <w:tcPr>
            <w:tcW w:w="2080" w:type="dxa"/>
            <w:vAlign w:val="bottom"/>
            <w:gridSpan w:val="3"/>
          </w:tcPr>
          <w:p>
            <w:pPr>
              <w:jc w:val="center"/>
              <w:ind w:left="25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Alex Nemiroff (7)</w:t>
            </w:r>
          </w:p>
        </w:tc>
        <w:tc>
          <w:tcPr>
            <w:tcW w:w="1160" w:type="dxa"/>
            <w:vAlign w:val="bottom"/>
            <w:shd w:val="clear" w:color="auto" w:fill="CCEEFF"/>
          </w:tcPr>
          <w:p>
            <w:pPr>
              <w:jc w:val="center"/>
              <w:ind w:left="133"/>
              <w:spacing w:after="0"/>
              <w:rPr>
                <w:sz w:val="20"/>
                <w:szCs w:val="20"/>
                <w:color w:val="auto"/>
              </w:rPr>
            </w:pPr>
            <w:r>
              <w:rPr>
                <w:rFonts w:ascii="Arial" w:cs="Arial" w:eastAsia="Arial" w:hAnsi="Arial"/>
                <w:sz w:val="17"/>
                <w:szCs w:val="17"/>
                <w:color w:val="auto"/>
              </w:rPr>
              <w:t>36,208</w:t>
            </w:r>
          </w:p>
        </w:tc>
        <w:tc>
          <w:tcPr>
            <w:tcW w:w="2080" w:type="dxa"/>
            <w:vAlign w:val="bottom"/>
            <w:gridSpan w:val="3"/>
            <w:shd w:val="clear" w:color="auto" w:fill="CCEEFF"/>
          </w:tcPr>
          <w:p>
            <w:pPr>
              <w:jc w:val="center"/>
              <w:ind w:left="25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Dean Mitchell (8)</w:t>
            </w:r>
          </w:p>
        </w:tc>
        <w:tc>
          <w:tcPr>
            <w:tcW w:w="1160" w:type="dxa"/>
            <w:vAlign w:val="bottom"/>
          </w:tcPr>
          <w:p>
            <w:pPr>
              <w:jc w:val="center"/>
              <w:ind w:left="133"/>
              <w:spacing w:after="0"/>
              <w:rPr>
                <w:sz w:val="20"/>
                <w:szCs w:val="20"/>
                <w:color w:val="auto"/>
              </w:rPr>
            </w:pPr>
            <w:r>
              <w:rPr>
                <w:rFonts w:ascii="Arial" w:cs="Arial" w:eastAsia="Arial" w:hAnsi="Arial"/>
                <w:sz w:val="17"/>
                <w:szCs w:val="17"/>
                <w:color w:val="auto"/>
              </w:rPr>
              <w:t>13,337</w:t>
            </w:r>
          </w:p>
        </w:tc>
        <w:tc>
          <w:tcPr>
            <w:tcW w:w="2080" w:type="dxa"/>
            <w:vAlign w:val="bottom"/>
            <w:gridSpan w:val="3"/>
          </w:tcPr>
          <w:p>
            <w:pPr>
              <w:jc w:val="center"/>
              <w:ind w:left="25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William Young (9)</w:t>
            </w:r>
          </w:p>
        </w:tc>
        <w:tc>
          <w:tcPr>
            <w:tcW w:w="1160" w:type="dxa"/>
            <w:vAlign w:val="bottom"/>
            <w:shd w:val="clear" w:color="auto" w:fill="CCEEFF"/>
          </w:tcPr>
          <w:p>
            <w:pPr>
              <w:jc w:val="center"/>
              <w:ind w:left="133"/>
              <w:spacing w:after="0"/>
              <w:rPr>
                <w:sz w:val="20"/>
                <w:szCs w:val="20"/>
                <w:color w:val="auto"/>
              </w:rPr>
            </w:pPr>
            <w:r>
              <w:rPr>
                <w:rFonts w:ascii="Arial" w:cs="Arial" w:eastAsia="Arial" w:hAnsi="Arial"/>
                <w:sz w:val="17"/>
                <w:szCs w:val="17"/>
                <w:color w:val="auto"/>
              </w:rPr>
              <w:t>12,850</w:t>
            </w:r>
          </w:p>
        </w:tc>
        <w:tc>
          <w:tcPr>
            <w:tcW w:w="2080" w:type="dxa"/>
            <w:vAlign w:val="bottom"/>
            <w:gridSpan w:val="3"/>
            <w:shd w:val="clear" w:color="auto" w:fill="CCEEFF"/>
          </w:tcPr>
          <w:p>
            <w:pPr>
              <w:jc w:val="center"/>
              <w:ind w:left="25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Gregory Norden (10)</w:t>
            </w:r>
          </w:p>
        </w:tc>
        <w:tc>
          <w:tcPr>
            <w:tcW w:w="1160" w:type="dxa"/>
            <w:vAlign w:val="bottom"/>
          </w:tcPr>
          <w:p>
            <w:pPr>
              <w:jc w:val="center"/>
              <w:ind w:left="133"/>
              <w:spacing w:after="0"/>
              <w:rPr>
                <w:sz w:val="20"/>
                <w:szCs w:val="20"/>
                <w:color w:val="auto"/>
              </w:rPr>
            </w:pPr>
            <w:r>
              <w:rPr>
                <w:rFonts w:ascii="Arial" w:cs="Arial" w:eastAsia="Arial" w:hAnsi="Arial"/>
                <w:sz w:val="17"/>
                <w:szCs w:val="17"/>
                <w:color w:val="auto"/>
              </w:rPr>
              <w:t>10,966</w:t>
            </w:r>
          </w:p>
        </w:tc>
        <w:tc>
          <w:tcPr>
            <w:tcW w:w="2080" w:type="dxa"/>
            <w:vAlign w:val="bottom"/>
            <w:gridSpan w:val="3"/>
          </w:tcPr>
          <w:p>
            <w:pPr>
              <w:jc w:val="center"/>
              <w:ind w:left="25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Jeffrey Chodakewitz (11)</w:t>
            </w:r>
          </w:p>
        </w:tc>
        <w:tc>
          <w:tcPr>
            <w:tcW w:w="116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rPr>
              <w:t>5,697</w:t>
            </w:r>
          </w:p>
        </w:tc>
        <w:tc>
          <w:tcPr>
            <w:tcW w:w="2080" w:type="dxa"/>
            <w:vAlign w:val="bottom"/>
            <w:gridSpan w:val="3"/>
            <w:shd w:val="clear" w:color="auto" w:fill="CCEEFF"/>
          </w:tcPr>
          <w:p>
            <w:pPr>
              <w:jc w:val="center"/>
              <w:ind w:left="25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tcPr>
          <w:p>
            <w:pPr>
              <w:spacing w:after="0"/>
              <w:rPr>
                <w:sz w:val="20"/>
                <w:szCs w:val="20"/>
                <w:color w:val="auto"/>
              </w:rPr>
            </w:pPr>
            <w:r>
              <w:rPr>
                <w:rFonts w:ascii="Arial" w:cs="Arial" w:eastAsia="Arial" w:hAnsi="Arial"/>
                <w:sz w:val="17"/>
                <w:szCs w:val="17"/>
                <w:color w:val="auto"/>
              </w:rPr>
              <w:t>Merit Cudkowicz (12)</w:t>
            </w:r>
          </w:p>
        </w:tc>
        <w:tc>
          <w:tcPr>
            <w:tcW w:w="1160" w:type="dxa"/>
            <w:vAlign w:val="bottom"/>
          </w:tcPr>
          <w:p>
            <w:pPr>
              <w:jc w:val="center"/>
              <w:ind w:left="153"/>
              <w:spacing w:after="0"/>
              <w:rPr>
                <w:sz w:val="20"/>
                <w:szCs w:val="20"/>
                <w:color w:val="auto"/>
              </w:rPr>
            </w:pPr>
            <w:r>
              <w:rPr>
                <w:rFonts w:ascii="Arial" w:cs="Arial" w:eastAsia="Arial" w:hAnsi="Arial"/>
                <w:sz w:val="17"/>
                <w:szCs w:val="17"/>
                <w:color w:val="auto"/>
              </w:rPr>
              <w:t>5,697</w:t>
            </w:r>
          </w:p>
        </w:tc>
        <w:tc>
          <w:tcPr>
            <w:tcW w:w="2080" w:type="dxa"/>
            <w:vAlign w:val="bottom"/>
            <w:gridSpan w:val="3"/>
          </w:tcPr>
          <w:p>
            <w:pPr>
              <w:jc w:val="center"/>
              <w:ind w:left="253"/>
              <w:spacing w:after="0"/>
              <w:rPr>
                <w:sz w:val="20"/>
                <w:szCs w:val="20"/>
                <w:color w:val="auto"/>
              </w:rPr>
            </w:pPr>
            <w:r>
              <w:rPr>
                <w:rFonts w:ascii="Arial" w:cs="Arial" w:eastAsia="Arial" w:hAnsi="Arial"/>
                <w:sz w:val="17"/>
                <w:szCs w:val="17"/>
                <w:color w:val="auto"/>
                <w:w w:val="89"/>
              </w:rPr>
              <w:t>*</w:t>
            </w:r>
          </w:p>
        </w:tc>
      </w:tr>
      <w:tr>
        <w:trPr>
          <w:trHeight w:val="223"/>
        </w:trPr>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Jill DeSimone (13)</w:t>
            </w:r>
          </w:p>
        </w:tc>
        <w:tc>
          <w:tcPr>
            <w:tcW w:w="1160" w:type="dxa"/>
            <w:vAlign w:val="bottom"/>
            <w:shd w:val="clear" w:color="auto" w:fill="CCEEFF"/>
          </w:tcPr>
          <w:p>
            <w:pPr>
              <w:jc w:val="center"/>
              <w:ind w:left="153"/>
              <w:spacing w:after="0"/>
              <w:rPr>
                <w:sz w:val="20"/>
                <w:szCs w:val="20"/>
                <w:color w:val="auto"/>
              </w:rPr>
            </w:pPr>
            <w:r>
              <w:rPr>
                <w:rFonts w:ascii="Arial" w:cs="Arial" w:eastAsia="Arial" w:hAnsi="Arial"/>
                <w:sz w:val="17"/>
                <w:szCs w:val="17"/>
                <w:color w:val="auto"/>
              </w:rPr>
              <w:t>4,513</w:t>
            </w:r>
          </w:p>
        </w:tc>
        <w:tc>
          <w:tcPr>
            <w:tcW w:w="2080" w:type="dxa"/>
            <w:vAlign w:val="bottom"/>
            <w:gridSpan w:val="3"/>
            <w:shd w:val="clear" w:color="auto" w:fill="CCEEFF"/>
          </w:tcPr>
          <w:p>
            <w:pPr>
              <w:jc w:val="center"/>
              <w:ind w:left="253"/>
              <w:spacing w:after="0"/>
              <w:rPr>
                <w:sz w:val="20"/>
                <w:szCs w:val="20"/>
                <w:color w:val="auto"/>
              </w:rPr>
            </w:pPr>
            <w:r>
              <w:rPr>
                <w:rFonts w:ascii="Arial" w:cs="Arial" w:eastAsia="Arial" w:hAnsi="Arial"/>
                <w:sz w:val="17"/>
                <w:szCs w:val="17"/>
                <w:color w:val="auto"/>
                <w:w w:val="89"/>
              </w:rPr>
              <w:t>*</w:t>
            </w:r>
          </w:p>
        </w:tc>
      </w:tr>
      <w:tr>
        <w:trPr>
          <w:trHeight w:val="230"/>
        </w:trPr>
        <w:tc>
          <w:tcPr>
            <w:tcW w:w="7940" w:type="dxa"/>
            <w:vAlign w:val="bottom"/>
          </w:tcPr>
          <w:p>
            <w:pPr>
              <w:spacing w:after="0"/>
              <w:rPr>
                <w:sz w:val="20"/>
                <w:szCs w:val="20"/>
                <w:color w:val="auto"/>
              </w:rPr>
            </w:pPr>
            <w:r>
              <w:rPr>
                <w:rFonts w:ascii="Arial" w:cs="Arial" w:eastAsia="Arial" w:hAnsi="Arial"/>
                <w:sz w:val="17"/>
                <w:szCs w:val="17"/>
                <w:color w:val="auto"/>
              </w:rPr>
              <w:t>All executive officers and directors as a group (9 persons) (14)</w:t>
            </w:r>
          </w:p>
        </w:tc>
        <w:tc>
          <w:tcPr>
            <w:tcW w:w="1160" w:type="dxa"/>
            <w:vAlign w:val="bottom"/>
          </w:tcPr>
          <w:p>
            <w:pPr>
              <w:jc w:val="center"/>
              <w:ind w:left="133"/>
              <w:spacing w:after="0"/>
              <w:rPr>
                <w:sz w:val="20"/>
                <w:szCs w:val="20"/>
                <w:color w:val="auto"/>
              </w:rPr>
            </w:pPr>
            <w:r>
              <w:rPr>
                <w:rFonts w:ascii="Arial" w:cs="Arial" w:eastAsia="Arial" w:hAnsi="Arial"/>
                <w:sz w:val="17"/>
                <w:szCs w:val="17"/>
                <w:color w:val="auto"/>
              </w:rPr>
              <w:t>363,541</w:t>
            </w:r>
          </w:p>
        </w:tc>
        <w:tc>
          <w:tcPr>
            <w:tcW w:w="2080" w:type="dxa"/>
            <w:vAlign w:val="bottom"/>
            <w:gridSpan w:val="3"/>
          </w:tcPr>
          <w:p>
            <w:pPr>
              <w:jc w:val="center"/>
              <w:ind w:left="233"/>
              <w:spacing w:after="0"/>
              <w:rPr>
                <w:sz w:val="20"/>
                <w:szCs w:val="20"/>
                <w:color w:val="auto"/>
              </w:rPr>
            </w:pPr>
            <w:r>
              <w:rPr>
                <w:rFonts w:ascii="Arial" w:cs="Arial" w:eastAsia="Arial" w:hAnsi="Arial"/>
                <w:sz w:val="17"/>
                <w:szCs w:val="17"/>
                <w:color w:val="auto"/>
              </w:rPr>
              <w:t>2.7%</w:t>
            </w:r>
          </w:p>
        </w:tc>
      </w:tr>
    </w:tbl>
    <w:p>
      <w:pPr>
        <w:spacing w:after="0" w:line="173" w:lineRule="exact"/>
        <w:rPr>
          <w:sz w:val="20"/>
          <w:szCs w:val="20"/>
          <w:color w:val="auto"/>
        </w:rPr>
      </w:pPr>
    </w:p>
    <w:p>
      <w:pPr>
        <w:ind w:left="120" w:hanging="115"/>
        <w:spacing w:after="0"/>
        <w:tabs>
          <w:tab w:leader="none" w:pos="1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w:t>
      </w:r>
    </w:p>
    <w:p>
      <w:pPr>
        <w:spacing w:after="0" w:line="3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______________________</w:t>
      </w:r>
    </w:p>
    <w:p>
      <w:pPr>
        <w:spacing w:after="0" w:line="14" w:lineRule="exact"/>
        <w:rPr>
          <w:rFonts w:ascii="Arial" w:cs="Arial" w:eastAsia="Arial" w:hAnsi="Arial"/>
          <w:sz w:val="17"/>
          <w:szCs w:val="17"/>
          <w:color w:val="auto"/>
        </w:rPr>
      </w:pPr>
    </w:p>
    <w:p>
      <w:pPr>
        <w:ind w:left="320" w:right="20" w:hanging="315"/>
        <w:spacing w:after="0" w:line="256" w:lineRule="auto"/>
        <w:rPr>
          <w:rFonts w:ascii="Arial" w:cs="Arial" w:eastAsia="Arial" w:hAnsi="Arial"/>
          <w:sz w:val="17"/>
          <w:szCs w:val="17"/>
          <w:color w:val="auto"/>
        </w:rPr>
      </w:pPr>
      <w:r>
        <w:rPr>
          <w:rFonts w:ascii="Arial" w:cs="Arial" w:eastAsia="Arial" w:hAnsi="Arial"/>
          <w:sz w:val="17"/>
          <w:szCs w:val="17"/>
          <w:color w:val="auto"/>
        </w:rPr>
        <w:t>(1) Based solely on information contained in a Schedule 13G/A filed jointly by Venrock Healthcare Capital Partners III, L.P., VHCP Co-Investment Holdings III, LLC, Venrock Healthcare Capital Partners EG, L.P., VHCP Management III, LLC, VHCP Management EG, LLC (together, the "Venrock Entities"), Nimish Shah and Bong Koh with the SEC on February 14, 2024. The Venrock Entities and Messrs. Shah and Koh share voting and dispositive power with respect to 823,626 shares of common stock, of which (i) 92,968 shares and 123,563 shares issuable upon the exercise of immediately exercisable warrants are held by Venrock Healthcare Capital Partners III, L.P.; (ii) 9,300 shares and 12,361 shares issuable upon the exercise of warrants are held by VHCP Co-Investment Holdings III, LLC; and (iii) 251,358 shares and 334,076 shares issuable upon the exercise of warrants are held by Venrock Healthcare Capital Partners EG, L.P.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III, LLC and VHCP Management EG, LLC. The addresses for each of the Venrock Entities and Messrs. Shah and Koh are 7 Bryant Park, 23rd Floor, New York, NY 10018 and 3340 Hillview Avenue, Palo Alto, CA 94304.</w:t>
      </w:r>
    </w:p>
    <w:p>
      <w:pPr>
        <w:spacing w:after="0" w:line="1" w:lineRule="exact"/>
        <w:rPr>
          <w:rFonts w:ascii="Arial" w:cs="Arial" w:eastAsia="Arial" w:hAnsi="Arial"/>
          <w:sz w:val="17"/>
          <w:szCs w:val="17"/>
          <w:color w:val="auto"/>
        </w:rPr>
      </w:pPr>
    </w:p>
    <w:p>
      <w:pPr>
        <w:ind w:left="320" w:hanging="315"/>
        <w:spacing w:after="0" w:line="242" w:lineRule="auto"/>
        <w:rPr>
          <w:rFonts w:ascii="Arial" w:cs="Arial" w:eastAsia="Arial" w:hAnsi="Arial"/>
          <w:sz w:val="17"/>
          <w:szCs w:val="17"/>
          <w:color w:val="auto"/>
        </w:rPr>
      </w:pPr>
      <w:r>
        <w:rPr>
          <w:rFonts w:ascii="Arial" w:cs="Arial" w:eastAsia="Arial" w:hAnsi="Arial"/>
          <w:sz w:val="17"/>
          <w:szCs w:val="17"/>
          <w:color w:val="auto"/>
        </w:rPr>
        <w:t>(2) Based solely on information contained in a Schedule 13G/A filed jointly by Point72 Asset Management, L.P., Point72 Capital Advisors, Inc., Point72 Biotech Private Investments, LLC, Differentiated Ventures Investments, LLC, 72 Investment Holdings, LLC and Steven A. Cohen with the SEC on February 14, 2024. Point72 Associates, LLC directly holds 692,252 shares of common stock. Point72 Asset Management, L.P. maintains investment and voting power with respect to securities held by Point72 Associates, LLC. Point72 Capital Advisors, Inc. is the general partner of Point72 Asset Management, L.P. and may be deemed to share beneficial ownership of the shares of common stock of which Point72 Asset Management, L.P. may be deemed the beneficial owner. Point72 Biotech Private Investments, LLC directly holds 65,933 shares of common stock. Differentiated Ventures Investments, LLC is the managing member of Point72 Biotech Private Investments, LLC and may be deemed to share beneficial ownership over the shares of common stock held by Point72 Biotech Private Investments, LLC. 72 Investment Holdings, LLC is the sole member of Differentiated Ventures Investments, LLC and may be deemed to share beneficial ownership of the shares of common stock of which Differentiated Ventures may be deemed the beneficial owner. Mr. Cohen controls each of Point72 Asset Management, L.P., Point72 Capital Advisors, Inc., Point72 Biotech Private Investments, LLC, Differentiated Ventures Investments, LLC and 72 Investment Holdings, LLC. The address of the principal business office of Point72 Asset Management, L.P., Point72 Capital Advisors, Inc., Point72 Biotech Private Investments, LLC, Differentiated Ventures Investments, LLC, 72 Investment Holdings, LLC, and Mr. Cohen is 72 Cummings Point Road, Stamford, CT 06902.</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320" w:right="60" w:hanging="315"/>
        <w:spacing w:after="0" w:line="260" w:lineRule="auto"/>
        <w:tabs>
          <w:tab w:leader="none" w:pos="3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13G/A filed jointly by Adage Capital Partners, L.P., Adage Capital Partners GP, L.L.C., Adage Capital Management, L.P., Robert Atchinson and Phillip Gross with the SEC on February 7, 2024. Adage Capital Partners, L.P., or ACP, directly holds 738,666 shares of common stock. Adage Capital Partners GP, L.L.C., or ACPGP, is general partner of ACP. Adage Capital Management, L.P., or ACM, is the investment manager of ACP. Messrs. Atchinson and Gross are managing members of Adage Capital Advisors, LLC, managing member of ACPGP, and managing members of Adage Capital Partners, LLC, general partner of ACM. The address of the principal business office of each of the Adage funds and Messrs. Atchinson and Gross is 200 Clarendon Street, 52nd Floor, Boston, MA 02116.</w:t>
      </w:r>
    </w:p>
    <w:p>
      <w:pPr>
        <w:spacing w:after="0" w:line="2" w:lineRule="exact"/>
        <w:rPr>
          <w:rFonts w:ascii="Arial" w:cs="Arial" w:eastAsia="Arial" w:hAnsi="Arial"/>
          <w:sz w:val="17"/>
          <w:szCs w:val="17"/>
          <w:color w:val="auto"/>
        </w:rPr>
      </w:pPr>
    </w:p>
    <w:p>
      <w:pPr>
        <w:ind w:left="320" w:hanging="315"/>
        <w:spacing w:after="0" w:line="257" w:lineRule="auto"/>
        <w:tabs>
          <w:tab w:leader="none" w:pos="3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 filed jointly by Verition Fund Management LLC and Nicholas Maounis with the SEC on February 14, 2024. Verition Fund Management LLC and Mr. Maounis share voting and dispositive power with respect to 702,979 shares of common stock. Verition Fund Management LLC serves as the investment manager to Verition Multi-Strategy Master Fund Ltd. Mr. Nicholas Maounis is the managing member of Verition Fund Management LLC. The address of the principal business office of each of Verition Fund Management LLC and Nicholas Maounis is One American Lane, Greenwich, CT 06831.</w:t>
      </w:r>
    </w:p>
    <w:p>
      <w:pPr>
        <w:spacing w:after="0" w:line="2" w:lineRule="exact"/>
        <w:rPr>
          <w:rFonts w:ascii="Arial" w:cs="Arial" w:eastAsia="Arial" w:hAnsi="Arial"/>
          <w:sz w:val="17"/>
          <w:szCs w:val="17"/>
          <w:color w:val="auto"/>
        </w:rPr>
      </w:pPr>
    </w:p>
    <w:p>
      <w:pPr>
        <w:ind w:left="320" w:right="360" w:hanging="315"/>
        <w:spacing w:after="0" w:line="257" w:lineRule="auto"/>
        <w:tabs>
          <w:tab w:leader="none" w:pos="3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11,829 shares of common stock held directly by Mr. Souza, (ii) 3,000 shares held indirectly by Mr. Souza's spouse and (iii) 220,708 shares of common stock underlying options exercisable within 60 days of March 1, 2024.</w:t>
      </w:r>
    </w:p>
    <w:p>
      <w:pPr>
        <w:ind w:left="320" w:hanging="315"/>
        <w:spacing w:after="0" w:line="257" w:lineRule="auto"/>
        <w:tabs>
          <w:tab w:leader="none" w:pos="3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2,934 shares of common stock and (ii) 35,802 shares of common stock underlying options exercisable within 60 days of March 1, 2024.</w:t>
      </w:r>
    </w:p>
    <w:p>
      <w:pPr>
        <w:ind w:left="320" w:hanging="315"/>
        <w:spacing w:after="0" w:line="257" w:lineRule="auto"/>
        <w:tabs>
          <w:tab w:leader="none" w:pos="3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2,351 shares of common stock and (ii) 33,857 shares of common stock underlying options exercisable within 60 days of March 1, 2024.</w:t>
      </w:r>
    </w:p>
    <w:p>
      <w:pPr>
        <w:ind w:left="320" w:right="100" w:hanging="315"/>
        <w:spacing w:after="0" w:line="257" w:lineRule="auto"/>
        <w:tabs>
          <w:tab w:leader="none" w:pos="311"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5,000 shares of common stock and (ii) 8,337 shares of common stock underlying options exercisable within 60 days of March 1, 2024.</w:t>
      </w:r>
    </w:p>
    <w:p>
      <w:pPr>
        <w:ind w:left="320" w:right="480" w:hanging="315"/>
        <w:spacing w:after="0" w:line="257" w:lineRule="auto"/>
        <w:tabs>
          <w:tab w:leader="none" w:pos="359"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1,898 shares of common stock and (ii) 10,952 shares of common stock underlying options exercisable within 60 days of March 1, 2024.</w:t>
      </w:r>
    </w:p>
    <w:p>
      <w:pPr>
        <w:ind w:left="320" w:right="100" w:hanging="315"/>
        <w:spacing w:after="0" w:line="257" w:lineRule="auto"/>
        <w:tabs>
          <w:tab w:leader="none" w:pos="364"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188 shares of common stock and (ii) 10,778 shares of common stock underlying options exercisable within 60 days of March 1, 2024.</w:t>
      </w:r>
    </w:p>
    <w:p>
      <w:pPr>
        <w:ind w:left="360" w:hanging="355"/>
        <w:spacing w:after="0"/>
        <w:tabs>
          <w:tab w:leader="none" w:pos="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5,697 shares of common stock underlying options exercisable within 60 days of March 1, 2024.</w:t>
      </w:r>
    </w:p>
    <w:p>
      <w:pPr>
        <w:spacing w:after="0" w:line="14" w:lineRule="exact"/>
        <w:rPr>
          <w:rFonts w:ascii="Arial" w:cs="Arial" w:eastAsia="Arial" w:hAnsi="Arial"/>
          <w:sz w:val="17"/>
          <w:szCs w:val="17"/>
          <w:color w:val="auto"/>
        </w:rPr>
      </w:pPr>
    </w:p>
    <w:p>
      <w:pPr>
        <w:ind w:left="360" w:hanging="355"/>
        <w:spacing w:after="0"/>
        <w:tabs>
          <w:tab w:leader="none" w:pos="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5,697 shares of common stock underlying options exercisable within 60 days of March 1, 2024.</w:t>
      </w:r>
    </w:p>
    <w:p>
      <w:pPr>
        <w:spacing w:after="0" w:line="14" w:lineRule="exact"/>
        <w:rPr>
          <w:rFonts w:ascii="Arial" w:cs="Arial" w:eastAsia="Arial" w:hAnsi="Arial"/>
          <w:sz w:val="17"/>
          <w:szCs w:val="17"/>
          <w:color w:val="auto"/>
        </w:rPr>
      </w:pPr>
    </w:p>
    <w:p>
      <w:pPr>
        <w:ind w:left="320" w:hanging="315"/>
        <w:spacing w:after="0" w:line="257" w:lineRule="auto"/>
        <w:tabs>
          <w:tab w:leader="none" w:pos="364"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966 shares of common stock and (ii) 3,547 shares of common stock underlying options exercisable within 60 days of March 1, 2024.</w:t>
      </w:r>
    </w:p>
    <w:p>
      <w:pPr>
        <w:ind w:left="320" w:right="280" w:hanging="315"/>
        <w:spacing w:after="0" w:line="280" w:lineRule="auto"/>
        <w:tabs>
          <w:tab w:leader="none" w:pos="364"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28,166 shares of common stock and (ii) 335,375 shares of common stock underlying options exercisable within 60 days of March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1" w:lineRule="exact"/>
        <w:rPr>
          <w:sz w:val="20"/>
          <w:szCs w:val="20"/>
          <w:color w:val="auto"/>
        </w:rPr>
      </w:pPr>
    </w:p>
    <w:p>
      <w:pPr>
        <w:ind w:firstLine="315"/>
        <w:spacing w:after="0" w:line="266" w:lineRule="auto"/>
        <w:rPr>
          <w:sz w:val="20"/>
          <w:szCs w:val="20"/>
          <w:color w:val="auto"/>
        </w:rPr>
      </w:pPr>
      <w:r>
        <w:rPr>
          <w:rFonts w:ascii="Arial" w:cs="Arial" w:eastAsia="Arial" w:hAnsi="Arial"/>
          <w:sz w:val="17"/>
          <w:szCs w:val="17"/>
          <w:color w:val="auto"/>
        </w:rPr>
        <w:t>Other than the compensation agreements and other arrangements described under “Executive Compensation” and “Director Compensation” in this Annual Report on Form 10-K and the transactions described below, since January 1, 2022, there has not been and there is not currently proposed, any transaction or series of similar transactions to which we were, or will be, a party in which the amount involved exceeded, or will exceed, the lesser of $ 120,000 or one percent of our average total assets at fiscal year-end for the last two completed fiscal years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1" w:lineRule="exact"/>
        <w:rPr>
          <w:sz w:val="20"/>
          <w:szCs w:val="20"/>
          <w:color w:val="auto"/>
        </w:rPr>
      </w:pPr>
    </w:p>
    <w:p>
      <w:pPr>
        <w:jc w:val="both"/>
        <w:ind w:right="360" w:firstLine="315"/>
        <w:spacing w:after="0" w:line="278" w:lineRule="auto"/>
        <w:rPr>
          <w:sz w:val="20"/>
          <w:szCs w:val="20"/>
          <w:color w:val="auto"/>
        </w:rPr>
      </w:pPr>
      <w:r>
        <w:rPr>
          <w:rFonts w:ascii="Arial" w:cs="Arial" w:eastAsia="Arial" w:hAnsi="Arial"/>
          <w:sz w:val="17"/>
          <w:szCs w:val="17"/>
          <w:color w:val="auto"/>
        </w:rPr>
        <w:t>Pursuant to the terms of our Fourth Amended and Restated Investors’ Rights Agreement, dated as of July 24, 2020, as amended, or the Investors’ Rights Agreement, certain of our stockholders are entitled to rights with respect to the registration of their shares, which we refer to herein as registrable securities, under the Securities Act, including demand registration rights and piggyback registration rights.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S-1 Registration Rights</w:t>
      </w:r>
    </w:p>
    <w:p>
      <w:pPr>
        <w:spacing w:after="0" w:line="119"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Under the terms of the Investors’ Rights Agreement, we are required, upon the request of holders holding at least a majority of the registrable securities then outstanding, to file a registration statement on Form S-1 registering the resale of such holders’ registrable securities and the registrable securities of such other holders who elect to have their shares registered; provided that the anticipated aggregate offering price, net of related fees and expenses, of the registrable securities registered on such registration statement would equal at least $10 million. We are required to effect only two registrations pursuant to this provision of the Investors’ Rights Agreement.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119"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Pursuant to the Investors’ Rights Agreement, if we are eligible to file a registration statement on Form S-3, we are required, upon the request of holders holding at least a majority of the registrable securities then outstanding, to file a registration restatement on Form S-3 registering the resale of such holders’ registrable securities and the registrable securities of such other holders who elect to have their shares registered; provided that the anticipated aggregate offering price, net of related fees and expenses, of the registrable securities registered on such registration statement would equal at least $3 million. We are required to effect only two registrations in any twelve-month period pursuant to this provision of the Investors’ Rights Agreement.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19" w:lineRule="exact"/>
        <w:rPr>
          <w:sz w:val="20"/>
          <w:szCs w:val="20"/>
          <w:color w:val="auto"/>
        </w:rPr>
      </w:pPr>
    </w:p>
    <w:p>
      <w:pPr>
        <w:ind w:right="60" w:firstLine="315"/>
        <w:spacing w:after="0" w:line="271" w:lineRule="auto"/>
        <w:rPr>
          <w:sz w:val="20"/>
          <w:szCs w:val="20"/>
          <w:color w:val="auto"/>
        </w:rPr>
      </w:pPr>
      <w:r>
        <w:rPr>
          <w:rFonts w:ascii="Arial" w:cs="Arial" w:eastAsia="Arial" w:hAnsi="Arial"/>
          <w:sz w:val="17"/>
          <w:szCs w:val="17"/>
          <w:color w:val="auto"/>
        </w:rPr>
        <w:t>Subject to certain exceptions, if we register any of our securities either for our own account or for the account of security holders other than the holders party to the Investors’ Rights Agreement, the holders of shares of registrable securities are entitled to include their shares in the registration. If our proposed registration involves an underwriting, the managing underwriter of such offering will have the right to limit the number of shares to be underwritten for reasons related to the marketing of the shares.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9" w:lineRule="exact"/>
        <w:rPr>
          <w:sz w:val="20"/>
          <w:szCs w:val="20"/>
          <w:color w:val="auto"/>
        </w:rPr>
      </w:pPr>
    </w:p>
    <w:p>
      <w:pPr>
        <w:jc w:val="both"/>
        <w:ind w:right="40" w:firstLine="315"/>
        <w:spacing w:after="0" w:line="278" w:lineRule="auto"/>
        <w:rPr>
          <w:sz w:val="20"/>
          <w:szCs w:val="20"/>
          <w:color w:val="auto"/>
        </w:rPr>
      </w:pPr>
      <w:r>
        <w:rPr>
          <w:rFonts w:ascii="Arial" w:cs="Arial" w:eastAsia="Arial" w:hAnsi="Arial"/>
          <w:sz w:val="17"/>
          <w:szCs w:val="17"/>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19" w:lineRule="exact"/>
        <w:rPr>
          <w:sz w:val="20"/>
          <w:szCs w:val="20"/>
          <w:color w:val="auto"/>
        </w:rPr>
      </w:pPr>
    </w:p>
    <w:p>
      <w:pPr>
        <w:ind w:right="80" w:firstLine="315"/>
        <w:spacing w:after="0" w:line="278" w:lineRule="auto"/>
        <w:rPr>
          <w:sz w:val="20"/>
          <w:szCs w:val="20"/>
          <w:color w:val="auto"/>
        </w:rPr>
      </w:pPr>
      <w:r>
        <w:rPr>
          <w:rFonts w:ascii="Arial" w:cs="Arial" w:eastAsia="Arial" w:hAnsi="Arial"/>
          <w:sz w:val="17"/>
          <w:szCs w:val="17"/>
          <w:color w:val="auto"/>
        </w:rPr>
        <w:t>The demand registration rights and short-form registration rights granted under the Investors’ Rights Agreement will terminate on the earliest to occur of: (i) the fifth anniversary of the completion of our initial public offering and (ii) as to each holder of registrable securities, such time as either Rule 144 as promulgated under the Securities Act or</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another similar exemption under the Securities Act is available for the sale of all of such holder’s shares without limitation during a three-month period without registration or such holder no longer holds any registrable securities.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Agreements with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RogCon</w:t>
      </w:r>
    </w:p>
    <w:p>
      <w:pPr>
        <w:spacing w:after="0" w:line="119" w:lineRule="exact"/>
        <w:rPr>
          <w:sz w:val="20"/>
          <w:szCs w:val="20"/>
          <w:color w:val="auto"/>
        </w:rPr>
      </w:pPr>
    </w:p>
    <w:p>
      <w:pPr>
        <w:ind w:right="40" w:firstLine="315"/>
        <w:spacing w:after="0" w:line="278" w:lineRule="auto"/>
        <w:rPr>
          <w:sz w:val="20"/>
          <w:szCs w:val="20"/>
          <w:color w:val="auto"/>
        </w:rPr>
      </w:pPr>
      <w:r>
        <w:rPr>
          <w:rFonts w:ascii="Arial" w:cs="Arial" w:eastAsia="Arial" w:hAnsi="Arial"/>
          <w:sz w:val="17"/>
          <w:szCs w:val="17"/>
          <w:color w:val="auto"/>
        </w:rPr>
        <w:t>In December 2018, we entered into an agreement with RogCon Inc., or RogCon, pursuant to which we agreed to advance RogCon a deposit of up to $1.0 million related to the cooperation and license agreement described below. The amounts funded to RogCon under this agreement were applied towards the purchase price of the license agreement with RogCon described below.</w:t>
      </w:r>
    </w:p>
    <w:p>
      <w:pPr>
        <w:spacing w:after="0" w:line="55" w:lineRule="exact"/>
        <w:rPr>
          <w:sz w:val="20"/>
          <w:szCs w:val="20"/>
          <w:color w:val="auto"/>
        </w:rPr>
      </w:pPr>
    </w:p>
    <w:p>
      <w:pPr>
        <w:ind w:right="580" w:firstLine="315"/>
        <w:spacing w:after="0" w:line="300" w:lineRule="auto"/>
        <w:rPr>
          <w:sz w:val="20"/>
          <w:szCs w:val="20"/>
          <w:color w:val="auto"/>
        </w:rPr>
      </w:pPr>
      <w:r>
        <w:rPr>
          <w:rFonts w:ascii="Arial" w:cs="Arial" w:eastAsia="Arial" w:hAnsi="Arial"/>
          <w:sz w:val="17"/>
          <w:szCs w:val="17"/>
          <w:color w:val="auto"/>
        </w:rPr>
        <w:t>In September 2019, we entered into a cooperation and license agreement with RogCon, further described in this Annual Report under “Business—License Agreements.”</w:t>
      </w:r>
    </w:p>
    <w:p>
      <w:pPr>
        <w:spacing w:after="0" w:line="36" w:lineRule="exact"/>
        <w:rPr>
          <w:sz w:val="20"/>
          <w:szCs w:val="20"/>
          <w:color w:val="auto"/>
        </w:rPr>
      </w:pPr>
    </w:p>
    <w:p>
      <w:pPr>
        <w:ind w:right="1840" w:firstLine="315"/>
        <w:spacing w:after="0" w:line="386" w:lineRule="auto"/>
        <w:rPr>
          <w:sz w:val="20"/>
          <w:szCs w:val="20"/>
          <w:color w:val="auto"/>
        </w:rPr>
      </w:pPr>
      <w:r>
        <w:rPr>
          <w:rFonts w:ascii="Arial" w:cs="Arial" w:eastAsia="Arial" w:hAnsi="Arial"/>
          <w:sz w:val="17"/>
          <w:szCs w:val="17"/>
          <w:color w:val="auto"/>
        </w:rPr>
        <w:t xml:space="preserve">Alex Nemiroff, our General Counsel and Corporate Secretary, is a co-founder and Chief Executive Officer of RogCon. </w:t>
      </w:r>
      <w:r>
        <w:rPr>
          <w:rFonts w:ascii="Arial" w:cs="Arial" w:eastAsia="Arial" w:hAnsi="Arial"/>
          <w:sz w:val="17"/>
          <w:szCs w:val="17"/>
          <w:b w:val="1"/>
          <w:bCs w:val="1"/>
          <w:color w:val="auto"/>
        </w:rPr>
        <w:t>Indemnification Agreements</w:t>
      </w:r>
    </w:p>
    <w:p>
      <w:pPr>
        <w:spacing w:after="0" w:line="1"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21" w:lineRule="exact"/>
        <w:rPr>
          <w:sz w:val="20"/>
          <w:szCs w:val="20"/>
          <w:color w:val="auto"/>
        </w:rPr>
      </w:pPr>
    </w:p>
    <w:p>
      <w:pPr>
        <w:ind w:right="40" w:firstLine="315"/>
        <w:spacing w:after="0" w:line="260" w:lineRule="auto"/>
        <w:rPr>
          <w:sz w:val="20"/>
          <w:szCs w:val="20"/>
          <w:color w:val="auto"/>
        </w:rPr>
      </w:pPr>
      <w:r>
        <w:rPr>
          <w:rFonts w:ascii="Arial" w:cs="Arial" w:eastAsia="Arial" w:hAnsi="Arial"/>
          <w:sz w:val="17"/>
          <w:szCs w:val="17"/>
          <w:color w:val="auto"/>
        </w:rPr>
        <w:t>Applicable Nasdaq Stock Market LLC (“Nasdaq”) rules require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additional independence criteria set forth in the Nasdaq rules.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The Nasdaq independence definition also includes a series of objective tests, including that the director is not, and has not been for at least three years, one of our employees and that neither the director nor any of his or her family members has engaged in various types of business dealings with us.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the Nasdaq rules require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72"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Our Board of Directors has determined that all members of our Board of Directors, except Marcio Souza,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Souza is not an independent director under these rules because he is an executive officer of the Company.</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26" w:lineRule="exact"/>
        <w:rPr>
          <w:sz w:val="20"/>
          <w:szCs w:val="20"/>
          <w:color w:val="auto"/>
        </w:rPr>
      </w:pPr>
    </w:p>
    <w:p>
      <w:pPr>
        <w:ind w:right="400" w:firstLine="315"/>
        <w:spacing w:after="0" w:line="291" w:lineRule="auto"/>
        <w:rPr>
          <w:sz w:val="20"/>
          <w:szCs w:val="20"/>
          <w:color w:val="auto"/>
        </w:rPr>
      </w:pPr>
      <w:r>
        <w:rPr>
          <w:rFonts w:ascii="Arial" w:cs="Arial" w:eastAsia="Arial" w:hAnsi="Arial"/>
          <w:sz w:val="17"/>
          <w:szCs w:val="17"/>
          <w:color w:val="auto"/>
        </w:rPr>
        <w:t>Ernst &amp; Young LLP has served as our independent auditor since 2019. Praxis incurred the following fees from Ernst &amp; Young LLP for the audit of the consolidated financial statements and for other services provided during the years ended December 31,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00" w:type="dxa"/>
            <w:vAlign w:val="bottom"/>
          </w:tcPr>
          <w:p>
            <w:pPr>
              <w:spacing w:after="0"/>
              <w:rPr>
                <w:sz w:val="19"/>
                <w:szCs w:val="19"/>
                <w:color w:val="auto"/>
              </w:rPr>
            </w:pPr>
          </w:p>
        </w:tc>
        <w:tc>
          <w:tcPr>
            <w:tcW w:w="454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For the Year Ended December 31,</w:t>
            </w:r>
          </w:p>
        </w:tc>
      </w:tr>
      <w:tr>
        <w:trPr>
          <w:trHeight w:val="229"/>
        </w:trPr>
        <w:tc>
          <w:tcPr>
            <w:tcW w:w="67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2022</w:t>
            </w:r>
          </w:p>
        </w:tc>
      </w:tr>
      <w:tr>
        <w:trPr>
          <w:trHeight w:val="23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fees(1)</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$822,776</w:t>
            </w:r>
          </w:p>
        </w:tc>
        <w:tc>
          <w:tcPr>
            <w:tcW w:w="100" w:type="dxa"/>
            <w:vAlign w:val="bottom"/>
            <w:shd w:val="clear" w:color="auto" w:fill="CCEEFF"/>
          </w:tcPr>
          <w:p>
            <w:pPr>
              <w:spacing w:after="0"/>
              <w:rPr>
                <w:sz w:val="20"/>
                <w:szCs w:val="20"/>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$796,500</w:t>
            </w:r>
          </w:p>
        </w:tc>
      </w:tr>
      <w:tr>
        <w:trPr>
          <w:trHeight w:val="228"/>
        </w:trPr>
        <w:tc>
          <w:tcPr>
            <w:tcW w:w="6700" w:type="dxa"/>
            <w:vAlign w:val="bottom"/>
          </w:tcPr>
          <w:p>
            <w:pPr>
              <w:ind w:left="20"/>
              <w:spacing w:after="0"/>
              <w:rPr>
                <w:sz w:val="20"/>
                <w:szCs w:val="20"/>
                <w:color w:val="auto"/>
              </w:rPr>
            </w:pPr>
            <w:r>
              <w:rPr>
                <w:rFonts w:ascii="Arial" w:cs="Arial" w:eastAsia="Arial" w:hAnsi="Arial"/>
                <w:sz w:val="16"/>
                <w:szCs w:val="16"/>
                <w:color w:val="auto"/>
              </w:rPr>
              <w:t>Audit-related fees(2)</w:t>
            </w:r>
          </w:p>
        </w:tc>
        <w:tc>
          <w:tcPr>
            <w:tcW w:w="2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2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fees(3)</w:t>
            </w: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61,767</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98,169</w:t>
            </w:r>
          </w:p>
        </w:tc>
      </w:tr>
      <w:tr>
        <w:trPr>
          <w:trHeight w:val="229"/>
        </w:trPr>
        <w:tc>
          <w:tcPr>
            <w:tcW w:w="6700" w:type="dxa"/>
            <w:vAlign w:val="bottom"/>
          </w:tcPr>
          <w:p>
            <w:pPr>
              <w:ind w:left="20"/>
              <w:spacing w:after="0"/>
              <w:rPr>
                <w:sz w:val="20"/>
                <w:szCs w:val="20"/>
                <w:color w:val="auto"/>
              </w:rPr>
            </w:pPr>
            <w:r>
              <w:rPr>
                <w:rFonts w:ascii="Arial" w:cs="Arial" w:eastAsia="Arial" w:hAnsi="Arial"/>
                <w:sz w:val="16"/>
                <w:szCs w:val="16"/>
                <w:color w:val="auto"/>
              </w:rPr>
              <w:t>All other fees(4)</w:t>
            </w:r>
          </w:p>
        </w:tc>
        <w:tc>
          <w:tcPr>
            <w:tcW w:w="2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220" w:type="dxa"/>
            <w:vAlign w:val="bottom"/>
          </w:tcPr>
          <w:p>
            <w:pPr>
              <w:jc w:val="center"/>
              <w:spacing w:after="0"/>
              <w:rPr>
                <w:sz w:val="20"/>
                <w:szCs w:val="20"/>
                <w:color w:val="auto"/>
              </w:rPr>
            </w:pPr>
            <w:r>
              <w:rPr>
                <w:rFonts w:ascii="Arial" w:cs="Arial" w:eastAsia="Arial" w:hAnsi="Arial"/>
                <w:sz w:val="16"/>
                <w:szCs w:val="16"/>
                <w:color w:val="auto"/>
                <w:w w:val="94"/>
              </w:rPr>
              <w:t>5,180</w:t>
            </w:r>
          </w:p>
        </w:tc>
      </w:tr>
      <w:tr>
        <w:trPr>
          <w:trHeight w:val="23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fees</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884,543</w:t>
            </w:r>
          </w:p>
        </w:tc>
        <w:tc>
          <w:tcPr>
            <w:tcW w:w="10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899,849</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30" w:lineRule="exact"/>
        <w:rPr>
          <w:sz w:val="20"/>
          <w:szCs w:val="20"/>
          <w:color w:val="auto"/>
        </w:rPr>
      </w:pPr>
    </w:p>
    <w:p>
      <w:pPr>
        <w:ind w:left="240" w:right="100" w:hanging="235"/>
        <w:spacing w:after="0" w:line="265" w:lineRule="auto"/>
        <w:tabs>
          <w:tab w:leader="none" w:pos="266"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consist of fees for professional services rendered in connection with the audit of our annual consolidated financial statements,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of the interim consolidated financial statements included in quarterly reports, services rendered in connection with a follow-on public offering, and services that are normally provided by Ernst &amp; Young LLP, such as comfort letters, in connection with statutory and regulatory filings or engagements.</w:t>
      </w:r>
    </w:p>
    <w:p>
      <w:pPr>
        <w:spacing w:after="0" w:line="25" w:lineRule="exact"/>
        <w:rPr>
          <w:rFonts w:ascii="Arial" w:cs="Arial" w:eastAsia="Arial" w:hAnsi="Arial"/>
          <w:sz w:val="17"/>
          <w:szCs w:val="17"/>
          <w:color w:val="auto"/>
        </w:rPr>
      </w:pPr>
    </w:p>
    <w:p>
      <w:pPr>
        <w:ind w:left="260" w:hanging="255"/>
        <w:spacing w:after="0"/>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There were no </w:t>
      </w:r>
      <w:r>
        <w:rPr>
          <w:rFonts w:ascii="Arial" w:cs="Arial" w:eastAsia="Arial" w:hAnsi="Arial"/>
          <w:sz w:val="17"/>
          <w:szCs w:val="17"/>
          <w:b w:val="1"/>
          <w:bCs w:val="1"/>
          <w:i w:val="1"/>
          <w:iCs w:val="1"/>
          <w:color w:val="auto"/>
        </w:rPr>
        <w:t>audit-related fees</w:t>
      </w:r>
      <w:r>
        <w:rPr>
          <w:rFonts w:ascii="Arial" w:cs="Arial" w:eastAsia="Arial" w:hAnsi="Arial"/>
          <w:sz w:val="17"/>
          <w:szCs w:val="17"/>
          <w:color w:val="auto"/>
        </w:rPr>
        <w:t xml:space="preserve"> billed in 2023 or 2022.</w:t>
      </w:r>
    </w:p>
    <w:p>
      <w:pPr>
        <w:spacing w:after="0" w:line="93" w:lineRule="exact"/>
        <w:rPr>
          <w:rFonts w:ascii="Arial" w:cs="Arial" w:eastAsia="Arial" w:hAnsi="Arial"/>
          <w:sz w:val="17"/>
          <w:szCs w:val="17"/>
          <w:color w:val="auto"/>
        </w:rPr>
      </w:pPr>
    </w:p>
    <w:p>
      <w:pPr>
        <w:ind w:left="260" w:hanging="255"/>
        <w:spacing w:after="0"/>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consist of fees for professional services rendered for tax return preparation and tax advisory services.</w:t>
      </w:r>
    </w:p>
    <w:p>
      <w:pPr>
        <w:spacing w:after="0" w:line="79" w:lineRule="exact"/>
        <w:rPr>
          <w:rFonts w:ascii="Arial" w:cs="Arial" w:eastAsia="Arial" w:hAnsi="Arial"/>
          <w:sz w:val="17"/>
          <w:szCs w:val="17"/>
          <w:color w:val="auto"/>
        </w:rPr>
      </w:pPr>
    </w:p>
    <w:p>
      <w:pPr>
        <w:ind w:left="260" w:hanging="255"/>
        <w:spacing w:after="0"/>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are related to licensing fees paid to Ernst &amp; Young LLP for access to its proprietary accounting research database.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 and Procedures</w:t>
      </w:r>
    </w:p>
    <w:p>
      <w:pPr>
        <w:spacing w:after="0" w:line="121" w:lineRule="exact"/>
        <w:rPr>
          <w:sz w:val="20"/>
          <w:szCs w:val="20"/>
          <w:color w:val="auto"/>
        </w:rPr>
      </w:pPr>
    </w:p>
    <w:p>
      <w:pPr>
        <w:ind w:right="180" w:firstLine="315"/>
        <w:spacing w:after="0" w:line="268" w:lineRule="auto"/>
        <w:rPr>
          <w:sz w:val="20"/>
          <w:szCs w:val="20"/>
          <w:color w:val="auto"/>
        </w:rPr>
      </w:pPr>
      <w:r>
        <w:rPr>
          <w:rFonts w:ascii="Arial" w:cs="Arial" w:eastAsia="Arial" w:hAnsi="Arial"/>
          <w:sz w:val="17"/>
          <w:szCs w:val="17"/>
          <w:color w:val="auto"/>
        </w:rPr>
        <w:t>The Audit Committee has adopted a policy requiring pre-approval of all audit and non-audit related services to be performed by our independent auditor regardless of amount. These services may include audit services, audit-related services, tax services and other related services. Ernst &amp; Young LLP and management are required to periodically report to the Audit Committee regarding the extent of services provided by Ernst &amp; Young LLP in accordance with this pre-approval and the fees for the services performed to date. The Audit Committee may also pre-approve particular services on a case-by-case basis.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(a)(1) Financial Statements.</w:t>
      </w:r>
    </w:p>
    <w:p>
      <w:pPr>
        <w:spacing w:after="0" w:line="119"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 xml:space="preserve">For a list of the financial statements included herein, see Index to the Consolidated Financial Statements on page </w:t>
      </w:r>
      <w:r>
        <w:rPr>
          <w:rFonts w:ascii="Arial" w:cs="Arial" w:eastAsia="Arial" w:hAnsi="Arial"/>
          <w:sz w:val="17"/>
          <w:szCs w:val="17"/>
          <w:u w:val="single" w:color="auto"/>
          <w:color w:val="0000FF"/>
        </w:rPr>
        <w:t>100</w:t>
      </w:r>
      <w:r>
        <w:rPr>
          <w:rFonts w:ascii="Arial" w:cs="Arial" w:eastAsia="Arial" w:hAnsi="Arial"/>
          <w:sz w:val="17"/>
          <w:szCs w:val="17"/>
          <w:color w:val="auto"/>
        </w:rPr>
        <w:t xml:space="preserve"> of this Annual Report on Form 10-K, incorporated into this Item by reference.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(a)(2) Financial Statement Schedules.</w:t>
      </w:r>
    </w:p>
    <w:p>
      <w:pPr>
        <w:spacing w:after="0" w:line="119" w:lineRule="exact"/>
        <w:rPr>
          <w:sz w:val="20"/>
          <w:szCs w:val="20"/>
          <w:color w:val="auto"/>
        </w:rPr>
      </w:pPr>
    </w:p>
    <w:p>
      <w:pPr>
        <w:ind w:right="20" w:firstLine="433"/>
        <w:spacing w:after="0" w:line="300"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(a)(3) List of Exhibits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3.1</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3.3</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4.1</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4.2</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4.3</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1620"/>
        <w:spacing w:after="0" w:line="227" w:lineRule="auto"/>
        <w:rPr>
          <w:rFonts w:ascii="Arial" w:cs="Arial" w:eastAsia="Arial" w:hAnsi="Arial"/>
          <w:sz w:val="17"/>
          <w:szCs w:val="17"/>
          <w:u w:val="single" w:color="auto"/>
          <w:color w:val="0000FF"/>
        </w:rPr>
      </w:pPr>
      <w:hyperlink r:id="rId182">
        <w:r>
          <w:rPr>
            <w:rFonts w:ascii="Arial" w:cs="Arial" w:eastAsia="Arial" w:hAnsi="Arial"/>
            <w:sz w:val="17"/>
            <w:szCs w:val="17"/>
            <w:u w:val="single" w:color="auto"/>
            <w:color w:val="0000FF"/>
          </w:rPr>
          <w:t>Amended and Restated Certificate of Incorporation of Praxis Precision Medicines, Inc. (incorporated by</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reference to Exhibit 3.1 to the Registrant's Current Report on Form 8-K (File No. 001-39620) filed on October</w:t>
        </w:r>
      </w:hyperlink>
    </w:p>
    <w:p>
      <w:pPr>
        <w:spacing w:after="0"/>
        <w:rPr>
          <w:rFonts w:ascii="Arial" w:cs="Arial" w:eastAsia="Arial" w:hAnsi="Arial"/>
          <w:sz w:val="17"/>
          <w:szCs w:val="17"/>
          <w:u w:val="single" w:color="auto"/>
          <w:color w:val="0000FF"/>
        </w:rPr>
      </w:pPr>
      <w:hyperlink r:id="rId182">
        <w:r>
          <w:rPr>
            <w:rFonts w:ascii="Arial" w:cs="Arial" w:eastAsia="Arial" w:hAnsi="Arial"/>
            <w:sz w:val="17"/>
            <w:szCs w:val="17"/>
            <w:u w:val="single" w:color="auto"/>
            <w:color w:val="0000FF"/>
          </w:rPr>
          <w:t>20, 2020)</w:t>
        </w:r>
      </w:hyperlink>
    </w:p>
    <w:p>
      <w:pPr>
        <w:spacing w:after="0" w:line="19" w:lineRule="exact"/>
        <w:rPr>
          <w:sz w:val="20"/>
          <w:szCs w:val="20"/>
          <w:color w:val="auto"/>
        </w:rPr>
      </w:pPr>
    </w:p>
    <w:p>
      <w:pPr>
        <w:jc w:val="both"/>
        <w:ind w:right="1480"/>
        <w:spacing w:after="0" w:line="243" w:lineRule="auto"/>
        <w:rPr>
          <w:rFonts w:ascii="Arial" w:cs="Arial" w:eastAsia="Arial" w:hAnsi="Arial"/>
          <w:sz w:val="17"/>
          <w:szCs w:val="17"/>
          <w:u w:val="single" w:color="auto"/>
          <w:color w:val="0000FF"/>
        </w:rPr>
      </w:pPr>
      <w:hyperlink r:id="rId183">
        <w:r>
          <w:rPr>
            <w:rFonts w:ascii="Arial" w:cs="Arial" w:eastAsia="Arial" w:hAnsi="Arial"/>
            <w:sz w:val="17"/>
            <w:szCs w:val="17"/>
            <w:u w:val="single" w:color="auto"/>
            <w:color w:val="0000FF"/>
          </w:rPr>
          <w:t>Certificate of Amendment to the Amended and Restated Certificate of Incorporation (incorporated by reference</w:t>
        </w:r>
      </w:hyperlink>
      <w:r>
        <w:rPr>
          <w:rFonts w:ascii="Arial" w:cs="Arial" w:eastAsia="Arial" w:hAnsi="Arial"/>
          <w:sz w:val="17"/>
          <w:szCs w:val="17"/>
          <w:u w:val="single" w:color="auto"/>
          <w:color w:val="0000FF"/>
        </w:rPr>
        <w:t xml:space="preserve"> </w:t>
      </w:r>
      <w:hyperlink r:id="rId183">
        <w:r>
          <w:rPr>
            <w:rFonts w:ascii="Arial" w:cs="Arial" w:eastAsia="Arial" w:hAnsi="Arial"/>
            <w:sz w:val="17"/>
            <w:szCs w:val="17"/>
            <w:u w:val="single" w:color="auto"/>
            <w:color w:val="0000FF"/>
          </w:rPr>
          <w:t>to Exhibit 3.1 to the Registrant’s Current Report on Form 8-K (File No. 001-39620) filed on December 1, 2023)</w:t>
        </w:r>
      </w:hyperlink>
    </w:p>
    <w:p>
      <w:pPr>
        <w:spacing w:after="0" w:line="3" w:lineRule="exact"/>
        <w:rPr>
          <w:sz w:val="20"/>
          <w:szCs w:val="20"/>
          <w:color w:val="auto"/>
        </w:rPr>
      </w:pPr>
    </w:p>
    <w:p>
      <w:pPr>
        <w:ind w:right="1520"/>
        <w:spacing w:after="0" w:line="249" w:lineRule="auto"/>
        <w:rPr>
          <w:rFonts w:ascii="Arial" w:cs="Arial" w:eastAsia="Arial" w:hAnsi="Arial"/>
          <w:sz w:val="17"/>
          <w:szCs w:val="17"/>
          <w:u w:val="single" w:color="auto"/>
          <w:color w:val="0000FF"/>
        </w:rPr>
      </w:pPr>
      <w:hyperlink r:id="rId184">
        <w:r>
          <w:rPr>
            <w:rFonts w:ascii="Arial" w:cs="Arial" w:eastAsia="Arial" w:hAnsi="Arial"/>
            <w:sz w:val="17"/>
            <w:szCs w:val="17"/>
            <w:u w:val="single" w:color="auto"/>
            <w:color w:val="0000FF"/>
          </w:rPr>
          <w:t>Amended and Restated Bylaws of Praxis Precision Medicines, Inc. (incorporated by reference to Exhibit 3.1 to</w:t>
        </w:r>
      </w:hyperlink>
      <w:r>
        <w:rPr>
          <w:rFonts w:ascii="Arial" w:cs="Arial" w:eastAsia="Arial" w:hAnsi="Arial"/>
          <w:sz w:val="17"/>
          <w:szCs w:val="17"/>
          <w:u w:val="single" w:color="auto"/>
          <w:color w:val="0000FF"/>
        </w:rPr>
        <w:t xml:space="preserve"> </w:t>
      </w:r>
      <w:hyperlink r:id="rId184">
        <w:r>
          <w:rPr>
            <w:rFonts w:ascii="Arial" w:cs="Arial" w:eastAsia="Arial" w:hAnsi="Arial"/>
            <w:sz w:val="17"/>
            <w:szCs w:val="17"/>
            <w:u w:val="single" w:color="auto"/>
            <w:color w:val="0000FF"/>
          </w:rPr>
          <w:t>the Registrant's Current Report on Form 8-K (File No. 001-39620) filed on January 7, 2022)</w:t>
        </w:r>
      </w:hyperlink>
    </w:p>
    <w:p>
      <w:pPr>
        <w:spacing w:after="0" w:line="1" w:lineRule="exact"/>
        <w:rPr>
          <w:sz w:val="20"/>
          <w:szCs w:val="20"/>
          <w:color w:val="auto"/>
        </w:rPr>
      </w:pPr>
    </w:p>
    <w:p>
      <w:pPr>
        <w:ind w:right="1540"/>
        <w:spacing w:after="0" w:line="249" w:lineRule="auto"/>
        <w:rPr>
          <w:rFonts w:ascii="Arial" w:cs="Arial" w:eastAsia="Arial" w:hAnsi="Arial"/>
          <w:sz w:val="17"/>
          <w:szCs w:val="17"/>
          <w:u w:val="single" w:color="auto"/>
          <w:color w:val="0000FF"/>
        </w:rPr>
      </w:pPr>
      <w:hyperlink r:id="rId185">
        <w:r>
          <w:rPr>
            <w:rFonts w:ascii="Arial" w:cs="Arial" w:eastAsia="Arial" w:hAnsi="Arial"/>
            <w:sz w:val="17"/>
            <w:szCs w:val="17"/>
            <w:u w:val="single" w:color="auto"/>
            <w:color w:val="0000FF"/>
          </w:rPr>
          <w:t>Specimen Stock Certificate Evidencing the Shares of Common Stock (incorporated by reference to Exhibit 4.1</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to the Registrant's Registration Statement on Form S-1/A (File No. 333-249074) filed on October 9, 2020)</w:t>
        </w:r>
      </w:hyperlink>
    </w:p>
    <w:p>
      <w:pPr>
        <w:spacing w:after="0" w:line="1" w:lineRule="exact"/>
        <w:rPr>
          <w:sz w:val="20"/>
          <w:szCs w:val="20"/>
          <w:color w:val="auto"/>
        </w:rPr>
      </w:pPr>
    </w:p>
    <w:p>
      <w:pPr>
        <w:ind w:right="1580"/>
        <w:spacing w:after="0" w:line="227" w:lineRule="auto"/>
        <w:rPr>
          <w:rFonts w:ascii="Arial" w:cs="Arial" w:eastAsia="Arial" w:hAnsi="Arial"/>
          <w:sz w:val="17"/>
          <w:szCs w:val="17"/>
          <w:u w:val="single" w:color="auto"/>
          <w:color w:val="0000FF"/>
        </w:rPr>
      </w:pPr>
      <w:hyperlink r:id="rId186">
        <w:r>
          <w:rPr>
            <w:rFonts w:ascii="Arial" w:cs="Arial" w:eastAsia="Arial" w:hAnsi="Arial"/>
            <w:sz w:val="17"/>
            <w:szCs w:val="17"/>
            <w:u w:val="single" w:color="auto"/>
            <w:color w:val="0000FF"/>
          </w:rPr>
          <w:t>Fourth Amended and Restated Investors’ Rights Agreement among Praxis Precision Medicines, Inc. and</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certain of its stockholders, effective as of July 24, 2020, as amended (incorporated by reference to Exhibit 4.2</w:t>
        </w:r>
      </w:hyperlink>
    </w:p>
    <w:p>
      <w:pPr>
        <w:spacing w:after="0"/>
        <w:rPr>
          <w:rFonts w:ascii="Arial" w:cs="Arial" w:eastAsia="Arial" w:hAnsi="Arial"/>
          <w:sz w:val="17"/>
          <w:szCs w:val="17"/>
          <w:u w:val="single" w:color="auto"/>
          <w:color w:val="0000FF"/>
        </w:rPr>
      </w:pPr>
      <w:hyperlink r:id="rId186">
        <w:r>
          <w:rPr>
            <w:rFonts w:ascii="Arial" w:cs="Arial" w:eastAsia="Arial" w:hAnsi="Arial"/>
            <w:sz w:val="17"/>
            <w:szCs w:val="17"/>
            <w:u w:val="single" w:color="auto"/>
            <w:color w:val="0000FF"/>
          </w:rPr>
          <w:t>to the Registrant's Registration Statement on Form S-3 (File No. 333-260726) filed on November 3, 2021)</w:t>
        </w:r>
      </w:hyperlink>
    </w:p>
    <w:p>
      <w:pPr>
        <w:spacing w:after="0" w:line="19" w:lineRule="exact"/>
        <w:rPr>
          <w:sz w:val="20"/>
          <w:szCs w:val="20"/>
          <w:color w:val="auto"/>
        </w:rPr>
      </w:pPr>
    </w:p>
    <w:p>
      <w:pPr>
        <w:ind w:right="1780"/>
        <w:spacing w:after="0" w:line="243" w:lineRule="auto"/>
        <w:rPr>
          <w:rFonts w:ascii="Arial" w:cs="Arial" w:eastAsia="Arial" w:hAnsi="Arial"/>
          <w:sz w:val="17"/>
          <w:szCs w:val="17"/>
          <w:u w:val="single" w:color="auto"/>
          <w:color w:val="0000FF"/>
        </w:rPr>
      </w:pPr>
      <w:hyperlink r:id="rId187">
        <w:r>
          <w:rPr>
            <w:rFonts w:ascii="Arial" w:cs="Arial" w:eastAsia="Arial" w:hAnsi="Arial"/>
            <w:sz w:val="17"/>
            <w:szCs w:val="17"/>
            <w:u w:val="single" w:color="auto"/>
            <w:color w:val="0000FF"/>
          </w:rPr>
          <w:t>Description of Securities of Praxis Precision Medicines, Inc. (incorporated by reference to Exhibit 4.3 to the</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Registrant's Annual Report on Form 10-K (File No. 001-39620) filed on February 28, 2022)</w:t>
        </w:r>
      </w:hyperlink>
    </w:p>
    <w:p>
      <w:pPr>
        <w:spacing w:after="0" w:line="3" w:lineRule="exact"/>
        <w:rPr>
          <w:sz w:val="20"/>
          <w:szCs w:val="20"/>
          <w:color w:val="auto"/>
        </w:rPr>
      </w:pPr>
    </w:p>
    <w:p>
      <w:pPr>
        <w:ind w:right="1780"/>
        <w:spacing w:after="0" w:line="251" w:lineRule="auto"/>
        <w:rPr>
          <w:rFonts w:ascii="Arial" w:cs="Arial" w:eastAsia="Arial" w:hAnsi="Arial"/>
          <w:sz w:val="17"/>
          <w:szCs w:val="17"/>
          <w:u w:val="single" w:color="auto"/>
          <w:color w:val="0000FF"/>
        </w:rPr>
      </w:pPr>
      <w:hyperlink r:id="rId188">
        <w:r>
          <w:rPr>
            <w:rFonts w:ascii="Arial" w:cs="Arial" w:eastAsia="Arial" w:hAnsi="Arial"/>
            <w:sz w:val="17"/>
            <w:szCs w:val="17"/>
            <w:u w:val="single" w:color="auto"/>
            <w:color w:val="0000FF"/>
          </w:rPr>
          <w:t>Form of Pre-funded Warrant (incorporated by reference to Exhibit 4.1 to the Registrant's Current Report on</w:t>
        </w:r>
      </w:hyperlink>
      <w:r>
        <w:rPr>
          <w:rFonts w:ascii="Arial" w:cs="Arial" w:eastAsia="Arial" w:hAnsi="Arial"/>
          <w:sz w:val="17"/>
          <w:szCs w:val="17"/>
          <w:u w:val="single" w:color="auto"/>
          <w:color w:val="0000FF"/>
        </w:rPr>
        <w:t xml:space="preserve"> </w:t>
      </w:r>
      <w:hyperlink r:id="rId188">
        <w:r>
          <w:rPr>
            <w:rFonts w:ascii="Arial" w:cs="Arial" w:eastAsia="Arial" w:hAnsi="Arial"/>
            <w:sz w:val="17"/>
            <w:szCs w:val="17"/>
            <w:u w:val="single" w:color="auto"/>
            <w:color w:val="0000FF"/>
          </w:rPr>
          <w:t>Form 8-K (File No. 001-39620) filed on June 20, 2023)</w:t>
        </w:r>
      </w:hyperlink>
    </w:p>
    <w:p>
      <w:pPr>
        <w:spacing w:after="0" w:line="1" w:lineRule="exact"/>
        <w:rPr>
          <w:sz w:val="20"/>
          <w:szCs w:val="20"/>
          <w:color w:val="auto"/>
        </w:rPr>
      </w:pPr>
    </w:p>
    <w:p>
      <w:pPr>
        <w:sectPr>
          <w:pgSz w:w="11900" w:h="16838" w:orient="portrait"/>
          <w:cols w:equalWidth="0" w:num="2">
            <w:col w:w="500" w:space="720"/>
            <w:col w:w="10020"/>
          </w:cols>
          <w:pgMar w:left="320" w:top="116"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10.1</w:t>
            </w:r>
          </w:p>
        </w:tc>
        <w:tc>
          <w:tcPr>
            <w:tcW w:w="10020" w:type="dxa"/>
            <w:vAlign w:val="bottom"/>
            <w:gridSpan w:val="18"/>
          </w:tcPr>
          <w:p>
            <w:pPr>
              <w:spacing w:after="0" w:line="185" w:lineRule="exact"/>
              <w:rPr>
                <w:rFonts w:ascii="Arial" w:cs="Arial" w:eastAsia="Arial" w:hAnsi="Arial"/>
                <w:sz w:val="17"/>
                <w:szCs w:val="17"/>
                <w:color w:val="0000FF"/>
              </w:rPr>
            </w:pPr>
            <w:hyperlink r:id="rId189">
              <w:r>
                <w:rPr>
                  <w:rFonts w:ascii="Arial" w:cs="Arial" w:eastAsia="Arial" w:hAnsi="Arial"/>
                  <w:sz w:val="17"/>
                  <w:szCs w:val="17"/>
                  <w:color w:val="0000FF"/>
                </w:rPr>
                <w:t>Form of Director Indemnification Agreement, as amended (incorporated by reference to Exhibit 10.1 to the</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180" w:type="dxa"/>
            <w:vAlign w:val="bottom"/>
            <w:tcBorders>
              <w:top w:val="single" w:sz="8" w:color="0000FF"/>
            </w:tcBorders>
            <w:gridSpan w:val="9"/>
          </w:tcPr>
          <w:p>
            <w:pPr>
              <w:spacing w:after="0" w:line="138" w:lineRule="exact"/>
              <w:rPr>
                <w:rFonts w:ascii="Arial" w:cs="Arial" w:eastAsia="Arial" w:hAnsi="Arial"/>
                <w:sz w:val="15"/>
                <w:szCs w:val="15"/>
                <w:color w:val="0000FF"/>
              </w:rPr>
            </w:pPr>
            <w:hyperlink r:id="rId189">
              <w:r>
                <w:rPr>
                  <w:rFonts w:ascii="Arial" w:cs="Arial" w:eastAsia="Arial" w:hAnsi="Arial"/>
                  <w:sz w:val="15"/>
                  <w:szCs w:val="15"/>
                  <w:color w:val="0000FF"/>
                </w:rPr>
                <w:t>Registrant's Registration Statement on Form S-1/A (File No. 333-249074) filed on October 9, 2020)</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10.2</w:t>
            </w:r>
          </w:p>
        </w:tc>
        <w:tc>
          <w:tcPr>
            <w:tcW w:w="10020" w:type="dxa"/>
            <w:vAlign w:val="bottom"/>
            <w:gridSpan w:val="18"/>
          </w:tcPr>
          <w:p>
            <w:pPr>
              <w:spacing w:after="0"/>
              <w:rPr>
                <w:rFonts w:ascii="Arial" w:cs="Arial" w:eastAsia="Arial" w:hAnsi="Arial"/>
                <w:sz w:val="17"/>
                <w:szCs w:val="17"/>
                <w:color w:val="0000FF"/>
              </w:rPr>
            </w:pPr>
            <w:hyperlink r:id="rId190">
              <w:r>
                <w:rPr>
                  <w:rFonts w:ascii="Arial" w:cs="Arial" w:eastAsia="Arial" w:hAnsi="Arial"/>
                  <w:sz w:val="17"/>
                  <w:szCs w:val="17"/>
                  <w:color w:val="0000FF"/>
                </w:rPr>
                <w:t>Form of Officer Indemnification Agreement (incorporated by reference to Exhibit 10.2 to the Registrant's</w:t>
              </w:r>
            </w:hyperlink>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000" w:type="dxa"/>
            <w:vAlign w:val="bottom"/>
            <w:tcBorders>
              <w:top w:val="single" w:sz="8" w:color="0000FF"/>
            </w:tcBorders>
            <w:gridSpan w:val="7"/>
          </w:tcPr>
          <w:p>
            <w:pPr>
              <w:spacing w:after="0" w:line="138" w:lineRule="exact"/>
              <w:rPr>
                <w:rFonts w:ascii="Arial" w:cs="Arial" w:eastAsia="Arial" w:hAnsi="Arial"/>
                <w:sz w:val="15"/>
                <w:szCs w:val="15"/>
                <w:color w:val="0000FF"/>
              </w:rPr>
            </w:pPr>
            <w:hyperlink r:id="rId190">
              <w:r>
                <w:rPr>
                  <w:rFonts w:ascii="Arial" w:cs="Arial" w:eastAsia="Arial" w:hAnsi="Arial"/>
                  <w:sz w:val="15"/>
                  <w:szCs w:val="15"/>
                  <w:color w:val="0000FF"/>
                </w:rPr>
                <w:t>Registration Statement on Form S-1 (File No. 333-249074) filed on September 25, 2020)</w:t>
              </w:r>
            </w:hyperlink>
          </w:p>
        </w:tc>
        <w:tc>
          <w:tcPr>
            <w:tcW w:w="6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10020" w:type="dxa"/>
            <w:vAlign w:val="bottom"/>
            <w:gridSpan w:val="18"/>
          </w:tcPr>
          <w:p>
            <w:pPr>
              <w:spacing w:after="0"/>
              <w:rPr>
                <w:rFonts w:ascii="Arial" w:cs="Arial" w:eastAsia="Arial" w:hAnsi="Arial"/>
                <w:sz w:val="17"/>
                <w:szCs w:val="17"/>
                <w:color w:val="0000FF"/>
              </w:rPr>
            </w:pPr>
            <w:hyperlink r:id="rId191">
              <w:r>
                <w:rPr>
                  <w:rFonts w:ascii="Arial" w:cs="Arial" w:eastAsia="Arial" w:hAnsi="Arial"/>
                  <w:sz w:val="17"/>
                  <w:szCs w:val="17"/>
                  <w:color w:val="0000FF"/>
                </w:rPr>
                <w:t>Praxis Precision Medicines, Inc. 2017 Stock Incentive Plan, as amended, and form of award agreements</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8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10.3#</w:t>
            </w:r>
          </w:p>
        </w:tc>
        <w:tc>
          <w:tcPr>
            <w:tcW w:w="10020" w:type="dxa"/>
            <w:vAlign w:val="bottom"/>
            <w:gridSpan w:val="18"/>
          </w:tcPr>
          <w:p>
            <w:pPr>
              <w:spacing w:after="0" w:line="150" w:lineRule="exact"/>
              <w:rPr>
                <w:rFonts w:ascii="Arial" w:cs="Arial" w:eastAsia="Arial" w:hAnsi="Arial"/>
                <w:sz w:val="17"/>
                <w:szCs w:val="17"/>
                <w:color w:val="0000FF"/>
              </w:rPr>
            </w:pPr>
            <w:hyperlink r:id="rId191">
              <w:r>
                <w:rPr>
                  <w:rFonts w:ascii="Arial" w:cs="Arial" w:eastAsia="Arial" w:hAnsi="Arial"/>
                  <w:sz w:val="17"/>
                  <w:szCs w:val="17"/>
                  <w:color w:val="0000FF"/>
                </w:rPr>
                <w:t>thereunder (incorporated by reference to Exhibit 10.3 to the Registrant's Annual Report on Form 10-K (File No.</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8540" w:type="dxa"/>
            <w:vAlign w:val="bottom"/>
            <w:tcBorders>
              <w:top w:val="single" w:sz="8" w:color="0000FF"/>
            </w:tcBorders>
            <w:gridSpan w:val="16"/>
          </w:tcPr>
          <w:p>
            <w:pPr>
              <w:spacing w:after="0" w:line="163" w:lineRule="exact"/>
              <w:rPr>
                <w:rFonts w:ascii="Arial" w:cs="Arial" w:eastAsia="Arial" w:hAnsi="Arial"/>
                <w:sz w:val="17"/>
                <w:szCs w:val="17"/>
                <w:color w:val="0000FF"/>
              </w:rPr>
            </w:pPr>
            <w:hyperlink r:id="rId191">
              <w:r>
                <w:rPr>
                  <w:rFonts w:ascii="Arial" w:cs="Arial" w:eastAsia="Arial" w:hAnsi="Arial"/>
                  <w:sz w:val="17"/>
                  <w:szCs w:val="17"/>
                  <w:color w:val="0000FF"/>
                </w:rPr>
                <w:t>001-39620) filed on March 17, 2021)</w:t>
              </w:r>
            </w:hyperlink>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10.4#</w:t>
            </w:r>
          </w:p>
        </w:tc>
        <w:tc>
          <w:tcPr>
            <w:tcW w:w="10020" w:type="dxa"/>
            <w:vAlign w:val="bottom"/>
            <w:gridSpan w:val="18"/>
          </w:tcPr>
          <w:p>
            <w:pPr>
              <w:spacing w:after="0"/>
              <w:rPr>
                <w:rFonts w:ascii="Arial" w:cs="Arial" w:eastAsia="Arial" w:hAnsi="Arial"/>
                <w:sz w:val="17"/>
                <w:szCs w:val="17"/>
                <w:color w:val="0000FF"/>
              </w:rPr>
            </w:pPr>
            <w:hyperlink r:id="rId192">
              <w:r>
                <w:rPr>
                  <w:rFonts w:ascii="Arial" w:cs="Arial" w:eastAsia="Arial" w:hAnsi="Arial"/>
                  <w:sz w:val="17"/>
                  <w:szCs w:val="17"/>
                  <w:color w:val="0000FF"/>
                </w:rPr>
                <w:t>Praxis Precision Medicines, Inc. 2020 Stock Option and Incentive Plan (incorporated by reference to Exhibit</w:t>
              </w:r>
            </w:hyperlink>
          </w:p>
        </w:tc>
        <w:tc>
          <w:tcPr>
            <w:tcW w:w="0" w:type="dxa"/>
            <w:vAlign w:val="bottom"/>
          </w:tcPr>
          <w:p>
            <w:pPr>
              <w:spacing w:after="0"/>
              <w:rPr>
                <w:sz w:val="1"/>
                <w:szCs w:val="1"/>
                <w:color w:val="auto"/>
              </w:rPr>
            </w:pPr>
          </w:p>
        </w:tc>
      </w:tr>
      <w:tr>
        <w:trPr>
          <w:trHeight w:val="20"/>
        </w:trPr>
        <w:tc>
          <w:tcPr>
            <w:tcW w:w="1220" w:type="dxa"/>
            <w:vAlign w:val="bottom"/>
            <w:vMerge w:val="continue"/>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432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8520" w:type="dxa"/>
            <w:vAlign w:val="bottom"/>
            <w:tcBorders>
              <w:bottom w:val="single" w:sz="8" w:color="0000FF"/>
            </w:tcBorders>
            <w:gridSpan w:val="15"/>
          </w:tcPr>
          <w:p>
            <w:pPr>
              <w:spacing w:after="0" w:line="150" w:lineRule="exact"/>
              <w:rPr>
                <w:rFonts w:ascii="Arial" w:cs="Arial" w:eastAsia="Arial" w:hAnsi="Arial"/>
                <w:sz w:val="17"/>
                <w:szCs w:val="17"/>
                <w:color w:val="0000FF"/>
              </w:rPr>
            </w:pPr>
            <w:hyperlink r:id="rId192">
              <w:r>
                <w:rPr>
                  <w:rFonts w:ascii="Arial" w:cs="Arial" w:eastAsia="Arial" w:hAnsi="Arial"/>
                  <w:sz w:val="17"/>
                  <w:szCs w:val="17"/>
                  <w:color w:val="0000FF"/>
                </w:rPr>
                <w:t>10.</w:t>
              </w:r>
              <w:r>
                <w:rPr>
                  <w:rFonts w:ascii="Arial" w:cs="Arial" w:eastAsia="Arial" w:hAnsi="Arial"/>
                  <w:sz w:val="17"/>
                  <w:szCs w:val="17"/>
                  <w:u w:val="single" w:color="auto"/>
                  <w:color w:val="0000FF"/>
                </w:rPr>
                <w:t>4</w:t>
              </w:r>
              <w:r>
                <w:rPr>
                  <w:rFonts w:ascii="Arial" w:cs="Arial" w:eastAsia="Arial" w:hAnsi="Arial"/>
                  <w:sz w:val="17"/>
                  <w:szCs w:val="17"/>
                  <w:color w:val="0000FF"/>
                </w:rPr>
                <w:t xml:space="preserve"> to the Registrant's Registration Statement on Form S-1/A (File No. 333-249074) filed on October 9, 2020)</w:t>
              </w:r>
            </w:hyperlink>
          </w:p>
        </w:tc>
        <w:tc>
          <w:tcPr>
            <w:tcW w:w="1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380" w:type="dxa"/>
            <w:vAlign w:val="bottom"/>
            <w:tcBorders>
              <w:bottom w:val="single" w:sz="8" w:color="0000FF"/>
            </w:tcBorders>
            <w:gridSpan w:val="11"/>
          </w:tcPr>
          <w:p>
            <w:pPr>
              <w:spacing w:after="0"/>
              <w:rPr>
                <w:rFonts w:ascii="Arial" w:cs="Arial" w:eastAsia="Arial" w:hAnsi="Arial"/>
                <w:sz w:val="17"/>
                <w:szCs w:val="17"/>
                <w:color w:val="0000FF"/>
              </w:rPr>
            </w:pPr>
            <w:hyperlink r:id="rId193">
              <w:r>
                <w:rPr>
                  <w:rFonts w:ascii="Arial" w:cs="Arial" w:eastAsia="Arial" w:hAnsi="Arial"/>
                  <w:sz w:val="17"/>
                  <w:szCs w:val="17"/>
                  <w:color w:val="0000FF"/>
                </w:rPr>
                <w:t>Form of Incentive Stock Option Agreement under the 2020 Stock Option and Incentive Plan (incorporated by</w:t>
              </w:r>
            </w:hyperlink>
          </w:p>
        </w:tc>
        <w:tc>
          <w:tcPr>
            <w:tcW w:w="164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10.5#</w:t>
            </w:r>
          </w:p>
        </w:tc>
        <w:tc>
          <w:tcPr>
            <w:tcW w:w="10020" w:type="dxa"/>
            <w:vAlign w:val="bottom"/>
            <w:gridSpan w:val="18"/>
          </w:tcPr>
          <w:p>
            <w:pPr>
              <w:spacing w:after="0" w:line="150" w:lineRule="exact"/>
              <w:rPr>
                <w:rFonts w:ascii="Arial" w:cs="Arial" w:eastAsia="Arial" w:hAnsi="Arial"/>
                <w:sz w:val="17"/>
                <w:szCs w:val="17"/>
                <w:color w:val="0000FF"/>
              </w:rPr>
            </w:pPr>
            <w:hyperlink r:id="rId193">
              <w:r>
                <w:rPr>
                  <w:rFonts w:ascii="Arial" w:cs="Arial" w:eastAsia="Arial" w:hAnsi="Arial"/>
                  <w:sz w:val="17"/>
                  <w:szCs w:val="17"/>
                  <w:color w:val="0000FF"/>
                </w:rPr>
                <w:t>reference to Exhibit 10.5 to the Registrant's Registration Statement on Form S-1/A (File No. 333-249074) filed</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580" w:type="dxa"/>
            <w:vAlign w:val="bottom"/>
            <w:tcBorders>
              <w:top w:val="single" w:sz="8" w:color="0000FF"/>
              <w:bottom w:val="single" w:sz="8" w:color="0000FF"/>
            </w:tcBorders>
            <w:gridSpan w:val="2"/>
          </w:tcPr>
          <w:p>
            <w:pPr>
              <w:spacing w:after="0" w:line="163" w:lineRule="exact"/>
              <w:rPr>
                <w:rFonts w:ascii="Arial" w:cs="Arial" w:eastAsia="Arial" w:hAnsi="Arial"/>
                <w:sz w:val="17"/>
                <w:szCs w:val="17"/>
                <w:color w:val="0000FF"/>
              </w:rPr>
            </w:pPr>
            <w:hyperlink r:id="rId193">
              <w:r>
                <w:rPr>
                  <w:rFonts w:ascii="Arial" w:cs="Arial" w:eastAsia="Arial" w:hAnsi="Arial"/>
                  <w:sz w:val="17"/>
                  <w:szCs w:val="17"/>
                  <w:color w:val="0000FF"/>
                </w:rPr>
                <w:t>on October 9, 2020)</w:t>
              </w:r>
            </w:hyperlink>
          </w:p>
        </w:tc>
        <w:tc>
          <w:tcPr>
            <w:tcW w:w="690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8"/>
          </w:tcPr>
          <w:p>
            <w:pPr>
              <w:spacing w:after="0" w:line="190" w:lineRule="exact"/>
              <w:rPr>
                <w:rFonts w:ascii="Arial" w:cs="Arial" w:eastAsia="Arial" w:hAnsi="Arial"/>
                <w:sz w:val="17"/>
                <w:szCs w:val="17"/>
                <w:color w:val="0000FF"/>
              </w:rPr>
            </w:pPr>
            <w:hyperlink r:id="rId194">
              <w:r>
                <w:rPr>
                  <w:rFonts w:ascii="Arial" w:cs="Arial" w:eastAsia="Arial" w:hAnsi="Arial"/>
                  <w:sz w:val="17"/>
                  <w:szCs w:val="17"/>
                  <w:color w:val="0000FF"/>
                </w:rPr>
                <w:t>Form of Non-Qualified Stock Option Agreement for Company Employees under the 2020 Stock Option and</w:t>
              </w:r>
            </w:hyperlink>
          </w:p>
        </w:tc>
        <w:tc>
          <w:tcPr>
            <w:tcW w:w="0" w:type="dxa"/>
            <w:vAlign w:val="bottom"/>
          </w:tcPr>
          <w:p>
            <w:pPr>
              <w:spacing w:after="0"/>
              <w:rPr>
                <w:sz w:val="1"/>
                <w:szCs w:val="1"/>
                <w:color w:val="auto"/>
              </w:rPr>
            </w:pPr>
          </w:p>
        </w:tc>
      </w:tr>
      <w:tr>
        <w:trPr>
          <w:trHeight w:val="157"/>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10.6#</w:t>
            </w:r>
          </w:p>
        </w:tc>
        <w:tc>
          <w:tcPr>
            <w:tcW w:w="8300" w:type="dxa"/>
            <w:vAlign w:val="bottom"/>
            <w:tcBorders>
              <w:top w:val="single" w:sz="8" w:color="0000FF"/>
            </w:tcBorders>
            <w:gridSpan w:val="10"/>
          </w:tcPr>
          <w:p>
            <w:pPr>
              <w:spacing w:after="0" w:line="158" w:lineRule="exact"/>
              <w:rPr>
                <w:rFonts w:ascii="Arial" w:cs="Arial" w:eastAsia="Arial" w:hAnsi="Arial"/>
                <w:sz w:val="17"/>
                <w:szCs w:val="17"/>
                <w:color w:val="0000FF"/>
              </w:rPr>
            </w:pPr>
            <w:hyperlink r:id="rId194">
              <w:r>
                <w:rPr>
                  <w:rFonts w:ascii="Arial" w:cs="Arial" w:eastAsia="Arial" w:hAnsi="Arial"/>
                  <w:sz w:val="17"/>
                  <w:szCs w:val="17"/>
                  <w:color w:val="0000FF"/>
                </w:rPr>
                <w:t>Incentive Plan (incorporated by reference to Exhibit 10.6 to the Registrant's Registration Statement on Form</w:t>
              </w:r>
            </w:hyperlink>
          </w:p>
        </w:tc>
        <w:tc>
          <w:tcPr>
            <w:tcW w:w="1720" w:type="dxa"/>
            <w:vAlign w:val="bottom"/>
            <w:gridSpan w:val="8"/>
          </w:tcPr>
          <w:p>
            <w:pPr>
              <w:jc w:val="right"/>
              <w:ind w:right="1480"/>
              <w:spacing w:after="0" w:line="158" w:lineRule="exact"/>
              <w:rPr>
                <w:rFonts w:ascii="Arial" w:cs="Arial" w:eastAsia="Arial" w:hAnsi="Arial"/>
                <w:sz w:val="17"/>
                <w:szCs w:val="17"/>
                <w:color w:val="0000FF"/>
              </w:rPr>
            </w:pPr>
            <w:hyperlink r:id="rId194">
              <w:r>
                <w:rPr>
                  <w:rFonts w:ascii="Arial" w:cs="Arial" w:eastAsia="Arial" w:hAnsi="Arial"/>
                  <w:sz w:val="17"/>
                  <w:szCs w:val="17"/>
                  <w:color w:val="0000FF"/>
                </w:rPr>
                <w:t>S-</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398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rPr>
            </w:pPr>
            <w:hyperlink r:id="rId194">
              <w:r>
                <w:rPr>
                  <w:rFonts w:ascii="Arial" w:cs="Arial" w:eastAsia="Arial" w:hAnsi="Arial"/>
                  <w:sz w:val="17"/>
                  <w:szCs w:val="17"/>
                  <w:color w:val="0000FF"/>
                </w:rPr>
                <w:t>1/A (File No. 333-249074) filed on October 9, 2020)</w:t>
              </w:r>
            </w:hyperlink>
          </w:p>
        </w:tc>
        <w:tc>
          <w:tcPr>
            <w:tcW w:w="4580" w:type="dxa"/>
            <w:vAlign w:val="bottom"/>
            <w:tcBorders>
              <w:top w:val="single" w:sz="8" w:color="0000FF"/>
            </w:tcBorders>
            <w:gridSpan w:val="13"/>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20" w:type="dxa"/>
            <w:vAlign w:val="bottom"/>
            <w:gridSpan w:val="18"/>
          </w:tcPr>
          <w:p>
            <w:pPr>
              <w:spacing w:after="0" w:line="190" w:lineRule="exact"/>
              <w:rPr>
                <w:rFonts w:ascii="Arial" w:cs="Arial" w:eastAsia="Arial" w:hAnsi="Arial"/>
                <w:sz w:val="17"/>
                <w:szCs w:val="17"/>
                <w:color w:val="0000FF"/>
              </w:rPr>
            </w:pPr>
            <w:hyperlink r:id="rId195">
              <w:r>
                <w:rPr>
                  <w:rFonts w:ascii="Arial" w:cs="Arial" w:eastAsia="Arial" w:hAnsi="Arial"/>
                  <w:sz w:val="17"/>
                  <w:szCs w:val="17"/>
                  <w:color w:val="0000FF"/>
                </w:rPr>
                <w:t>Form of Non-Qualified Stock Option Agreement for Non-Employee Directors under the 2020 Stock Option and</w:t>
              </w:r>
            </w:hyperlink>
          </w:p>
        </w:tc>
        <w:tc>
          <w:tcPr>
            <w:tcW w:w="0" w:type="dxa"/>
            <w:vAlign w:val="bottom"/>
          </w:tcPr>
          <w:p>
            <w:pPr>
              <w:spacing w:after="0"/>
              <w:rPr>
                <w:sz w:val="1"/>
                <w:szCs w:val="1"/>
                <w:color w:val="auto"/>
              </w:rPr>
            </w:pPr>
          </w:p>
        </w:tc>
      </w:tr>
      <w:tr>
        <w:trPr>
          <w:trHeight w:val="157"/>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10.7#</w:t>
            </w:r>
          </w:p>
        </w:tc>
        <w:tc>
          <w:tcPr>
            <w:tcW w:w="8500" w:type="dxa"/>
            <w:vAlign w:val="bottom"/>
            <w:tcBorders>
              <w:top w:val="single" w:sz="8" w:color="0000FF"/>
            </w:tcBorders>
            <w:gridSpan w:val="14"/>
          </w:tcPr>
          <w:p>
            <w:pPr>
              <w:spacing w:after="0" w:line="158" w:lineRule="exact"/>
              <w:rPr>
                <w:rFonts w:ascii="Arial" w:cs="Arial" w:eastAsia="Arial" w:hAnsi="Arial"/>
                <w:sz w:val="17"/>
                <w:szCs w:val="17"/>
                <w:color w:val="0000FF"/>
              </w:rPr>
            </w:pPr>
            <w:hyperlink r:id="rId195">
              <w:r>
                <w:rPr>
                  <w:rFonts w:ascii="Arial" w:cs="Arial" w:eastAsia="Arial" w:hAnsi="Arial"/>
                  <w:sz w:val="17"/>
                  <w:szCs w:val="17"/>
                  <w:color w:val="0000FF"/>
                </w:rPr>
                <w:t>Incentive Plan (incorporated by reference to Exhibit 10.7 to the Registrant's Registration Statement on Form S</w:t>
              </w:r>
            </w:hyperlink>
          </w:p>
        </w:tc>
        <w:tc>
          <w:tcPr>
            <w:tcW w:w="1520" w:type="dxa"/>
            <w:vAlign w:val="bottom"/>
            <w:gridSpan w:val="4"/>
          </w:tcPr>
          <w:p>
            <w:pPr>
              <w:jc w:val="right"/>
              <w:ind w:right="1480"/>
              <w:spacing w:after="0"/>
              <w:rPr>
                <w:rFonts w:ascii="Arial" w:cs="Arial" w:eastAsia="Arial" w:hAnsi="Arial"/>
                <w:sz w:val="8"/>
                <w:szCs w:val="8"/>
                <w:color w:val="0000FF"/>
                <w:w w:val="73"/>
              </w:rPr>
            </w:pPr>
            <w:hyperlink r:id="rId195">
              <w:r>
                <w:rPr>
                  <w:rFonts w:ascii="Arial" w:cs="Arial" w:eastAsia="Arial" w:hAnsi="Arial"/>
                  <w:sz w:val="8"/>
                  <w:szCs w:val="8"/>
                  <w:color w:val="0000FF"/>
                  <w:w w:val="73"/>
                </w:rPr>
                <w:t>-</w:t>
              </w:r>
            </w:hyperlink>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3980" w:type="dxa"/>
            <w:vAlign w:val="bottom"/>
            <w:tcBorders>
              <w:top w:val="single" w:sz="8" w:color="0000FF"/>
              <w:bottom w:val="single" w:sz="8" w:color="0000FF"/>
            </w:tcBorders>
            <w:gridSpan w:val="4"/>
          </w:tcPr>
          <w:p>
            <w:pPr>
              <w:spacing w:after="0" w:line="163" w:lineRule="exact"/>
              <w:rPr>
                <w:rFonts w:ascii="Arial" w:cs="Arial" w:eastAsia="Arial" w:hAnsi="Arial"/>
                <w:sz w:val="17"/>
                <w:szCs w:val="17"/>
                <w:color w:val="0000FF"/>
              </w:rPr>
            </w:pPr>
            <w:hyperlink r:id="rId195">
              <w:r>
                <w:rPr>
                  <w:rFonts w:ascii="Arial" w:cs="Arial" w:eastAsia="Arial" w:hAnsi="Arial"/>
                  <w:sz w:val="17"/>
                  <w:szCs w:val="17"/>
                  <w:color w:val="0000FF"/>
                </w:rPr>
                <w:t>1/A (File No. 333-249074) filed on October 9, 2020)</w:t>
              </w:r>
            </w:hyperlink>
          </w:p>
        </w:tc>
        <w:tc>
          <w:tcPr>
            <w:tcW w:w="4580" w:type="dxa"/>
            <w:vAlign w:val="bottom"/>
            <w:tcBorders>
              <w:top w:val="single" w:sz="8" w:color="0000FF"/>
            </w:tcBorders>
            <w:gridSpan w:val="13"/>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0020" w:type="dxa"/>
            <w:vAlign w:val="bottom"/>
            <w:gridSpan w:val="18"/>
          </w:tcPr>
          <w:p>
            <w:pPr>
              <w:spacing w:after="0"/>
              <w:rPr>
                <w:rFonts w:ascii="Arial" w:cs="Arial" w:eastAsia="Arial" w:hAnsi="Arial"/>
                <w:sz w:val="17"/>
                <w:szCs w:val="17"/>
                <w:color w:val="0000FF"/>
              </w:rPr>
            </w:pPr>
            <w:hyperlink r:id="rId196">
              <w:r>
                <w:rPr>
                  <w:rFonts w:ascii="Arial" w:cs="Arial" w:eastAsia="Arial" w:hAnsi="Arial"/>
                  <w:sz w:val="17"/>
                  <w:szCs w:val="17"/>
                  <w:color w:val="0000FF"/>
                </w:rPr>
                <w:t>Form of Restricted Stock Award Agreement under the 2020 Stock Option and Incentive Plan (incorporated by</w:t>
              </w:r>
            </w:hyperlink>
          </w:p>
        </w:tc>
        <w:tc>
          <w:tcPr>
            <w:tcW w:w="0" w:type="dxa"/>
            <w:vAlign w:val="bottom"/>
          </w:tcPr>
          <w:p>
            <w:pPr>
              <w:spacing w:after="0"/>
              <w:rPr>
                <w:sz w:val="1"/>
                <w:szCs w:val="1"/>
                <w:color w:val="auto"/>
              </w:rPr>
            </w:pPr>
          </w:p>
        </w:tc>
      </w:tr>
      <w:tr>
        <w:trPr>
          <w:trHeight w:val="150"/>
        </w:trPr>
        <w:tc>
          <w:tcPr>
            <w:tcW w:w="1220" w:type="dxa"/>
            <w:vAlign w:val="bottom"/>
            <w:vMerge w:val="restart"/>
          </w:tcPr>
          <w:p>
            <w:pPr>
              <w:ind w:left="20"/>
              <w:spacing w:after="0"/>
              <w:rPr>
                <w:sz w:val="20"/>
                <w:szCs w:val="20"/>
                <w:color w:val="auto"/>
              </w:rPr>
            </w:pPr>
            <w:r>
              <w:rPr>
                <w:rFonts w:ascii="Arial" w:cs="Arial" w:eastAsia="Arial" w:hAnsi="Arial"/>
                <w:sz w:val="17"/>
                <w:szCs w:val="17"/>
                <w:color w:val="auto"/>
              </w:rPr>
              <w:t>10.8#</w:t>
            </w:r>
          </w:p>
        </w:tc>
        <w:tc>
          <w:tcPr>
            <w:tcW w:w="8440" w:type="dxa"/>
            <w:vAlign w:val="bottom"/>
            <w:tcBorders>
              <w:top w:val="single" w:sz="8" w:color="0000FF"/>
            </w:tcBorders>
            <w:gridSpan w:val="12"/>
          </w:tcPr>
          <w:p>
            <w:pPr>
              <w:spacing w:after="0" w:line="150" w:lineRule="exact"/>
              <w:rPr>
                <w:rFonts w:ascii="Arial" w:cs="Arial" w:eastAsia="Arial" w:hAnsi="Arial"/>
                <w:sz w:val="17"/>
                <w:szCs w:val="17"/>
                <w:color w:val="0000FF"/>
              </w:rPr>
            </w:pPr>
            <w:hyperlink r:id="rId196">
              <w:r>
                <w:rPr>
                  <w:rFonts w:ascii="Arial" w:cs="Arial" w:eastAsia="Arial" w:hAnsi="Arial"/>
                  <w:sz w:val="17"/>
                  <w:szCs w:val="17"/>
                  <w:color w:val="0000FF"/>
                </w:rPr>
                <w:t>reference to Exhibit 10.8 to the Registrant's Registration Statement on Form S-1/A (File No. 333-249074) filed</w:t>
              </w:r>
            </w:hyperlink>
          </w:p>
        </w:tc>
        <w:tc>
          <w:tcPr>
            <w:tcW w:w="15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20" w:type="dxa"/>
            <w:vAlign w:val="bottom"/>
            <w:vMerge w:val="continue"/>
          </w:tcPr>
          <w:p>
            <w:pPr>
              <w:spacing w:after="0"/>
              <w:rPr>
                <w:sz w:val="14"/>
                <w:szCs w:val="14"/>
                <w:color w:val="auto"/>
              </w:rPr>
            </w:pPr>
          </w:p>
        </w:tc>
        <w:tc>
          <w:tcPr>
            <w:tcW w:w="156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rPr>
            </w:pPr>
            <w:hyperlink r:id="rId196">
              <w:r>
                <w:rPr>
                  <w:rFonts w:ascii="Arial" w:cs="Arial" w:eastAsia="Arial" w:hAnsi="Arial"/>
                  <w:sz w:val="17"/>
                  <w:szCs w:val="17"/>
                  <w:color w:val="0000FF"/>
                </w:rPr>
                <w:t>on October 9, 2020)</w:t>
              </w:r>
            </w:hyperlink>
          </w:p>
        </w:tc>
        <w:tc>
          <w:tcPr>
            <w:tcW w:w="6920" w:type="dxa"/>
            <w:vAlign w:val="bottom"/>
            <w:tcBorders>
              <w:top w:val="single" w:sz="8" w:color="0000FF"/>
            </w:tcBorders>
            <w:gridSpan w:val="12"/>
          </w:tcPr>
          <w:p>
            <w:pPr>
              <w:spacing w:after="0"/>
              <w:rPr>
                <w:sz w:val="14"/>
                <w:szCs w:val="14"/>
                <w:color w:val="auto"/>
              </w:rPr>
            </w:pPr>
          </w:p>
        </w:tc>
        <w:tc>
          <w:tcPr>
            <w:tcW w:w="15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862"/>
        </w:trPr>
        <w:tc>
          <w:tcPr>
            <w:tcW w:w="1220" w:type="dxa"/>
            <w:vAlign w:val="bottom"/>
          </w:tcPr>
          <w:p>
            <w:pPr>
              <w:spacing w:after="0"/>
              <w:rPr>
                <w:sz w:val="24"/>
                <w:szCs w:val="24"/>
                <w:color w:val="auto"/>
              </w:rPr>
            </w:pPr>
          </w:p>
        </w:tc>
        <w:tc>
          <w:tcPr>
            <w:tcW w:w="6840" w:type="dxa"/>
            <w:vAlign w:val="bottom"/>
            <w:gridSpan w:val="5"/>
          </w:tcPr>
          <w:p>
            <w:pPr>
              <w:ind w:left="4260"/>
              <w:spacing w:after="0"/>
              <w:rPr>
                <w:sz w:val="20"/>
                <w:szCs w:val="20"/>
                <w:color w:val="auto"/>
              </w:rPr>
            </w:pPr>
            <w:r>
              <w:rPr>
                <w:rFonts w:ascii="Arial" w:cs="Arial" w:eastAsia="Arial" w:hAnsi="Arial"/>
                <w:sz w:val="17"/>
                <w:szCs w:val="17"/>
                <w:color w:val="auto"/>
              </w:rPr>
              <w:t>153</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1200" w:type="dxa"/>
            <w:vAlign w:val="bottom"/>
          </w:tcPr>
          <w:p>
            <w:pPr>
              <w:spacing w:after="0"/>
              <w:rPr>
                <w:sz w:val="17"/>
                <w:szCs w:val="17"/>
                <w:color w:val="auto"/>
              </w:rPr>
            </w:pPr>
          </w:p>
        </w:tc>
        <w:tc>
          <w:tcPr>
            <w:tcW w:w="8640" w:type="dxa"/>
            <w:vAlign w:val="bottom"/>
            <w:gridSpan w:val="40"/>
          </w:tcPr>
          <w:p>
            <w:pPr>
              <w:spacing w:after="0"/>
              <w:rPr>
                <w:rFonts w:ascii="Arial" w:cs="Arial" w:eastAsia="Arial" w:hAnsi="Arial"/>
                <w:sz w:val="17"/>
                <w:szCs w:val="17"/>
                <w:color w:val="0000FF"/>
              </w:rPr>
            </w:pPr>
            <w:hyperlink r:id="rId199">
              <w:r>
                <w:rPr>
                  <w:rFonts w:ascii="Arial" w:cs="Arial" w:eastAsia="Arial" w:hAnsi="Arial"/>
                  <w:sz w:val="17"/>
                  <w:szCs w:val="17"/>
                  <w:color w:val="0000FF"/>
                </w:rPr>
                <w:t>Form of Restricted Stock Award Agreement for Company Employees under the 2020 Stock Option and</w:t>
              </w:r>
            </w:hyperlink>
          </w:p>
        </w:tc>
        <w:tc>
          <w:tcPr>
            <w:tcW w:w="0" w:type="dxa"/>
            <w:vAlign w:val="bottom"/>
          </w:tcPr>
          <w:p>
            <w:pPr>
              <w:spacing w:after="0"/>
              <w:rPr>
                <w:sz w:val="1"/>
                <w:szCs w:val="1"/>
                <w:color w:val="auto"/>
              </w:rPr>
            </w:pPr>
          </w:p>
        </w:tc>
      </w:tr>
      <w:tr>
        <w:trPr>
          <w:trHeight w:val="157"/>
        </w:trPr>
        <w:tc>
          <w:tcPr>
            <w:tcW w:w="1200" w:type="dxa"/>
            <w:vAlign w:val="bottom"/>
            <w:vMerge w:val="restart"/>
          </w:tcPr>
          <w:p>
            <w:pPr>
              <w:spacing w:after="0"/>
              <w:rPr>
                <w:sz w:val="20"/>
                <w:szCs w:val="20"/>
                <w:color w:val="auto"/>
              </w:rPr>
            </w:pPr>
            <w:r>
              <w:rPr>
                <w:rFonts w:ascii="Arial" w:cs="Arial" w:eastAsia="Arial" w:hAnsi="Arial"/>
                <w:sz w:val="17"/>
                <w:szCs w:val="17"/>
                <w:color w:val="auto"/>
              </w:rPr>
              <w:t>10.9#</w:t>
            </w:r>
          </w:p>
        </w:tc>
        <w:tc>
          <w:tcPr>
            <w:tcW w:w="7940" w:type="dxa"/>
            <w:vAlign w:val="bottom"/>
            <w:tcBorders>
              <w:top w:val="single" w:sz="8" w:color="0000FF"/>
            </w:tcBorders>
            <w:gridSpan w:val="19"/>
          </w:tcPr>
          <w:p>
            <w:pPr>
              <w:spacing w:after="0" w:line="158" w:lineRule="exact"/>
              <w:rPr>
                <w:rFonts w:ascii="Arial" w:cs="Arial" w:eastAsia="Arial" w:hAnsi="Arial"/>
                <w:sz w:val="17"/>
                <w:szCs w:val="17"/>
                <w:color w:val="0000FF"/>
              </w:rPr>
            </w:pPr>
            <w:hyperlink r:id="rId199">
              <w:r>
                <w:rPr>
                  <w:rFonts w:ascii="Arial" w:cs="Arial" w:eastAsia="Arial" w:hAnsi="Arial"/>
                  <w:sz w:val="17"/>
                  <w:szCs w:val="17"/>
                  <w:color w:val="0000FF"/>
                </w:rPr>
                <w:t>Incentive Plan (incorporated by reference to Exhibit 10.9 to the Registrant's Registration Statement on</w:t>
              </w:r>
            </w:hyperlink>
          </w:p>
        </w:tc>
        <w:tc>
          <w:tcPr>
            <w:tcW w:w="700" w:type="dxa"/>
            <w:vAlign w:val="bottom"/>
            <w:gridSpan w:val="21"/>
          </w:tcPr>
          <w:p>
            <w:pPr>
              <w:jc w:val="center"/>
              <w:ind w:right="100"/>
              <w:spacing w:after="0" w:line="158" w:lineRule="exact"/>
              <w:rPr>
                <w:rFonts w:ascii="Arial" w:cs="Arial" w:eastAsia="Arial" w:hAnsi="Arial"/>
                <w:sz w:val="17"/>
                <w:szCs w:val="17"/>
                <w:color w:val="0000FF"/>
                <w:w w:val="97"/>
              </w:rPr>
            </w:pPr>
            <w:hyperlink r:id="rId199">
              <w:r>
                <w:rPr>
                  <w:rFonts w:ascii="Arial" w:cs="Arial" w:eastAsia="Arial" w:hAnsi="Arial"/>
                  <w:sz w:val="17"/>
                  <w:szCs w:val="17"/>
                  <w:color w:val="0000FF"/>
                  <w:w w:val="97"/>
                </w:rPr>
                <w:t>Form S-</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3980" w:type="dxa"/>
            <w:vAlign w:val="bottom"/>
            <w:tcBorders>
              <w:top w:val="single" w:sz="8" w:color="0000FF"/>
              <w:bottom w:val="single" w:sz="8" w:color="0000FF"/>
            </w:tcBorders>
            <w:gridSpan w:val="7"/>
          </w:tcPr>
          <w:p>
            <w:pPr>
              <w:spacing w:after="0" w:line="163" w:lineRule="exact"/>
              <w:rPr>
                <w:rFonts w:ascii="Arial" w:cs="Arial" w:eastAsia="Arial" w:hAnsi="Arial"/>
                <w:sz w:val="17"/>
                <w:szCs w:val="17"/>
                <w:color w:val="0000FF"/>
              </w:rPr>
            </w:pPr>
            <w:hyperlink r:id="rId199">
              <w:r>
                <w:rPr>
                  <w:rFonts w:ascii="Arial" w:cs="Arial" w:eastAsia="Arial" w:hAnsi="Arial"/>
                  <w:sz w:val="17"/>
                  <w:szCs w:val="17"/>
                  <w:color w:val="0000FF"/>
                </w:rPr>
                <w:t>1/A (File No. 333-249074) filed on October 9, 2020)</w:t>
              </w:r>
            </w:hyperlink>
          </w:p>
        </w:tc>
        <w:tc>
          <w:tcPr>
            <w:tcW w:w="458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640" w:type="dxa"/>
            <w:vAlign w:val="bottom"/>
            <w:gridSpan w:val="40"/>
          </w:tcPr>
          <w:p>
            <w:pPr>
              <w:spacing w:after="0"/>
              <w:rPr>
                <w:rFonts w:ascii="Arial" w:cs="Arial" w:eastAsia="Arial" w:hAnsi="Arial"/>
                <w:sz w:val="17"/>
                <w:szCs w:val="17"/>
                <w:color w:val="0000FF"/>
              </w:rPr>
            </w:pPr>
            <w:hyperlink r:id="rId200">
              <w:r>
                <w:rPr>
                  <w:rFonts w:ascii="Arial" w:cs="Arial" w:eastAsia="Arial" w:hAnsi="Arial"/>
                  <w:sz w:val="17"/>
                  <w:szCs w:val="17"/>
                  <w:color w:val="0000FF"/>
                </w:rPr>
                <w:t>Form of Restricted Stock Award Agreement for Non -Employee Directors under the 2020 Stock Option and</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10.10#</w:t>
            </w:r>
          </w:p>
        </w:tc>
        <w:tc>
          <w:tcPr>
            <w:tcW w:w="8640" w:type="dxa"/>
            <w:vAlign w:val="bottom"/>
            <w:gridSpan w:val="40"/>
          </w:tcPr>
          <w:p>
            <w:pPr>
              <w:spacing w:after="0" w:line="150" w:lineRule="exact"/>
              <w:rPr>
                <w:rFonts w:ascii="Arial" w:cs="Arial" w:eastAsia="Arial" w:hAnsi="Arial"/>
                <w:sz w:val="17"/>
                <w:szCs w:val="17"/>
                <w:color w:val="0000FF"/>
              </w:rPr>
            </w:pPr>
            <w:hyperlink r:id="rId200">
              <w:r>
                <w:rPr>
                  <w:rFonts w:ascii="Arial" w:cs="Arial" w:eastAsia="Arial" w:hAnsi="Arial"/>
                  <w:sz w:val="17"/>
                  <w:szCs w:val="17"/>
                  <w:color w:val="0000FF"/>
                </w:rPr>
                <w:t>Incentive Plan (incorporated by reference to Exhibit 10.10 to the Registrant's Registration Statement on Form</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4160" w:type="dxa"/>
            <w:vAlign w:val="bottom"/>
            <w:tcBorders>
              <w:top w:val="single" w:sz="8" w:color="0000FF"/>
              <w:bottom w:val="single" w:sz="8" w:color="0000FF"/>
            </w:tcBorders>
            <w:gridSpan w:val="8"/>
          </w:tcPr>
          <w:p>
            <w:pPr>
              <w:spacing w:after="0" w:line="163" w:lineRule="exact"/>
              <w:rPr>
                <w:rFonts w:ascii="Arial" w:cs="Arial" w:eastAsia="Arial" w:hAnsi="Arial"/>
                <w:sz w:val="17"/>
                <w:szCs w:val="17"/>
                <w:color w:val="0000FF"/>
              </w:rPr>
            </w:pPr>
            <w:hyperlink r:id="rId200">
              <w:r>
                <w:rPr>
                  <w:rFonts w:ascii="Arial" w:cs="Arial" w:eastAsia="Arial" w:hAnsi="Arial"/>
                  <w:sz w:val="17"/>
                  <w:szCs w:val="17"/>
                  <w:color w:val="0000FF"/>
                </w:rPr>
                <w:t>S-1/A (File No. 333-249074) filed on October 9, 2020)</w:t>
              </w:r>
            </w:hyperlink>
          </w:p>
        </w:tc>
        <w:tc>
          <w:tcPr>
            <w:tcW w:w="426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640" w:type="dxa"/>
            <w:vAlign w:val="bottom"/>
            <w:gridSpan w:val="40"/>
          </w:tcPr>
          <w:p>
            <w:pPr>
              <w:spacing w:after="0"/>
              <w:rPr>
                <w:rFonts w:ascii="Arial" w:cs="Arial" w:eastAsia="Arial" w:hAnsi="Arial"/>
                <w:sz w:val="17"/>
                <w:szCs w:val="17"/>
                <w:color w:val="0000FF"/>
              </w:rPr>
            </w:pPr>
            <w:hyperlink r:id="rId201">
              <w:r>
                <w:rPr>
                  <w:rFonts w:ascii="Arial" w:cs="Arial" w:eastAsia="Arial" w:hAnsi="Arial"/>
                  <w:sz w:val="17"/>
                  <w:szCs w:val="17"/>
                  <w:color w:val="0000FF"/>
                </w:rPr>
                <w:t>Praxis Precision Medicines, Inc. 2020 Employee Stock Purchase Plan (incorporated by reference to Exhibit</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10.11#</w:t>
            </w:r>
          </w:p>
        </w:tc>
        <w:tc>
          <w:tcPr>
            <w:tcW w:w="8260" w:type="dxa"/>
            <w:vAlign w:val="bottom"/>
            <w:tcBorders>
              <w:top w:val="single" w:sz="8" w:color="0000FF"/>
            </w:tcBorders>
            <w:gridSpan w:val="28"/>
          </w:tcPr>
          <w:p>
            <w:pPr>
              <w:spacing w:after="0" w:line="150" w:lineRule="exact"/>
              <w:rPr>
                <w:rFonts w:ascii="Arial" w:cs="Arial" w:eastAsia="Arial" w:hAnsi="Arial"/>
                <w:sz w:val="17"/>
                <w:szCs w:val="17"/>
                <w:color w:val="0000FF"/>
              </w:rPr>
            </w:pPr>
            <w:hyperlink r:id="rId201">
              <w:r>
                <w:rPr>
                  <w:rFonts w:ascii="Arial" w:cs="Arial" w:eastAsia="Arial" w:hAnsi="Arial"/>
                  <w:sz w:val="17"/>
                  <w:szCs w:val="17"/>
                  <w:color w:val="0000FF"/>
                </w:rPr>
                <w:t>10.</w:t>
              </w:r>
              <w:r>
                <w:rPr>
                  <w:rFonts w:ascii="Arial" w:cs="Arial" w:eastAsia="Arial" w:hAnsi="Arial"/>
                  <w:sz w:val="17"/>
                  <w:szCs w:val="17"/>
                  <w:u w:val="single" w:color="auto"/>
                  <w:color w:val="0000FF"/>
                </w:rPr>
                <w:t>11</w:t>
              </w:r>
              <w:r>
                <w:rPr>
                  <w:rFonts w:ascii="Arial" w:cs="Arial" w:eastAsia="Arial" w:hAnsi="Arial"/>
                  <w:sz w:val="17"/>
                  <w:szCs w:val="17"/>
                  <w:color w:val="0000FF"/>
                </w:rPr>
                <w:t xml:space="preserve"> to the Registrant's Registration Statement on Form S-1/A (File No. 333-249074) filed on October 9,</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440" w:type="dxa"/>
            <w:vAlign w:val="bottom"/>
            <w:tcBorders>
              <w:top w:val="single" w:sz="8" w:color="0000FF"/>
              <w:bottom w:val="single" w:sz="8" w:color="0000FF"/>
            </w:tcBorders>
          </w:tcPr>
          <w:p>
            <w:pPr>
              <w:spacing w:after="0" w:line="163" w:lineRule="exact"/>
              <w:rPr>
                <w:rFonts w:ascii="Arial" w:cs="Arial" w:eastAsia="Arial" w:hAnsi="Arial"/>
                <w:sz w:val="17"/>
                <w:szCs w:val="17"/>
                <w:color w:val="0000FF"/>
                <w:w w:val="96"/>
              </w:rPr>
            </w:pPr>
            <w:hyperlink r:id="rId201">
              <w:r>
                <w:rPr>
                  <w:rFonts w:ascii="Arial" w:cs="Arial" w:eastAsia="Arial" w:hAnsi="Arial"/>
                  <w:sz w:val="17"/>
                  <w:szCs w:val="17"/>
                  <w:color w:val="0000FF"/>
                  <w:w w:val="96"/>
                </w:rPr>
                <w:t>2020)</w:t>
              </w:r>
            </w:hyperlink>
          </w:p>
        </w:tc>
        <w:tc>
          <w:tcPr>
            <w:tcW w:w="2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640" w:type="dxa"/>
            <w:vAlign w:val="bottom"/>
            <w:gridSpan w:val="40"/>
          </w:tcPr>
          <w:p>
            <w:pPr>
              <w:spacing w:after="0"/>
              <w:rPr>
                <w:rFonts w:ascii="Arial" w:cs="Arial" w:eastAsia="Arial" w:hAnsi="Arial"/>
                <w:sz w:val="17"/>
                <w:szCs w:val="17"/>
                <w:color w:val="0000FF"/>
              </w:rPr>
            </w:pPr>
            <w:hyperlink r:id="rId202">
              <w:r>
                <w:rPr>
                  <w:rFonts w:ascii="Arial" w:cs="Arial" w:eastAsia="Arial" w:hAnsi="Arial"/>
                  <w:sz w:val="17"/>
                  <w:szCs w:val="17"/>
                  <w:color w:val="0000FF"/>
                </w:rPr>
                <w:t>Praxis Precision Medicines, Inc. 2024 Inducement Plan and Forms of Award Agreements thereunder</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10.12#</w:t>
            </w:r>
          </w:p>
        </w:tc>
        <w:tc>
          <w:tcPr>
            <w:tcW w:w="8640" w:type="dxa"/>
            <w:vAlign w:val="bottom"/>
            <w:gridSpan w:val="40"/>
          </w:tcPr>
          <w:p>
            <w:pPr>
              <w:spacing w:after="0" w:line="150" w:lineRule="exact"/>
              <w:rPr>
                <w:rFonts w:ascii="Arial" w:cs="Arial" w:eastAsia="Arial" w:hAnsi="Arial"/>
                <w:sz w:val="17"/>
                <w:szCs w:val="17"/>
                <w:color w:val="0000FF"/>
              </w:rPr>
            </w:pPr>
            <w:hyperlink r:id="rId202">
              <w:r>
                <w:rPr>
                  <w:rFonts w:ascii="Arial" w:cs="Arial" w:eastAsia="Arial" w:hAnsi="Arial"/>
                  <w:sz w:val="17"/>
                  <w:szCs w:val="17"/>
                  <w:color w:val="0000FF"/>
                </w:rPr>
                <w:t>(incorporated by referenced to the Registrant's Registration Statement on Form S-8 (File No. 333-276786) filed</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8580" w:type="dxa"/>
            <w:vAlign w:val="bottom"/>
            <w:tcBorders>
              <w:top w:val="single" w:sz="8" w:color="0000FF"/>
            </w:tcBorders>
            <w:gridSpan w:val="37"/>
          </w:tcPr>
          <w:p>
            <w:pPr>
              <w:spacing w:after="0" w:line="163" w:lineRule="exact"/>
              <w:rPr>
                <w:rFonts w:ascii="Arial" w:cs="Arial" w:eastAsia="Arial" w:hAnsi="Arial"/>
                <w:sz w:val="17"/>
                <w:szCs w:val="17"/>
                <w:color w:val="0000FF"/>
              </w:rPr>
            </w:pPr>
            <w:hyperlink r:id="rId202">
              <w:r>
                <w:rPr>
                  <w:rFonts w:ascii="Arial" w:cs="Arial" w:eastAsia="Arial" w:hAnsi="Arial"/>
                  <w:sz w:val="17"/>
                  <w:szCs w:val="17"/>
                  <w:color w:val="0000FF"/>
                </w:rPr>
                <w:t>on January 31,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8640" w:type="dxa"/>
            <w:vAlign w:val="bottom"/>
            <w:gridSpan w:val="40"/>
          </w:tcPr>
          <w:p>
            <w:pPr>
              <w:spacing w:after="0"/>
              <w:rPr>
                <w:rFonts w:ascii="Arial" w:cs="Arial" w:eastAsia="Arial" w:hAnsi="Arial"/>
                <w:sz w:val="17"/>
                <w:szCs w:val="17"/>
                <w:color w:val="0000FF"/>
              </w:rPr>
            </w:pPr>
            <w:hyperlink r:id="rId203">
              <w:r>
                <w:rPr>
                  <w:rFonts w:ascii="Arial" w:cs="Arial" w:eastAsia="Arial" w:hAnsi="Arial"/>
                  <w:sz w:val="17"/>
                  <w:szCs w:val="17"/>
                  <w:color w:val="0000FF"/>
                </w:rPr>
                <w:t>Amended and Restated Employment Agreement, dated October 20, 2020, by and between Praxis Precision</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10.13#</w:t>
            </w:r>
          </w:p>
        </w:tc>
        <w:tc>
          <w:tcPr>
            <w:tcW w:w="8320" w:type="dxa"/>
            <w:vAlign w:val="bottom"/>
            <w:tcBorders>
              <w:top w:val="single" w:sz="8" w:color="0000FF"/>
            </w:tcBorders>
            <w:gridSpan w:val="29"/>
          </w:tcPr>
          <w:p>
            <w:pPr>
              <w:spacing w:after="0" w:line="150" w:lineRule="exact"/>
              <w:rPr>
                <w:rFonts w:ascii="Arial" w:cs="Arial" w:eastAsia="Arial" w:hAnsi="Arial"/>
                <w:sz w:val="17"/>
                <w:szCs w:val="17"/>
                <w:color w:val="0000FF"/>
              </w:rPr>
            </w:pPr>
            <w:hyperlink r:id="rId203">
              <w:r>
                <w:rPr>
                  <w:rFonts w:ascii="Arial" w:cs="Arial" w:eastAsia="Arial" w:hAnsi="Arial"/>
                  <w:sz w:val="17"/>
                  <w:szCs w:val="17"/>
                  <w:color w:val="0000FF"/>
                </w:rPr>
                <w:t>Medicines, Inc. and Marcio Souza (incorporated by reference to Exhibit 10.12 to the Registrant's Annual</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5440" w:type="dxa"/>
            <w:vAlign w:val="bottom"/>
            <w:tcBorders>
              <w:top w:val="single" w:sz="8" w:color="0000FF"/>
              <w:bottom w:val="single" w:sz="8" w:color="0000FF"/>
            </w:tcBorders>
            <w:gridSpan w:val="11"/>
          </w:tcPr>
          <w:p>
            <w:pPr>
              <w:spacing w:after="0" w:line="163" w:lineRule="exact"/>
              <w:rPr>
                <w:rFonts w:ascii="Arial" w:cs="Arial" w:eastAsia="Arial" w:hAnsi="Arial"/>
                <w:sz w:val="17"/>
                <w:szCs w:val="17"/>
                <w:color w:val="0000FF"/>
              </w:rPr>
            </w:pPr>
            <w:hyperlink r:id="rId203">
              <w:r>
                <w:rPr>
                  <w:rFonts w:ascii="Arial" w:cs="Arial" w:eastAsia="Arial" w:hAnsi="Arial"/>
                  <w:sz w:val="17"/>
                  <w:szCs w:val="17"/>
                  <w:color w:val="0000FF"/>
                </w:rPr>
                <w:t>Report on Form 10-K (File No. 001-39620) filed on February 28, 2022)</w:t>
              </w:r>
            </w:hyperlink>
          </w:p>
        </w:tc>
        <w:tc>
          <w:tcPr>
            <w:tcW w:w="258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0" w:type="dxa"/>
            <w:vAlign w:val="bottom"/>
          </w:tcPr>
          <w:p>
            <w:pPr>
              <w:spacing w:after="0"/>
              <w:rPr>
                <w:sz w:val="17"/>
                <w:szCs w:val="17"/>
                <w:color w:val="auto"/>
              </w:rPr>
            </w:pPr>
          </w:p>
        </w:tc>
        <w:tc>
          <w:tcPr>
            <w:tcW w:w="8640" w:type="dxa"/>
            <w:vAlign w:val="bottom"/>
            <w:gridSpan w:val="40"/>
          </w:tcPr>
          <w:p>
            <w:pPr>
              <w:spacing w:after="0" w:line="190" w:lineRule="exact"/>
              <w:rPr>
                <w:rFonts w:ascii="Arial" w:cs="Arial" w:eastAsia="Arial" w:hAnsi="Arial"/>
                <w:sz w:val="17"/>
                <w:szCs w:val="17"/>
                <w:color w:val="0000FF"/>
              </w:rPr>
            </w:pPr>
            <w:hyperlink r:id="rId204">
              <w:r>
                <w:rPr>
                  <w:rFonts w:ascii="Arial" w:cs="Arial" w:eastAsia="Arial" w:hAnsi="Arial"/>
                  <w:sz w:val="17"/>
                  <w:szCs w:val="17"/>
                  <w:color w:val="0000FF"/>
                </w:rPr>
                <w:t>Amended and Restated Employment Agreement, dated May 13, 2021, by and between Praxis Precision</w:t>
              </w:r>
            </w:hyperlink>
          </w:p>
        </w:tc>
        <w:tc>
          <w:tcPr>
            <w:tcW w:w="0" w:type="dxa"/>
            <w:vAlign w:val="bottom"/>
          </w:tcPr>
          <w:p>
            <w:pPr>
              <w:spacing w:after="0"/>
              <w:rPr>
                <w:sz w:val="1"/>
                <w:szCs w:val="1"/>
                <w:color w:val="auto"/>
              </w:rPr>
            </w:pPr>
          </w:p>
        </w:tc>
      </w:tr>
      <w:tr>
        <w:trPr>
          <w:trHeight w:val="157"/>
        </w:trPr>
        <w:tc>
          <w:tcPr>
            <w:tcW w:w="1200" w:type="dxa"/>
            <w:vAlign w:val="bottom"/>
            <w:vMerge w:val="restart"/>
          </w:tcPr>
          <w:p>
            <w:pPr>
              <w:spacing w:after="0"/>
              <w:rPr>
                <w:sz w:val="20"/>
                <w:szCs w:val="20"/>
                <w:color w:val="auto"/>
              </w:rPr>
            </w:pPr>
            <w:r>
              <w:rPr>
                <w:rFonts w:ascii="Arial" w:cs="Arial" w:eastAsia="Arial" w:hAnsi="Arial"/>
                <w:sz w:val="17"/>
                <w:szCs w:val="17"/>
                <w:color w:val="auto"/>
              </w:rPr>
              <w:t>10.14#</w:t>
            </w:r>
          </w:p>
        </w:tc>
        <w:tc>
          <w:tcPr>
            <w:tcW w:w="8040" w:type="dxa"/>
            <w:vAlign w:val="bottom"/>
            <w:tcBorders>
              <w:top w:val="single" w:sz="8" w:color="0000FF"/>
            </w:tcBorders>
            <w:gridSpan w:val="23"/>
          </w:tcPr>
          <w:p>
            <w:pPr>
              <w:spacing w:after="0" w:line="158" w:lineRule="exact"/>
              <w:rPr>
                <w:rFonts w:ascii="Arial" w:cs="Arial" w:eastAsia="Arial" w:hAnsi="Arial"/>
                <w:sz w:val="17"/>
                <w:szCs w:val="17"/>
                <w:color w:val="0000FF"/>
              </w:rPr>
            </w:pPr>
            <w:hyperlink r:id="rId203">
              <w:r>
                <w:rPr>
                  <w:rFonts w:ascii="Arial" w:cs="Arial" w:eastAsia="Arial" w:hAnsi="Arial"/>
                  <w:sz w:val="17"/>
                  <w:szCs w:val="17"/>
                  <w:color w:val="0000FF"/>
                </w:rPr>
                <w:t>Medicines, Inc. and Timothy Kelly (incorporated by reference to Exhibit 10.13 to the Registrant's Annual</w:t>
              </w:r>
            </w:hyperlink>
          </w:p>
        </w:tc>
        <w:tc>
          <w:tcPr>
            <w:tcW w:w="600" w:type="dxa"/>
            <w:vAlign w:val="bottom"/>
            <w:gridSpan w:val="17"/>
          </w:tcPr>
          <w:p>
            <w:pPr>
              <w:spacing w:after="0" w:line="158" w:lineRule="exact"/>
              <w:rPr>
                <w:rFonts w:ascii="Arial" w:cs="Arial" w:eastAsia="Arial" w:hAnsi="Arial"/>
                <w:sz w:val="17"/>
                <w:szCs w:val="17"/>
                <w:color w:val="0000FF"/>
              </w:rPr>
            </w:pPr>
            <w:hyperlink r:id="rId203">
              <w:r>
                <w:rPr>
                  <w:rFonts w:ascii="Arial" w:cs="Arial" w:eastAsia="Arial" w:hAnsi="Arial"/>
                  <w:sz w:val="17"/>
                  <w:szCs w:val="17"/>
                  <w:color w:val="0000FF"/>
                </w:rPr>
                <w:t>Report</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8620" w:type="dxa"/>
            <w:vAlign w:val="bottom"/>
            <w:tcBorders>
              <w:top w:val="single" w:sz="8" w:color="0000FF"/>
            </w:tcBorders>
            <w:gridSpan w:val="39"/>
          </w:tcPr>
          <w:p>
            <w:pPr>
              <w:spacing w:after="0" w:line="163" w:lineRule="exact"/>
              <w:rPr>
                <w:rFonts w:ascii="Arial" w:cs="Arial" w:eastAsia="Arial" w:hAnsi="Arial"/>
                <w:sz w:val="17"/>
                <w:szCs w:val="17"/>
                <w:color w:val="0000FF"/>
              </w:rPr>
            </w:pPr>
            <w:hyperlink r:id="rId203">
              <w:r>
                <w:rPr>
                  <w:rFonts w:ascii="Arial" w:cs="Arial" w:eastAsia="Arial" w:hAnsi="Arial"/>
                  <w:sz w:val="17"/>
                  <w:szCs w:val="17"/>
                  <w:color w:val="0000FF"/>
                </w:rPr>
                <w:t>on Form 10-K (File No. 001-39620) filed on February 7, 2023)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10.15#*</w:t>
            </w:r>
          </w:p>
        </w:tc>
        <w:tc>
          <w:tcPr>
            <w:tcW w:w="8640" w:type="dxa"/>
            <w:vAlign w:val="bottom"/>
            <w:gridSpan w:val="40"/>
          </w:tcPr>
          <w:p>
            <w:pPr>
              <w:spacing w:after="0"/>
              <w:rPr>
                <w:sz w:val="20"/>
                <w:szCs w:val="20"/>
                <w:color w:val="auto"/>
              </w:rPr>
            </w:pPr>
            <w:r>
              <w:rPr>
                <w:rFonts w:ascii="Arial" w:cs="Arial" w:eastAsia="Arial" w:hAnsi="Arial"/>
                <w:sz w:val="17"/>
                <w:szCs w:val="17"/>
                <w:color w:val="0000FF"/>
              </w:rPr>
              <w:t>Amended and Restated Employment Agreement, dated October 20, 2020, by and between Praxis Precision</w:t>
            </w: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2600" w:type="dxa"/>
            <w:vAlign w:val="bottom"/>
            <w:tcBorders>
              <w:top w:val="single" w:sz="8" w:color="0000FF"/>
              <w:bottom w:val="single" w:sz="8" w:color="0000FF"/>
            </w:tcBorders>
            <w:gridSpan w:val="5"/>
          </w:tcPr>
          <w:p>
            <w:pPr>
              <w:spacing w:after="0" w:line="138" w:lineRule="exact"/>
              <w:rPr>
                <w:sz w:val="20"/>
                <w:szCs w:val="20"/>
                <w:color w:val="auto"/>
              </w:rPr>
            </w:pPr>
            <w:r>
              <w:rPr>
                <w:rFonts w:ascii="Arial" w:cs="Arial" w:eastAsia="Arial" w:hAnsi="Arial"/>
                <w:sz w:val="15"/>
                <w:szCs w:val="15"/>
                <w:color w:val="0000FF"/>
              </w:rPr>
              <w:t>Medicines, Inc. and Alex Nemiroff</w:t>
            </w:r>
          </w:p>
        </w:tc>
        <w:tc>
          <w:tcPr>
            <w:tcW w:w="90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gridSpan w:val="4"/>
          </w:tcPr>
          <w:p>
            <w:pPr>
              <w:spacing w:after="0"/>
              <w:rPr>
                <w:sz w:val="13"/>
                <w:szCs w:val="13"/>
                <w:color w:val="auto"/>
              </w:rPr>
            </w:pPr>
          </w:p>
        </w:tc>
        <w:tc>
          <w:tcPr>
            <w:tcW w:w="500" w:type="dxa"/>
            <w:vAlign w:val="bottom"/>
            <w:tcBorders>
              <w:top w:val="single" w:sz="8" w:color="0000FF"/>
            </w:tcBorders>
            <w:gridSpan w:val="2"/>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gridSpan w:val="4"/>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8640" w:type="dxa"/>
            <w:vAlign w:val="bottom"/>
            <w:gridSpan w:val="40"/>
          </w:tcPr>
          <w:p>
            <w:pPr>
              <w:spacing w:after="0"/>
              <w:rPr>
                <w:rFonts w:ascii="Arial" w:cs="Arial" w:eastAsia="Arial" w:hAnsi="Arial"/>
                <w:sz w:val="17"/>
                <w:szCs w:val="17"/>
                <w:color w:val="0000FF"/>
              </w:rPr>
            </w:pPr>
            <w:hyperlink r:id="rId205">
              <w:r>
                <w:rPr>
                  <w:rFonts w:ascii="Arial" w:cs="Arial" w:eastAsia="Arial" w:hAnsi="Arial"/>
                  <w:sz w:val="17"/>
                  <w:szCs w:val="17"/>
                  <w:color w:val="0000FF"/>
                </w:rPr>
                <w:t>Separation Agreement, dated as of March 21, 2023, by and between the Registrant and Nicole Sweeny</w:t>
              </w:r>
            </w:hyperlink>
          </w:p>
        </w:tc>
        <w:tc>
          <w:tcPr>
            <w:tcW w:w="0" w:type="dxa"/>
            <w:vAlign w:val="bottom"/>
          </w:tcPr>
          <w:p>
            <w:pPr>
              <w:spacing w:after="0"/>
              <w:rPr>
                <w:sz w:val="1"/>
                <w:szCs w:val="1"/>
                <w:color w:val="auto"/>
              </w:rPr>
            </w:pPr>
          </w:p>
        </w:tc>
      </w:tr>
      <w:tr>
        <w:trPr>
          <w:trHeight w:val="157"/>
        </w:trPr>
        <w:tc>
          <w:tcPr>
            <w:tcW w:w="1200" w:type="dxa"/>
            <w:vAlign w:val="bottom"/>
            <w:vMerge w:val="restart"/>
          </w:tcPr>
          <w:p>
            <w:pPr>
              <w:spacing w:after="0"/>
              <w:rPr>
                <w:sz w:val="20"/>
                <w:szCs w:val="20"/>
                <w:color w:val="auto"/>
              </w:rPr>
            </w:pPr>
            <w:r>
              <w:rPr>
                <w:rFonts w:ascii="Arial" w:cs="Arial" w:eastAsia="Arial" w:hAnsi="Arial"/>
                <w:sz w:val="17"/>
                <w:szCs w:val="17"/>
                <w:color w:val="auto"/>
              </w:rPr>
              <w:t>10.16#</w:t>
            </w:r>
          </w:p>
        </w:tc>
        <w:tc>
          <w:tcPr>
            <w:tcW w:w="7980" w:type="dxa"/>
            <w:vAlign w:val="bottom"/>
            <w:tcBorders>
              <w:top w:val="single" w:sz="8" w:color="0000FF"/>
            </w:tcBorders>
            <w:gridSpan w:val="21"/>
          </w:tcPr>
          <w:p>
            <w:pPr>
              <w:spacing w:after="0" w:line="158" w:lineRule="exact"/>
              <w:rPr>
                <w:rFonts w:ascii="Arial" w:cs="Arial" w:eastAsia="Arial" w:hAnsi="Arial"/>
                <w:sz w:val="17"/>
                <w:szCs w:val="17"/>
                <w:color w:val="0000FF"/>
              </w:rPr>
            </w:pPr>
            <w:hyperlink r:id="rId205">
              <w:r>
                <w:rPr>
                  <w:rFonts w:ascii="Arial" w:cs="Arial" w:eastAsia="Arial" w:hAnsi="Arial"/>
                  <w:sz w:val="17"/>
                  <w:szCs w:val="17"/>
                  <w:color w:val="0000FF"/>
                </w:rPr>
                <w:t>(incorporated by reference to Exhibit 10.1 to the Registrant's Current Report on Form 8-K (File No. 001-</w:t>
              </w:r>
            </w:hyperlink>
          </w:p>
        </w:tc>
        <w:tc>
          <w:tcPr>
            <w:tcW w:w="560" w:type="dxa"/>
            <w:vAlign w:val="bottom"/>
            <w:gridSpan w:val="14"/>
          </w:tcPr>
          <w:p>
            <w:pPr>
              <w:jc w:val="center"/>
              <w:spacing w:after="0" w:line="158" w:lineRule="exact"/>
              <w:rPr>
                <w:rFonts w:ascii="Arial" w:cs="Arial" w:eastAsia="Arial" w:hAnsi="Arial"/>
                <w:sz w:val="17"/>
                <w:szCs w:val="17"/>
                <w:color w:val="0000FF"/>
                <w:w w:val="98"/>
              </w:rPr>
            </w:pPr>
            <w:hyperlink r:id="rId205">
              <w:r>
                <w:rPr>
                  <w:rFonts w:ascii="Arial" w:cs="Arial" w:eastAsia="Arial" w:hAnsi="Arial"/>
                  <w:sz w:val="17"/>
                  <w:szCs w:val="17"/>
                  <w:color w:val="0000FF"/>
                  <w:w w:val="98"/>
                </w:rPr>
                <w:t>39620)</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8520" w:type="dxa"/>
            <w:vAlign w:val="bottom"/>
            <w:tcBorders>
              <w:top w:val="single" w:sz="8" w:color="0000FF"/>
            </w:tcBorders>
            <w:gridSpan w:val="34"/>
          </w:tcPr>
          <w:p>
            <w:pPr>
              <w:spacing w:after="0" w:line="163" w:lineRule="exact"/>
              <w:rPr>
                <w:rFonts w:ascii="Arial" w:cs="Arial" w:eastAsia="Arial" w:hAnsi="Arial"/>
                <w:sz w:val="17"/>
                <w:szCs w:val="17"/>
                <w:color w:val="0000FF"/>
              </w:rPr>
            </w:pPr>
            <w:hyperlink r:id="rId205">
              <w:r>
                <w:rPr>
                  <w:rFonts w:ascii="Arial" w:cs="Arial" w:eastAsia="Arial" w:hAnsi="Arial"/>
                  <w:sz w:val="17"/>
                  <w:szCs w:val="17"/>
                  <w:color w:val="0000FF"/>
                </w:rPr>
                <w:t>filed on March 21, 2023)</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20"/>
                <w:szCs w:val="20"/>
                <w:color w:val="auto"/>
              </w:rPr>
            </w:pPr>
            <w:r>
              <w:rPr>
                <w:rFonts w:ascii="Arial" w:cs="Arial" w:eastAsia="Arial" w:hAnsi="Arial"/>
                <w:sz w:val="17"/>
                <w:szCs w:val="17"/>
                <w:color w:val="auto"/>
              </w:rPr>
              <w:t>10.17#*</w:t>
            </w:r>
          </w:p>
        </w:tc>
        <w:tc>
          <w:tcPr>
            <w:tcW w:w="8640" w:type="dxa"/>
            <w:vAlign w:val="bottom"/>
            <w:gridSpan w:val="40"/>
          </w:tcPr>
          <w:p>
            <w:pPr>
              <w:spacing w:after="0"/>
              <w:rPr>
                <w:sz w:val="20"/>
                <w:szCs w:val="20"/>
                <w:color w:val="auto"/>
              </w:rPr>
            </w:pPr>
            <w:r>
              <w:rPr>
                <w:rFonts w:ascii="Arial" w:cs="Arial" w:eastAsia="Arial" w:hAnsi="Arial"/>
                <w:sz w:val="17"/>
                <w:szCs w:val="17"/>
                <w:color w:val="0000FF"/>
              </w:rPr>
              <w:t>Non-Employee Director Compensation Policy</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tcPr>
          <w:p>
            <w:pPr>
              <w:spacing w:after="0"/>
              <w:rPr>
                <w:sz w:val="17"/>
                <w:szCs w:val="17"/>
                <w:color w:val="auto"/>
              </w:rPr>
            </w:pPr>
          </w:p>
        </w:tc>
        <w:tc>
          <w:tcPr>
            <w:tcW w:w="8640" w:type="dxa"/>
            <w:vAlign w:val="bottom"/>
            <w:gridSpan w:val="40"/>
          </w:tcPr>
          <w:p>
            <w:pPr>
              <w:spacing w:after="0"/>
              <w:rPr>
                <w:rFonts w:ascii="Arial" w:cs="Arial" w:eastAsia="Arial" w:hAnsi="Arial"/>
                <w:sz w:val="17"/>
                <w:szCs w:val="17"/>
                <w:color w:val="0000FF"/>
              </w:rPr>
            </w:pPr>
            <w:hyperlink r:id="rId206">
              <w:r>
                <w:rPr>
                  <w:rFonts w:ascii="Arial" w:cs="Arial" w:eastAsia="Arial" w:hAnsi="Arial"/>
                  <w:sz w:val="17"/>
                  <w:szCs w:val="17"/>
                  <w:color w:val="0000FF"/>
                </w:rPr>
                <w:t>Cooperation and License Agreement, dated September 11, 2019, by and between RogCon Inc. and Praxis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380" w:type="dxa"/>
            <w:vAlign w:val="bottom"/>
            <w:gridSpan w:val="8"/>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10.18†</w:t>
            </w:r>
          </w:p>
        </w:tc>
        <w:tc>
          <w:tcPr>
            <w:tcW w:w="8640" w:type="dxa"/>
            <w:vAlign w:val="bottom"/>
            <w:gridSpan w:val="40"/>
          </w:tcPr>
          <w:p>
            <w:pPr>
              <w:spacing w:after="0" w:line="150" w:lineRule="exact"/>
              <w:rPr>
                <w:rFonts w:ascii="Arial" w:cs="Arial" w:eastAsia="Arial" w:hAnsi="Arial"/>
                <w:sz w:val="17"/>
                <w:szCs w:val="17"/>
                <w:color w:val="0000FF"/>
              </w:rPr>
            </w:pPr>
            <w:hyperlink r:id="rId206">
              <w:r>
                <w:rPr>
                  <w:rFonts w:ascii="Arial" w:cs="Arial" w:eastAsia="Arial" w:hAnsi="Arial"/>
                  <w:sz w:val="17"/>
                  <w:szCs w:val="17"/>
                  <w:color w:val="0000FF"/>
                </w:rPr>
                <w:t>Precision Medicines, Inc. (incorporated by reference to Exhibit 10.15 to the Registrant's Registration Statement</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5020" w:type="dxa"/>
            <w:vAlign w:val="bottom"/>
            <w:tcBorders>
              <w:top w:val="single" w:sz="8" w:color="0000FF"/>
              <w:bottom w:val="single" w:sz="8" w:color="0000FF"/>
            </w:tcBorders>
            <w:gridSpan w:val="10"/>
          </w:tcPr>
          <w:p>
            <w:pPr>
              <w:spacing w:after="0" w:line="163" w:lineRule="exact"/>
              <w:rPr>
                <w:rFonts w:ascii="Arial" w:cs="Arial" w:eastAsia="Arial" w:hAnsi="Arial"/>
                <w:sz w:val="17"/>
                <w:szCs w:val="17"/>
                <w:color w:val="0000FF"/>
              </w:rPr>
            </w:pPr>
            <w:hyperlink r:id="rId206">
              <w:r>
                <w:rPr>
                  <w:rFonts w:ascii="Arial" w:cs="Arial" w:eastAsia="Arial" w:hAnsi="Arial"/>
                  <w:sz w:val="17"/>
                  <w:szCs w:val="17"/>
                  <w:color w:val="0000FF"/>
                </w:rPr>
                <w:t>on Form S-1 (File No. 333-249074) filed on September 25, 2020)</w:t>
              </w:r>
            </w:hyperlink>
          </w:p>
        </w:tc>
        <w:tc>
          <w:tcPr>
            <w:tcW w:w="3580" w:type="dxa"/>
            <w:vAlign w:val="bottom"/>
            <w:tcBorders>
              <w:top w:val="single" w:sz="8" w:color="0000FF"/>
            </w:tcBorders>
            <w:gridSpan w:val="28"/>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240" w:type="dxa"/>
            <w:vAlign w:val="bottom"/>
            <w:tcBorders>
              <w:bottom w:val="single" w:sz="8" w:color="0000FF"/>
            </w:tcBorders>
            <w:gridSpan w:val="27"/>
          </w:tcPr>
          <w:p>
            <w:pPr>
              <w:spacing w:after="0"/>
              <w:rPr>
                <w:rFonts w:ascii="Arial" w:cs="Arial" w:eastAsia="Arial" w:hAnsi="Arial"/>
                <w:sz w:val="17"/>
                <w:szCs w:val="17"/>
                <w:color w:val="0000FF"/>
              </w:rPr>
            </w:pPr>
            <w:hyperlink r:id="rId207">
              <w:r>
                <w:rPr>
                  <w:rFonts w:ascii="Arial" w:cs="Arial" w:eastAsia="Arial" w:hAnsi="Arial"/>
                  <w:sz w:val="17"/>
                  <w:szCs w:val="17"/>
                  <w:color w:val="0000FF"/>
                </w:rPr>
                <w:t>Research Collaboration, Option and License Agreement, dated September 11, 2019, by and between Ionis</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10.19†</w:t>
            </w:r>
          </w:p>
        </w:tc>
        <w:tc>
          <w:tcPr>
            <w:tcW w:w="8640" w:type="dxa"/>
            <w:vAlign w:val="bottom"/>
            <w:gridSpan w:val="40"/>
          </w:tcPr>
          <w:p>
            <w:pPr>
              <w:spacing w:after="0" w:line="150" w:lineRule="exact"/>
              <w:rPr>
                <w:rFonts w:ascii="Arial" w:cs="Arial" w:eastAsia="Arial" w:hAnsi="Arial"/>
                <w:sz w:val="17"/>
                <w:szCs w:val="17"/>
                <w:color w:val="0000FF"/>
              </w:rPr>
            </w:pPr>
            <w:hyperlink r:id="rId207">
              <w:r>
                <w:rPr>
                  <w:rFonts w:ascii="Arial" w:cs="Arial" w:eastAsia="Arial" w:hAnsi="Arial"/>
                  <w:sz w:val="17"/>
                  <w:szCs w:val="17"/>
                  <w:color w:val="0000FF"/>
                </w:rPr>
                <w:t>Pharmaceuticals, Inc. and Praxis Precision Medicines, Inc. (incorporated by reference to Exhibit 10.16 to the</w:t>
              </w:r>
            </w:hyperlink>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7820" w:type="dxa"/>
            <w:vAlign w:val="bottom"/>
            <w:tcBorders>
              <w:top w:val="single" w:sz="8" w:color="0000FF"/>
              <w:bottom w:val="single" w:sz="8" w:color="0000FF"/>
            </w:tcBorders>
            <w:gridSpan w:val="18"/>
          </w:tcPr>
          <w:p>
            <w:pPr>
              <w:spacing w:after="0" w:line="163" w:lineRule="exact"/>
              <w:rPr>
                <w:rFonts w:ascii="Arial" w:cs="Arial" w:eastAsia="Arial" w:hAnsi="Arial"/>
                <w:sz w:val="17"/>
                <w:szCs w:val="17"/>
                <w:color w:val="0000FF"/>
              </w:rPr>
            </w:pPr>
            <w:hyperlink r:id="rId207">
              <w:r>
                <w:rPr>
                  <w:rFonts w:ascii="Arial" w:cs="Arial" w:eastAsia="Arial" w:hAnsi="Arial"/>
                  <w:sz w:val="17"/>
                  <w:szCs w:val="17"/>
                  <w:color w:val="0000FF"/>
                </w:rPr>
                <w:t>Registrant's Registration Statement on Form S-1 (File No. 333-249074) filed on September 25, 2020)</w:t>
              </w:r>
            </w:hyperlink>
          </w:p>
        </w:tc>
        <w:tc>
          <w:tcPr>
            <w:tcW w:w="540" w:type="dxa"/>
            <w:vAlign w:val="bottom"/>
            <w:tcBorders>
              <w:top w:val="single" w:sz="8" w:color="0000FF"/>
            </w:tcBorders>
            <w:gridSpan w:val="12"/>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640" w:type="dxa"/>
            <w:vAlign w:val="bottom"/>
            <w:gridSpan w:val="40"/>
          </w:tcPr>
          <w:p>
            <w:pPr>
              <w:spacing w:after="0"/>
              <w:rPr>
                <w:rFonts w:ascii="Arial" w:cs="Arial" w:eastAsia="Arial" w:hAnsi="Arial"/>
                <w:sz w:val="17"/>
                <w:szCs w:val="17"/>
                <w:color w:val="0000FF"/>
              </w:rPr>
            </w:pPr>
            <w:hyperlink r:id="rId208">
              <w:r>
                <w:rPr>
                  <w:rFonts w:ascii="Arial" w:cs="Arial" w:eastAsia="Arial" w:hAnsi="Arial"/>
                  <w:sz w:val="17"/>
                  <w:szCs w:val="17"/>
                  <w:color w:val="0000FF"/>
                </w:rPr>
                <w:t>Sublease, dated May 27, 2021, by and between CBRE, Inc. and Praxis Precision Medicines, Inc. (incorporated</w:t>
              </w:r>
            </w:hyperlink>
          </w:p>
        </w:tc>
        <w:tc>
          <w:tcPr>
            <w:tcW w:w="0" w:type="dxa"/>
            <w:vAlign w:val="bottom"/>
          </w:tcPr>
          <w:p>
            <w:pPr>
              <w:spacing w:after="0"/>
              <w:rPr>
                <w:sz w:val="1"/>
                <w:szCs w:val="1"/>
                <w:color w:val="auto"/>
              </w:rPr>
            </w:pPr>
          </w:p>
        </w:tc>
      </w:tr>
      <w:tr>
        <w:trPr>
          <w:trHeight w:val="150"/>
        </w:trPr>
        <w:tc>
          <w:tcPr>
            <w:tcW w:w="1200" w:type="dxa"/>
            <w:vAlign w:val="bottom"/>
            <w:vMerge w:val="restart"/>
          </w:tcPr>
          <w:p>
            <w:pPr>
              <w:spacing w:after="0"/>
              <w:rPr>
                <w:sz w:val="20"/>
                <w:szCs w:val="20"/>
                <w:color w:val="auto"/>
              </w:rPr>
            </w:pPr>
            <w:r>
              <w:rPr>
                <w:rFonts w:ascii="Arial" w:cs="Arial" w:eastAsia="Arial" w:hAnsi="Arial"/>
                <w:sz w:val="17"/>
                <w:szCs w:val="17"/>
                <w:color w:val="auto"/>
              </w:rPr>
              <w:t>10.20</w:t>
            </w:r>
          </w:p>
        </w:tc>
        <w:tc>
          <w:tcPr>
            <w:tcW w:w="8540" w:type="dxa"/>
            <w:vAlign w:val="bottom"/>
            <w:tcBorders>
              <w:top w:val="single" w:sz="8" w:color="0000FF"/>
            </w:tcBorders>
            <w:gridSpan w:val="35"/>
          </w:tcPr>
          <w:p>
            <w:pPr>
              <w:spacing w:after="0" w:line="150" w:lineRule="exact"/>
              <w:rPr>
                <w:rFonts w:ascii="Arial" w:cs="Arial" w:eastAsia="Arial" w:hAnsi="Arial"/>
                <w:sz w:val="17"/>
                <w:szCs w:val="17"/>
                <w:color w:val="0000FF"/>
              </w:rPr>
            </w:pPr>
            <w:hyperlink r:id="rId208">
              <w:r>
                <w:rPr>
                  <w:rFonts w:ascii="Arial" w:cs="Arial" w:eastAsia="Arial" w:hAnsi="Arial"/>
                  <w:sz w:val="17"/>
                  <w:szCs w:val="17"/>
                  <w:color w:val="0000FF"/>
                </w:rPr>
                <w:t>by reference to Exhibit 10.1 to the Registrant's Current Report on Form 8-K (File No. 001-39620) filed on June</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200" w:type="dxa"/>
            <w:vAlign w:val="bottom"/>
            <w:vMerge w:val="continue"/>
          </w:tcPr>
          <w:p>
            <w:pPr>
              <w:spacing w:after="0"/>
              <w:rPr>
                <w:sz w:val="14"/>
                <w:szCs w:val="14"/>
                <w:color w:val="auto"/>
              </w:rPr>
            </w:pPr>
          </w:p>
        </w:tc>
        <w:tc>
          <w:tcPr>
            <w:tcW w:w="640" w:type="dxa"/>
            <w:vAlign w:val="bottom"/>
            <w:tcBorders>
              <w:top w:val="single" w:sz="8" w:color="0000FF"/>
              <w:bottom w:val="single" w:sz="8" w:color="0000FF"/>
            </w:tcBorders>
            <w:gridSpan w:val="2"/>
          </w:tcPr>
          <w:p>
            <w:pPr>
              <w:spacing w:after="0" w:line="163" w:lineRule="exact"/>
              <w:rPr>
                <w:rFonts w:ascii="Arial" w:cs="Arial" w:eastAsia="Arial" w:hAnsi="Arial"/>
                <w:sz w:val="17"/>
                <w:szCs w:val="17"/>
                <w:color w:val="0000FF"/>
                <w:w w:val="99"/>
              </w:rPr>
            </w:pPr>
            <w:hyperlink r:id="rId208">
              <w:r>
                <w:rPr>
                  <w:rFonts w:ascii="Arial" w:cs="Arial" w:eastAsia="Arial" w:hAnsi="Arial"/>
                  <w:sz w:val="17"/>
                  <w:szCs w:val="17"/>
                  <w:color w:val="0000FF"/>
                  <w:w w:val="99"/>
                </w:rPr>
                <w:t>2, 2021)</w:t>
              </w:r>
            </w:hyperlink>
          </w:p>
        </w:tc>
        <w:tc>
          <w:tcPr>
            <w:tcW w:w="10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8640" w:type="dxa"/>
            <w:vAlign w:val="bottom"/>
            <w:gridSpan w:val="40"/>
          </w:tcPr>
          <w:p>
            <w:pPr>
              <w:spacing w:after="0"/>
              <w:rPr>
                <w:rFonts w:ascii="Arial" w:cs="Arial" w:eastAsia="Arial" w:hAnsi="Arial"/>
                <w:sz w:val="17"/>
                <w:szCs w:val="17"/>
                <w:color w:val="0000FF"/>
              </w:rPr>
            </w:pPr>
            <w:hyperlink r:id="rId209">
              <w:r>
                <w:rPr>
                  <w:rFonts w:ascii="Arial" w:cs="Arial" w:eastAsia="Arial" w:hAnsi="Arial"/>
                  <w:sz w:val="17"/>
                  <w:szCs w:val="17"/>
                  <w:color w:val="0000FF"/>
                </w:rPr>
                <w:t>Subsidiaries of the Registrant (incorporated by reference to Exhibit 21.1 to the Registrant's Registration</w:t>
              </w:r>
            </w:hyperlink>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7960" w:type="dxa"/>
            <w:vAlign w:val="bottom"/>
            <w:tcBorders>
              <w:top w:val="single" w:sz="8" w:color="0000FF"/>
            </w:tcBorders>
            <w:gridSpan w:val="20"/>
          </w:tcPr>
          <w:p>
            <w:pPr>
              <w:spacing w:after="0" w:line="138" w:lineRule="exact"/>
              <w:rPr>
                <w:rFonts w:ascii="Arial" w:cs="Arial" w:eastAsia="Arial" w:hAnsi="Arial"/>
                <w:sz w:val="15"/>
                <w:szCs w:val="15"/>
                <w:color w:val="0000FF"/>
              </w:rPr>
            </w:pPr>
            <w:hyperlink r:id="rId209">
              <w:r>
                <w:rPr>
                  <w:rFonts w:ascii="Arial" w:cs="Arial" w:eastAsia="Arial" w:hAnsi="Arial"/>
                  <w:sz w:val="15"/>
                  <w:szCs w:val="15"/>
                  <w:color w:val="0000FF"/>
                </w:rPr>
                <w:t>Statement on Form S-1 (File No. 333-249074) filed on September 25, 2020)</w:t>
              </w:r>
            </w:hyperlink>
          </w:p>
        </w:tc>
        <w:tc>
          <w:tcPr>
            <w:tcW w:w="22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1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23.1*</w:t>
            </w:r>
          </w:p>
        </w:tc>
        <w:tc>
          <w:tcPr>
            <w:tcW w:w="614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rPr>
              <w:t>Consent of Ernst &amp; Young LLP, Independent Registered Public Accounting Firm</w:t>
            </w:r>
          </w:p>
        </w:tc>
        <w:tc>
          <w:tcPr>
            <w:tcW w:w="250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r>
              <w:rPr>
                <w:rFonts w:ascii="Arial" w:cs="Arial" w:eastAsia="Arial" w:hAnsi="Arial"/>
                <w:sz w:val="17"/>
                <w:szCs w:val="17"/>
                <w:color w:val="auto"/>
              </w:rPr>
              <w:t>24.1*</w:t>
            </w:r>
          </w:p>
        </w:tc>
        <w:tc>
          <w:tcPr>
            <w:tcW w:w="8640" w:type="dxa"/>
            <w:vAlign w:val="bottom"/>
            <w:gridSpan w:val="40"/>
          </w:tcPr>
          <w:p>
            <w:pPr>
              <w:spacing w:after="0"/>
              <w:rPr>
                <w:sz w:val="20"/>
                <w:szCs w:val="20"/>
                <w:color w:val="auto"/>
              </w:rPr>
            </w:pPr>
            <w:r>
              <w:rPr>
                <w:rFonts w:ascii="Arial" w:cs="Arial" w:eastAsia="Arial" w:hAnsi="Arial"/>
                <w:sz w:val="17"/>
                <w:szCs w:val="17"/>
                <w:color w:val="auto"/>
              </w:rPr>
              <w:t>Power of Attorney (included on signature page hereto)</w:t>
            </w:r>
          </w:p>
        </w:tc>
        <w:tc>
          <w:tcPr>
            <w:tcW w:w="0" w:type="dxa"/>
            <w:vAlign w:val="bottom"/>
          </w:tcPr>
          <w:p>
            <w:pPr>
              <w:spacing w:after="0"/>
              <w:rPr>
                <w:sz w:val="1"/>
                <w:szCs w:val="1"/>
                <w:color w:val="auto"/>
              </w:rPr>
            </w:pPr>
          </w:p>
        </w:tc>
      </w:tr>
      <w:tr>
        <w:trPr>
          <w:trHeight w:val="187"/>
        </w:trPr>
        <w:tc>
          <w:tcPr>
            <w:tcW w:w="120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8640" w:type="dxa"/>
            <w:vAlign w:val="bottom"/>
            <w:gridSpan w:val="40"/>
          </w:tcPr>
          <w:p>
            <w:pPr>
              <w:spacing w:after="0" w:line="187" w:lineRule="exact"/>
              <w:rPr>
                <w:sz w:val="20"/>
                <w:szCs w:val="20"/>
                <w:color w:val="auto"/>
              </w:rPr>
            </w:pPr>
            <w:r>
              <w:rPr>
                <w:rFonts w:ascii="Arial" w:cs="Arial" w:eastAsia="Arial" w:hAnsi="Arial"/>
                <w:sz w:val="17"/>
                <w:szCs w:val="17"/>
                <w:color w:val="0000FF"/>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220" w:type="dxa"/>
            <w:vAlign w:val="bottom"/>
            <w:tcBorders>
              <w:top w:val="single" w:sz="8" w:color="0000FF"/>
            </w:tcBorders>
            <w:gridSpan w:val="26"/>
          </w:tcPr>
          <w:p>
            <w:pPr>
              <w:spacing w:after="0" w:line="150" w:lineRule="exact"/>
              <w:rPr>
                <w:sz w:val="20"/>
                <w:szCs w:val="20"/>
                <w:color w:val="auto"/>
              </w:rPr>
            </w:pPr>
            <w:r>
              <w:rPr>
                <w:rFonts w:ascii="Arial" w:cs="Arial" w:eastAsia="Arial" w:hAnsi="Arial"/>
                <w:sz w:val="17"/>
                <w:szCs w:val="17"/>
                <w:color w:val="0000FF"/>
              </w:rPr>
              <w:t>Exchange Act of 1934, as Adopted Pursuant to Section 302 of the Sarbanes-Oxley Act of 2002</w:t>
            </w:r>
          </w:p>
        </w:tc>
        <w:tc>
          <w:tcPr>
            <w:tcW w:w="220" w:type="dxa"/>
            <w:vAlign w:val="bottom"/>
            <w:gridSpan w:val="6"/>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1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8640" w:type="dxa"/>
            <w:vAlign w:val="bottom"/>
            <w:gridSpan w:val="40"/>
          </w:tcPr>
          <w:p>
            <w:pPr>
              <w:spacing w:after="0"/>
              <w:rPr>
                <w:sz w:val="20"/>
                <w:szCs w:val="20"/>
                <w:color w:val="auto"/>
              </w:rPr>
            </w:pPr>
            <w:r>
              <w:rPr>
                <w:rFonts w:ascii="Arial" w:cs="Arial" w:eastAsia="Arial" w:hAnsi="Arial"/>
                <w:sz w:val="17"/>
                <w:szCs w:val="17"/>
                <w:color w:val="0000FF"/>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8180" w:type="dxa"/>
            <w:vAlign w:val="bottom"/>
            <w:tcBorders>
              <w:top w:val="single" w:sz="8" w:color="0000FF"/>
            </w:tcBorders>
            <w:gridSpan w:val="25"/>
          </w:tcPr>
          <w:p>
            <w:pPr>
              <w:spacing w:after="0" w:line="138" w:lineRule="exact"/>
              <w:rPr>
                <w:sz w:val="20"/>
                <w:szCs w:val="20"/>
                <w:color w:val="auto"/>
              </w:rPr>
            </w:pPr>
            <w:r>
              <w:rPr>
                <w:rFonts w:ascii="Arial" w:cs="Arial" w:eastAsia="Arial" w:hAnsi="Arial"/>
                <w:sz w:val="15"/>
                <w:szCs w:val="15"/>
                <w:color w:val="0000FF"/>
              </w:rPr>
              <w:t>Exchange Act of 1934, as Adopted Pursuant to Section 302 of the Sarbanes-Oxley Act of 2002</w:t>
            </w:r>
          </w:p>
        </w:tc>
        <w:tc>
          <w:tcPr>
            <w:tcW w:w="260" w:type="dxa"/>
            <w:vAlign w:val="bottom"/>
            <w:gridSpan w:val="7"/>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520" w:type="dxa"/>
            <w:vAlign w:val="bottom"/>
            <w:gridSpan w:val="12"/>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gridSpan w:val="1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8640" w:type="dxa"/>
            <w:vAlign w:val="bottom"/>
            <w:gridSpan w:val="40"/>
          </w:tcPr>
          <w:p>
            <w:pPr>
              <w:spacing w:after="0"/>
              <w:rPr>
                <w:sz w:val="20"/>
                <w:szCs w:val="20"/>
                <w:color w:val="auto"/>
              </w:rPr>
            </w:pPr>
            <w:r>
              <w:rPr>
                <w:rFonts w:ascii="Arial" w:cs="Arial" w:eastAsia="Arial" w:hAnsi="Arial"/>
                <w:sz w:val="17"/>
                <w:szCs w:val="17"/>
                <w:color w:val="0000FF"/>
              </w:rPr>
              <w:t>Certification of Principal Executive Officer and Principal Financial Officer Pursuant to 18 U.S.C. Section 1350,</w:t>
            </w:r>
          </w:p>
        </w:tc>
        <w:tc>
          <w:tcPr>
            <w:tcW w:w="0" w:type="dxa"/>
            <w:vAlign w:val="bottom"/>
          </w:tcPr>
          <w:p>
            <w:pPr>
              <w:spacing w:after="0"/>
              <w:rPr>
                <w:sz w:val="1"/>
                <w:szCs w:val="1"/>
                <w:color w:val="auto"/>
              </w:rPr>
            </w:pPr>
          </w:p>
        </w:tc>
      </w:tr>
      <w:tr>
        <w:trPr>
          <w:trHeight w:val="150"/>
        </w:trPr>
        <w:tc>
          <w:tcPr>
            <w:tcW w:w="1200" w:type="dxa"/>
            <w:vAlign w:val="bottom"/>
            <w:vMerge w:val="continue"/>
          </w:tcPr>
          <w:p>
            <w:pPr>
              <w:spacing w:after="0"/>
              <w:rPr>
                <w:sz w:val="13"/>
                <w:szCs w:val="13"/>
                <w:color w:val="auto"/>
              </w:rPr>
            </w:pPr>
          </w:p>
        </w:tc>
        <w:tc>
          <w:tcPr>
            <w:tcW w:w="5520" w:type="dxa"/>
            <w:vAlign w:val="bottom"/>
            <w:tcBorders>
              <w:top w:val="single" w:sz="8" w:color="0000FF"/>
              <w:bottom w:val="single" w:sz="8" w:color="0000FF"/>
            </w:tcBorders>
            <w:gridSpan w:val="12"/>
          </w:tcPr>
          <w:p>
            <w:pPr>
              <w:spacing w:after="0" w:line="138" w:lineRule="exact"/>
              <w:rPr>
                <w:sz w:val="20"/>
                <w:szCs w:val="20"/>
                <w:color w:val="auto"/>
              </w:rPr>
            </w:pPr>
            <w:r>
              <w:rPr>
                <w:rFonts w:ascii="Arial" w:cs="Arial" w:eastAsia="Arial" w:hAnsi="Arial"/>
                <w:sz w:val="15"/>
                <w:szCs w:val="15"/>
                <w:color w:val="0000FF"/>
              </w:rPr>
              <w:t>as Adopted Pursuant to Section 906 of the Sarbanes-Oxley Act of 2002</w:t>
            </w:r>
          </w:p>
        </w:tc>
        <w:tc>
          <w:tcPr>
            <w:tcW w:w="2920" w:type="dxa"/>
            <w:vAlign w:val="bottom"/>
            <w:tcBorders>
              <w:top w:val="single" w:sz="8" w:color="0000FF"/>
            </w:tcBorders>
            <w:gridSpan w:val="20"/>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97*</w:t>
            </w:r>
          </w:p>
        </w:tc>
        <w:tc>
          <w:tcPr>
            <w:tcW w:w="8640" w:type="dxa"/>
            <w:vAlign w:val="bottom"/>
            <w:gridSpan w:val="40"/>
          </w:tcPr>
          <w:p>
            <w:pPr>
              <w:spacing w:after="0"/>
              <w:rPr>
                <w:sz w:val="20"/>
                <w:szCs w:val="20"/>
                <w:color w:val="auto"/>
              </w:rPr>
            </w:pPr>
            <w:r>
              <w:rPr>
                <w:rFonts w:ascii="Arial" w:cs="Arial" w:eastAsia="Arial" w:hAnsi="Arial"/>
                <w:sz w:val="17"/>
                <w:szCs w:val="17"/>
                <w:color w:val="0000FF"/>
              </w:rPr>
              <w:t>Praxis Precision Medicines, Inc. Policy for Recovery of Erroneously Awarded Compensation</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r>
              <w:rPr>
                <w:rFonts w:ascii="Arial" w:cs="Arial" w:eastAsia="Arial" w:hAnsi="Arial"/>
                <w:sz w:val="17"/>
                <w:szCs w:val="17"/>
                <w:color w:val="auto"/>
              </w:rPr>
              <w:t>101.INS*</w:t>
            </w:r>
          </w:p>
        </w:tc>
        <w:tc>
          <w:tcPr>
            <w:tcW w:w="710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auto"/>
              </w:rPr>
              <w:t>Inline XBRL Instance Document</w:t>
            </w:r>
          </w:p>
        </w:tc>
        <w:tc>
          <w:tcPr>
            <w:tcW w:w="1540" w:type="dxa"/>
            <w:vAlign w:val="bottom"/>
            <w:gridSpan w:val="25"/>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101.SCH*</w:t>
            </w:r>
          </w:p>
        </w:tc>
        <w:tc>
          <w:tcPr>
            <w:tcW w:w="8640" w:type="dxa"/>
            <w:vAlign w:val="bottom"/>
            <w:gridSpan w:val="40"/>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101.CAL*</w:t>
            </w:r>
          </w:p>
        </w:tc>
        <w:tc>
          <w:tcPr>
            <w:tcW w:w="8640" w:type="dxa"/>
            <w:vAlign w:val="bottom"/>
            <w:gridSpan w:val="40"/>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101.DEF*</w:t>
            </w:r>
          </w:p>
        </w:tc>
        <w:tc>
          <w:tcPr>
            <w:tcW w:w="8640" w:type="dxa"/>
            <w:vAlign w:val="bottom"/>
            <w:gridSpan w:val="40"/>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101.LAB*</w:t>
            </w:r>
          </w:p>
        </w:tc>
        <w:tc>
          <w:tcPr>
            <w:tcW w:w="8640" w:type="dxa"/>
            <w:vAlign w:val="bottom"/>
            <w:gridSpan w:val="40"/>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7"/>
                <w:szCs w:val="17"/>
                <w:color w:val="auto"/>
              </w:rPr>
              <w:t>101.PRE*</w:t>
            </w:r>
          </w:p>
        </w:tc>
        <w:tc>
          <w:tcPr>
            <w:tcW w:w="8640" w:type="dxa"/>
            <w:vAlign w:val="bottom"/>
            <w:gridSpan w:val="40"/>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7"/>
                <w:szCs w:val="17"/>
                <w:color w:val="auto"/>
              </w:rPr>
              <w:t>104</w:t>
            </w:r>
          </w:p>
        </w:tc>
        <w:tc>
          <w:tcPr>
            <w:tcW w:w="8640" w:type="dxa"/>
            <w:vAlign w:val="bottom"/>
            <w:gridSpan w:val="40"/>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575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spacing w:after="0" w:line="366" w:lineRule="exact"/>
        <w:rPr>
          <w:sz w:val="20"/>
          <w:szCs w:val="20"/>
          <w:color w:val="auto"/>
        </w:rPr>
      </w:pPr>
    </w:p>
    <w:p>
      <w:pPr>
        <w:ind w:left="820" w:hanging="798"/>
        <w:spacing w:after="0"/>
        <w:tabs>
          <w:tab w:leader="none" w:pos="8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certifications furnished in Exhibit 32.1 hereto are deemed to accompany this Annual Report on Form 10-K and</w:t>
      </w:r>
    </w:p>
    <w:p>
      <w:pPr>
        <w:ind w:left="820" w:right="379" w:hanging="798"/>
        <w:spacing w:after="0" w:line="226" w:lineRule="auto"/>
        <w:tabs>
          <w:tab w:leader="none" w:pos="8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8" w:lineRule="exact"/>
        <w:rPr>
          <w:sz w:val="20"/>
          <w:szCs w:val="20"/>
          <w:color w:val="auto"/>
        </w:rPr>
      </w:pPr>
    </w:p>
    <w:p>
      <w:pPr>
        <w:ind w:left="820" w:hanging="798"/>
        <w:spacing w:after="0"/>
        <w:tabs>
          <w:tab w:leader="none" w:pos="8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35" w:lineRule="exact"/>
        <w:rPr>
          <w:sz w:val="20"/>
          <w:szCs w:val="20"/>
          <w:color w:val="auto"/>
        </w:rPr>
      </w:pPr>
    </w:p>
    <w:p>
      <w:pPr>
        <w:ind w:left="820" w:right="419" w:hanging="798"/>
        <w:spacing w:after="0" w:line="243" w:lineRule="auto"/>
        <w:tabs>
          <w:tab w:leader="none" w:pos="8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in accordance with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6"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331" w:lineRule="exact"/>
        <w:rPr>
          <w:sz w:val="20"/>
          <w:szCs w:val="20"/>
          <w:color w:val="auto"/>
        </w:rPr>
      </w:pPr>
    </w:p>
    <w:p>
      <w:pPr>
        <w:ind w:right="220" w:firstLine="629"/>
        <w:spacing w:after="0" w:line="30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96"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PRAXIS PRECISION MEDICINES, INC.</w:t>
      </w:r>
    </w:p>
    <w:p>
      <w:pPr>
        <w:spacing w:after="0" w:line="82" w:lineRule="exact"/>
        <w:rPr>
          <w:sz w:val="20"/>
          <w:szCs w:val="20"/>
          <w:color w:val="auto"/>
        </w:rPr>
      </w:pPr>
    </w:p>
    <w:p>
      <w:pPr>
        <w:ind w:left="20"/>
        <w:spacing w:after="0"/>
        <w:tabs>
          <w:tab w:leader="none" w:pos="6460" w:val="left"/>
          <w:tab w:leader="none" w:pos="7040" w:val="left"/>
        </w:tabs>
        <w:rPr>
          <w:sz w:val="20"/>
          <w:szCs w:val="20"/>
          <w:color w:val="auto"/>
        </w:rPr>
      </w:pPr>
      <w:r>
        <w:rPr>
          <w:rFonts w:ascii="Arial" w:cs="Arial" w:eastAsia="Arial" w:hAnsi="Arial"/>
          <w:sz w:val="17"/>
          <w:szCs w:val="17"/>
          <w:color w:val="auto"/>
        </w:rPr>
        <w:t>Date: March 5, 2024</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19685</wp:posOffset>
            </wp:positionV>
            <wp:extent cx="26396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12"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Marcio Souza</w:t>
      </w:r>
    </w:p>
    <w:p>
      <w:pPr>
        <w:ind w:left="7060"/>
        <w:spacing w:after="0"/>
        <w:rPr>
          <w:sz w:val="20"/>
          <w:szCs w:val="20"/>
          <w:color w:val="auto"/>
        </w:rPr>
      </w:pPr>
      <w:r>
        <w:rPr>
          <w:rFonts w:ascii="Arial" w:cs="Arial" w:eastAsia="Arial" w:hAnsi="Arial"/>
          <w:sz w:val="17"/>
          <w:szCs w:val="17"/>
          <w:color w:val="auto"/>
        </w:rPr>
        <w:t>Chief Executive Officer</w:t>
      </w: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POWER OF ATTORNEY</w:t>
      </w:r>
    </w:p>
    <w:p>
      <w:pPr>
        <w:spacing w:after="0" w:line="226" w:lineRule="exact"/>
        <w:rPr>
          <w:sz w:val="20"/>
          <w:szCs w:val="20"/>
          <w:color w:val="auto"/>
        </w:rPr>
      </w:pPr>
    </w:p>
    <w:p>
      <w:pPr>
        <w:ind w:right="240" w:firstLine="629"/>
        <w:spacing w:after="0" w:line="264" w:lineRule="auto"/>
        <w:rPr>
          <w:sz w:val="20"/>
          <w:szCs w:val="20"/>
          <w:color w:val="auto"/>
        </w:rPr>
      </w:pPr>
      <w:r>
        <w:rPr>
          <w:rFonts w:ascii="Arial" w:cs="Arial" w:eastAsia="Arial" w:hAnsi="Arial"/>
          <w:sz w:val="17"/>
          <w:szCs w:val="17"/>
          <w:color w:val="auto"/>
        </w:rPr>
        <w:t>Each person whose individual signature appears below hereby authorizes and appoints Marcio Souza and Timothy Kelly,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73" w:lineRule="exact"/>
        <w:rPr>
          <w:sz w:val="20"/>
          <w:szCs w:val="20"/>
          <w:color w:val="auto"/>
        </w:rPr>
      </w:pPr>
    </w:p>
    <w:p>
      <w:pPr>
        <w:ind w:right="180" w:firstLine="433"/>
        <w:spacing w:after="0" w:line="30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70" w:lineRule="exact"/>
        <w:rPr>
          <w:sz w:val="20"/>
          <w:szCs w:val="20"/>
          <w:color w:val="auto"/>
        </w:rPr>
      </w:pPr>
    </w:p>
    <w:tbl>
      <w:tblPr>
        <w:tblLayout w:type="fixed"/>
        <w:tblInd w:w="440" w:type="dxa"/>
        <w:tblCellMar>
          <w:top w:w="0" w:type="dxa"/>
          <w:left w:w="0" w:type="dxa"/>
          <w:bottom w:w="0" w:type="dxa"/>
          <w:right w:w="0" w:type="dxa"/>
        </w:tblCellMar>
      </w:tblPr>
      <w:tr>
        <w:trPr>
          <w:trHeight w:val="19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Name</w:t>
            </w:r>
          </w:p>
        </w:tc>
        <w:tc>
          <w:tcPr>
            <w:tcW w:w="120" w:type="dxa"/>
            <w:vAlign w:val="bottom"/>
          </w:tcPr>
          <w:p>
            <w:pPr>
              <w:spacing w:after="0"/>
              <w:rPr>
                <w:sz w:val="16"/>
                <w:szCs w:val="16"/>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6"/>
                <w:szCs w:val="16"/>
                <w:color w:val="auto"/>
              </w:rPr>
            </w:pPr>
          </w:p>
        </w:tc>
        <w:tc>
          <w:tcPr>
            <w:tcW w:w="188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98"/>
              </w:rPr>
              <w:t>Date</w:t>
            </w:r>
          </w:p>
        </w:tc>
      </w:tr>
      <w:tr>
        <w:trPr>
          <w:trHeight w:val="387"/>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Marcio Souza</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Chief Executive Officer and Director (Principal Executive Officer)</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33"/>
        </w:trPr>
        <w:tc>
          <w:tcPr>
            <w:tcW w:w="3100" w:type="dxa"/>
            <w:vAlign w:val="bottom"/>
          </w:tcPr>
          <w:p>
            <w:pPr>
              <w:jc w:val="center"/>
              <w:spacing w:after="0"/>
              <w:rPr>
                <w:sz w:val="20"/>
                <w:szCs w:val="20"/>
                <w:color w:val="auto"/>
              </w:rPr>
            </w:pPr>
            <w:r>
              <w:rPr>
                <w:rFonts w:ascii="Arial" w:cs="Arial" w:eastAsia="Arial" w:hAnsi="Arial"/>
                <w:sz w:val="17"/>
                <w:szCs w:val="17"/>
                <w:color w:val="auto"/>
              </w:rPr>
              <w:t>Marcio Souza</w:t>
            </w:r>
          </w:p>
        </w:tc>
        <w:tc>
          <w:tcPr>
            <w:tcW w:w="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Timothy Kelly</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Chief Financial Officer (Principal Financial Officer)</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33"/>
        </w:trPr>
        <w:tc>
          <w:tcPr>
            <w:tcW w:w="3100" w:type="dxa"/>
            <w:vAlign w:val="bottom"/>
          </w:tcPr>
          <w:p>
            <w:pPr>
              <w:jc w:val="center"/>
              <w:spacing w:after="0"/>
              <w:rPr>
                <w:sz w:val="20"/>
                <w:szCs w:val="20"/>
                <w:color w:val="auto"/>
              </w:rPr>
            </w:pPr>
            <w:r>
              <w:rPr>
                <w:rFonts w:ascii="Arial" w:cs="Arial" w:eastAsia="Arial" w:hAnsi="Arial"/>
                <w:sz w:val="17"/>
                <w:szCs w:val="17"/>
                <w:color w:val="auto"/>
              </w:rPr>
              <w:t>Timothy Kelly</w:t>
            </w:r>
          </w:p>
        </w:tc>
        <w:tc>
          <w:tcPr>
            <w:tcW w:w="1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Lauren Mastrocola</w:t>
            </w:r>
          </w:p>
        </w:tc>
        <w:tc>
          <w:tcPr>
            <w:tcW w:w="120" w:type="dxa"/>
            <w:vAlign w:val="bottom"/>
          </w:tcPr>
          <w:p>
            <w:pPr>
              <w:spacing w:after="0"/>
              <w:rPr>
                <w:sz w:val="24"/>
                <w:szCs w:val="24"/>
                <w:color w:val="auto"/>
              </w:rPr>
            </w:pPr>
          </w:p>
        </w:tc>
        <w:tc>
          <w:tcPr>
            <w:tcW w:w="5800" w:type="dxa"/>
            <w:vAlign w:val="bottom"/>
            <w:gridSpan w:val="2"/>
          </w:tcPr>
          <w:p>
            <w:pPr>
              <w:jc w:val="center"/>
              <w:ind w:right="260"/>
              <w:spacing w:after="0"/>
              <w:rPr>
                <w:sz w:val="20"/>
                <w:szCs w:val="20"/>
                <w:color w:val="auto"/>
              </w:rPr>
            </w:pPr>
            <w:r>
              <w:rPr>
                <w:rFonts w:ascii="Arial" w:cs="Arial" w:eastAsia="Arial" w:hAnsi="Arial"/>
                <w:sz w:val="17"/>
                <w:szCs w:val="17"/>
                <w:color w:val="auto"/>
              </w:rPr>
              <w:t>Principal Accounting Officer</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46"/>
        </w:trPr>
        <w:tc>
          <w:tcPr>
            <w:tcW w:w="3100" w:type="dxa"/>
            <w:vAlign w:val="bottom"/>
          </w:tcPr>
          <w:p>
            <w:pPr>
              <w:jc w:val="center"/>
              <w:spacing w:after="0"/>
              <w:rPr>
                <w:sz w:val="20"/>
                <w:szCs w:val="20"/>
                <w:color w:val="auto"/>
              </w:rPr>
            </w:pPr>
            <w:r>
              <w:rPr>
                <w:rFonts w:ascii="Arial" w:cs="Arial" w:eastAsia="Arial" w:hAnsi="Arial"/>
                <w:sz w:val="17"/>
                <w:szCs w:val="17"/>
                <w:color w:val="auto"/>
              </w:rPr>
              <w:t>Lauren Mastrocola</w:t>
            </w:r>
          </w:p>
        </w:tc>
        <w:tc>
          <w:tcPr>
            <w:tcW w:w="1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377"/>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Dean Mitchell</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Chairman of the Board</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Dean Mitchell</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Jeffrey Chodakewitz</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Jeffrey Chodakewitz, M.D.</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Merit Cudkowicz</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Merit Cudkowicz, M.D.</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Jill DeSimone</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Jill DeSimone</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Gregory Norden</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Gregory Norden</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7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William Young</w:t>
            </w:r>
          </w:p>
        </w:tc>
        <w:tc>
          <w:tcPr>
            <w:tcW w:w="120" w:type="dxa"/>
            <w:vAlign w:val="bottom"/>
          </w:tcPr>
          <w:p>
            <w:pPr>
              <w:spacing w:after="0"/>
              <w:rPr>
                <w:sz w:val="24"/>
                <w:szCs w:val="24"/>
                <w:color w:val="auto"/>
              </w:rPr>
            </w:pPr>
          </w:p>
        </w:tc>
        <w:tc>
          <w:tcPr>
            <w:tcW w:w="5800" w:type="dxa"/>
            <w:vAlign w:val="bottom"/>
            <w:gridSpan w:val="2"/>
          </w:tcPr>
          <w:p>
            <w:pPr>
              <w:jc w:val="center"/>
              <w:ind w:right="240"/>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ind w:left="234"/>
              <w:spacing w:after="0"/>
              <w:rPr>
                <w:sz w:val="20"/>
                <w:szCs w:val="20"/>
                <w:color w:val="auto"/>
              </w:rPr>
            </w:pPr>
            <w:r>
              <w:rPr>
                <w:rFonts w:ascii="Arial" w:cs="Arial" w:eastAsia="Arial" w:hAnsi="Arial"/>
                <w:sz w:val="17"/>
                <w:szCs w:val="17"/>
                <w:color w:val="auto"/>
              </w:rPr>
              <w:t>March 5, 2024</w:t>
            </w:r>
          </w:p>
        </w:tc>
      </w:tr>
      <w:tr>
        <w:trPr>
          <w:trHeight w:val="223"/>
        </w:trPr>
        <w:tc>
          <w:tcPr>
            <w:tcW w:w="3100" w:type="dxa"/>
            <w:vAlign w:val="bottom"/>
          </w:tcPr>
          <w:p>
            <w:pPr>
              <w:jc w:val="center"/>
              <w:spacing w:after="0"/>
              <w:rPr>
                <w:sz w:val="20"/>
                <w:szCs w:val="20"/>
                <w:color w:val="auto"/>
              </w:rPr>
            </w:pPr>
            <w:r>
              <w:rPr>
                <w:rFonts w:ascii="Arial" w:cs="Arial" w:eastAsia="Arial" w:hAnsi="Arial"/>
                <w:sz w:val="17"/>
                <w:szCs w:val="17"/>
                <w:color w:val="auto"/>
              </w:rPr>
              <w:t>William Young</w:t>
            </w:r>
          </w:p>
        </w:tc>
        <w:tc>
          <w:tcPr>
            <w:tcW w:w="1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340"/>
          </w:cols>
          <w:pgMar w:left="320" w:top="115" w:right="239" w:bottom="1440" w:gutter="0" w:footer="0" w:header="0"/>
        </w:sectPr>
      </w:pPr>
    </w:p>
    <w:bookmarkStart w:id="157" w:name="page158"/>
    <w:bookmarkEnd w:id="157"/>
    <w:p>
      <w:pPr>
        <w:ind w:left="4120"/>
        <w:spacing w:after="0"/>
        <w:rPr>
          <w:sz w:val="20"/>
          <w:szCs w:val="20"/>
          <w:color w:val="auto"/>
        </w:rPr>
      </w:pPr>
      <w:r>
        <w:rPr>
          <w:rFonts w:ascii="Times New Roman" w:cs="Times New Roman" w:eastAsia="Times New Roman" w:hAnsi="Times New Roman"/>
          <w:sz w:val="21"/>
          <w:szCs w:val="21"/>
          <w:b w:val="1"/>
          <w:bCs w:val="1"/>
          <w:color w:val="auto"/>
        </w:rPr>
        <w:t>Praxis Precision Medicines, Inc.</w:t>
      </w:r>
    </w:p>
    <w:p>
      <w:pPr>
        <w:spacing w:after="0" w:line="21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1"/>
          <w:szCs w:val="21"/>
          <w:b w:val="1"/>
          <w:bCs w:val="1"/>
          <w:color w:val="auto"/>
        </w:rPr>
        <w:t>AMENDED AND RESTATED EMPLOYMENT AGREEMENT</w:t>
      </w:r>
    </w:p>
    <w:p>
      <w:pPr>
        <w:jc w:val="center"/>
        <w:ind w:right="-19"/>
        <w:spacing w:after="0" w:line="208" w:lineRule="auto"/>
        <w:rPr>
          <w:sz w:val="20"/>
          <w:szCs w:val="20"/>
          <w:color w:val="auto"/>
        </w:rPr>
      </w:pPr>
      <w:r>
        <w:rPr>
          <w:rFonts w:ascii="Times New Roman" w:cs="Times New Roman" w:eastAsia="Times New Roman" w:hAnsi="Times New Roman"/>
          <w:sz w:val="21"/>
          <w:szCs w:val="21"/>
          <w:b w:val="1"/>
          <w:bCs w:val="1"/>
          <w:color w:val="auto"/>
        </w:rPr>
        <w:t>for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Alex Nemiroff</w:t>
      </w:r>
    </w:p>
    <w:p>
      <w:pPr>
        <w:spacing w:after="0" w:line="150" w:lineRule="exact"/>
        <w:rPr>
          <w:sz w:val="20"/>
          <w:szCs w:val="20"/>
          <w:color w:val="auto"/>
        </w:rPr>
      </w:pPr>
    </w:p>
    <w:p>
      <w:pPr>
        <w:jc w:val="both"/>
        <w:ind w:left="20" w:firstLine="628"/>
        <w:spacing w:after="0" w:line="219" w:lineRule="auto"/>
        <w:rPr>
          <w:sz w:val="20"/>
          <w:szCs w:val="20"/>
          <w:color w:val="auto"/>
        </w:rPr>
      </w:pPr>
      <w:r>
        <w:rPr>
          <w:rFonts w:ascii="Times New Roman" w:cs="Times New Roman" w:eastAsia="Times New Roman" w:hAnsi="Times New Roman"/>
          <w:sz w:val="21"/>
          <w:szCs w:val="21"/>
          <w:color w:val="auto"/>
        </w:rPr>
        <w:t>This Amended and Restated Executive Employment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between Praxis Precision Medicines,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Alex Nemiroff (“</w:t>
      </w:r>
      <w:r>
        <w:rPr>
          <w:rFonts w:ascii="Times New Roman" w:cs="Times New Roman" w:eastAsia="Times New Roman" w:hAnsi="Times New Roman"/>
          <w:sz w:val="21"/>
          <w:szCs w:val="21"/>
          <w:b w:val="1"/>
          <w:bCs w:val="1"/>
          <w:color w:val="auto"/>
        </w:rPr>
        <w:t>Executive</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and is effective as of the closing of the Company’s first underwritten public offering of its equity securities pursuant to an effective registration statement under the Securities Act of 1933, as amended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This Agreement supersedes in all respects all prior agreements between Executive and the Company regarding the subject matter herein, including without limitation, the Offer Letter between Executive and the Company dated December 30, 2019 (the “</w:t>
      </w:r>
      <w:r>
        <w:rPr>
          <w:rFonts w:ascii="Times New Roman" w:cs="Times New Roman" w:eastAsia="Times New Roman" w:hAnsi="Times New Roman"/>
          <w:sz w:val="21"/>
          <w:szCs w:val="21"/>
          <w:b w:val="1"/>
          <w:bCs w:val="1"/>
          <w:color w:val="auto"/>
        </w:rPr>
        <w:t>Prior Agreement</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left="20" w:firstLine="628"/>
        <w:spacing w:after="0" w:line="24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desires Executive to continue to provide services to the Company, and wishes to provide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certain compensation and benefits in return for such employment services; and</w:t>
      </w:r>
    </w:p>
    <w:p>
      <w:pPr>
        <w:spacing w:after="0" w:line="136" w:lineRule="exact"/>
        <w:rPr>
          <w:sz w:val="20"/>
          <w:szCs w:val="20"/>
          <w:color w:val="auto"/>
        </w:rPr>
      </w:pPr>
    </w:p>
    <w:p>
      <w:pPr>
        <w:jc w:val="both"/>
        <w:ind w:left="20" w:right="20" w:firstLine="628"/>
        <w:spacing w:after="0" w:line="24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Executive wishes to continue to be employed by the Company and to provide personal services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return for certain compensation and benefits;</w:t>
      </w:r>
    </w:p>
    <w:p>
      <w:pPr>
        <w:spacing w:after="0" w:line="136" w:lineRule="exact"/>
        <w:rPr>
          <w:sz w:val="20"/>
          <w:szCs w:val="20"/>
          <w:color w:val="auto"/>
        </w:rPr>
      </w:pPr>
    </w:p>
    <w:p>
      <w:pPr>
        <w:jc w:val="both"/>
        <w:ind w:left="20" w:right="20" w:firstLine="628"/>
        <w:spacing w:after="0" w:line="245"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promises and covenants contained herein and for other good and valuable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the receipt and sufficiency of which is hereby acknowledged, the Parties hereto agree as follows:</w:t>
      </w:r>
    </w:p>
    <w:p>
      <w:pPr>
        <w:spacing w:after="0" w:line="136" w:lineRule="exact"/>
        <w:rPr>
          <w:sz w:val="20"/>
          <w:szCs w:val="20"/>
          <w:color w:val="auto"/>
        </w:rPr>
      </w:pPr>
    </w:p>
    <w:p>
      <w:pPr>
        <w:ind w:left="1280" w:hanging="631"/>
        <w:spacing w:after="0"/>
        <w:tabs>
          <w:tab w:leader="none" w:pos="128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Employment by the Company.</w:t>
      </w:r>
    </w:p>
    <w:p>
      <w:pPr>
        <w:spacing w:after="0" w:line="178" w:lineRule="exact"/>
        <w:rPr>
          <w:sz w:val="20"/>
          <w:szCs w:val="20"/>
          <w:color w:val="auto"/>
        </w:rPr>
      </w:pPr>
    </w:p>
    <w:p>
      <w:pPr>
        <w:jc w:val="both"/>
        <w:ind w:left="20" w:firstLine="1258"/>
        <w:spacing w:after="0" w:line="213" w:lineRule="auto"/>
        <w:rPr>
          <w:sz w:val="20"/>
          <w:szCs w:val="20"/>
          <w:color w:val="auto"/>
        </w:rPr>
      </w:pPr>
      <w:r>
        <w:rPr>
          <w:rFonts w:ascii="Times New Roman" w:cs="Times New Roman" w:eastAsia="Times New Roman" w:hAnsi="Times New Roman"/>
          <w:sz w:val="21"/>
          <w:szCs w:val="21"/>
          <w:b w:val="1"/>
          <w:bCs w:val="1"/>
          <w:color w:val="auto"/>
        </w:rPr>
        <w:t xml:space="preserve">1.1 Position and Duties. </w:t>
      </w:r>
      <w:r>
        <w:rPr>
          <w:rFonts w:ascii="Times New Roman" w:cs="Times New Roman" w:eastAsia="Times New Roman" w:hAnsi="Times New Roman"/>
          <w:sz w:val="21"/>
          <w:szCs w:val="21"/>
          <w:color w:val="auto"/>
        </w:rPr>
        <w:t>Executive shall continue to serve as the Company’s General Counsel (the “</w:t>
      </w:r>
      <w:r>
        <w:rPr>
          <w:rFonts w:ascii="Times New Roman" w:cs="Times New Roman" w:eastAsia="Times New Roman" w:hAnsi="Times New Roman"/>
          <w:sz w:val="21"/>
          <w:szCs w:val="21"/>
          <w:b w:val="1"/>
          <w:bCs w:val="1"/>
          <w:color w:val="auto"/>
        </w:rPr>
        <w:t>Position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During the term of Executive’s employment with the Company, Executive shall devote one hundred percent of Executive’s business time on behalf of the Company and, on a full time basis, use Executive’s skills and render services to the best of Executive’s abilities on behalf of the Company, and shall comply fully with the policies and procedures of the Company. Executive shall report directly to the Company’s </w:t>
      </w:r>
      <w:r>
        <w:rPr>
          <w:rFonts w:ascii="Times New Roman" w:cs="Times New Roman" w:eastAsia="Times New Roman" w:hAnsi="Times New Roman"/>
          <w:sz w:val="21"/>
          <w:szCs w:val="21"/>
          <w:b w:val="1"/>
          <w:bCs w:val="1"/>
          <w:color w:val="auto"/>
        </w:rPr>
        <w:t>Chief Executive Officer (the “CEO”)</w:t>
      </w:r>
      <w:r>
        <w:rPr>
          <w:rFonts w:ascii="Times New Roman" w:cs="Times New Roman" w:eastAsia="Times New Roman" w:hAnsi="Times New Roman"/>
          <w:sz w:val="21"/>
          <w:szCs w:val="21"/>
          <w:color w:val="auto"/>
        </w:rPr>
        <w:t xml:space="preserve">. Executive shall perform those duties typically associated with the Position and such other duties consistent with the Position as may be assigned by the </w:t>
      </w:r>
      <w:r>
        <w:rPr>
          <w:rFonts w:ascii="Times New Roman" w:cs="Times New Roman" w:eastAsia="Times New Roman" w:hAnsi="Times New Roman"/>
          <w:sz w:val="21"/>
          <w:szCs w:val="21"/>
          <w:b w:val="1"/>
          <w:bCs w:val="1"/>
          <w:color w:val="auto"/>
        </w:rPr>
        <w:t>CEO</w:t>
      </w:r>
      <w:r>
        <w:rPr>
          <w:rFonts w:ascii="Times New Roman" w:cs="Times New Roman" w:eastAsia="Times New Roman" w:hAnsi="Times New Roman"/>
          <w:sz w:val="21"/>
          <w:szCs w:val="21"/>
          <w:color w:val="auto"/>
        </w:rPr>
        <w:t xml:space="preserve">, including but not limited to executive responsibility for legal, compliance and executive leadership. Notwithstanding the foregoing, nothing herein shall preclude Executive from (i) serving, with the prior written consent of the </w:t>
      </w:r>
      <w:r>
        <w:rPr>
          <w:rFonts w:ascii="Times New Roman" w:cs="Times New Roman" w:eastAsia="Times New Roman" w:hAnsi="Times New Roman"/>
          <w:sz w:val="21"/>
          <w:szCs w:val="21"/>
          <w:b w:val="1"/>
          <w:bCs w:val="1"/>
          <w:color w:val="auto"/>
        </w:rPr>
        <w:t>CEO</w:t>
      </w:r>
      <w:r>
        <w:rPr>
          <w:rFonts w:ascii="Times New Roman" w:cs="Times New Roman" w:eastAsia="Times New Roman" w:hAnsi="Times New Roman"/>
          <w:sz w:val="21"/>
          <w:szCs w:val="21"/>
          <w:color w:val="auto"/>
        </w:rPr>
        <w:t xml:space="preserve">, as a member of the boards of directors or advisory boards of non-competitive businesses and charitable organizations, (ii) engaging in charitable activities and community affairs, and (iii) managing Executive’s personal investments and affairs;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activities set out in clauses (i), (ii), and (iii) shall be limited by Executive so as not to materially interfere, individually or in the aggregate, with the performance of Executive’s duties and responsibilities hereunder and shall not, in the judgment of the </w:t>
      </w:r>
      <w:r>
        <w:rPr>
          <w:rFonts w:ascii="Times New Roman" w:cs="Times New Roman" w:eastAsia="Times New Roman" w:hAnsi="Times New Roman"/>
          <w:sz w:val="21"/>
          <w:szCs w:val="21"/>
          <w:b w:val="1"/>
          <w:bCs w:val="1"/>
          <w:color w:val="auto"/>
        </w:rPr>
        <w:t>CEO</w:t>
      </w:r>
      <w:r>
        <w:rPr>
          <w:rFonts w:ascii="Times New Roman" w:cs="Times New Roman" w:eastAsia="Times New Roman" w:hAnsi="Times New Roman"/>
          <w:sz w:val="21"/>
          <w:szCs w:val="21"/>
          <w:color w:val="auto"/>
        </w:rPr>
        <w:t xml:space="preserve"> pose a conflict of interest with Executive’s duties to the Company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080"/>
          </w:cols>
          <w:pgMar w:left="400" w:top="1341" w:right="419" w:bottom="1440" w:gutter="0" w:footer="0" w:header="0"/>
        </w:sectPr>
      </w:pPr>
    </w:p>
    <w:bookmarkStart w:id="158" w:name="page159"/>
    <w:bookmarkEnd w:id="158"/>
    <w:p>
      <w:pPr>
        <w:jc w:val="both"/>
        <w:ind w:left="20" w:right="20" w:firstLine="1258"/>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1.2 Location of Work. </w:t>
      </w:r>
      <w:r>
        <w:rPr>
          <w:rFonts w:ascii="Times New Roman" w:cs="Times New Roman" w:eastAsia="Times New Roman" w:hAnsi="Times New Roman"/>
          <w:sz w:val="21"/>
          <w:szCs w:val="21"/>
          <w:color w:val="auto"/>
        </w:rPr>
        <w:t>Executive shall work remotely in Miami, Florida, USA. The Company reserves the right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reasonably require Executive to perform Executive’s duties at places other than Executive’s primary office location from time to time, and to require reasonable business travel.</w:t>
      </w:r>
    </w:p>
    <w:p>
      <w:pPr>
        <w:spacing w:after="0" w:line="142" w:lineRule="exact"/>
        <w:rPr>
          <w:sz w:val="20"/>
          <w:szCs w:val="20"/>
          <w:color w:val="auto"/>
        </w:rPr>
      </w:pPr>
    </w:p>
    <w:p>
      <w:pPr>
        <w:jc w:val="both"/>
        <w:ind w:left="20" w:right="20" w:firstLine="1258"/>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1.3 Policies and Procedures. </w:t>
      </w:r>
      <w:r>
        <w:rPr>
          <w:rFonts w:ascii="Times New Roman" w:cs="Times New Roman" w:eastAsia="Times New Roman" w:hAnsi="Times New Roman"/>
          <w:sz w:val="21"/>
          <w:szCs w:val="21"/>
          <w:color w:val="auto"/>
        </w:rPr>
        <w:t>The employment relationship between the Parties shall be governed by the general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policies and practices of the Company, except that when the terms of this Agreement differ from or are in conflict with the Company’s general employment policies or practices, this Agreement shall control.</w:t>
      </w:r>
    </w:p>
    <w:p>
      <w:pPr>
        <w:spacing w:after="0" w:line="142" w:lineRule="exact"/>
        <w:rPr>
          <w:sz w:val="20"/>
          <w:szCs w:val="20"/>
          <w:color w:val="auto"/>
        </w:rPr>
      </w:pPr>
    </w:p>
    <w:p>
      <w:pPr>
        <w:ind w:left="1280" w:hanging="631"/>
        <w:spacing w:after="0"/>
        <w:tabs>
          <w:tab w:leader="none" w:pos="128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Compensation.</w:t>
      </w:r>
    </w:p>
    <w:p>
      <w:pPr>
        <w:spacing w:after="0" w:line="178" w:lineRule="exact"/>
        <w:rPr>
          <w:sz w:val="20"/>
          <w:szCs w:val="20"/>
          <w:color w:val="auto"/>
        </w:rPr>
      </w:pPr>
    </w:p>
    <w:p>
      <w:pPr>
        <w:jc w:val="both"/>
        <w:ind w:left="20" w:firstLine="1258"/>
        <w:spacing w:after="0" w:line="225" w:lineRule="auto"/>
        <w:rPr>
          <w:sz w:val="20"/>
          <w:szCs w:val="20"/>
          <w:color w:val="auto"/>
        </w:rPr>
      </w:pPr>
      <w:r>
        <w:rPr>
          <w:rFonts w:ascii="Times New Roman" w:cs="Times New Roman" w:eastAsia="Times New Roman" w:hAnsi="Times New Roman"/>
          <w:sz w:val="21"/>
          <w:szCs w:val="21"/>
          <w:b w:val="1"/>
          <w:bCs w:val="1"/>
          <w:color w:val="auto"/>
        </w:rPr>
        <w:t xml:space="preserve">1.1 Salary. </w:t>
      </w:r>
      <w:r>
        <w:rPr>
          <w:rFonts w:ascii="Times New Roman" w:cs="Times New Roman" w:eastAsia="Times New Roman" w:hAnsi="Times New Roman"/>
          <w:sz w:val="21"/>
          <w:szCs w:val="21"/>
          <w:color w:val="auto"/>
        </w:rPr>
        <w:t>For services to be rendered hereunder, Executive shall receive an initial base salary at the rate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$330,000 per year, subject to standard payroll deductions and withholdings and payable in accordance with the Company’s regular payroll schedule (the “</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Executive’s Base Salary will be reviewed annually by the Board or the Compensation Committee of the Board (the “</w:t>
      </w:r>
      <w:r>
        <w:rPr>
          <w:rFonts w:ascii="Times New Roman" w:cs="Times New Roman" w:eastAsia="Times New Roman" w:hAnsi="Times New Roman"/>
          <w:sz w:val="21"/>
          <w:szCs w:val="21"/>
          <w:b w:val="1"/>
          <w:bCs w:val="1"/>
          <w:color w:val="auto"/>
        </w:rPr>
        <w:t>Compensation Committee</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jc w:val="both"/>
        <w:ind w:left="20" w:firstLine="125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1.2 Annual Cash Bonus. </w:t>
      </w:r>
      <w:r>
        <w:rPr>
          <w:rFonts w:ascii="Times New Roman" w:cs="Times New Roman" w:eastAsia="Times New Roman" w:hAnsi="Times New Roman"/>
          <w:sz w:val="21"/>
          <w:szCs w:val="21"/>
          <w:color w:val="auto"/>
        </w:rPr>
        <w:t>Executive will be eligible for an annual cash bonus with a target amount of forty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percent (40%) of Executive’s Base Salary (the “</w:t>
      </w:r>
      <w:r>
        <w:rPr>
          <w:rFonts w:ascii="Times New Roman" w:cs="Times New Roman" w:eastAsia="Times New Roman" w:hAnsi="Times New Roman"/>
          <w:sz w:val="21"/>
          <w:szCs w:val="21"/>
          <w:b w:val="1"/>
          <w:bCs w:val="1"/>
          <w:color w:val="auto"/>
        </w:rPr>
        <w:t>Annual Bonus</w:t>
      </w:r>
      <w:r>
        <w:rPr>
          <w:rFonts w:ascii="Times New Roman" w:cs="Times New Roman" w:eastAsia="Times New Roman" w:hAnsi="Times New Roman"/>
          <w:sz w:val="21"/>
          <w:szCs w:val="21"/>
          <w:color w:val="auto"/>
        </w:rPr>
        <w:t>”). Whether Executive receives an Annual Bonus for any given year, and the amount of any such Annual Bonus, will be determined by the Board or the Compensation Committee based upon the Company’s and Executive’s achievement of objectives and milestones to be determined by the Board or the Compensation Committee on an annual basis. Except as otherwise provided herein or in applicable incentive compensation plan that may be in effect from time to time, Executive will not be eligible for, and will not earn, any Annual Bonus if Executive is not employed by the Company on the payment date (regardless of the reason for the separation from employment).</w:t>
      </w:r>
    </w:p>
    <w:p>
      <w:pPr>
        <w:spacing w:after="0" w:line="143" w:lineRule="exact"/>
        <w:rPr>
          <w:sz w:val="20"/>
          <w:szCs w:val="20"/>
          <w:color w:val="auto"/>
        </w:rPr>
      </w:pPr>
    </w:p>
    <w:p>
      <w:pPr>
        <w:jc w:val="both"/>
        <w:ind w:left="20" w:firstLine="125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1.3 Equity. </w:t>
      </w:r>
      <w:r>
        <w:rPr>
          <w:rFonts w:ascii="Times New Roman" w:cs="Times New Roman" w:eastAsia="Times New Roman" w:hAnsi="Times New Roman"/>
          <w:sz w:val="21"/>
          <w:szCs w:val="21"/>
          <w:color w:val="auto"/>
        </w:rPr>
        <w:t>The stock options and other stock-based awards held by Executive shall continue to be governed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conditions of the Company’s applicable equity incentive plan(s) and the applicable award agreement(s) governing the terms of such stock options and other stock-based awards (collectively, the “</w:t>
      </w:r>
      <w:r>
        <w:rPr>
          <w:rFonts w:ascii="Times New Roman" w:cs="Times New Roman" w:eastAsia="Times New Roman" w:hAnsi="Times New Roman"/>
          <w:sz w:val="21"/>
          <w:szCs w:val="21"/>
          <w:b w:val="1"/>
          <w:bCs w:val="1"/>
          <w:color w:val="auto"/>
        </w:rPr>
        <w:t>Equity Documents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and notwithstanding anything to the contrary in the Equity Documents, Section 5.3(ii)(b) of this Agreement shall apply in the event of a termination of Executive’s employment by the Company without Cause or by Executive for Good Reason, in either case within the Change of Control Period (as such terms are defined below).</w:t>
      </w:r>
    </w:p>
    <w:p>
      <w:pPr>
        <w:spacing w:after="0" w:line="147" w:lineRule="exact"/>
        <w:rPr>
          <w:sz w:val="20"/>
          <w:szCs w:val="20"/>
          <w:color w:val="auto"/>
        </w:rPr>
      </w:pPr>
    </w:p>
    <w:p>
      <w:pPr>
        <w:jc w:val="both"/>
        <w:ind w:left="20" w:right="20" w:firstLine="628"/>
        <w:spacing w:after="0" w:line="225" w:lineRule="auto"/>
        <w:tabs>
          <w:tab w:leader="none" w:pos="1173"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Standard Company Benefits. </w:t>
      </w:r>
      <w:r>
        <w:rPr>
          <w:rFonts w:ascii="Times New Roman" w:cs="Times New Roman" w:eastAsia="Times New Roman" w:hAnsi="Times New Roman"/>
          <w:sz w:val="21"/>
          <w:szCs w:val="21"/>
          <w:color w:val="auto"/>
        </w:rPr>
        <w:t>Executive shall be entitled to participate in all employee benefit programs for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is eligible under the terms and conditions of the benefit plans that may be in effect from time to time and provided by the Company to its employees. The Company reserves the right to cancel or change the benefit plans or programs it offers to its employees at any time.</w:t>
      </w:r>
    </w:p>
    <w:p>
      <w:pPr>
        <w:spacing w:after="0" w:line="143" w:lineRule="exact"/>
        <w:rPr>
          <w:rFonts w:ascii="Times New Roman" w:cs="Times New Roman" w:eastAsia="Times New Roman" w:hAnsi="Times New Roman"/>
          <w:sz w:val="21"/>
          <w:szCs w:val="21"/>
          <w:b w:val="1"/>
          <w:bCs w:val="1"/>
          <w:color w:val="auto"/>
        </w:rPr>
      </w:pPr>
    </w:p>
    <w:p>
      <w:pPr>
        <w:ind w:left="20" w:right="20" w:firstLine="628"/>
        <w:spacing w:after="0" w:line="245" w:lineRule="auto"/>
        <w:tabs>
          <w:tab w:leader="none" w:pos="1173"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Expenses. </w:t>
      </w:r>
      <w:r>
        <w:rPr>
          <w:rFonts w:ascii="Times New Roman" w:cs="Times New Roman" w:eastAsia="Times New Roman" w:hAnsi="Times New Roman"/>
          <w:sz w:val="21"/>
          <w:szCs w:val="21"/>
          <w:color w:val="auto"/>
        </w:rPr>
        <w:t>The Company will reimburse Executive for reasonable travel, entertainment or other expenses incurred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in furtherance or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080"/>
          </w:cols>
          <w:pgMar w:left="400" w:top="1341" w:right="419" w:bottom="1440" w:gutter="0" w:footer="0" w:header="0"/>
        </w:sectPr>
      </w:pPr>
    </w:p>
    <w:bookmarkStart w:id="159" w:name="page160"/>
    <w:bookmarkEnd w:id="159"/>
    <w:p>
      <w:pPr>
        <w:spacing w:after="0" w:line="141"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21"/>
          <w:szCs w:val="21"/>
          <w:color w:val="auto"/>
        </w:rPr>
        <w:t>the performance of Executive’s duties hereunder, in accordance with the Company’s expense reimbursement policy as in effect from time to time.</w:t>
      </w:r>
    </w:p>
    <w:p>
      <w:pPr>
        <w:spacing w:after="0" w:line="140" w:lineRule="exact"/>
        <w:rPr>
          <w:sz w:val="20"/>
          <w:szCs w:val="20"/>
          <w:color w:val="auto"/>
        </w:rPr>
      </w:pPr>
    </w:p>
    <w:p>
      <w:pPr>
        <w:ind w:left="1280" w:hanging="631"/>
        <w:spacing w:after="0"/>
        <w:tabs>
          <w:tab w:leader="none" w:pos="128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 of Employment; Severance.</w:t>
      </w:r>
    </w:p>
    <w:p>
      <w:pPr>
        <w:spacing w:after="0" w:line="178" w:lineRule="exact"/>
        <w:rPr>
          <w:sz w:val="20"/>
          <w:szCs w:val="20"/>
          <w:color w:val="auto"/>
        </w:rPr>
      </w:pPr>
    </w:p>
    <w:p>
      <w:pPr>
        <w:ind w:left="20" w:right="80" w:firstLine="125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1.1 At-Will Employment. </w:t>
      </w:r>
      <w:r>
        <w:rPr>
          <w:rFonts w:ascii="Times New Roman" w:cs="Times New Roman" w:eastAsia="Times New Roman" w:hAnsi="Times New Roman"/>
          <w:sz w:val="21"/>
          <w:szCs w:val="21"/>
          <w:color w:val="auto"/>
        </w:rPr>
        <w:t>Executive’s employment relationship is at- will. Either Executive or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terminate the employment relationship at any time, with or without cause subject to the terms of this Agreement.</w:t>
      </w:r>
    </w:p>
    <w:p>
      <w:pPr>
        <w:spacing w:after="0" w:line="136" w:lineRule="exact"/>
        <w:rPr>
          <w:sz w:val="20"/>
          <w:szCs w:val="20"/>
          <w:color w:val="auto"/>
        </w:rPr>
      </w:pPr>
    </w:p>
    <w:p>
      <w:pPr>
        <w:ind w:left="20" w:right="60" w:firstLine="1258"/>
        <w:spacing w:after="0" w:line="245" w:lineRule="auto"/>
        <w:rPr>
          <w:sz w:val="20"/>
          <w:szCs w:val="20"/>
          <w:color w:val="auto"/>
        </w:rPr>
      </w:pPr>
      <w:r>
        <w:rPr>
          <w:rFonts w:ascii="Times New Roman" w:cs="Times New Roman" w:eastAsia="Times New Roman" w:hAnsi="Times New Roman"/>
          <w:sz w:val="21"/>
          <w:szCs w:val="21"/>
          <w:b w:val="1"/>
          <w:bCs w:val="1"/>
          <w:color w:val="auto"/>
        </w:rPr>
        <w:t>1.2 Severance Pay and Benefits Upon a Termination Without Cause or Resignation for Good Reason Outside the Change of Control Period.</w:t>
      </w:r>
    </w:p>
    <w:p>
      <w:pPr>
        <w:spacing w:after="0" w:line="140" w:lineRule="exact"/>
        <w:rPr>
          <w:sz w:val="20"/>
          <w:szCs w:val="20"/>
          <w:color w:val="auto"/>
        </w:rPr>
      </w:pPr>
    </w:p>
    <w:p>
      <w:pPr>
        <w:ind w:left="20" w:right="80" w:firstLine="1887"/>
        <w:spacing w:after="0" w:line="241" w:lineRule="auto"/>
        <w:tabs>
          <w:tab w:leader="none" w:pos="2434"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terminate Executive’s employment with the Company at any time without Cause. Executive may terminate Executive’s employment with the Company at any time for any reason, including for Good Reason.</w:t>
      </w:r>
    </w:p>
    <w:p>
      <w:pPr>
        <w:spacing w:after="0" w:line="144" w:lineRule="exact"/>
        <w:rPr>
          <w:rFonts w:ascii="Times New Roman" w:cs="Times New Roman" w:eastAsia="Times New Roman" w:hAnsi="Times New Roman"/>
          <w:sz w:val="21"/>
          <w:szCs w:val="21"/>
          <w:b w:val="1"/>
          <w:bCs w:val="1"/>
          <w:color w:val="auto"/>
        </w:rPr>
      </w:pPr>
    </w:p>
    <w:p>
      <w:pPr>
        <w:jc w:val="both"/>
        <w:ind w:left="20" w:right="80" w:firstLine="1887"/>
        <w:spacing w:after="0" w:line="224" w:lineRule="auto"/>
        <w:tabs>
          <w:tab w:leader="none" w:pos="2440"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that Executive’s employment with the Company is terminated by the Company without Cause or by Executive for Good Reason, in either case outside of the Change of Control Period, then, provided that Executive remains in compliance with the terms of this Agreement, the Company shall provide Executive with the following severance benefits:</w:t>
      </w:r>
    </w:p>
    <w:p>
      <w:pPr>
        <w:spacing w:after="0" w:line="147" w:lineRule="exact"/>
        <w:rPr>
          <w:rFonts w:ascii="Times New Roman" w:cs="Times New Roman" w:eastAsia="Times New Roman" w:hAnsi="Times New Roman"/>
          <w:sz w:val="21"/>
          <w:szCs w:val="21"/>
          <w:b w:val="1"/>
          <w:bCs w:val="1"/>
          <w:color w:val="auto"/>
        </w:rPr>
      </w:pPr>
    </w:p>
    <w:p>
      <w:pPr>
        <w:jc w:val="both"/>
        <w:ind w:left="20" w:right="80" w:firstLine="2517"/>
        <w:spacing w:after="0" w:line="224" w:lineRule="auto"/>
        <w:tabs>
          <w:tab w:leader="none" w:pos="3071" w:val="left"/>
        </w:tabs>
        <w:numPr>
          <w:ilvl w:val="1"/>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shall pay Executive, as severance, 9 months of Executive’s Base Salary in effect as of the date of Executive’s employment termination, subject to standard payroll deductions and withholdings (the “</w:t>
      </w:r>
      <w:r>
        <w:rPr>
          <w:rFonts w:ascii="Times New Roman" w:cs="Times New Roman" w:eastAsia="Times New Roman" w:hAnsi="Times New Roman"/>
          <w:sz w:val="21"/>
          <w:szCs w:val="21"/>
          <w:b w:val="1"/>
          <w:bCs w:val="1"/>
          <w:color w:val="auto"/>
        </w:rPr>
        <w:t>Severance</w:t>
      </w:r>
      <w:r>
        <w:rPr>
          <w:rFonts w:ascii="Times New Roman" w:cs="Times New Roman" w:eastAsia="Times New Roman" w:hAnsi="Times New Roman"/>
          <w:sz w:val="21"/>
          <w:szCs w:val="21"/>
          <w:color w:val="auto"/>
        </w:rPr>
        <w:t>”). Subject to Section 5.2(iii) below, the Severance will be paid in equal installments on the Company’s regular payroll schedule over the 9-month period following Executive’s termination of employment.</w:t>
      </w:r>
    </w:p>
    <w:p>
      <w:pPr>
        <w:spacing w:after="0" w:line="147" w:lineRule="exact"/>
        <w:rPr>
          <w:rFonts w:ascii="Times New Roman" w:cs="Times New Roman" w:eastAsia="Times New Roman" w:hAnsi="Times New Roman"/>
          <w:sz w:val="21"/>
          <w:szCs w:val="21"/>
          <w:b w:val="1"/>
          <w:bCs w:val="1"/>
          <w:color w:val="auto"/>
        </w:rPr>
      </w:pPr>
    </w:p>
    <w:p>
      <w:pPr>
        <w:jc w:val="both"/>
        <w:ind w:left="20" w:right="60" w:firstLine="2517"/>
        <w:spacing w:after="0" w:line="213" w:lineRule="auto"/>
        <w:tabs>
          <w:tab w:leader="none" w:pos="3069" w:val="left"/>
        </w:tabs>
        <w:numPr>
          <w:ilvl w:val="1"/>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Premiums</w:t>
      </w:r>
      <w:r>
        <w:rPr>
          <w:rFonts w:ascii="Times New Roman" w:cs="Times New Roman" w:eastAsia="Times New Roman" w:hAnsi="Times New Roman"/>
          <w:sz w:val="21"/>
          <w:szCs w:val="21"/>
          <w:color w:val="auto"/>
        </w:rPr>
        <w:t>”) through the period (the “</w:t>
      </w:r>
      <w:r>
        <w:rPr>
          <w:rFonts w:ascii="Times New Roman" w:cs="Times New Roman" w:eastAsia="Times New Roman" w:hAnsi="Times New Roman"/>
          <w:sz w:val="21"/>
          <w:szCs w:val="21"/>
          <w:b w:val="1"/>
          <w:bCs w:val="1"/>
          <w:color w:val="auto"/>
        </w:rPr>
        <w:t>COBRA Premium Period</w:t>
      </w:r>
      <w:r>
        <w:rPr>
          <w:rFonts w:ascii="Times New Roman" w:cs="Times New Roman" w:eastAsia="Times New Roman" w:hAnsi="Times New Roman"/>
          <w:sz w:val="21"/>
          <w:szCs w:val="21"/>
          <w:color w:val="auto"/>
        </w:rPr>
        <w:t>”) starting on Executive’s date of termination and ending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earliest to occur of: (i) the 9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COBRA Premium Period, Executive must immediately notify the Company of such event. Notwithstanding the foregoing, if the Company determines, in its sole discretion, that it cannot pay the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40"/>
          </w:cols>
          <w:pgMar w:left="400" w:top="1440" w:right="359" w:bottom="1440" w:gutter="0" w:footer="0" w:header="0"/>
        </w:sectPr>
      </w:pPr>
    </w:p>
    <w:bookmarkStart w:id="160" w:name="page161"/>
    <w:bookmarkEnd w:id="160"/>
    <w:p>
      <w:pPr>
        <w:spacing w:after="0" w:line="137" w:lineRule="exact"/>
        <w:rPr>
          <w:sz w:val="20"/>
          <w:szCs w:val="20"/>
          <w:color w:val="auto"/>
        </w:rPr>
      </w:pPr>
    </w:p>
    <w:p>
      <w:pPr>
        <w:ind w:left="20" w:right="20"/>
        <w:spacing w:after="0" w:line="245" w:lineRule="auto"/>
        <w:rPr>
          <w:sz w:val="20"/>
          <w:szCs w:val="20"/>
          <w:color w:val="auto"/>
        </w:rPr>
      </w:pPr>
      <w:r>
        <w:rPr>
          <w:rFonts w:ascii="Times New Roman" w:cs="Times New Roman" w:eastAsia="Times New Roman" w:hAnsi="Times New Roman"/>
          <w:sz w:val="21"/>
          <w:szCs w:val="21"/>
          <w:color w:val="auto"/>
        </w:rPr>
        <w:t>coverage), subject to applicable tax withholdings (such amount, the “</w:t>
      </w:r>
      <w:r>
        <w:rPr>
          <w:rFonts w:ascii="Times New Roman" w:cs="Times New Roman" w:eastAsia="Times New Roman" w:hAnsi="Times New Roman"/>
          <w:sz w:val="21"/>
          <w:szCs w:val="21"/>
          <w:b w:val="1"/>
          <w:bCs w:val="1"/>
          <w:color w:val="auto"/>
        </w:rPr>
        <w:t>Special Cash Payment</w:t>
      </w:r>
      <w:r>
        <w:rPr>
          <w:rFonts w:ascii="Times New Roman" w:cs="Times New Roman" w:eastAsia="Times New Roman" w:hAnsi="Times New Roman"/>
          <w:sz w:val="21"/>
          <w:szCs w:val="21"/>
          <w:color w:val="auto"/>
        </w:rPr>
        <w:t>”), for the remainder of the COBRA Premium Period. Executive may, but is not obligated to, use such Special Cash Payments toward the cost of COBRA premiums.</w:t>
      </w:r>
    </w:p>
    <w:p>
      <w:pPr>
        <w:spacing w:after="0" w:line="140" w:lineRule="exact"/>
        <w:rPr>
          <w:sz w:val="20"/>
          <w:szCs w:val="20"/>
          <w:color w:val="auto"/>
        </w:rPr>
      </w:pPr>
    </w:p>
    <w:p>
      <w:pPr>
        <w:jc w:val="both"/>
        <w:ind w:left="20" w:firstLine="1887"/>
        <w:spacing w:after="0" w:line="221" w:lineRule="auto"/>
        <w:tabs>
          <w:tab w:leader="none" w:pos="2433"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amounts payable under this Section 5.2, to the extent taxable, shall be paid or commence to be paid within 60 days after the date of 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shall be paid or commence to be paid in the second calendar year by the last day of such 60-day period.</w:t>
      </w:r>
    </w:p>
    <w:p>
      <w:pPr>
        <w:spacing w:after="0" w:line="379" w:lineRule="exact"/>
        <w:rPr>
          <w:sz w:val="20"/>
          <w:szCs w:val="20"/>
          <w:color w:val="auto"/>
        </w:rPr>
      </w:pPr>
    </w:p>
    <w:p>
      <w:pPr>
        <w:ind w:left="20" w:right="100" w:firstLine="1258"/>
        <w:spacing w:after="0" w:line="245" w:lineRule="auto"/>
        <w:rPr>
          <w:sz w:val="20"/>
          <w:szCs w:val="20"/>
          <w:color w:val="auto"/>
        </w:rPr>
      </w:pPr>
      <w:r>
        <w:rPr>
          <w:rFonts w:ascii="Times New Roman" w:cs="Times New Roman" w:eastAsia="Times New Roman" w:hAnsi="Times New Roman"/>
          <w:sz w:val="21"/>
          <w:szCs w:val="21"/>
          <w:b w:val="1"/>
          <w:bCs w:val="1"/>
          <w:color w:val="auto"/>
        </w:rPr>
        <w:t>1.3 Severance Pay and Benefits Upon Termination Without Cause or Resignation for Good Reason Within the Change of Control Period.</w:t>
      </w:r>
    </w:p>
    <w:p>
      <w:pPr>
        <w:spacing w:after="0" w:line="140" w:lineRule="exact"/>
        <w:rPr>
          <w:sz w:val="20"/>
          <w:szCs w:val="20"/>
          <w:color w:val="auto"/>
        </w:rPr>
      </w:pPr>
    </w:p>
    <w:p>
      <w:pPr>
        <w:jc w:val="both"/>
        <w:ind w:left="20" w:firstLine="1887"/>
        <w:spacing w:after="0" w:line="221" w:lineRule="auto"/>
        <w:tabs>
          <w:tab w:leader="none" w:pos="2434" w:val="left"/>
        </w:tabs>
        <w:numPr>
          <w:ilvl w:val="1"/>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provisions of this Section 5.3 shall apply in lieu of, and expressly supersede, the provisions of Section 5.2 regarding severance pay and benefits upon a termination of employment by the Company without Cause or by Executive for Good Reason if such termination of employment occurs on or within 12 months after the occurrence of the first event constituting a Change of Control (such period, the “</w:t>
      </w:r>
      <w:r>
        <w:rPr>
          <w:rFonts w:ascii="Times New Roman" w:cs="Times New Roman" w:eastAsia="Times New Roman" w:hAnsi="Times New Roman"/>
          <w:sz w:val="21"/>
          <w:szCs w:val="21"/>
          <w:b w:val="1"/>
          <w:bCs w:val="1"/>
          <w:color w:val="auto"/>
        </w:rPr>
        <w:t>Change of Control Period</w:t>
      </w:r>
      <w:r>
        <w:rPr>
          <w:rFonts w:ascii="Times New Roman" w:cs="Times New Roman" w:eastAsia="Times New Roman" w:hAnsi="Times New Roman"/>
          <w:sz w:val="21"/>
          <w:szCs w:val="21"/>
          <w:color w:val="auto"/>
        </w:rPr>
        <w:t>”). These provisions shall terminate and be of no further force or effect after the Change of Control Period</w:t>
      </w:r>
    </w:p>
    <w:p>
      <w:pPr>
        <w:spacing w:after="0" w:line="147" w:lineRule="exact"/>
        <w:rPr>
          <w:rFonts w:ascii="Times New Roman" w:cs="Times New Roman" w:eastAsia="Times New Roman" w:hAnsi="Times New Roman"/>
          <w:sz w:val="21"/>
          <w:szCs w:val="21"/>
          <w:b w:val="1"/>
          <w:bCs w:val="1"/>
          <w:color w:val="auto"/>
        </w:rPr>
      </w:pPr>
    </w:p>
    <w:p>
      <w:pPr>
        <w:jc w:val="both"/>
        <w:ind w:left="20" w:firstLine="1887"/>
        <w:spacing w:after="0" w:line="230" w:lineRule="auto"/>
        <w:tabs>
          <w:tab w:leader="none" w:pos="2440" w:val="left"/>
        </w:tabs>
        <w:numPr>
          <w:ilvl w:val="1"/>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In the event that Executive’s employment with the Company is terminated by the Company without Cause or by Executive for Good Reason, in either case during the Change of Control Period, then, provided Executive remains in compliance with the terms of this Agreement, the Company shall provide Executive with the following severance benefits:</w:t>
      </w:r>
    </w:p>
    <w:p>
      <w:pPr>
        <w:spacing w:after="0" w:line="144" w:lineRule="exact"/>
        <w:rPr>
          <w:rFonts w:ascii="Times New Roman" w:cs="Times New Roman" w:eastAsia="Times New Roman" w:hAnsi="Times New Roman"/>
          <w:sz w:val="21"/>
          <w:szCs w:val="21"/>
          <w:b w:val="1"/>
          <w:bCs w:val="1"/>
          <w:color w:val="auto"/>
        </w:rPr>
      </w:pPr>
    </w:p>
    <w:p>
      <w:pPr>
        <w:jc w:val="both"/>
        <w:ind w:left="20" w:firstLine="2517"/>
        <w:spacing w:after="0" w:line="224" w:lineRule="auto"/>
        <w:tabs>
          <w:tab w:leader="none" w:pos="3071" w:val="left"/>
        </w:tabs>
        <w:numPr>
          <w:ilvl w:val="2"/>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shall pay Executive, as severance, a lump sum in cash in an amount equal to one 1 times the sum of (A) Executive’s then current Base Salary (or Executive’s Base Salary in effect immediately prior to the Change of Control, if higher) plus (B) Executive’s Annual Bonus for the then-current year (or Executive’s Annual Bonus in effect immediately prior to the Change of Control, if higher) (the “</w:t>
      </w:r>
      <w:r>
        <w:rPr>
          <w:rFonts w:ascii="Times New Roman" w:cs="Times New Roman" w:eastAsia="Times New Roman" w:hAnsi="Times New Roman"/>
          <w:sz w:val="21"/>
          <w:szCs w:val="21"/>
          <w:b w:val="1"/>
          <w:bCs w:val="1"/>
          <w:color w:val="auto"/>
        </w:rPr>
        <w:t>Change of Control Severance</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b w:val="1"/>
          <w:bCs w:val="1"/>
          <w:color w:val="auto"/>
        </w:rPr>
      </w:pPr>
    </w:p>
    <w:p>
      <w:pPr>
        <w:jc w:val="both"/>
        <w:ind w:left="20" w:firstLine="2517"/>
        <w:spacing w:after="0" w:line="216" w:lineRule="auto"/>
        <w:tabs>
          <w:tab w:leader="none" w:pos="3069" w:val="left"/>
        </w:tabs>
        <w:numPr>
          <w:ilvl w:val="2"/>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Notwithstanding anything to the contrary in any applicable option agreement or other stock-based award agreement, all time-based stock options and other stock-based awards subject to time-based vesting held by Executive (the “</w:t>
      </w:r>
      <w:r>
        <w:rPr>
          <w:rFonts w:ascii="Times New Roman" w:cs="Times New Roman" w:eastAsia="Times New Roman" w:hAnsi="Times New Roman"/>
          <w:sz w:val="21"/>
          <w:szCs w:val="21"/>
          <w:b w:val="1"/>
          <w:bCs w:val="1"/>
          <w:color w:val="auto"/>
        </w:rPr>
        <w:t>Time-Based Equity Awards</w:t>
      </w:r>
      <w:r>
        <w:rPr>
          <w:rFonts w:ascii="Times New Roman" w:cs="Times New Roman" w:eastAsia="Times New Roman" w:hAnsi="Times New Roman"/>
          <w:sz w:val="21"/>
          <w:szCs w:val="21"/>
          <w:color w:val="auto"/>
        </w:rPr>
        <w:t>”) shall immediately accelerate and become fully exercisable or nonforfeitable as of the later of</w:t>
      </w:r>
    </w:p>
    <w:p>
      <w:pPr>
        <w:spacing w:after="0" w:line="1" w:lineRule="exact"/>
        <w:rPr>
          <w:rFonts w:ascii="Times New Roman" w:cs="Times New Roman" w:eastAsia="Times New Roman" w:hAnsi="Times New Roman"/>
          <w:sz w:val="21"/>
          <w:szCs w:val="21"/>
          <w:b w:val="1"/>
          <w:bCs w:val="1"/>
          <w:color w:val="auto"/>
        </w:rPr>
      </w:pPr>
    </w:p>
    <w:p>
      <w:pPr>
        <w:jc w:val="both"/>
        <w:ind w:left="20" w:right="20" w:hanging="1"/>
        <w:spacing w:after="0" w:line="216" w:lineRule="auto"/>
        <w:tabs>
          <w:tab w:leader="none" w:pos="296"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of termination or (ii) the effective date of the Separation Agreement (as defined below) (the “</w:t>
      </w:r>
      <w:r>
        <w:rPr>
          <w:rFonts w:ascii="Times New Roman" w:cs="Times New Roman" w:eastAsia="Times New Roman" w:hAnsi="Times New Roman"/>
          <w:sz w:val="21"/>
          <w:szCs w:val="21"/>
          <w:b w:val="1"/>
          <w:bCs w:val="1"/>
          <w:color w:val="auto"/>
        </w:rPr>
        <w:t>Accelerated Vesting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any termination or forfeiture of the unvested portion of such Time-Based Equity Awards that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occur on the date of termination in the absence of this Agreement will be delayed until the effective date of the Separation Agreement and will only occur if the vesting pursuant to this subsection does not occur due to the absence of the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080"/>
          </w:cols>
          <w:pgMar w:left="400" w:top="1440" w:right="419" w:bottom="1440" w:gutter="0" w:footer="0" w:header="0"/>
        </w:sectPr>
      </w:pPr>
    </w:p>
    <w:bookmarkStart w:id="161" w:name="page162"/>
    <w:bookmarkEnd w:id="161"/>
    <w:p>
      <w:pPr>
        <w:spacing w:after="0" w:line="141" w:lineRule="exact"/>
        <w:rPr>
          <w:sz w:val="20"/>
          <w:szCs w:val="20"/>
          <w:color w:val="auto"/>
        </w:rPr>
      </w:pPr>
    </w:p>
    <w:p>
      <w:pPr>
        <w:jc w:val="both"/>
        <w:ind w:left="20"/>
        <w:spacing w:after="0" w:line="230" w:lineRule="auto"/>
        <w:rPr>
          <w:sz w:val="20"/>
          <w:szCs w:val="20"/>
          <w:color w:val="auto"/>
        </w:rPr>
      </w:pPr>
      <w:r>
        <w:rPr>
          <w:rFonts w:ascii="Times New Roman" w:cs="Times New Roman" w:eastAsia="Times New Roman" w:hAnsi="Times New Roman"/>
          <w:sz w:val="21"/>
          <w:szCs w:val="21"/>
          <w:color w:val="auto"/>
        </w:rPr>
        <w:t>Agreement becoming fully effective within the time period set forth therein. Notwithstanding the foregoing, no additional vesting of the Time-Based Equity Awards shall occur during the period between Executive’s date of termination and the Accelerated Vesting Date.</w:t>
      </w:r>
    </w:p>
    <w:p>
      <w:pPr>
        <w:spacing w:after="0" w:line="145" w:lineRule="exact"/>
        <w:rPr>
          <w:sz w:val="20"/>
          <w:szCs w:val="20"/>
          <w:color w:val="auto"/>
        </w:rPr>
      </w:pPr>
    </w:p>
    <w:p>
      <w:pPr>
        <w:jc w:val="both"/>
        <w:ind w:left="20" w:firstLine="2517"/>
        <w:spacing w:after="0" w:line="212" w:lineRule="auto"/>
        <w:tabs>
          <w:tab w:leader="none" w:pos="3072" w:val="left"/>
        </w:tabs>
        <w:numPr>
          <w:ilvl w:val="1"/>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Provided Executive timely elects continued coverage under COBRA, the Company shall pay the Company’s portion of Executive’s COBRA premiums, equal to the percentage of health premiums paid by the Company prior to Executive’s termination, to continue Executive’s coverage (including coverage for eligible dependents, if applicable) (“</w:t>
      </w:r>
      <w:r>
        <w:rPr>
          <w:rFonts w:ascii="Times New Roman" w:cs="Times New Roman" w:eastAsia="Times New Roman" w:hAnsi="Times New Roman"/>
          <w:sz w:val="21"/>
          <w:szCs w:val="21"/>
          <w:b w:val="1"/>
          <w:bCs w:val="1"/>
          <w:color w:val="auto"/>
        </w:rPr>
        <w:t>COC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COBRA Premiums</w:t>
      </w:r>
      <w:r>
        <w:rPr>
          <w:rFonts w:ascii="Times New Roman" w:cs="Times New Roman" w:eastAsia="Times New Roman" w:hAnsi="Times New Roman"/>
          <w:sz w:val="21"/>
          <w:szCs w:val="21"/>
          <w:color w:val="auto"/>
        </w:rPr>
        <w:t>”) through the period (the “</w:t>
      </w:r>
      <w:r>
        <w:rPr>
          <w:rFonts w:ascii="Times New Roman" w:cs="Times New Roman" w:eastAsia="Times New Roman" w:hAnsi="Times New Roman"/>
          <w:sz w:val="21"/>
          <w:szCs w:val="21"/>
          <w:b w:val="1"/>
          <w:bCs w:val="1"/>
          <w:color w:val="auto"/>
        </w:rPr>
        <w:t>COC COBRA Premium Period</w:t>
      </w:r>
      <w:r>
        <w:rPr>
          <w:rFonts w:ascii="Times New Roman" w:cs="Times New Roman" w:eastAsia="Times New Roman" w:hAnsi="Times New Roman"/>
          <w:sz w:val="21"/>
          <w:szCs w:val="21"/>
          <w:color w:val="auto"/>
        </w:rPr>
        <w:t>”) starting on Executive’s date of termination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ending on the earliest to occur of: (i) the 12 month anniversary of Executive’s date of termination;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ceases to be eligible for COBRA during the COC COBRA Premium Period, Executive must immediately notify the Company of such event. Notwithstanding the foregoing, if the Company determines, in its sole discretion, that it cannot pay the COC COBRA Premiums without potentially violating applicable law (including, without limitation, Section 2716 of the Public Health Service Act), the Company instead shall pay to Executive, on the first day of each calendar month, a fully taxable cash payment equal to the applicable COBRA premiums for that month (including premiums for Executive and Executive’s eligible dependents who have elected and remain enrolled in such COBRA coverage), subject to applicable tax withholdings (such amount, the “</w:t>
      </w:r>
      <w:r>
        <w:rPr>
          <w:rFonts w:ascii="Times New Roman" w:cs="Times New Roman" w:eastAsia="Times New Roman" w:hAnsi="Times New Roman"/>
          <w:sz w:val="21"/>
          <w:szCs w:val="21"/>
          <w:b w:val="1"/>
          <w:bCs w:val="1"/>
          <w:color w:val="auto"/>
        </w:rPr>
        <w:t>COC Special Cash Payment</w:t>
      </w:r>
      <w:r>
        <w:rPr>
          <w:rFonts w:ascii="Times New Roman" w:cs="Times New Roman" w:eastAsia="Times New Roman" w:hAnsi="Times New Roman"/>
          <w:sz w:val="21"/>
          <w:szCs w:val="21"/>
          <w:color w:val="auto"/>
        </w:rPr>
        <w:t>”), for the remainder of the COC COBRA Premium Period. Executive may, but is not obligated to, use such COC Special Cash Payments toward the cost of COBRA premiums.</w:t>
      </w:r>
    </w:p>
    <w:p>
      <w:pPr>
        <w:spacing w:after="0" w:line="157" w:lineRule="exact"/>
        <w:rPr>
          <w:rFonts w:ascii="Times New Roman" w:cs="Times New Roman" w:eastAsia="Times New Roman" w:hAnsi="Times New Roman"/>
          <w:sz w:val="21"/>
          <w:szCs w:val="21"/>
          <w:b w:val="1"/>
          <w:bCs w:val="1"/>
          <w:color w:val="auto"/>
        </w:rPr>
      </w:pPr>
    </w:p>
    <w:p>
      <w:pPr>
        <w:jc w:val="both"/>
        <w:ind w:left="20" w:firstLine="1887"/>
        <w:spacing w:after="0" w:line="221" w:lineRule="auto"/>
        <w:tabs>
          <w:tab w:leader="none" w:pos="2434"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The amounts payable under this Section 5.3, to the extent taxable, shall be paid or commence to be paid within 60 days after the date of 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43" w:lineRule="exact"/>
        <w:rPr>
          <w:rFonts w:ascii="Times New Roman" w:cs="Times New Roman" w:eastAsia="Times New Roman" w:hAnsi="Times New Roman"/>
          <w:sz w:val="21"/>
          <w:szCs w:val="21"/>
          <w:b w:val="1"/>
          <w:bCs w:val="1"/>
          <w:color w:val="auto"/>
        </w:rPr>
      </w:pPr>
    </w:p>
    <w:p>
      <w:pPr>
        <w:ind w:left="2540" w:hanging="633"/>
        <w:spacing w:after="0"/>
        <w:tabs>
          <w:tab w:leader="none" w:pos="254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Limitation.</w:t>
      </w:r>
    </w:p>
    <w:p>
      <w:pPr>
        <w:spacing w:after="0" w:line="182" w:lineRule="exact"/>
        <w:rPr>
          <w:rFonts w:ascii="Times New Roman" w:cs="Times New Roman" w:eastAsia="Times New Roman" w:hAnsi="Times New Roman"/>
          <w:sz w:val="21"/>
          <w:szCs w:val="21"/>
          <w:b w:val="1"/>
          <w:bCs w:val="1"/>
          <w:color w:val="auto"/>
        </w:rPr>
      </w:pPr>
    </w:p>
    <w:p>
      <w:pPr>
        <w:jc w:val="both"/>
        <w:ind w:left="20" w:firstLine="2517"/>
        <w:spacing w:after="0" w:line="217" w:lineRule="auto"/>
        <w:tabs>
          <w:tab w:leader="none" w:pos="3071" w:val="left"/>
        </w:tabs>
        <w:numPr>
          <w:ilvl w:val="1"/>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1"/>
          <w:szCs w:val="21"/>
          <w:b w:val="1"/>
          <w:bCs w:val="1"/>
          <w:color w:val="auto"/>
        </w:rPr>
        <w:t>Aggregate Payments</w:t>
      </w:r>
      <w:r>
        <w:rPr>
          <w:rFonts w:ascii="Times New Roman" w:cs="Times New Roman" w:eastAsia="Times New Roman" w:hAnsi="Times New Roman"/>
          <w:sz w:val="21"/>
          <w:szCs w:val="21"/>
          <w:color w:val="auto"/>
        </w:rPr>
        <w:t xml:space="preserve">”),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reduction shall only occur if it would result in Executive receiving a higher After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80"/>
          </w:cols>
          <w:pgMar w:left="400" w:top="1440" w:right="419" w:bottom="1440" w:gutter="0" w:footer="0" w:header="0"/>
        </w:sectPr>
      </w:pPr>
    </w:p>
    <w:bookmarkStart w:id="162" w:name="page163"/>
    <w:bookmarkEnd w:id="162"/>
    <w:p>
      <w:pPr>
        <w:spacing w:after="0" w:line="141" w:lineRule="exact"/>
        <w:rPr>
          <w:sz w:val="20"/>
          <w:szCs w:val="20"/>
          <w:color w:val="auto"/>
        </w:rPr>
      </w:pPr>
    </w:p>
    <w:p>
      <w:pPr>
        <w:jc w:val="both"/>
        <w:ind w:left="20"/>
        <w:spacing w:after="0" w:line="217" w:lineRule="auto"/>
        <w:rPr>
          <w:sz w:val="20"/>
          <w:szCs w:val="20"/>
          <w:color w:val="auto"/>
        </w:rPr>
      </w:pPr>
      <w:r>
        <w:rPr>
          <w:rFonts w:ascii="Times New Roman" w:cs="Times New Roman" w:eastAsia="Times New Roman" w:hAnsi="Times New Roman"/>
          <w:sz w:val="21"/>
          <w:szCs w:val="21"/>
          <w:color w:val="auto"/>
        </w:rPr>
        <w:t xml:space="preserve">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46" w:lineRule="exact"/>
        <w:rPr>
          <w:sz w:val="20"/>
          <w:szCs w:val="20"/>
          <w:color w:val="auto"/>
        </w:rPr>
      </w:pPr>
    </w:p>
    <w:p>
      <w:pPr>
        <w:jc w:val="both"/>
        <w:ind w:left="20" w:firstLine="2517"/>
        <w:spacing w:after="0" w:line="218" w:lineRule="auto"/>
        <w:tabs>
          <w:tab w:leader="none" w:pos="3069"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purposes of this Section 5.3(iv), the “</w:t>
      </w:r>
      <w:r>
        <w:rPr>
          <w:rFonts w:ascii="Times New Roman" w:cs="Times New Roman" w:eastAsia="Times New Roman" w:hAnsi="Times New Roman"/>
          <w:sz w:val="21"/>
          <w:szCs w:val="21"/>
          <w:b w:val="1"/>
          <w:bCs w:val="1"/>
          <w:color w:val="auto"/>
        </w:rPr>
        <w:t>After Tax Amount</w:t>
      </w:r>
      <w:r>
        <w:rPr>
          <w:rFonts w:ascii="Times New Roman" w:cs="Times New Roman" w:eastAsia="Times New Roman" w:hAnsi="Times New Roman"/>
          <w:sz w:val="21"/>
          <w:szCs w:val="21"/>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47" w:lineRule="exact"/>
        <w:rPr>
          <w:rFonts w:ascii="Times New Roman" w:cs="Times New Roman" w:eastAsia="Times New Roman" w:hAnsi="Times New Roman"/>
          <w:sz w:val="21"/>
          <w:szCs w:val="21"/>
          <w:b w:val="1"/>
          <w:bCs w:val="1"/>
          <w:color w:val="auto"/>
        </w:rPr>
      </w:pPr>
    </w:p>
    <w:p>
      <w:pPr>
        <w:jc w:val="both"/>
        <w:ind w:left="20" w:firstLine="2517"/>
        <w:spacing w:after="0" w:line="221" w:lineRule="auto"/>
        <w:tabs>
          <w:tab w:leader="none" w:pos="3072"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determination as to whether a reduction in the Aggregate Payments shall be made pursuant to Section 5.3(iv)(a) shall be made by a nationally recognized accounting firm selected by the Company (the “</w:t>
      </w:r>
      <w:r>
        <w:rPr>
          <w:rFonts w:ascii="Times New Roman" w:cs="Times New Roman" w:eastAsia="Times New Roman" w:hAnsi="Times New Roman"/>
          <w:sz w:val="21"/>
          <w:szCs w:val="21"/>
          <w:b w:val="1"/>
          <w:bCs w:val="1"/>
          <w:color w:val="auto"/>
        </w:rPr>
        <w:t>Accounting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Firm</w:t>
      </w:r>
      <w:r>
        <w:rPr>
          <w:rFonts w:ascii="Times New Roman" w:cs="Times New Roman" w:eastAsia="Times New Roman" w:hAnsi="Times New Roman"/>
          <w:sz w:val="21"/>
          <w:szCs w:val="21"/>
          <w:color w:val="auto"/>
        </w:rPr>
        <w:t>”), which shall provide detailed supporting calculations both to the Company and Executive within 15 business days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date of termination, if applicable, or at such earlier time as is reasonably requested by the Company or Executive. Any determination by the Accounting Firm shall be binding upon the Company and Executive.</w:t>
      </w:r>
    </w:p>
    <w:p>
      <w:pPr>
        <w:spacing w:after="0" w:line="139"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1.4</w:t>
      </w:r>
      <w:r>
        <w:rPr>
          <w:sz w:val="20"/>
          <w:szCs w:val="20"/>
          <w:color w:val="auto"/>
        </w:rPr>
        <w:tab/>
      </w:r>
      <w:r>
        <w:rPr>
          <w:rFonts w:ascii="Times New Roman" w:cs="Times New Roman" w:eastAsia="Times New Roman" w:hAnsi="Times New Roman"/>
          <w:sz w:val="20"/>
          <w:szCs w:val="20"/>
          <w:b w:val="1"/>
          <w:bCs w:val="1"/>
          <w:color w:val="auto"/>
        </w:rPr>
        <w:t>Termination for Cause; Resignation without Good Reason; Death</w:t>
      </w:r>
    </w:p>
    <w:p>
      <w:pPr>
        <w:ind w:left="20"/>
        <w:spacing w:after="0"/>
        <w:rPr>
          <w:sz w:val="20"/>
          <w:szCs w:val="20"/>
          <w:color w:val="auto"/>
        </w:rPr>
      </w:pPr>
      <w:r>
        <w:rPr>
          <w:rFonts w:ascii="Times New Roman" w:cs="Times New Roman" w:eastAsia="Times New Roman" w:hAnsi="Times New Roman"/>
          <w:sz w:val="21"/>
          <w:szCs w:val="21"/>
          <w:b w:val="1"/>
          <w:bCs w:val="1"/>
          <w:color w:val="auto"/>
        </w:rPr>
        <w:t>or Disability.</w:t>
      </w:r>
    </w:p>
    <w:p>
      <w:pPr>
        <w:spacing w:after="0" w:line="146" w:lineRule="exact"/>
        <w:rPr>
          <w:sz w:val="20"/>
          <w:szCs w:val="20"/>
          <w:color w:val="auto"/>
        </w:rPr>
      </w:pPr>
    </w:p>
    <w:p>
      <w:pPr>
        <w:ind w:left="2520" w:hanging="613"/>
        <w:spacing w:after="0"/>
        <w:tabs>
          <w:tab w:leader="none" w:pos="2520" w:val="left"/>
        </w:tabs>
        <w:numPr>
          <w:ilvl w:val="0"/>
          <w:numId w:val="10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The Company may terminate Executive’s employment with</w:t>
      </w:r>
    </w:p>
    <w:p>
      <w:pPr>
        <w:ind w:left="20" w:right="20"/>
        <w:spacing w:after="0" w:line="228" w:lineRule="auto"/>
        <w:rPr>
          <w:sz w:val="20"/>
          <w:szCs w:val="20"/>
          <w:color w:val="auto"/>
        </w:rPr>
      </w:pPr>
      <w:r>
        <w:rPr>
          <w:rFonts w:ascii="Times New Roman" w:cs="Times New Roman" w:eastAsia="Times New Roman" w:hAnsi="Times New Roman"/>
          <w:sz w:val="21"/>
          <w:szCs w:val="21"/>
          <w:color w:val="auto"/>
        </w:rPr>
        <w:t>the Company at any time for Cause. Further, Executive may resign at any time for any reason other than Good Reason. Executive’s employment with the Company may also be terminated due to Executive’s death or Disability (as defined below).</w:t>
      </w:r>
    </w:p>
    <w:p>
      <w:pPr>
        <w:spacing w:after="0" w:line="147" w:lineRule="exact"/>
        <w:rPr>
          <w:sz w:val="20"/>
          <w:szCs w:val="20"/>
          <w:color w:val="auto"/>
        </w:rPr>
      </w:pPr>
    </w:p>
    <w:p>
      <w:pPr>
        <w:ind w:left="20" w:right="20" w:firstLine="1887"/>
        <w:spacing w:after="0" w:line="220" w:lineRule="auto"/>
        <w:tabs>
          <w:tab w:leader="none" w:pos="2440" w:val="left"/>
        </w:tabs>
        <w:numPr>
          <w:ilvl w:val="2"/>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If Executive resigns without Good Reason, or the Company terminates Executive’s employment for Cause, or upon Executive’s death or Disability, then</w:t>
      </w:r>
    </w:p>
    <w:p>
      <w:pPr>
        <w:jc w:val="both"/>
        <w:ind w:left="20" w:hanging="1"/>
        <w:spacing w:after="0" w:line="222" w:lineRule="auto"/>
        <w:tabs>
          <w:tab w:leader="none" w:pos="30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payments of compensation by the Company to Executive hereunder will terminate immediately (except as to amounts already earned), and (ii) Executive will not be entitled to any severance benefits, including (without limitation) the Severance, COBRA Premiums, the Change of Control Severance or the COC COBRA Premiums.</w:t>
      </w:r>
    </w:p>
    <w:p>
      <w:pPr>
        <w:spacing w:after="0" w:line="154" w:lineRule="exact"/>
        <w:rPr>
          <w:rFonts w:ascii="Times New Roman" w:cs="Times New Roman" w:eastAsia="Times New Roman" w:hAnsi="Times New Roman"/>
          <w:sz w:val="21"/>
          <w:szCs w:val="21"/>
          <w:color w:val="auto"/>
        </w:rPr>
      </w:pPr>
    </w:p>
    <w:p>
      <w:pPr>
        <w:jc w:val="both"/>
        <w:ind w:left="20" w:right="20" w:firstLine="628"/>
        <w:spacing w:after="0" w:line="259" w:lineRule="auto"/>
        <w:tabs>
          <w:tab w:leader="none" w:pos="1173" w:val="left"/>
        </w:tabs>
        <w:numPr>
          <w:ilvl w:val="1"/>
          <w:numId w:val="10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Conditions to Receipt of Severance, COBRA Premiums, Special Cash Payments and Vesting Acceleration.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receipt of the payments and benefits described in Section 5.2 and Section 5.3 will be subject to subject to (i) Executive signing a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080"/>
          </w:cols>
          <w:pgMar w:left="400" w:top="1440" w:right="41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059"/>
          </w:cols>
          <w:pgMar w:left="400" w:top="1440" w:right="1440" w:bottom="1440" w:gutter="0" w:footer="0" w:header="0"/>
        </w:sectPr>
      </w:pPr>
    </w:p>
    <w:bookmarkStart w:id="164" w:name="page165"/>
    <w:bookmarkEnd w:id="164"/>
    <w:p>
      <w:pPr>
        <w:spacing w:after="0" w:line="142" w:lineRule="exact"/>
        <w:rPr>
          <w:sz w:val="20"/>
          <w:szCs w:val="20"/>
          <w:color w:val="auto"/>
        </w:rPr>
      </w:pPr>
    </w:p>
    <w:p>
      <w:pPr>
        <w:jc w:val="both"/>
        <w:ind w:left="20" w:right="20"/>
        <w:spacing w:after="0" w:line="213" w:lineRule="auto"/>
        <w:rPr>
          <w:sz w:val="20"/>
          <w:szCs w:val="20"/>
          <w:color w:val="auto"/>
        </w:rPr>
      </w:pPr>
      <w:r>
        <w:rPr>
          <w:rFonts w:ascii="Times New Roman" w:cs="Times New Roman" w:eastAsia="Times New Roman" w:hAnsi="Times New Roman"/>
          <w:sz w:val="21"/>
          <w:szCs w:val="21"/>
          <w:color w:val="auto"/>
        </w:rPr>
        <w:t>agreement and release in a form and manner satisfactory to the Company, which shall include, without limitation, a general release of claims against the Company and all related persons and entities and, in the Company’s sole discretion, a one-year post-employment noncompetition agreement (the “</w:t>
      </w:r>
      <w:r>
        <w:rPr>
          <w:rFonts w:ascii="Times New Roman" w:cs="Times New Roman" w:eastAsia="Times New Roman" w:hAnsi="Times New Roman"/>
          <w:sz w:val="21"/>
          <w:szCs w:val="21"/>
          <w:b w:val="1"/>
          <w:bCs w:val="1"/>
          <w:color w:val="auto"/>
        </w:rPr>
        <w:t>Separation Agreement”</w:t>
      </w:r>
      <w:r>
        <w:rPr>
          <w:rFonts w:ascii="Times New Roman" w:cs="Times New Roman" w:eastAsia="Times New Roman" w:hAnsi="Times New Roman"/>
          <w:sz w:val="21"/>
          <w:szCs w:val="21"/>
          <w:color w:val="auto"/>
        </w:rPr>
        <w:t>) and (ii) the Separation Agreement becoming irrevocable, all within 60 days after the date of termination (or such shorter period as set forth in the Separation Agreement), which shall include a seven business day revocation period. No amounts will be paid or provided under Section 5.2 or Section</w:t>
      </w:r>
    </w:p>
    <w:p>
      <w:pPr>
        <w:spacing w:after="0" w:line="1" w:lineRule="exact"/>
        <w:rPr>
          <w:sz w:val="20"/>
          <w:szCs w:val="20"/>
          <w:color w:val="auto"/>
        </w:rPr>
      </w:pPr>
    </w:p>
    <w:p>
      <w:pPr>
        <w:jc w:val="both"/>
        <w:ind w:left="20" w:right="20"/>
        <w:spacing w:after="0" w:line="218" w:lineRule="auto"/>
        <w:rPr>
          <w:sz w:val="20"/>
          <w:szCs w:val="20"/>
          <w:color w:val="auto"/>
        </w:rPr>
      </w:pPr>
      <w:r>
        <w:rPr>
          <w:rFonts w:ascii="Times New Roman" w:cs="Times New Roman" w:eastAsia="Times New Roman" w:hAnsi="Times New Roman"/>
          <w:sz w:val="21"/>
          <w:szCs w:val="21"/>
          <w:color w:val="auto"/>
        </w:rPr>
        <w:t>5.3 until the Separation Agreement becomes effective. Executive shall be deemed to have resigned from all officer and board member positions that the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44" w:lineRule="exact"/>
        <w:rPr>
          <w:sz w:val="20"/>
          <w:szCs w:val="20"/>
          <w:color w:val="auto"/>
        </w:rPr>
      </w:pPr>
    </w:p>
    <w:p>
      <w:pPr>
        <w:ind w:left="1280" w:hanging="631"/>
        <w:spacing w:after="0"/>
        <w:tabs>
          <w:tab w:leader="none" w:pos="1280" w:val="left"/>
        </w:tabs>
        <w:numPr>
          <w:ilvl w:val="0"/>
          <w:numId w:val="10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Section 409A.</w:t>
      </w:r>
    </w:p>
    <w:p>
      <w:pPr>
        <w:spacing w:after="0" w:line="178" w:lineRule="exact"/>
        <w:rPr>
          <w:sz w:val="20"/>
          <w:szCs w:val="20"/>
          <w:color w:val="auto"/>
        </w:rPr>
      </w:pPr>
    </w:p>
    <w:p>
      <w:pPr>
        <w:jc w:val="both"/>
        <w:ind w:left="20" w:firstLine="125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1.1 </w:t>
      </w:r>
      <w:r>
        <w:rPr>
          <w:rFonts w:ascii="Times New Roman" w:cs="Times New Roman" w:eastAsia="Times New Roman" w:hAnsi="Times New Roman"/>
          <w:sz w:val="21"/>
          <w:szCs w:val="21"/>
          <w:color w:val="auto"/>
        </w:rPr>
        <w:t>Anything in this Agreement to the contrary notwithstanding, if at the time of Executive’s separation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Executive’s separation from service, or (B) Executive’s death. If any such delayed cash payment is otherwise payable on an installment basis, the first payment shall include a catch-up payment covering amounts that would otherwise have been paid during the six- month period but for the application of this provision, and the balance of the installments shall be payable in accordance with their original schedule.</w:t>
      </w:r>
    </w:p>
    <w:p>
      <w:pPr>
        <w:spacing w:after="0" w:line="145" w:lineRule="exact"/>
        <w:rPr>
          <w:sz w:val="20"/>
          <w:szCs w:val="20"/>
          <w:color w:val="auto"/>
        </w:rPr>
      </w:pPr>
    </w:p>
    <w:p>
      <w:pPr>
        <w:jc w:val="both"/>
        <w:ind w:left="20" w:right="20" w:firstLine="125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1.2 </w:t>
      </w:r>
      <w:r>
        <w:rPr>
          <w:rFonts w:ascii="Times New Roman" w:cs="Times New Roman" w:eastAsia="Times New Roman" w:hAnsi="Times New Roman"/>
          <w:sz w:val="21"/>
          <w:szCs w:val="21"/>
          <w:color w:val="auto"/>
        </w:rPr>
        <w:t>All in-kind benefits provided and expenses eligible for reimbursement under this Agreement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43" w:lineRule="exact"/>
        <w:rPr>
          <w:sz w:val="20"/>
          <w:szCs w:val="20"/>
          <w:color w:val="auto"/>
        </w:rPr>
      </w:pPr>
    </w:p>
    <w:p>
      <w:pPr>
        <w:jc w:val="both"/>
        <w:ind w:left="20" w:right="20" w:firstLine="1258"/>
        <w:spacing w:after="0" w:line="225" w:lineRule="auto"/>
        <w:rPr>
          <w:sz w:val="20"/>
          <w:szCs w:val="20"/>
          <w:color w:val="auto"/>
        </w:rPr>
      </w:pPr>
      <w:r>
        <w:rPr>
          <w:rFonts w:ascii="Times New Roman" w:cs="Times New Roman" w:eastAsia="Times New Roman" w:hAnsi="Times New Roman"/>
          <w:sz w:val="21"/>
          <w:szCs w:val="21"/>
          <w:b w:val="1"/>
          <w:bCs w:val="1"/>
          <w:color w:val="auto"/>
        </w:rPr>
        <w:t xml:space="preserve">1.3 </w:t>
      </w:r>
      <w:r>
        <w:rPr>
          <w:rFonts w:ascii="Times New Roman" w:cs="Times New Roman" w:eastAsia="Times New Roman" w:hAnsi="Times New Roman"/>
          <w:sz w:val="21"/>
          <w:szCs w:val="21"/>
          <w:color w:val="auto"/>
        </w:rPr>
        <w:t>To the extent that any payment or benefit described in this Agreement constitutes “non-qualified deferred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080"/>
          </w:cols>
          <w:pgMar w:left="400" w:top="1440" w:right="419" w:bottom="1440" w:gutter="0" w:footer="0" w:header="0"/>
        </w:sectPr>
      </w:pPr>
    </w:p>
    <w:bookmarkStart w:id="165" w:name="page166"/>
    <w:bookmarkEnd w:id="165"/>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has occurred shall be made in accordance with the presumptions set forth in Treasury Regulation Section 1.409A-1(h).</w:t>
      </w:r>
    </w:p>
    <w:p>
      <w:pPr>
        <w:spacing w:after="0" w:line="174" w:lineRule="exact"/>
        <w:rPr>
          <w:sz w:val="20"/>
          <w:szCs w:val="20"/>
          <w:color w:val="auto"/>
        </w:rPr>
      </w:pPr>
    </w:p>
    <w:p>
      <w:pPr>
        <w:jc w:val="both"/>
        <w:ind w:left="20" w:firstLine="125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1.4 </w:t>
      </w:r>
      <w:r>
        <w:rPr>
          <w:rFonts w:ascii="Times New Roman" w:cs="Times New Roman" w:eastAsia="Times New Roman" w:hAnsi="Times New Roman"/>
          <w:sz w:val="21"/>
          <w:szCs w:val="21"/>
          <w:color w:val="auto"/>
        </w:rPr>
        <w:t>The parties intend that this Agreement will be administered in accordance with Section 409A of the Code.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3" w:lineRule="exact"/>
        <w:rPr>
          <w:sz w:val="20"/>
          <w:szCs w:val="20"/>
          <w:color w:val="auto"/>
        </w:rPr>
      </w:pPr>
    </w:p>
    <w:p>
      <w:pPr>
        <w:jc w:val="both"/>
        <w:ind w:left="20" w:firstLine="1258"/>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1.5 </w:t>
      </w:r>
      <w:r>
        <w:rPr>
          <w:rFonts w:ascii="Times New Roman" w:cs="Times New Roman" w:eastAsia="Times New Roman" w:hAnsi="Times New Roman"/>
          <w:sz w:val="21"/>
          <w:szCs w:val="21"/>
          <w:color w:val="auto"/>
        </w:rPr>
        <w:t>The Company makes no representation or warranty and shall have no liability to Executive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person if any provisions of this Agreement are determined to constitute deferred compensation subject to Section 409A of the Code but do not satisfy an exemption from, or the conditions of, such Section.</w:t>
      </w:r>
    </w:p>
    <w:p>
      <w:pPr>
        <w:spacing w:after="0" w:line="142" w:lineRule="exact"/>
        <w:rPr>
          <w:sz w:val="20"/>
          <w:szCs w:val="20"/>
          <w:color w:val="auto"/>
        </w:rPr>
      </w:pPr>
    </w:p>
    <w:p>
      <w:pPr>
        <w:ind w:left="1280" w:hanging="631"/>
        <w:spacing w:after="0"/>
        <w:tabs>
          <w:tab w:leader="none" w:pos="1280"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178" w:lineRule="exact"/>
        <w:rPr>
          <w:sz w:val="20"/>
          <w:szCs w:val="20"/>
          <w:color w:val="auto"/>
        </w:rPr>
      </w:pPr>
    </w:p>
    <w:p>
      <w:pPr>
        <w:jc w:val="both"/>
        <w:ind w:left="20" w:firstLine="1258"/>
        <w:spacing w:after="0" w:line="216" w:lineRule="auto"/>
        <w:rPr>
          <w:sz w:val="20"/>
          <w:szCs w:val="20"/>
          <w:color w:val="auto"/>
        </w:rPr>
      </w:pPr>
      <w:r>
        <w:rPr>
          <w:rFonts w:ascii="Times New Roman" w:cs="Times New Roman" w:eastAsia="Times New Roman" w:hAnsi="Times New Roman"/>
          <w:sz w:val="21"/>
          <w:szCs w:val="21"/>
          <w:b w:val="1"/>
          <w:bCs w:val="1"/>
          <w:color w:val="auto"/>
        </w:rPr>
        <w:t>1.1 Cause</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for termination will mean: (a) conviction of or please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any felony or any crime involving dishonesty; (b) participation in any fraud against the Company; (c) material breach of any Company’s policy or procedure after written notice from the Company and a reasonable period of not less than twenty-one (21) calendar days in which to cure such breach (if deemed curable); (d) persistent failure or refusal to perform Executive’s job duties after written notice from the Company and a reasonable period of not less than twenty-one (21) calendar days in which to cure such performance issues (if deemed curable); (e) intentional damage to any property of the Company; (f) willful misconduct, or other violation of Company policy that causes harm; (g) breach of any written agreement by and between Executive and the Company; and (h) conduct by Executive which in the good faith and reasonable determination of the Company demonstrates gross unfitness to serve.</w:t>
      </w:r>
    </w:p>
    <w:p>
      <w:pPr>
        <w:spacing w:after="0" w:line="142" w:lineRule="exact"/>
        <w:rPr>
          <w:sz w:val="20"/>
          <w:szCs w:val="20"/>
          <w:color w:val="auto"/>
        </w:rPr>
      </w:pPr>
    </w:p>
    <w:p>
      <w:pPr>
        <w:jc w:val="both"/>
        <w:ind w:left="20" w:right="20" w:firstLine="1258"/>
        <w:spacing w:after="0" w:line="245" w:lineRule="auto"/>
        <w:rPr>
          <w:sz w:val="20"/>
          <w:szCs w:val="20"/>
          <w:color w:val="auto"/>
        </w:rPr>
      </w:pPr>
      <w:r>
        <w:rPr>
          <w:rFonts w:ascii="Times New Roman" w:cs="Times New Roman" w:eastAsia="Times New Roman" w:hAnsi="Times New Roman"/>
          <w:sz w:val="21"/>
          <w:szCs w:val="21"/>
          <w:b w:val="1"/>
          <w:bCs w:val="1"/>
          <w:color w:val="auto"/>
        </w:rPr>
        <w:t>1.2 Change of Control</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shall mean: a “Sale Event,”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defined in the Company’s 2020 Stock Option and Incentive Plan.</w:t>
      </w:r>
    </w:p>
    <w:p>
      <w:pPr>
        <w:spacing w:after="0" w:line="136" w:lineRule="exact"/>
        <w:rPr>
          <w:sz w:val="20"/>
          <w:szCs w:val="20"/>
          <w:color w:val="auto"/>
        </w:rPr>
      </w:pPr>
    </w:p>
    <w:p>
      <w:pPr>
        <w:jc w:val="both"/>
        <w:ind w:left="20" w:right="20" w:firstLine="1258"/>
        <w:spacing w:after="0" w:line="225" w:lineRule="auto"/>
        <w:rPr>
          <w:sz w:val="20"/>
          <w:szCs w:val="20"/>
          <w:color w:val="auto"/>
        </w:rPr>
      </w:pPr>
      <w:r>
        <w:rPr>
          <w:rFonts w:ascii="Times New Roman" w:cs="Times New Roman" w:eastAsia="Times New Roman" w:hAnsi="Times New Roman"/>
          <w:sz w:val="21"/>
          <w:szCs w:val="21"/>
          <w:b w:val="1"/>
          <w:bCs w:val="1"/>
          <w:color w:val="auto"/>
        </w:rPr>
        <w:t>1.3 Disability</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mean Executive’s physical or mental condition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renders Executive unable to substantially perform for a period of ninety (90) aggregate days (regardless of whether or not continuous) during any three hundred sixty (360) day period, Executive’s regular responsibilities hereunder, with or without a reasonable accommodation.</w:t>
      </w:r>
    </w:p>
    <w:p>
      <w:pPr>
        <w:spacing w:after="0" w:line="144" w:lineRule="exact"/>
        <w:rPr>
          <w:sz w:val="20"/>
          <w:szCs w:val="20"/>
          <w:color w:val="auto"/>
        </w:rPr>
      </w:pPr>
    </w:p>
    <w:p>
      <w:pPr>
        <w:jc w:val="both"/>
        <w:ind w:left="20" w:right="20" w:firstLine="1258"/>
        <w:spacing w:after="0" w:line="231" w:lineRule="auto"/>
        <w:rPr>
          <w:sz w:val="20"/>
          <w:szCs w:val="20"/>
          <w:color w:val="auto"/>
        </w:rPr>
      </w:pPr>
      <w:r>
        <w:rPr>
          <w:rFonts w:ascii="Times New Roman" w:cs="Times New Roman" w:eastAsia="Times New Roman" w:hAnsi="Times New Roman"/>
          <w:sz w:val="21"/>
          <w:szCs w:val="21"/>
          <w:b w:val="1"/>
          <w:bCs w:val="1"/>
          <w:color w:val="auto"/>
        </w:rPr>
        <w:t>1.4 Good Reason</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shall mean: (a) a material reduction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Base Salary (unless pursuant to a salary reduction applicable generally to the Company’s similarly situated employees); or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080"/>
          </w:cols>
          <w:pgMar w:left="400" w:top="1440" w:right="419" w:bottom="1440" w:gutter="0" w:footer="0" w:header="0"/>
        </w:sectPr>
      </w:pPr>
    </w:p>
    <w:bookmarkStart w:id="166" w:name="page167"/>
    <w:bookmarkEnd w:id="166"/>
    <w:p>
      <w:pPr>
        <w:spacing w:after="0" w:line="141" w:lineRule="exact"/>
        <w:rPr>
          <w:sz w:val="20"/>
          <w:szCs w:val="20"/>
          <w:color w:val="auto"/>
        </w:rPr>
      </w:pPr>
    </w:p>
    <w:p>
      <w:pPr>
        <w:jc w:val="both"/>
        <w:ind w:left="20"/>
        <w:spacing w:after="0" w:line="230" w:lineRule="auto"/>
        <w:rPr>
          <w:sz w:val="20"/>
          <w:szCs w:val="20"/>
          <w:color w:val="auto"/>
        </w:rPr>
      </w:pPr>
      <w:r>
        <w:rPr>
          <w:rFonts w:ascii="Times New Roman" w:cs="Times New Roman" w:eastAsia="Times New Roman" w:hAnsi="Times New Roman"/>
          <w:sz w:val="20"/>
          <w:szCs w:val="20"/>
          <w:color w:val="auto"/>
        </w:rPr>
        <w:t>relocation of Executive’s place of work for the Company that is more than 40 miles from Executive’s primary place of work, unless mutually agreed upon. Notwithstanding the foregoing, no act or omission described in subclauses (a) or (b) above shall constitute “Good Reason” unless: (1) Executive first gives the Company written notice of such act or omission within forty-five (45) days of the later of the occurrence of such act or omission or Executive’s first becoming aware thereof, (2) the Company fails to cure such act or omission within twenty-one (21) days after receiving such written notice from Executive, and (3) Executive resigns from employment (and all other positions, including as a member of the Board) within ten (10) days after the end of the cure period.</w:t>
      </w:r>
    </w:p>
    <w:p>
      <w:pPr>
        <w:spacing w:after="0" w:line="142" w:lineRule="exact"/>
        <w:rPr>
          <w:sz w:val="20"/>
          <w:szCs w:val="20"/>
          <w:color w:val="auto"/>
        </w:rPr>
      </w:pPr>
    </w:p>
    <w:p>
      <w:pPr>
        <w:ind w:left="1280" w:hanging="631"/>
        <w:spacing w:after="0"/>
        <w:tabs>
          <w:tab w:leader="none" w:pos="1280"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Obligations.</w:t>
      </w:r>
    </w:p>
    <w:p>
      <w:pPr>
        <w:spacing w:after="0" w:line="178" w:lineRule="exact"/>
        <w:rPr>
          <w:sz w:val="20"/>
          <w:szCs w:val="20"/>
          <w:color w:val="auto"/>
        </w:rPr>
      </w:pPr>
    </w:p>
    <w:p>
      <w:pPr>
        <w:jc w:val="both"/>
        <w:ind w:left="20" w:firstLine="1258"/>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1.1 Restrictive Covenants. </w:t>
      </w:r>
      <w:r>
        <w:rPr>
          <w:rFonts w:ascii="Times New Roman" w:cs="Times New Roman" w:eastAsia="Times New Roman" w:hAnsi="Times New Roman"/>
          <w:sz w:val="21"/>
          <w:szCs w:val="21"/>
          <w:color w:val="auto"/>
        </w:rPr>
        <w:t>In connection with Executive’s employment with the Company, Executive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continue to receive access to Company confidential information and trade secrets and develop valuable goodwill with the Company’s customers, partners and vendors. To protect the Company’s legitimate business interests, Executive executed the Employee Confidentiality, Assignment and Nonsolicitation Agreement on January 3, 2020 (the “</w:t>
      </w:r>
      <w:r>
        <w:rPr>
          <w:rFonts w:ascii="Times New Roman" w:cs="Times New Roman" w:eastAsia="Times New Roman" w:hAnsi="Times New Roman"/>
          <w:sz w:val="21"/>
          <w:szCs w:val="21"/>
          <w:b w:val="1"/>
          <w:bCs w:val="1"/>
          <w:color w:val="auto"/>
        </w:rPr>
        <w:t>Confidentiality Agreement</w:t>
      </w:r>
      <w:r>
        <w:rPr>
          <w:rFonts w:ascii="Times New Roman" w:cs="Times New Roman" w:eastAsia="Times New Roman" w:hAnsi="Times New Roman"/>
          <w:sz w:val="21"/>
          <w:szCs w:val="21"/>
          <w:color w:val="auto"/>
        </w:rPr>
        <w:t>”). In connection with Executive’s execution of this Amended and Restated Employment Agreement and in further consideration of Executive’s employment with the Company, Executive agrees to execute a Non-Competition Agreement (the “Non-Competition Agreement”) in a form acceptable to the Company, which Executive will do in or around September 2020. Executive herein acknowledges and agrees that (i) the Confidentiality Agreement shall continue in full force and effect in accordance with its terms, and (ii) Executive will abide by the terms of the Confidentiality Agreement and the Non-Competition Agreement at all times.</w:t>
      </w:r>
    </w:p>
    <w:p>
      <w:pPr>
        <w:spacing w:after="0" w:line="142" w:lineRule="exact"/>
        <w:rPr>
          <w:sz w:val="20"/>
          <w:szCs w:val="20"/>
          <w:color w:val="auto"/>
        </w:rPr>
      </w:pPr>
    </w:p>
    <w:p>
      <w:pPr>
        <w:jc w:val="both"/>
        <w:ind w:left="20" w:right="20" w:firstLine="1258"/>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1.2 Third-Party Agreements and Information. </w:t>
      </w:r>
      <w:r>
        <w:rPr>
          <w:rFonts w:ascii="Times New Roman" w:cs="Times New Roman" w:eastAsia="Times New Roman" w:hAnsi="Times New Roman"/>
          <w:sz w:val="21"/>
          <w:szCs w:val="21"/>
          <w:color w:val="auto"/>
        </w:rPr>
        <w:t>Executive represents and warrants that Executive’s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Company does not conflict with any prior employment or consulting agreement or other agreement with any third party, and that Executive will perform Executive’s duties to the Company without violating any such agreement. Executive represents and warrants that Executive will not use or disclose confidential information arising out of prior employment, consulting, or other third party relationships, in connection with Executive’s employment by the Company, except as expressly authorized by that third party. During Executive’s employment by the Company, Executive will use in the performance of Executive’s duties only information which is generally known and used by persons with training and experience comparable to Executive’s own, common knowledge in the industry, otherwise legally in the public domain, or obtained or developed by the Company or by Executive in the course of Executive’s work for the Company.</w:t>
      </w:r>
    </w:p>
    <w:p>
      <w:pPr>
        <w:spacing w:after="0" w:line="142" w:lineRule="exact"/>
        <w:rPr>
          <w:sz w:val="20"/>
          <w:szCs w:val="20"/>
          <w:color w:val="auto"/>
        </w:rPr>
      </w:pPr>
    </w:p>
    <w:p>
      <w:pPr>
        <w:ind w:left="1280" w:hanging="631"/>
        <w:spacing w:after="0"/>
        <w:tabs>
          <w:tab w:leader="none" w:pos="1280" w:val="left"/>
        </w:tabs>
        <w:numPr>
          <w:ilvl w:val="0"/>
          <w:numId w:val="10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Outside Activities During Employment.</w:t>
      </w:r>
    </w:p>
    <w:p>
      <w:pPr>
        <w:spacing w:after="0" w:line="178" w:lineRule="exact"/>
        <w:rPr>
          <w:sz w:val="20"/>
          <w:szCs w:val="20"/>
          <w:color w:val="auto"/>
        </w:rPr>
      </w:pPr>
    </w:p>
    <w:p>
      <w:pPr>
        <w:jc w:val="both"/>
        <w:ind w:left="20" w:right="20" w:firstLine="1258"/>
        <w:spacing w:after="0" w:line="225" w:lineRule="auto"/>
        <w:rPr>
          <w:sz w:val="20"/>
          <w:szCs w:val="20"/>
          <w:color w:val="auto"/>
        </w:rPr>
      </w:pPr>
      <w:r>
        <w:rPr>
          <w:rFonts w:ascii="Times New Roman" w:cs="Times New Roman" w:eastAsia="Times New Roman" w:hAnsi="Times New Roman"/>
          <w:sz w:val="21"/>
          <w:szCs w:val="21"/>
          <w:b w:val="1"/>
          <w:bCs w:val="1"/>
          <w:color w:val="auto"/>
        </w:rPr>
        <w:t xml:space="preserve">1.1 Non-Company Business. </w:t>
      </w:r>
      <w:r>
        <w:rPr>
          <w:rFonts w:ascii="Times New Roman" w:cs="Times New Roman" w:eastAsia="Times New Roman" w:hAnsi="Times New Roman"/>
          <w:sz w:val="21"/>
          <w:szCs w:val="21"/>
          <w:color w:val="auto"/>
        </w:rPr>
        <w:t>Except with the prior written consent of the Board, Executive will not during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of Executive’s employment with the Company undertake or engage in any other employment, occupation or business enterprise, other than ones in which Executive is a passive investor. In any event, Executive may engage in civic and not-for-profit activities so long as such activities do not materially interfere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080"/>
          </w:cols>
          <w:pgMar w:left="400" w:top="1440" w:right="419" w:bottom="1440" w:gutter="0" w:footer="0" w:header="0"/>
        </w:sectPr>
      </w:pPr>
    </w:p>
    <w:bookmarkStart w:id="167" w:name="page168"/>
    <w:bookmarkEnd w:id="167"/>
    <w:p>
      <w:pPr>
        <w:ind w:left="20"/>
        <w:spacing w:after="0"/>
        <w:rPr>
          <w:sz w:val="20"/>
          <w:szCs w:val="20"/>
          <w:color w:val="auto"/>
        </w:rPr>
      </w:pPr>
      <w:r>
        <w:rPr>
          <w:rFonts w:ascii="Times New Roman" w:cs="Times New Roman" w:eastAsia="Times New Roman" w:hAnsi="Times New Roman"/>
          <w:sz w:val="21"/>
          <w:szCs w:val="21"/>
          <w:color w:val="auto"/>
        </w:rPr>
        <w:t>performance of Executive’s duties hereunder.</w:t>
      </w:r>
    </w:p>
    <w:p>
      <w:pPr>
        <w:spacing w:after="0" w:line="174" w:lineRule="exact"/>
        <w:rPr>
          <w:sz w:val="20"/>
          <w:szCs w:val="20"/>
          <w:color w:val="auto"/>
        </w:rPr>
      </w:pPr>
    </w:p>
    <w:p>
      <w:pPr>
        <w:jc w:val="both"/>
        <w:ind w:left="20" w:right="20" w:firstLine="1258"/>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1.2 No Adverse Interests. </w:t>
      </w:r>
      <w:r>
        <w:rPr>
          <w:rFonts w:ascii="Times New Roman" w:cs="Times New Roman" w:eastAsia="Times New Roman" w:hAnsi="Times New Roman"/>
          <w:sz w:val="21"/>
          <w:szCs w:val="21"/>
          <w:color w:val="auto"/>
        </w:rPr>
        <w:t>Executive agrees not to acquire, assume or participate in, directly or indirectly,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position, investment or interest known to be adverse or antagonistic to the Company, its business or prospects, financial or otherwise.</w:t>
      </w:r>
    </w:p>
    <w:p>
      <w:pPr>
        <w:spacing w:after="0" w:line="142" w:lineRule="exact"/>
        <w:rPr>
          <w:sz w:val="20"/>
          <w:szCs w:val="20"/>
          <w:color w:val="auto"/>
        </w:rPr>
      </w:pPr>
    </w:p>
    <w:p>
      <w:pPr>
        <w:ind w:left="1280" w:hanging="631"/>
        <w:spacing w:after="0"/>
        <w:tabs>
          <w:tab w:leader="none" w:pos="1280"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 Provisions.</w:t>
      </w:r>
    </w:p>
    <w:p>
      <w:pPr>
        <w:spacing w:after="0" w:line="178" w:lineRule="exact"/>
        <w:rPr>
          <w:sz w:val="20"/>
          <w:szCs w:val="20"/>
          <w:color w:val="auto"/>
        </w:rPr>
      </w:pPr>
    </w:p>
    <w:p>
      <w:pPr>
        <w:jc w:val="both"/>
        <w:ind w:left="20" w:right="20" w:firstLine="1258"/>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1.1 Notices. </w:t>
      </w:r>
      <w:r>
        <w:rPr>
          <w:rFonts w:ascii="Times New Roman" w:cs="Times New Roman" w:eastAsia="Times New Roman" w:hAnsi="Times New Roman"/>
          <w:sz w:val="21"/>
          <w:szCs w:val="21"/>
          <w:color w:val="auto"/>
        </w:rPr>
        <w:t>Any notices provided must be in writing and will be deemed effective upon the earlier of personal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delivery (including personal delivery by fax) or the next day after sending by overnight carrier, to the Company at its primary office location and to Executive at the address as listed on the Company payroll.</w:t>
      </w:r>
    </w:p>
    <w:p>
      <w:pPr>
        <w:spacing w:after="0" w:line="142" w:lineRule="exact"/>
        <w:rPr>
          <w:sz w:val="20"/>
          <w:szCs w:val="20"/>
          <w:color w:val="auto"/>
        </w:rPr>
      </w:pPr>
    </w:p>
    <w:p>
      <w:pPr>
        <w:jc w:val="both"/>
        <w:ind w:left="20" w:right="20" w:firstLine="1258"/>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1.2 Severability. </w:t>
      </w:r>
      <w:r>
        <w:rPr>
          <w:rFonts w:ascii="Times New Roman" w:cs="Times New Roman" w:eastAsia="Times New Roman" w:hAnsi="Times New Roman"/>
          <w:sz w:val="21"/>
          <w:szCs w:val="21"/>
          <w:color w:val="auto"/>
        </w:rPr>
        <w:t>Whenever possible, each provision of this Agreement will be interpreted in such manner as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42" w:lineRule="exact"/>
        <w:rPr>
          <w:sz w:val="20"/>
          <w:szCs w:val="20"/>
          <w:color w:val="auto"/>
        </w:rPr>
      </w:pPr>
    </w:p>
    <w:p>
      <w:pPr>
        <w:jc w:val="both"/>
        <w:ind w:left="20" w:right="20" w:firstLine="1258"/>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1.3 Waiver. </w:t>
      </w:r>
      <w:r>
        <w:rPr>
          <w:rFonts w:ascii="Times New Roman" w:cs="Times New Roman" w:eastAsia="Times New Roman" w:hAnsi="Times New Roman"/>
          <w:sz w:val="21"/>
          <w:szCs w:val="21"/>
          <w:color w:val="auto"/>
        </w:rPr>
        <w:t>Any waiver of any breach of any provisions of this Agreement must be in writing to be effective,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 shall not thereby be deemed to have waived any preceding or succeeding breach of the same or any other provision of this Agreement.</w:t>
      </w:r>
    </w:p>
    <w:p>
      <w:pPr>
        <w:spacing w:after="0" w:line="142" w:lineRule="exact"/>
        <w:rPr>
          <w:sz w:val="20"/>
          <w:szCs w:val="20"/>
          <w:color w:val="auto"/>
        </w:rPr>
      </w:pPr>
    </w:p>
    <w:p>
      <w:pPr>
        <w:jc w:val="both"/>
        <w:ind w:left="20" w:firstLine="1258"/>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1.4 Complete Agreement. </w:t>
      </w:r>
      <w:r>
        <w:rPr>
          <w:rFonts w:ascii="Times New Roman" w:cs="Times New Roman" w:eastAsia="Times New Roman" w:hAnsi="Times New Roman"/>
          <w:sz w:val="21"/>
          <w:szCs w:val="21"/>
          <w:color w:val="auto"/>
        </w:rPr>
        <w:t>This Agreement, together with the Confidentiality Agreement, constitutes the entire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between Executive and the Company and is the complete, final, and exclusive embodiment of the Parties’ agreement and supersedes all prior agreements between the parties concerning such subject matter, including the Prior Agreement. This Agreement is entered into without reliance on any promise or representation, written or oral, other than those expressly contained herein, and it supersedes any other such promises, warranties or representations. It is entered into without reliance on any promise or representation other than those expressly contained herein, and it cannot be modified or amended except in a writing signed by a duly authorized officer of the Company.</w:t>
      </w:r>
    </w:p>
    <w:p>
      <w:pPr>
        <w:spacing w:after="0" w:line="143" w:lineRule="exact"/>
        <w:rPr>
          <w:sz w:val="20"/>
          <w:szCs w:val="20"/>
          <w:color w:val="auto"/>
        </w:rPr>
      </w:pPr>
    </w:p>
    <w:p>
      <w:pPr>
        <w:jc w:val="both"/>
        <w:ind w:left="20" w:right="20" w:firstLine="125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1.5 Counterparts. </w:t>
      </w:r>
      <w:r>
        <w:rPr>
          <w:rFonts w:ascii="Times New Roman" w:cs="Times New Roman" w:eastAsia="Times New Roman" w:hAnsi="Times New Roman"/>
          <w:sz w:val="21"/>
          <w:szCs w:val="21"/>
          <w:color w:val="auto"/>
        </w:rPr>
        <w:t>This Agreement may be executed in separate counterparts, any one of which need not contain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signatures of more than one party, but all of which taken together will constitute one and the same Agreement.</w:t>
      </w:r>
    </w:p>
    <w:p>
      <w:pPr>
        <w:spacing w:after="0" w:line="136" w:lineRule="exact"/>
        <w:rPr>
          <w:sz w:val="20"/>
          <w:szCs w:val="20"/>
          <w:color w:val="auto"/>
        </w:rPr>
      </w:pPr>
    </w:p>
    <w:p>
      <w:pPr>
        <w:jc w:val="both"/>
        <w:ind w:left="20" w:right="20" w:firstLine="125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1.6 Headings. </w:t>
      </w:r>
      <w:r>
        <w:rPr>
          <w:rFonts w:ascii="Times New Roman" w:cs="Times New Roman" w:eastAsia="Times New Roman" w:hAnsi="Times New Roman"/>
          <w:sz w:val="21"/>
          <w:szCs w:val="21"/>
          <w:color w:val="auto"/>
        </w:rPr>
        <w:t>The headings of the paragraphs hereof are inserted for convenience only and shall not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constitute a part hereof nor to affect the meaning thereof.</w:t>
      </w:r>
    </w:p>
    <w:p>
      <w:pPr>
        <w:spacing w:after="0" w:line="136" w:lineRule="exact"/>
        <w:rPr>
          <w:sz w:val="20"/>
          <w:szCs w:val="20"/>
          <w:color w:val="auto"/>
        </w:rPr>
      </w:pPr>
    </w:p>
    <w:p>
      <w:pPr>
        <w:jc w:val="both"/>
        <w:ind w:left="20" w:right="20" w:firstLine="1258"/>
        <w:spacing w:after="0"/>
        <w:rPr>
          <w:sz w:val="20"/>
          <w:szCs w:val="20"/>
          <w:color w:val="auto"/>
        </w:rPr>
      </w:pPr>
      <w:r>
        <w:rPr>
          <w:rFonts w:ascii="Times New Roman" w:cs="Times New Roman" w:eastAsia="Times New Roman" w:hAnsi="Times New Roman"/>
          <w:sz w:val="21"/>
          <w:szCs w:val="21"/>
          <w:b w:val="1"/>
          <w:bCs w:val="1"/>
          <w:color w:val="auto"/>
        </w:rPr>
        <w:t xml:space="preserve">1.7 Successors and Assigns. </w:t>
      </w:r>
      <w:r>
        <w:rPr>
          <w:rFonts w:ascii="Times New Roman" w:cs="Times New Roman" w:eastAsia="Times New Roman" w:hAnsi="Times New Roman"/>
          <w:sz w:val="21"/>
          <w:szCs w:val="21"/>
          <w:color w:val="auto"/>
        </w:rPr>
        <w:t>This Agreement shall be binding upon and inure to the benefit of and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enforceable by Executive and the Company, and their respective successors, assigns, heirs, executors and administrators, except that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080"/>
          </w:cols>
          <w:pgMar w:left="400" w:top="1345" w:right="419" w:bottom="1440" w:gutter="0" w:footer="0" w:header="0"/>
        </w:sectPr>
      </w:pPr>
    </w:p>
    <w:bookmarkStart w:id="168" w:name="page169"/>
    <w:bookmarkEnd w:id="168"/>
    <w:p>
      <w:pPr>
        <w:ind w:left="20" w:right="380"/>
        <w:spacing w:after="0" w:line="241" w:lineRule="auto"/>
        <w:rPr>
          <w:sz w:val="20"/>
          <w:szCs w:val="20"/>
          <w:color w:val="auto"/>
        </w:rPr>
      </w:pPr>
      <w:r>
        <w:rPr>
          <w:rFonts w:ascii="Times New Roman" w:cs="Times New Roman" w:eastAsia="Times New Roman" w:hAnsi="Times New Roman"/>
          <w:sz w:val="21"/>
          <w:szCs w:val="21"/>
          <w:color w:val="auto"/>
        </w:rPr>
        <w:t>may not assign any of his duties hereunder and he may not assign any of his rights hereunder without the written consent of the Company, which shall not be withheld unreasonably.</w:t>
      </w:r>
    </w:p>
    <w:p>
      <w:pPr>
        <w:spacing w:after="0" w:line="140" w:lineRule="exact"/>
        <w:rPr>
          <w:sz w:val="20"/>
          <w:szCs w:val="20"/>
          <w:color w:val="auto"/>
        </w:rPr>
      </w:pPr>
    </w:p>
    <w:p>
      <w:pPr>
        <w:jc w:val="both"/>
        <w:ind w:left="20" w:firstLine="125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1.8 Tax Withholding and Indemnification. </w:t>
      </w:r>
      <w:r>
        <w:rPr>
          <w:rFonts w:ascii="Times New Roman" w:cs="Times New Roman" w:eastAsia="Times New Roman" w:hAnsi="Times New Roman"/>
          <w:sz w:val="21"/>
          <w:szCs w:val="21"/>
          <w:color w:val="auto"/>
        </w:rPr>
        <w:t>All payments and awards contemplated or made pursuant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47" w:lineRule="exact"/>
        <w:rPr>
          <w:sz w:val="20"/>
          <w:szCs w:val="20"/>
          <w:color w:val="auto"/>
        </w:rPr>
      </w:pPr>
    </w:p>
    <w:p>
      <w:pPr>
        <w:jc w:val="both"/>
        <w:ind w:left="20" w:firstLine="1258"/>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1.9 Choice of Law. </w:t>
      </w:r>
      <w:r>
        <w:rPr>
          <w:rFonts w:ascii="Times New Roman" w:cs="Times New Roman" w:eastAsia="Times New Roman" w:hAnsi="Times New Roman"/>
          <w:sz w:val="21"/>
          <w:szCs w:val="21"/>
          <w:color w:val="auto"/>
        </w:rPr>
        <w:t>All questions concerning the construction, validity and interpretation of this Agreement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governed by the laws of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080"/>
          </w:cols>
          <w:pgMar w:left="400" w:top="1345" w:right="4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on the day and year first above written.</w:t>
      </w:r>
    </w:p>
    <w:p>
      <w:pPr>
        <w:sectPr>
          <w:pgSz w:w="11900" w:h="16838" w:orient="portrait"/>
          <w:cols w:equalWidth="0" w:num="1">
            <w:col w:w="9419"/>
          </w:cols>
          <w:pgMar w:left="1040" w:top="1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b w:val="1"/>
          <w:bCs w:val="1"/>
          <w:color w:val="auto"/>
        </w:rPr>
        <w:t>Praxis Precision Medicines, Inc.</w:t>
      </w:r>
    </w:p>
    <w:p>
      <w:pPr>
        <w:spacing w:after="0" w:line="200" w:lineRule="exact"/>
        <w:rPr>
          <w:sz w:val="20"/>
          <w:szCs w:val="20"/>
          <w:color w:val="auto"/>
        </w:rPr>
      </w:pPr>
    </w:p>
    <w:p>
      <w:pPr>
        <w:spacing w:after="0" w:line="27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By: /s/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-5715</wp:posOffset>
            </wp:positionV>
            <wp:extent cx="1333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jc w:val="right"/>
        <w:ind w:right="2939"/>
        <w:spacing w:after="0"/>
        <w:rPr>
          <w:sz w:val="20"/>
          <w:szCs w:val="20"/>
          <w:color w:val="auto"/>
        </w:rPr>
      </w:pPr>
      <w:r>
        <w:rPr>
          <w:rFonts w:ascii="Times New Roman" w:cs="Times New Roman" w:eastAsia="Times New Roman" w:hAnsi="Times New Roman"/>
          <w:sz w:val="21"/>
          <w:szCs w:val="21"/>
          <w:b w:val="1"/>
          <w:bCs w:val="1"/>
          <w:color w:val="auto"/>
        </w:rPr>
        <w:t>Name: Marcio Souza Title: CEO</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b w:val="1"/>
          <w:bCs w:val="1"/>
          <w:color w:val="auto"/>
        </w:rPr>
        <w:t>Date: October 1, 2020__________________</w:t>
      </w:r>
    </w:p>
    <w:p>
      <w:pPr>
        <w:sectPr>
          <w:pgSz w:w="11900" w:h="16838" w:orient="portrait"/>
          <w:cols w:equalWidth="0" w:num="1">
            <w:col w:w="9419"/>
          </w:cols>
          <w:pgMar w:left="1040" w:top="1341" w:right="1440" w:bottom="1440" w:gutter="0" w:footer="0" w:header="0"/>
          <w:type w:val="continuous"/>
        </w:sectPr>
      </w:pPr>
    </w:p>
    <w:bookmarkStart w:id="170" w:name="page171"/>
    <w:bookmarkEnd w:id="1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rFonts w:ascii="Arial" w:cs="Arial" w:eastAsia="Arial" w:hAnsi="Arial"/>
          <w:sz w:val="14"/>
          <w:szCs w:val="14"/>
          <w:color w:val="auto"/>
        </w:rPr>
        <w:t>DocuSign Envelope ID: 245F0A2F-615F-451A-ADBD-D47A7C43A317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0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color w:val="auto"/>
        </w:rPr>
        <w:t>By: /s/ Alex Nemiroff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-10160</wp:posOffset>
            </wp:positionV>
            <wp:extent cx="1333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133350" cy="8255"/>
                    </a:xfrm>
                    <a:prstGeom prst="rect">
                      <a:avLst/>
                    </a:prstGeom>
                    <a:noFill/>
                  </pic:spPr>
                </pic:pic>
              </a:graphicData>
            </a:graphic>
          </wp:anchor>
        </w:drawing>
      </w:r>
    </w:p>
    <w:p>
      <w:pPr>
        <w:jc w:val="right"/>
        <w:ind w:right="3959"/>
        <w:spacing w:after="0"/>
        <w:rPr>
          <w:sz w:val="20"/>
          <w:szCs w:val="20"/>
          <w:color w:val="auto"/>
        </w:rPr>
      </w:pPr>
      <w:r>
        <w:rPr>
          <w:rFonts w:ascii="Times New Roman" w:cs="Times New Roman" w:eastAsia="Times New Roman" w:hAnsi="Times New Roman"/>
          <w:sz w:val="21"/>
          <w:szCs w:val="21"/>
          <w:b w:val="1"/>
          <w:bCs w:val="1"/>
          <w:color w:val="auto"/>
        </w:rPr>
        <w:t>Name: Alex Nemiroff</w:t>
      </w: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1"/>
          <w:szCs w:val="21"/>
          <w:b w:val="1"/>
          <w:bCs w:val="1"/>
          <w:color w:val="auto"/>
        </w:rPr>
        <w:t>Date: October 1, 2020__________________</w:t>
      </w:r>
    </w:p>
    <w:p>
      <w:pPr>
        <w:sectPr>
          <w:pgSz w:w="11900" w:h="16838" w:orient="portrait"/>
          <w:cols w:equalWidth="0" w:num="1">
            <w:col w:w="10099"/>
          </w:cols>
          <w:pgMar w:left="360" w:top="183" w:right="1440"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color w:val="auto"/>
        </w:rPr>
        <w:t>DocuSign Envelope ID: 245F0A2F-615F-451A-ADBD-D47A7C43A317</w:t>
      </w:r>
    </w:p>
    <w:p>
      <w:pPr>
        <w:sectPr>
          <w:pgSz w:w="11900" w:h="16838" w:orient="portrait"/>
          <w:cols w:equalWidth="0" w:num="1">
            <w:col w:w="10099"/>
          </w:cols>
          <w:pgMar w:left="360" w:top="183" w:right="1440" w:bottom="1440" w:gutter="0" w:footer="0" w:header="0"/>
        </w:sectPr>
      </w:pPr>
    </w:p>
    <w:bookmarkStart w:id="173" w:name="page174"/>
    <w:bookmarkEnd w:id="173"/>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PRAXIS PRECISION MEDICINES, INC.</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NON-EMPLOYEE DIRECTOR COMPENSATION POLICY</w:t>
      </w:r>
    </w:p>
    <w:p>
      <w:pPr>
        <w:spacing w:after="0" w:line="182"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0"/>
          <w:szCs w:val="20"/>
          <w:color w:val="auto"/>
        </w:rPr>
        <w:t xml:space="preserve">The purpose of this Non-Employee Director Compensation Policy (the “Policy”) of Praxis Precision Medicines, Inc.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19"/>
          <w:szCs w:val="19"/>
          <w:color w:val="auto"/>
        </w:rPr>
        <w:t>This Policy will become</w:t>
      </w:r>
    </w:p>
    <w:p>
      <w:pPr>
        <w:ind w:right="120"/>
        <w:spacing w:after="0" w:line="208" w:lineRule="auto"/>
        <w:rPr>
          <w:sz w:val="20"/>
          <w:szCs w:val="20"/>
          <w:color w:val="auto"/>
        </w:rPr>
      </w:pPr>
      <w:r>
        <w:rPr>
          <w:rFonts w:ascii="Times New Roman" w:cs="Times New Roman" w:eastAsia="Times New Roman" w:hAnsi="Times New Roman"/>
          <w:sz w:val="20"/>
          <w:szCs w:val="20"/>
          <w:color w:val="auto"/>
        </w:rPr>
        <w:t>effective as of the effective time of the registration statement for the Company’s initial public offering of equity securities (the “Effective Date”). In furtherance of the purpose stated above, all Outside Directors shall be paid compensation for services provided to the</w:t>
      </w:r>
    </w:p>
    <w:p>
      <w:pPr>
        <w:spacing w:after="0"/>
        <w:rPr>
          <w:sz w:val="20"/>
          <w:szCs w:val="20"/>
          <w:color w:val="auto"/>
        </w:rPr>
      </w:pPr>
      <w:r>
        <w:rPr>
          <w:rFonts w:ascii="Times New Roman" w:cs="Times New Roman" w:eastAsia="Times New Roman" w:hAnsi="Times New Roman"/>
          <w:sz w:val="21"/>
          <w:szCs w:val="21"/>
          <w:color w:val="auto"/>
        </w:rPr>
        <w:t>Company as set forth below: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Cash Retainers</w:t>
      </w:r>
    </w:p>
    <w:p>
      <w:pPr>
        <w:spacing w:after="0" w:line="182" w:lineRule="exact"/>
        <w:rPr>
          <w:sz w:val="20"/>
          <w:szCs w:val="20"/>
          <w:color w:val="auto"/>
        </w:rPr>
      </w:pPr>
    </w:p>
    <w:p>
      <w:pPr>
        <w:jc w:val="both"/>
        <w:ind w:left="160" w:right="20"/>
        <w:spacing w:after="0" w:line="230" w:lineRule="auto"/>
        <w:rPr>
          <w:sz w:val="20"/>
          <w:szCs w:val="20"/>
          <w:color w:val="auto"/>
        </w:rPr>
      </w:pPr>
      <w:r>
        <w:rPr>
          <w:rFonts w:ascii="Times New Roman" w:cs="Times New Roman" w:eastAsia="Times New Roman" w:hAnsi="Times New Roman"/>
          <w:sz w:val="21"/>
          <w:szCs w:val="21"/>
          <w:u w:val="single" w:color="auto"/>
          <w:color w:val="auto"/>
        </w:rPr>
        <w:t>Annual Retainer for Board Membership</w:t>
      </w:r>
      <w:r>
        <w:rPr>
          <w:rFonts w:ascii="Times New Roman" w:cs="Times New Roman" w:eastAsia="Times New Roman" w:hAnsi="Times New Roman"/>
          <w:sz w:val="21"/>
          <w:szCs w:val="21"/>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241"/>
        </w:trPr>
        <w:tc>
          <w:tcPr>
            <w:tcW w:w="49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Additional Annual Retainer for Non-Executive Chair:</w:t>
            </w:r>
          </w:p>
        </w:tc>
        <w:tc>
          <w:tcPr>
            <w:tcW w:w="11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$35,000</w:t>
            </w:r>
          </w:p>
        </w:tc>
      </w:tr>
      <w:tr>
        <w:trPr>
          <w:trHeight w:val="20"/>
        </w:trPr>
        <w:tc>
          <w:tcPr>
            <w:tcW w:w="4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u w:val="single" w:color="auto"/>
          <w:color w:val="auto"/>
        </w:rPr>
        <w:t>Additional Annual Retainers for Committee Membership</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left="160"/>
        <w:spacing w:after="0"/>
        <w:tabs>
          <w:tab w:leader="none" w:pos="2400" w:val="left"/>
        </w:tabs>
        <w:rPr>
          <w:sz w:val="20"/>
          <w:szCs w:val="20"/>
          <w:color w:val="auto"/>
        </w:rPr>
      </w:pPr>
      <w:r>
        <w:rPr>
          <w:rFonts w:ascii="Times New Roman" w:cs="Times New Roman" w:eastAsia="Times New Roman" w:hAnsi="Times New Roman"/>
          <w:sz w:val="21"/>
          <w:szCs w:val="21"/>
          <w:color w:val="auto"/>
        </w:rPr>
        <w:t>Audit Committee Chair:</w:t>
      </w:r>
      <w:r>
        <w:rPr>
          <w:sz w:val="20"/>
          <w:szCs w:val="20"/>
          <w:color w:val="auto"/>
        </w:rPr>
        <w:tab/>
      </w:r>
      <w:r>
        <w:rPr>
          <w:rFonts w:ascii="Times New Roman" w:cs="Times New Roman" w:eastAsia="Times New Roman" w:hAnsi="Times New Roman"/>
          <w:sz w:val="20"/>
          <w:szCs w:val="20"/>
          <w:color w:val="auto"/>
        </w:rPr>
        <w:t>$16,000</w:t>
      </w:r>
    </w:p>
    <w:p>
      <w:pPr>
        <w:spacing w:after="0" w:line="178" w:lineRule="exact"/>
        <w:rPr>
          <w:sz w:val="20"/>
          <w:szCs w:val="20"/>
          <w:color w:val="auto"/>
        </w:rPr>
      </w:pPr>
    </w:p>
    <w:p>
      <w:pPr>
        <w:ind w:left="160"/>
        <w:spacing w:after="0"/>
        <w:tabs>
          <w:tab w:leader="none" w:pos="2620" w:val="left"/>
        </w:tabs>
        <w:rPr>
          <w:sz w:val="20"/>
          <w:szCs w:val="20"/>
          <w:color w:val="auto"/>
        </w:rPr>
      </w:pPr>
      <w:r>
        <w:rPr>
          <w:rFonts w:ascii="Times New Roman" w:cs="Times New Roman" w:eastAsia="Times New Roman" w:hAnsi="Times New Roman"/>
          <w:sz w:val="21"/>
          <w:szCs w:val="21"/>
          <w:color w:val="auto"/>
        </w:rPr>
        <w:t>Audit Committee member:</w:t>
        <w:tab/>
        <w:t>$8,000</w:t>
      </w:r>
    </w:p>
    <w:p>
      <w:pPr>
        <w:spacing w:after="0" w:line="178" w:lineRule="exact"/>
        <w:rPr>
          <w:sz w:val="20"/>
          <w:szCs w:val="20"/>
          <w:color w:val="auto"/>
        </w:rPr>
      </w:pPr>
    </w:p>
    <w:p>
      <w:pPr>
        <w:ind w:left="160"/>
        <w:spacing w:after="0"/>
        <w:tabs>
          <w:tab w:leader="none" w:pos="3120" w:val="left"/>
        </w:tabs>
        <w:rPr>
          <w:sz w:val="20"/>
          <w:szCs w:val="20"/>
          <w:color w:val="auto"/>
        </w:rPr>
      </w:pPr>
      <w:r>
        <w:rPr>
          <w:rFonts w:ascii="Times New Roman" w:cs="Times New Roman" w:eastAsia="Times New Roman" w:hAnsi="Times New Roman"/>
          <w:sz w:val="21"/>
          <w:szCs w:val="21"/>
          <w:color w:val="auto"/>
        </w:rPr>
        <w:t>Compensation Committee Chair:</w:t>
      </w:r>
      <w:r>
        <w:rPr>
          <w:sz w:val="20"/>
          <w:szCs w:val="20"/>
          <w:color w:val="auto"/>
        </w:rPr>
        <w:tab/>
      </w:r>
      <w:r>
        <w:rPr>
          <w:rFonts w:ascii="Times New Roman" w:cs="Times New Roman" w:eastAsia="Times New Roman" w:hAnsi="Times New Roman"/>
          <w:sz w:val="20"/>
          <w:szCs w:val="20"/>
          <w:color w:val="auto"/>
        </w:rPr>
        <w:t>$12,000</w:t>
      </w:r>
    </w:p>
    <w:p>
      <w:pPr>
        <w:spacing w:after="0" w:line="178" w:lineRule="exact"/>
        <w:rPr>
          <w:sz w:val="20"/>
          <w:szCs w:val="20"/>
          <w:color w:val="auto"/>
        </w:rPr>
      </w:pPr>
    </w:p>
    <w:p>
      <w:pPr>
        <w:ind w:left="160"/>
        <w:spacing w:after="0"/>
        <w:tabs>
          <w:tab w:leader="none" w:pos="3340" w:val="left"/>
        </w:tabs>
        <w:rPr>
          <w:sz w:val="20"/>
          <w:szCs w:val="20"/>
          <w:color w:val="auto"/>
        </w:rPr>
      </w:pPr>
      <w:r>
        <w:rPr>
          <w:rFonts w:ascii="Times New Roman" w:cs="Times New Roman" w:eastAsia="Times New Roman" w:hAnsi="Times New Roman"/>
          <w:sz w:val="21"/>
          <w:szCs w:val="21"/>
          <w:color w:val="auto"/>
        </w:rPr>
        <w:t>Compensation Committee member:</w:t>
        <w:tab/>
        <w:t>$6,000</w:t>
      </w:r>
    </w:p>
    <w:p>
      <w:pPr>
        <w:spacing w:after="0" w:line="178" w:lineRule="exact"/>
        <w:rPr>
          <w:sz w:val="20"/>
          <w:szCs w:val="20"/>
          <w:color w:val="auto"/>
        </w:rPr>
      </w:pPr>
    </w:p>
    <w:p>
      <w:pPr>
        <w:ind w:left="160"/>
        <w:spacing w:after="0"/>
        <w:tabs>
          <w:tab w:leader="none" w:pos="5220" w:val="left"/>
        </w:tabs>
        <w:rPr>
          <w:sz w:val="20"/>
          <w:szCs w:val="20"/>
          <w:color w:val="auto"/>
        </w:rPr>
      </w:pPr>
      <w:r>
        <w:rPr>
          <w:rFonts w:ascii="Times New Roman" w:cs="Times New Roman" w:eastAsia="Times New Roman" w:hAnsi="Times New Roman"/>
          <w:sz w:val="21"/>
          <w:szCs w:val="21"/>
          <w:color w:val="auto"/>
        </w:rPr>
        <w:t>Nominating and Corporate Governance Committee Chair:</w:t>
        <w:tab/>
        <w:t>$8,000</w:t>
      </w:r>
    </w:p>
    <w:p>
      <w:pPr>
        <w:spacing w:after="0" w:line="178" w:lineRule="exact"/>
        <w:rPr>
          <w:sz w:val="20"/>
          <w:szCs w:val="20"/>
          <w:color w:val="auto"/>
        </w:rPr>
      </w:pPr>
    </w:p>
    <w:p>
      <w:pPr>
        <w:ind w:left="160"/>
        <w:spacing w:after="0"/>
        <w:tabs>
          <w:tab w:leader="none" w:pos="5460" w:val="left"/>
        </w:tabs>
        <w:rPr>
          <w:sz w:val="20"/>
          <w:szCs w:val="20"/>
          <w:color w:val="auto"/>
        </w:rPr>
      </w:pPr>
      <w:r>
        <w:rPr>
          <w:rFonts w:ascii="Times New Roman" w:cs="Times New Roman" w:eastAsia="Times New Roman" w:hAnsi="Times New Roman"/>
          <w:sz w:val="21"/>
          <w:szCs w:val="21"/>
          <w:color w:val="auto"/>
        </w:rPr>
        <w:t>Nominating and Corporate Governance Committee member:</w:t>
      </w:r>
      <w:r>
        <w:rPr>
          <w:sz w:val="20"/>
          <w:szCs w:val="20"/>
          <w:color w:val="auto"/>
        </w:rPr>
        <w:tab/>
      </w:r>
      <w:r>
        <w:rPr>
          <w:rFonts w:ascii="Times New Roman" w:cs="Times New Roman" w:eastAsia="Times New Roman" w:hAnsi="Times New Roman"/>
          <w:sz w:val="20"/>
          <w:szCs w:val="20"/>
          <w:color w:val="auto"/>
        </w:rPr>
        <w:t>$4,000</w:t>
      </w:r>
    </w:p>
    <w:p>
      <w:pPr>
        <w:spacing w:after="0" w:line="178" w:lineRule="exact"/>
        <w:rPr>
          <w:sz w:val="20"/>
          <w:szCs w:val="20"/>
          <w:color w:val="auto"/>
        </w:rPr>
      </w:pPr>
    </w:p>
    <w:p>
      <w:pPr>
        <w:ind w:left="160"/>
        <w:spacing w:after="0"/>
        <w:tabs>
          <w:tab w:leader="none" w:pos="3960" w:val="left"/>
        </w:tabs>
        <w:rPr>
          <w:sz w:val="20"/>
          <w:szCs w:val="20"/>
          <w:color w:val="auto"/>
        </w:rPr>
      </w:pPr>
      <w:r>
        <w:rPr>
          <w:rFonts w:ascii="Times New Roman" w:cs="Times New Roman" w:eastAsia="Times New Roman" w:hAnsi="Times New Roman"/>
          <w:sz w:val="21"/>
          <w:szCs w:val="21"/>
          <w:color w:val="auto"/>
        </w:rPr>
        <w:t>Science and Technology Committee Chair:</w:t>
        <w:tab/>
        <w:t>$8,000</w:t>
      </w:r>
    </w:p>
    <w:p>
      <w:pPr>
        <w:spacing w:after="0" w:line="178" w:lineRule="exact"/>
        <w:rPr>
          <w:sz w:val="20"/>
          <w:szCs w:val="20"/>
          <w:color w:val="auto"/>
        </w:rPr>
      </w:pPr>
    </w:p>
    <w:p>
      <w:pPr>
        <w:ind w:left="160"/>
        <w:spacing w:after="0"/>
        <w:tabs>
          <w:tab w:leader="none" w:pos="4180" w:val="left"/>
        </w:tabs>
        <w:rPr>
          <w:sz w:val="20"/>
          <w:szCs w:val="20"/>
          <w:color w:val="auto"/>
        </w:rPr>
      </w:pPr>
      <w:r>
        <w:rPr>
          <w:rFonts w:ascii="Times New Roman" w:cs="Times New Roman" w:eastAsia="Times New Roman" w:hAnsi="Times New Roman"/>
          <w:sz w:val="21"/>
          <w:szCs w:val="21"/>
          <w:color w:val="auto"/>
        </w:rPr>
        <w:t>Science and Technology Committee member:</w:t>
        <w:tab/>
        <w:t>$4,000</w:t>
      </w:r>
    </w:p>
    <w:p>
      <w:pPr>
        <w:spacing w:after="0" w:line="178" w:lineRule="exact"/>
        <w:rPr>
          <w:sz w:val="20"/>
          <w:szCs w:val="20"/>
          <w:color w:val="auto"/>
        </w:rPr>
      </w:pPr>
    </w:p>
    <w:p>
      <w:pPr>
        <w:ind w:left="160" w:right="920"/>
        <w:spacing w:after="0" w:line="241" w:lineRule="auto"/>
        <w:rPr>
          <w:sz w:val="20"/>
          <w:szCs w:val="20"/>
          <w:color w:val="auto"/>
        </w:rPr>
      </w:pPr>
      <w:r>
        <w:rPr>
          <w:rFonts w:ascii="Times New Roman" w:cs="Times New Roman" w:eastAsia="Times New Roman" w:hAnsi="Times New Roman"/>
          <w:sz w:val="21"/>
          <w:szCs w:val="21"/>
          <w:color w:val="auto"/>
        </w:rPr>
        <w:t>Chair and committee member retainers are in addition to retainers for members of the Board of Directors. No additional compensation will be paid for attending individual committee meetings of the Board of Directors.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Equity Retainers</w:t>
      </w:r>
    </w:p>
    <w:p>
      <w:pPr>
        <w:spacing w:after="0" w:line="182" w:lineRule="exact"/>
        <w:rPr>
          <w:sz w:val="20"/>
          <w:szCs w:val="20"/>
          <w:color w:val="auto"/>
        </w:rPr>
      </w:pPr>
    </w:p>
    <w:p>
      <w:pPr>
        <w:ind w:left="160"/>
        <w:spacing w:after="0" w:line="219" w:lineRule="auto"/>
        <w:rPr>
          <w:sz w:val="20"/>
          <w:szCs w:val="20"/>
          <w:color w:val="auto"/>
        </w:rPr>
      </w:pPr>
      <w:r>
        <w:rPr>
          <w:rFonts w:ascii="Times New Roman" w:cs="Times New Roman" w:eastAsia="Times New Roman" w:hAnsi="Times New Roman"/>
          <w:sz w:val="21"/>
          <w:szCs w:val="21"/>
          <w:u w:val="single" w:color="auto"/>
          <w:color w:val="auto"/>
        </w:rPr>
        <w:t>Initial Award</w:t>
      </w:r>
      <w:r>
        <w:rPr>
          <w:rFonts w:ascii="Times New Roman" w:cs="Times New Roman" w:eastAsia="Times New Roman" w:hAnsi="Times New Roman"/>
          <w:sz w:val="21"/>
          <w:szCs w:val="21"/>
          <w:color w:val="auto"/>
        </w:rPr>
        <w:t xml:space="preserve"> : An initial, one-time stock option award (the “Initial Award”) to purchase a number of shares equal to 0.1% of the total number of shares of the Company’s common stock issued and outstanding on the date of grant will be granted to each new Outside Director upon his or her election to the Board of Directors, which shall vest in equal monthly installments over three years from the date of grant; provided, however, that all vesting shall cease if the director resigns from the Board of Directors or otherwise ceases to serve as a director of the Company. The Initial Award shall expire ten years from the date of grant, and shall have a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140"/>
          </w:cols>
          <w:pgMar w:left="320" w:top="1354" w:right="439" w:bottom="1440" w:gutter="0" w:footer="0" w:header="0"/>
        </w:sectPr>
      </w:pPr>
    </w:p>
    <w:bookmarkStart w:id="174" w:name="page175"/>
    <w:bookmarkEnd w:id="174"/>
    <w:p>
      <w:pPr>
        <w:jc w:val="both"/>
        <w:ind w:left="160" w:right="420"/>
        <w:spacing w:after="0" w:line="230" w:lineRule="auto"/>
        <w:rPr>
          <w:sz w:val="20"/>
          <w:szCs w:val="20"/>
          <w:color w:val="auto"/>
        </w:rPr>
      </w:pPr>
      <w:r>
        <w:rPr>
          <w:rFonts w:ascii="Times New Roman" w:cs="Times New Roman" w:eastAsia="Times New Roman" w:hAnsi="Times New Roman"/>
          <w:sz w:val="21"/>
          <w:szCs w:val="21"/>
          <w:color w:val="auto"/>
        </w:rPr>
        <w:t>share exercise price equal to the Fair Market Value (as defined in the Company’s 2020 Stock Option and Incentive Plan) of the Company’s common stock on the date of grant. This Initial Award applies only to Outside Directors who are first elected to the Board of Directors subsequent to the Effective Date.</w:t>
      </w:r>
    </w:p>
    <w:p>
      <w:pPr>
        <w:spacing w:after="0" w:line="145" w:lineRule="exact"/>
        <w:rPr>
          <w:sz w:val="20"/>
          <w:szCs w:val="20"/>
          <w:color w:val="auto"/>
        </w:rPr>
      </w:pPr>
    </w:p>
    <w:p>
      <w:pPr>
        <w:ind w:left="160" w:right="40"/>
        <w:spacing w:after="0" w:line="216" w:lineRule="auto"/>
        <w:rPr>
          <w:sz w:val="20"/>
          <w:szCs w:val="20"/>
          <w:color w:val="auto"/>
        </w:rPr>
      </w:pP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a number of shares equal to 0.05% of the total number of shares of the Company’s common stock issued and outstanding on the date of grant, which shall vest in twelve equal monthly installments from the date of grant; provided, however, that all vesting shall cease if the director resigns from the Board of Directors or otherwise ceases to serve as a director, unless the Board of Directors determines that the circumstances warrant continuation of vesting. Such Annual Award shall expire ten years from the date of grant, and shall have a per share exercise price equal to the Fair Market Value (as defined in the Company’s 2020 Stock Option and Incentive Plan) of the Company’s common stock on the date of grant.</w:t>
      </w:r>
    </w:p>
    <w:p>
      <w:pPr>
        <w:spacing w:after="0" w:line="150" w:lineRule="exact"/>
        <w:rPr>
          <w:sz w:val="20"/>
          <w:szCs w:val="20"/>
          <w:color w:val="auto"/>
        </w:rPr>
      </w:pPr>
    </w:p>
    <w:p>
      <w:pPr>
        <w:ind w:left="160" w:right="120"/>
        <w:spacing w:after="0" w:line="241" w:lineRule="auto"/>
        <w:rPr>
          <w:sz w:val="20"/>
          <w:szCs w:val="20"/>
          <w:color w:val="auto"/>
        </w:rPr>
      </w:pPr>
      <w:r>
        <w:rPr>
          <w:rFonts w:ascii="Times New Roman" w:cs="Times New Roman" w:eastAsia="Times New Roman" w:hAnsi="Times New Roman"/>
          <w:sz w:val="21"/>
          <w:szCs w:val="21"/>
          <w:u w:val="single" w:color="auto"/>
          <w:color w:val="auto"/>
        </w:rPr>
        <w:t>Sale Event Acceleration</w:t>
      </w:r>
      <w:r>
        <w:rPr>
          <w:rFonts w:ascii="Times New Roman" w:cs="Times New Roman" w:eastAsia="Times New Roman" w:hAnsi="Times New Roman"/>
          <w:sz w:val="21"/>
          <w:szCs w:val="21"/>
          <w:color w:val="auto"/>
        </w:rPr>
        <w:t>: All outstanding Initial Awards and Annual Awards held by an Outside Director shall become fully vested and exercisable upon a Sale Event (as defined in the Company’s 2020 Stock Option and Incentive Plan).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Expenses</w:t>
      </w:r>
    </w:p>
    <w:p>
      <w:pPr>
        <w:spacing w:after="0" w:line="182" w:lineRule="exact"/>
        <w:rPr>
          <w:sz w:val="20"/>
          <w:szCs w:val="20"/>
          <w:color w:val="auto"/>
        </w:rPr>
      </w:pPr>
    </w:p>
    <w:p>
      <w:pPr>
        <w:ind w:left="160" w:right="260"/>
        <w:spacing w:after="0" w:line="241" w:lineRule="auto"/>
        <w:rPr>
          <w:sz w:val="20"/>
          <w:szCs w:val="20"/>
          <w:color w:val="auto"/>
        </w:rPr>
      </w:pPr>
      <w:r>
        <w:rPr>
          <w:rFonts w:ascii="Times New Roman" w:cs="Times New Roman" w:eastAsia="Times New Roman" w:hAnsi="Times New Roman"/>
          <w:sz w:val="21"/>
          <w:szCs w:val="21"/>
          <w:color w:val="auto"/>
        </w:rPr>
        <w:t>The Company will reimburse all reasonable out-of-pocket expenses incurred by non-employee directors in attending meetings of the Board of Directors or any committee thereof.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Maximum Annual Compensation</w:t>
      </w:r>
    </w:p>
    <w:p>
      <w:pPr>
        <w:spacing w:after="0" w:line="182" w:lineRule="exact"/>
        <w:rPr>
          <w:sz w:val="20"/>
          <w:szCs w:val="20"/>
          <w:color w:val="auto"/>
        </w:rPr>
      </w:pPr>
    </w:p>
    <w:p>
      <w:pPr>
        <w:jc w:val="both"/>
        <w:ind w:left="160"/>
        <w:spacing w:after="0" w:line="215" w:lineRule="auto"/>
        <w:rPr>
          <w:sz w:val="20"/>
          <w:szCs w:val="20"/>
          <w:color w:val="auto"/>
        </w:rPr>
      </w:pPr>
      <w:r>
        <w:rPr>
          <w:rFonts w:ascii="Times New Roman" w:cs="Times New Roman" w:eastAsia="Times New Roman" w:hAnsi="Times New Roman"/>
          <w:sz w:val="21"/>
          <w:szCs w:val="21"/>
          <w:color w:val="auto"/>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and such amount shall be $1,500,000 for the non-executive Chair of the Board of Directors; (or such other limits as may be set forth in Section 3(b) of the Company’s 2020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 Notwithstanding the foregoing, the independent members of the Board may make exceptions to these limits in exceptional circumstances, provided that the Non-Employee Director receiving such additional compensation may not participate in the decision to award such compensation.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Adopted September 9, 2020, as amended April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8"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41" w:lineRule="exact"/>
        <w:rPr>
          <w:sz w:val="20"/>
          <w:szCs w:val="20"/>
          <w:color w:val="auto"/>
        </w:rPr>
      </w:pPr>
    </w:p>
    <w:p>
      <w:pPr>
        <w:ind w:left="900" w:hanging="266"/>
        <w:spacing w:after="0"/>
        <w:tabs>
          <w:tab w:leader="none" w:pos="9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and related prospectus (Form S-3 No. 333-260726) of Praxis Precision Medicines, Inc.,</w:t>
      </w:r>
    </w:p>
    <w:p>
      <w:pPr>
        <w:spacing w:after="0" w:line="263" w:lineRule="exact"/>
        <w:rPr>
          <w:rFonts w:ascii="Times New Roman" w:cs="Times New Roman" w:eastAsia="Times New Roman" w:hAnsi="Times New Roman"/>
          <w:sz w:val="17"/>
          <w:szCs w:val="17"/>
          <w:color w:val="auto"/>
        </w:rPr>
      </w:pPr>
    </w:p>
    <w:p>
      <w:pPr>
        <w:ind w:left="900" w:hanging="266"/>
        <w:spacing w:after="0"/>
        <w:tabs>
          <w:tab w:leader="none" w:pos="9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333-276786) pertaining to the Praxis Precision Medicines, Inc. 2024 Inducement Plan,</w:t>
      </w:r>
    </w:p>
    <w:p>
      <w:pPr>
        <w:spacing w:after="0" w:line="224" w:lineRule="exact"/>
        <w:rPr>
          <w:rFonts w:ascii="Times New Roman" w:cs="Times New Roman" w:eastAsia="Times New Roman" w:hAnsi="Times New Roman"/>
          <w:sz w:val="17"/>
          <w:szCs w:val="17"/>
          <w:color w:val="auto"/>
        </w:rPr>
      </w:pPr>
    </w:p>
    <w:p>
      <w:pPr>
        <w:ind w:left="640" w:right="240" w:hanging="6"/>
        <w:spacing w:after="0" w:line="265" w:lineRule="auto"/>
        <w:tabs>
          <w:tab w:leader="none" w:pos="88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Nos. 333-269615, 333-263081 and 333-254410) pertaining to the Praxis Precision Medicines, Inc. 2020 Stock Option and Incentive Plan and the Praxis Precision Medicines, Inc. 2020 Employee Stock Purchase Plan, and</w:t>
      </w:r>
    </w:p>
    <w:p>
      <w:pPr>
        <w:spacing w:after="0" w:line="184" w:lineRule="exact"/>
        <w:rPr>
          <w:rFonts w:ascii="Times New Roman" w:cs="Times New Roman" w:eastAsia="Times New Roman" w:hAnsi="Times New Roman"/>
          <w:sz w:val="17"/>
          <w:szCs w:val="17"/>
          <w:color w:val="auto"/>
        </w:rPr>
      </w:pPr>
    </w:p>
    <w:p>
      <w:pPr>
        <w:jc w:val="both"/>
        <w:ind w:left="640" w:right="600" w:hanging="6"/>
        <w:spacing w:after="0" w:line="265" w:lineRule="auto"/>
        <w:tabs>
          <w:tab w:leader="none" w:pos="887"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333-249522) pertaining to the Praxis Precision Medicines, Inc. 2017 Stock Incentive Plan, the Praxis Precision Medicines, Inc. 2020 Stock Option and Incentive Plan and the Praxis Precision Medicines, Inc. 2020 Employee Stock Purchase Plan;</w:t>
      </w:r>
    </w:p>
    <w:p>
      <w:pPr>
        <w:spacing w:after="0" w:line="172"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7"/>
          <w:szCs w:val="17"/>
          <w:color w:val="auto"/>
        </w:rPr>
        <w:t>of our report dated March 5, 2024, with respect to the consolidated financial statements of Praxis Precision Medicines, Inc. included in this Annual Report (Form 10-K) of Praxis Precision Medicines, Inc.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rPr>
          <w:sz w:val="20"/>
          <w:szCs w:val="20"/>
          <w:color w:val="auto"/>
        </w:rPr>
      </w:pPr>
      <w:r>
        <w:rPr>
          <w:rFonts w:ascii="Times New Roman" w:cs="Times New Roman" w:eastAsia="Times New Roman" w:hAnsi="Times New Roman"/>
          <w:sz w:val="17"/>
          <w:szCs w:val="17"/>
          <w:color w:val="auto"/>
        </w:rPr>
        <w:t>March 5, 2024</w:t>
      </w:r>
    </w:p>
    <w:p>
      <w:pPr>
        <w:sectPr>
          <w:pgSz w:w="11900" w:h="16838" w:orient="portrait"/>
          <w:cols w:equalWidth="0" w:num="1">
            <w:col w:w="11240"/>
          </w:cols>
          <w:pgMar w:left="320" w:top="1378"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RULES 13a-14(a) AND 15d-14(a) UNDER THE SECURITIES EXCHANGE ACT OF 1934,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Marcio Souza, certify that:</w:t>
      </w:r>
    </w:p>
    <w:p>
      <w:pPr>
        <w:spacing w:after="0" w:line="198" w:lineRule="exact"/>
        <w:rPr>
          <w:sz w:val="20"/>
          <w:szCs w:val="20"/>
          <w:color w:val="auto"/>
        </w:rPr>
      </w:pPr>
    </w:p>
    <w:p>
      <w:pPr>
        <w:ind w:left="460" w:hanging="438"/>
        <w:spacing w:after="0"/>
        <w:tabs>
          <w:tab w:leader="none" w:pos="4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Praxis Precision Medicines, Inc.;</w:t>
      </w:r>
    </w:p>
    <w:p>
      <w:pPr>
        <w:spacing w:after="0" w:line="276" w:lineRule="exact"/>
        <w:rPr>
          <w:rFonts w:ascii="Times New Roman" w:cs="Times New Roman" w:eastAsia="Times New Roman" w:hAnsi="Times New Roman"/>
          <w:sz w:val="17"/>
          <w:szCs w:val="17"/>
          <w:color w:val="auto"/>
        </w:rPr>
      </w:pPr>
    </w:p>
    <w:p>
      <w:pPr>
        <w:jc w:val="both"/>
        <w:ind w:left="460" w:right="620" w:hanging="438"/>
        <w:spacing w:after="0" w:line="277" w:lineRule="auto"/>
        <w:tabs>
          <w:tab w:leader="none" w:pos="4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7" w:lineRule="exact"/>
        <w:rPr>
          <w:rFonts w:ascii="Times New Roman" w:cs="Times New Roman" w:eastAsia="Times New Roman" w:hAnsi="Times New Roman"/>
          <w:sz w:val="17"/>
          <w:szCs w:val="17"/>
          <w:color w:val="auto"/>
        </w:rPr>
      </w:pPr>
    </w:p>
    <w:p>
      <w:pPr>
        <w:ind w:left="480" w:right="560" w:hanging="431"/>
        <w:spacing w:after="0" w:line="297" w:lineRule="auto"/>
        <w:tabs>
          <w:tab w:leader="none" w:pos="48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480" w:right="580" w:hanging="431"/>
        <w:spacing w:after="0" w:line="253" w:lineRule="auto"/>
        <w:tabs>
          <w:tab w:leader="none" w:pos="48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7"/>
          <w:szCs w:val="17"/>
          <w:color w:val="auto"/>
        </w:rPr>
      </w:pPr>
    </w:p>
    <w:p>
      <w:pPr>
        <w:ind w:left="1040" w:right="300" w:hanging="572"/>
        <w:spacing w:after="0" w:line="277"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1040" w:right="600" w:hanging="572"/>
        <w:spacing w:after="0" w:line="261"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jc w:val="both"/>
        <w:ind w:left="1040" w:right="760" w:hanging="572"/>
        <w:spacing w:after="0" w:line="297"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7"/>
          <w:szCs w:val="17"/>
          <w:color w:val="auto"/>
        </w:rPr>
      </w:pPr>
    </w:p>
    <w:p>
      <w:pPr>
        <w:ind w:left="1040" w:right="280" w:hanging="572"/>
        <w:spacing w:after="0" w:line="277"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7"/>
          <w:szCs w:val="17"/>
          <w:color w:val="auto"/>
        </w:rPr>
      </w:pPr>
    </w:p>
    <w:p>
      <w:pPr>
        <w:ind w:left="480" w:right="300" w:hanging="431"/>
        <w:spacing w:after="0" w:line="297" w:lineRule="auto"/>
        <w:tabs>
          <w:tab w:leader="none" w:pos="48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Times New Roman" w:cs="Times New Roman" w:eastAsia="Times New Roman" w:hAnsi="Times New Roman"/>
          <w:sz w:val="17"/>
          <w:szCs w:val="17"/>
          <w:color w:val="auto"/>
        </w:rPr>
      </w:pPr>
    </w:p>
    <w:p>
      <w:pPr>
        <w:ind w:left="1040" w:right="240" w:hanging="572"/>
        <w:spacing w:after="0" w:line="297"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7"/>
          <w:szCs w:val="17"/>
          <w:color w:val="auto"/>
        </w:rPr>
      </w:pPr>
    </w:p>
    <w:p>
      <w:pPr>
        <w:ind w:left="1040" w:right="740" w:hanging="572"/>
        <w:spacing w:after="0" w:line="297" w:lineRule="auto"/>
        <w:tabs>
          <w:tab w:leader="none" w:pos="1040"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tabs>
          <w:tab w:leader="none" w:pos="5540" w:val="left"/>
          <w:tab w:leader="none" w:pos="7760" w:val="left"/>
        </w:tabs>
        <w:rPr>
          <w:sz w:val="20"/>
          <w:szCs w:val="20"/>
          <w:color w:val="auto"/>
        </w:rPr>
      </w:pPr>
      <w:r>
        <w:rPr>
          <w:rFonts w:ascii="Times New Roman" w:cs="Times New Roman" w:eastAsia="Times New Roman" w:hAnsi="Times New Roman"/>
          <w:sz w:val="17"/>
          <w:szCs w:val="17"/>
          <w:color w:val="auto"/>
        </w:rPr>
        <w:t>Date: March 5,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37465</wp:posOffset>
            </wp:positionV>
            <wp:extent cx="31311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60"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Marcio Souza</w:t>
      </w:r>
    </w:p>
    <w:p>
      <w:pPr>
        <w:spacing w:after="0" w:line="6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6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378"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RULES 13a-14(a) AND 15d-14(a) UNDER THE SECURITIES EXCHANGE ACT OF 1934, AS ADOPTED PURSUANT TO SECTION 302 OF THE SARBANES-OXLEY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Timothy Kelly, certify that:</w:t>
      </w:r>
    </w:p>
    <w:p>
      <w:pPr>
        <w:spacing w:after="0" w:line="198" w:lineRule="exact"/>
        <w:rPr>
          <w:sz w:val="20"/>
          <w:szCs w:val="20"/>
          <w:color w:val="auto"/>
        </w:rPr>
      </w:pPr>
    </w:p>
    <w:p>
      <w:pPr>
        <w:ind w:left="460" w:hanging="438"/>
        <w:spacing w:after="0"/>
        <w:tabs>
          <w:tab w:leader="none" w:pos="4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Praxis Precision Medicines, Inc.;</w:t>
      </w:r>
    </w:p>
    <w:p>
      <w:pPr>
        <w:spacing w:after="0" w:line="289" w:lineRule="exact"/>
        <w:rPr>
          <w:rFonts w:ascii="Times New Roman" w:cs="Times New Roman" w:eastAsia="Times New Roman" w:hAnsi="Times New Roman"/>
          <w:sz w:val="17"/>
          <w:szCs w:val="17"/>
          <w:color w:val="auto"/>
        </w:rPr>
      </w:pPr>
    </w:p>
    <w:p>
      <w:pPr>
        <w:jc w:val="both"/>
        <w:ind w:left="480" w:right="600" w:hanging="431"/>
        <w:spacing w:after="0" w:line="293" w:lineRule="auto"/>
        <w:tabs>
          <w:tab w:leader="none" w:pos="4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7"/>
          <w:szCs w:val="17"/>
          <w:color w:val="auto"/>
        </w:rPr>
      </w:pPr>
    </w:p>
    <w:p>
      <w:pPr>
        <w:ind w:left="480" w:right="560" w:hanging="431"/>
        <w:spacing w:after="0" w:line="313" w:lineRule="auto"/>
        <w:tabs>
          <w:tab w:leader="none" w:pos="4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7"/>
          <w:szCs w:val="17"/>
          <w:color w:val="auto"/>
        </w:rPr>
      </w:pPr>
    </w:p>
    <w:p>
      <w:pPr>
        <w:jc w:val="both"/>
        <w:ind w:left="480" w:right="580" w:hanging="431"/>
        <w:spacing w:after="0" w:line="253" w:lineRule="auto"/>
        <w:tabs>
          <w:tab w:leader="none" w:pos="4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7"/>
          <w:szCs w:val="17"/>
          <w:color w:val="auto"/>
        </w:rPr>
      </w:pPr>
    </w:p>
    <w:p>
      <w:pPr>
        <w:ind w:left="1040" w:right="300" w:hanging="572"/>
        <w:spacing w:after="0" w:line="293" w:lineRule="auto"/>
        <w:tabs>
          <w:tab w:leader="none" w:pos="1040"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Times New Roman" w:cs="Times New Roman" w:eastAsia="Times New Roman" w:hAnsi="Times New Roman"/>
          <w:sz w:val="17"/>
          <w:szCs w:val="17"/>
          <w:color w:val="auto"/>
        </w:rPr>
      </w:pPr>
    </w:p>
    <w:p>
      <w:pPr>
        <w:ind w:left="1040" w:right="600" w:hanging="572"/>
        <w:spacing w:after="0" w:line="261" w:lineRule="auto"/>
        <w:tabs>
          <w:tab w:leader="none" w:pos="1040"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7"/>
          <w:szCs w:val="17"/>
          <w:color w:val="auto"/>
        </w:rPr>
      </w:pPr>
    </w:p>
    <w:p>
      <w:pPr>
        <w:jc w:val="both"/>
        <w:ind w:left="1040" w:right="760" w:hanging="572"/>
        <w:spacing w:after="0" w:line="297" w:lineRule="auto"/>
        <w:tabs>
          <w:tab w:leader="none" w:pos="1040"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Times New Roman" w:cs="Times New Roman" w:eastAsia="Times New Roman" w:hAnsi="Times New Roman"/>
          <w:sz w:val="17"/>
          <w:szCs w:val="17"/>
          <w:color w:val="auto"/>
        </w:rPr>
      </w:pPr>
    </w:p>
    <w:p>
      <w:pPr>
        <w:ind w:left="1040" w:right="280" w:hanging="572"/>
        <w:spacing w:after="0" w:line="293" w:lineRule="auto"/>
        <w:tabs>
          <w:tab w:leader="none" w:pos="1040"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Times New Roman" w:cs="Times New Roman" w:eastAsia="Times New Roman" w:hAnsi="Times New Roman"/>
          <w:sz w:val="17"/>
          <w:szCs w:val="17"/>
          <w:color w:val="auto"/>
        </w:rPr>
      </w:pPr>
    </w:p>
    <w:p>
      <w:pPr>
        <w:ind w:left="480" w:right="300" w:hanging="431"/>
        <w:spacing w:after="0" w:line="313" w:lineRule="auto"/>
        <w:tabs>
          <w:tab w:leader="none" w:pos="4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17"/>
          <w:szCs w:val="17"/>
          <w:color w:val="auto"/>
        </w:rPr>
      </w:pPr>
    </w:p>
    <w:p>
      <w:pPr>
        <w:ind w:left="1040" w:right="240" w:hanging="572"/>
        <w:spacing w:after="0" w:line="297" w:lineRule="auto"/>
        <w:tabs>
          <w:tab w:leader="none" w:pos="1040"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1040" w:right="740" w:hanging="572"/>
        <w:spacing w:after="0" w:line="297" w:lineRule="auto"/>
        <w:tabs>
          <w:tab w:leader="none" w:pos="1040" w:val="left"/>
        </w:tabs>
        <w:numPr>
          <w:ilvl w:val="2"/>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tabs>
          <w:tab w:leader="none" w:pos="5600" w:val="left"/>
          <w:tab w:leader="none" w:pos="7760" w:val="left"/>
        </w:tabs>
        <w:rPr>
          <w:sz w:val="20"/>
          <w:szCs w:val="20"/>
          <w:color w:val="auto"/>
        </w:rPr>
      </w:pPr>
      <w:r>
        <w:rPr>
          <w:rFonts w:ascii="Times New Roman" w:cs="Times New Roman" w:eastAsia="Times New Roman" w:hAnsi="Times New Roman"/>
          <w:sz w:val="17"/>
          <w:szCs w:val="17"/>
          <w:color w:val="auto"/>
        </w:rPr>
        <w:t>Date: March 5,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45720</wp:posOffset>
            </wp:positionV>
            <wp:extent cx="31311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7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Timothy Kelly</w:t>
      </w:r>
    </w:p>
    <w:p>
      <w:pPr>
        <w:spacing w:after="0" w:line="8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80"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378"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OF PRINCIPAL EXECUTIVE OFFICER AND PRINCIPAL FINANCIAL OFFICER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ind w:right="40" w:firstLine="428"/>
        <w:spacing w:after="0" w:line="277" w:lineRule="auto"/>
        <w:rPr>
          <w:sz w:val="20"/>
          <w:szCs w:val="20"/>
          <w:color w:val="auto"/>
        </w:rPr>
      </w:pPr>
      <w:r>
        <w:rPr>
          <w:rFonts w:ascii="Times New Roman" w:cs="Times New Roman" w:eastAsia="Times New Roman" w:hAnsi="Times New Roman"/>
          <w:sz w:val="17"/>
          <w:szCs w:val="17"/>
          <w:color w:val="auto"/>
        </w:rPr>
        <w:t>In connection with the Annual Report on Form 10-K of Praxis Precision Medicines, Inc. (the “Company”) for the fiscal year ended December 31, 2023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36" w:lineRule="exact"/>
        <w:rPr>
          <w:sz w:val="20"/>
          <w:szCs w:val="20"/>
          <w:color w:val="auto"/>
        </w:rPr>
      </w:pPr>
    </w:p>
    <w:p>
      <w:pPr>
        <w:ind w:left="1000" w:hanging="558"/>
        <w:spacing w:after="0"/>
        <w:tabs>
          <w:tab w:leader="none" w:pos="10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ind w:left="1000" w:right="900" w:hanging="558"/>
        <w:spacing w:after="0" w:line="313" w:lineRule="auto"/>
        <w:tabs>
          <w:tab w:leader="none" w:pos="10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5580" w:val="left"/>
          <w:tab w:leader="none" w:pos="7800" w:val="left"/>
        </w:tabs>
        <w:rPr>
          <w:sz w:val="20"/>
          <w:szCs w:val="20"/>
          <w:color w:val="auto"/>
        </w:rPr>
      </w:pPr>
      <w:r>
        <w:rPr>
          <w:rFonts w:ascii="Times New Roman" w:cs="Times New Roman" w:eastAsia="Times New Roman" w:hAnsi="Times New Roman"/>
          <w:sz w:val="17"/>
          <w:szCs w:val="17"/>
          <w:color w:val="auto"/>
        </w:rPr>
        <w:t>Date: March 5,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45720</wp:posOffset>
            </wp:positionV>
            <wp:extent cx="31311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Marcio Souza</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342" w:lineRule="exact"/>
        <w:rPr>
          <w:sz w:val="20"/>
          <w:szCs w:val="20"/>
          <w:color w:val="auto"/>
        </w:rPr>
      </w:pPr>
    </w:p>
    <w:p>
      <w:pPr>
        <w:ind w:left="20"/>
        <w:spacing w:after="0"/>
        <w:tabs>
          <w:tab w:leader="none" w:pos="5580" w:val="left"/>
          <w:tab w:leader="none" w:pos="7740" w:val="left"/>
        </w:tabs>
        <w:rPr>
          <w:sz w:val="20"/>
          <w:szCs w:val="20"/>
          <w:color w:val="auto"/>
        </w:rPr>
      </w:pPr>
      <w:r>
        <w:rPr>
          <w:rFonts w:ascii="Times New Roman" w:cs="Times New Roman" w:eastAsia="Times New Roman" w:hAnsi="Times New Roman"/>
          <w:sz w:val="17"/>
          <w:szCs w:val="17"/>
          <w:color w:val="auto"/>
        </w:rPr>
        <w:t>Date: March 5,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45720</wp:posOffset>
            </wp:positionV>
            <wp:extent cx="31311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73"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Timothy Kelly</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8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378" w:right="339" w:bottom="1440" w:gutter="0" w:footer="0" w:header="0"/>
        </w:sectPr>
      </w:pPr>
    </w:p>
    <w:bookmarkStart w:id="179" w:name="page180"/>
    <w:bookmarkEnd w:id="179"/>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PRAXIS PRECISION MEDICINES,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POLICY FOR RECOVERY OF ERRONEOUSLY AWARDED COMPENSATION</w:t>
      </w:r>
    </w:p>
    <w:p>
      <w:pPr>
        <w:spacing w:after="0" w:line="150" w:lineRule="exact"/>
        <w:rPr>
          <w:sz w:val="20"/>
          <w:szCs w:val="20"/>
          <w:color w:val="auto"/>
        </w:rPr>
      </w:pPr>
    </w:p>
    <w:p>
      <w:pPr>
        <w:jc w:val="both"/>
        <w:ind w:firstLine="629"/>
        <w:spacing w:after="0" w:line="231" w:lineRule="auto"/>
        <w:rPr>
          <w:sz w:val="20"/>
          <w:szCs w:val="20"/>
          <w:color w:val="auto"/>
        </w:rPr>
      </w:pPr>
      <w:r>
        <w:rPr>
          <w:rFonts w:ascii="Times New Roman" w:cs="Times New Roman" w:eastAsia="Times New Roman" w:hAnsi="Times New Roman"/>
          <w:sz w:val="21"/>
          <w:szCs w:val="21"/>
          <w:color w:val="auto"/>
        </w:rPr>
        <w:t>Praxis Precision Medicines,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adopted this Policy for Recovery of Erroneously Awarded Compensation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effective as of September 19,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xml:space="preserve">”). Capitalized terms used in this Policy but not otherwise defined herein are defined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640" w:hanging="635"/>
        <w:spacing w:after="0"/>
        <w:tabs>
          <w:tab w:leader="none" w:pos="640"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Persons Subject to Policy</w:t>
      </w:r>
    </w:p>
    <w:p>
      <w:pPr>
        <w:spacing w:after="0" w:line="182" w:lineRule="exact"/>
        <w:rPr>
          <w:sz w:val="20"/>
          <w:szCs w:val="20"/>
          <w:color w:val="auto"/>
        </w:rPr>
      </w:pPr>
    </w:p>
    <w:p>
      <w:pPr>
        <w:jc w:val="both"/>
        <w:ind w:right="1360" w:firstLine="416"/>
        <w:spacing w:after="0" w:line="265" w:lineRule="auto"/>
        <w:rPr>
          <w:sz w:val="20"/>
          <w:szCs w:val="20"/>
          <w:color w:val="auto"/>
        </w:rPr>
      </w:pPr>
      <w:r>
        <w:rPr>
          <w:rFonts w:ascii="Times New Roman" w:cs="Times New Roman" w:eastAsia="Times New Roman" w:hAnsi="Times New Roman"/>
          <w:sz w:val="20"/>
          <w:szCs w:val="20"/>
          <w:color w:val="auto"/>
        </w:rPr>
        <w:t>This Policy shall apply to current and former Officers of the Company. Each Officer shall be required to sign an acknowledgment pursuant to which such Officer will agree to be bound by the terms of, and comply with, this Policy.</w:t>
      </w:r>
    </w:p>
    <w:p>
      <w:pPr>
        <w:spacing w:after="0" w:line="118" w:lineRule="exact"/>
        <w:rPr>
          <w:sz w:val="20"/>
          <w:szCs w:val="20"/>
          <w:color w:val="auto"/>
        </w:rPr>
      </w:pPr>
    </w:p>
    <w:p>
      <w:pPr>
        <w:ind w:left="640" w:hanging="635"/>
        <w:spacing w:after="0"/>
        <w:tabs>
          <w:tab w:leader="none" w:pos="640"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Compensation Subject to Policy</w:t>
      </w:r>
    </w:p>
    <w:p>
      <w:pPr>
        <w:spacing w:after="0" w:line="182"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43" w:lineRule="exact"/>
        <w:rPr>
          <w:sz w:val="20"/>
          <w:szCs w:val="20"/>
          <w:color w:val="auto"/>
        </w:rPr>
      </w:pPr>
    </w:p>
    <w:p>
      <w:pPr>
        <w:ind w:left="680" w:hanging="675"/>
        <w:spacing w:after="0"/>
        <w:tabs>
          <w:tab w:leader="none" w:pos="680" w:val="left"/>
        </w:tabs>
        <w:numPr>
          <w:ilvl w:val="0"/>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Recovery of Compensation</w:t>
      </w:r>
    </w:p>
    <w:p>
      <w:pPr>
        <w:spacing w:after="0" w:line="182" w:lineRule="exact"/>
        <w:rPr>
          <w:sz w:val="20"/>
          <w:szCs w:val="20"/>
          <w:color w:val="auto"/>
        </w:rPr>
      </w:pPr>
    </w:p>
    <w:p>
      <w:pPr>
        <w:jc w:val="both"/>
        <w:ind w:firstLine="629"/>
        <w:spacing w:after="0" w:line="230" w:lineRule="auto"/>
        <w:rPr>
          <w:sz w:val="20"/>
          <w:szCs w:val="20"/>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w:t>
      </w:r>
    </w:p>
    <w:p>
      <w:pPr>
        <w:spacing w:after="0" w:line="141" w:lineRule="exact"/>
        <w:rPr>
          <w:sz w:val="20"/>
          <w:szCs w:val="20"/>
          <w:color w:val="auto"/>
        </w:rPr>
      </w:pPr>
    </w:p>
    <w:p>
      <w:pPr>
        <w:ind w:left="680" w:hanging="675"/>
        <w:spacing w:after="0"/>
        <w:tabs>
          <w:tab w:leader="none" w:pos="680" w:val="left"/>
        </w:tabs>
        <w:numPr>
          <w:ilvl w:val="0"/>
          <w:numId w:val="1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Manner of Recovery; Limitation on Duplicative Recovery</w:t>
      </w:r>
    </w:p>
    <w:p>
      <w:pPr>
        <w:spacing w:after="0" w:line="182" w:lineRule="exact"/>
        <w:rPr>
          <w:sz w:val="20"/>
          <w:szCs w:val="20"/>
          <w:color w:val="auto"/>
        </w:rPr>
      </w:pPr>
    </w:p>
    <w:p>
      <w:pPr>
        <w:jc w:val="both"/>
        <w:ind w:firstLine="629"/>
        <w:spacing w:after="0" w:line="223" w:lineRule="auto"/>
        <w:rPr>
          <w:sz w:val="20"/>
          <w:szCs w:val="20"/>
          <w:color w:val="auto"/>
        </w:rPr>
      </w:pPr>
      <w:r>
        <w:rPr>
          <w:rFonts w:ascii="Times New Roman" w:cs="Times New Roman" w:eastAsia="Times New Roman" w:hAnsi="Times New Roman"/>
          <w:sz w:val="20"/>
          <w:szCs w:val="20"/>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In the event that the Committee determines that an Officer shall repay Erroneously Awarded Compensation, the Committee shall provide written notice to such Officer by email or certified mail to the physical address on file with the Company, and the Officer shall satisfy such repayment in a manner and on such terms as required by the Committee. To the extent such notice does not specify the timing for repayment, the Officer shall repay the Erroneously Awarded Compensation to the Company by wire, cash, or cashier’s check no later than thirty (30) days after receipt of such notice.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(as defined in Section 8),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59" w:lineRule="exact"/>
        <w:rPr>
          <w:sz w:val="20"/>
          <w:szCs w:val="20"/>
          <w:color w:val="auto"/>
        </w:rPr>
      </w:pPr>
    </w:p>
    <w:p>
      <w:pPr>
        <w:ind w:left="380" w:hanging="375"/>
        <w:spacing w:after="0"/>
        <w:tabs>
          <w:tab w:leader="none" w:pos="380"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p>
    <w:p>
      <w:pPr>
        <w:spacing w:after="0" w:line="182" w:lineRule="exact"/>
        <w:rPr>
          <w:sz w:val="20"/>
          <w:szCs w:val="20"/>
          <w:color w:val="auto"/>
        </w:rPr>
      </w:pPr>
    </w:p>
    <w:p>
      <w:pPr>
        <w:jc w:val="both"/>
        <w:ind w:firstLine="629"/>
        <w:spacing w:after="0" w:line="216"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stockholders and employees. The Committee may delegate administrative duties with respect to this Policy to one or more directors or employees of the Company, as permitted under applicable law, including any Applicable Rules.</w:t>
      </w:r>
    </w:p>
    <w:p>
      <w:pPr>
        <w:spacing w:after="0" w:line="146" w:lineRule="exact"/>
        <w:rPr>
          <w:sz w:val="20"/>
          <w:szCs w:val="20"/>
          <w:color w:val="auto"/>
        </w:rPr>
      </w:pPr>
    </w:p>
    <w:p>
      <w:pPr>
        <w:ind w:left="680" w:hanging="675"/>
        <w:spacing w:after="0"/>
        <w:tabs>
          <w:tab w:leader="none" w:pos="680" w:val="left"/>
        </w:tabs>
        <w:numPr>
          <w:ilvl w:val="0"/>
          <w:numId w:val="1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Interpretation</w:t>
      </w:r>
    </w:p>
    <w:p>
      <w:pPr>
        <w:spacing w:after="0" w:line="182" w:lineRule="exact"/>
        <w:rPr>
          <w:sz w:val="20"/>
          <w:szCs w:val="20"/>
          <w:color w:val="auto"/>
        </w:rPr>
      </w:pPr>
    </w:p>
    <w:p>
      <w:pPr>
        <w:jc w:val="both"/>
        <w:ind w:firstLine="629"/>
        <w:spacing w:after="0" w:line="230" w:lineRule="auto"/>
        <w:rPr>
          <w:sz w:val="20"/>
          <w:szCs w:val="20"/>
          <w:color w:val="auto"/>
        </w:rPr>
      </w:pPr>
      <w:r>
        <w:rPr>
          <w:rFonts w:ascii="Times New Roman" w:cs="Times New Roman" w:eastAsia="Times New Roman" w:hAnsi="Times New Roman"/>
          <w:sz w:val="21"/>
          <w:szCs w:val="21"/>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41" w:lineRule="exact"/>
        <w:rPr>
          <w:sz w:val="20"/>
          <w:szCs w:val="20"/>
          <w:color w:val="auto"/>
        </w:rPr>
      </w:pPr>
    </w:p>
    <w:p>
      <w:pPr>
        <w:ind w:left="680" w:hanging="675"/>
        <w:spacing w:after="0"/>
        <w:tabs>
          <w:tab w:leader="none" w:pos="680" w:val="left"/>
        </w:tabs>
        <w:numPr>
          <w:ilvl w:val="0"/>
          <w:numId w:val="1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Indemnification; No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-7620</wp:posOffset>
            </wp:positionV>
            <wp:extent cx="19024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162" w:lineRule="exact"/>
        <w:rPr>
          <w:sz w:val="20"/>
          <w:szCs w:val="20"/>
          <w:color w:val="auto"/>
        </w:rPr>
      </w:pPr>
    </w:p>
    <w:p>
      <w:pPr>
        <w:jc w:val="both"/>
        <w:ind w:firstLine="629"/>
        <w:spacing w:after="0" w:line="221" w:lineRule="auto"/>
        <w:rPr>
          <w:sz w:val="20"/>
          <w:szCs w:val="20"/>
          <w:color w:val="auto"/>
        </w:rPr>
      </w:pPr>
      <w:r>
        <w:rPr>
          <w:rFonts w:ascii="Times New Roman" w:cs="Times New Roman" w:eastAsia="Times New Roman" w:hAnsi="Times New Roman"/>
          <w:sz w:val="21"/>
          <w:szCs w:val="21"/>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43" w:lineRule="exact"/>
        <w:rPr>
          <w:sz w:val="20"/>
          <w:szCs w:val="20"/>
          <w:color w:val="auto"/>
        </w:rPr>
      </w:pPr>
    </w:p>
    <w:p>
      <w:pPr>
        <w:ind w:left="300" w:hanging="295"/>
        <w:spacing w:after="0"/>
        <w:tabs>
          <w:tab w:leader="none" w:pos="300" w:val="left"/>
        </w:tabs>
        <w:numPr>
          <w:ilvl w:val="0"/>
          <w:numId w:val="1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Application; Enforceability</w:t>
      </w:r>
    </w:p>
    <w:p>
      <w:pPr>
        <w:spacing w:after="0" w:line="182" w:lineRule="exact"/>
        <w:rPr>
          <w:sz w:val="20"/>
          <w:szCs w:val="20"/>
          <w:color w:val="auto"/>
        </w:rPr>
      </w:pPr>
    </w:p>
    <w:p>
      <w:pPr>
        <w:jc w:val="both"/>
        <w:ind w:firstLine="629"/>
        <w:spacing w:after="0" w:line="219" w:lineRule="auto"/>
        <w:rPr>
          <w:sz w:val="20"/>
          <w:szCs w:val="20"/>
          <w:color w:val="auto"/>
        </w:rPr>
      </w:pPr>
      <w:r>
        <w:rPr>
          <w:rFonts w:ascii="Times New Roman" w:cs="Times New Roman" w:eastAsia="Times New Roman" w:hAnsi="Times New Roman"/>
          <w:sz w:val="21"/>
          <w:szCs w:val="21"/>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1"/>
          <w:szCs w:val="21"/>
          <w:b w:val="1"/>
          <w:bCs w:val="1"/>
          <w:i w:val="1"/>
          <w:iCs w:val="1"/>
          <w:color w:val="auto"/>
        </w:rPr>
        <w:t>Other Recovery Arrangements</w:t>
      </w:r>
      <w:r>
        <w:rPr>
          <w:rFonts w:ascii="Times New Roman" w:cs="Times New Roman" w:eastAsia="Times New Roman" w:hAnsi="Times New Roman"/>
          <w:sz w:val="21"/>
          <w:szCs w:val="21"/>
          <w:color w:val="auto"/>
        </w:rPr>
        <w:t>”). The remedy specified in this Policy shall not be exclusive and shall be in addition to every other right or remedy at law or in equity that may be available to the Company or an affiliate of the Company.</w:t>
      </w:r>
    </w:p>
    <w:p>
      <w:pPr>
        <w:spacing w:after="0" w:line="143" w:lineRule="exact"/>
        <w:rPr>
          <w:sz w:val="20"/>
          <w:szCs w:val="20"/>
          <w:color w:val="auto"/>
        </w:rPr>
      </w:pPr>
    </w:p>
    <w:p>
      <w:pPr>
        <w:ind w:left="640" w:hanging="635"/>
        <w:spacing w:after="0"/>
        <w:tabs>
          <w:tab w:leader="none" w:pos="640" w:val="left"/>
        </w:tabs>
        <w:numPr>
          <w:ilvl w:val="0"/>
          <w:numId w:val="1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Severability</w:t>
      </w:r>
    </w:p>
    <w:p>
      <w:pPr>
        <w:spacing w:after="0" w:line="182" w:lineRule="exact"/>
        <w:rPr>
          <w:sz w:val="20"/>
          <w:szCs w:val="20"/>
          <w:color w:val="auto"/>
        </w:rPr>
      </w:pPr>
    </w:p>
    <w:p>
      <w:pPr>
        <w:jc w:val="both"/>
        <w:ind w:firstLine="629"/>
        <w:spacing w:after="0" w:line="224" w:lineRule="auto"/>
        <w:rPr>
          <w:sz w:val="20"/>
          <w:szCs w:val="20"/>
          <w:color w:val="auto"/>
        </w:rPr>
      </w:pPr>
      <w:r>
        <w:rPr>
          <w:rFonts w:ascii="Times New Roman" w:cs="Times New Roman" w:eastAsia="Times New Roman" w:hAnsi="Times New Roman"/>
          <w:sz w:val="21"/>
          <w:szCs w:val="21"/>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44" w:lineRule="exact"/>
        <w:rPr>
          <w:sz w:val="20"/>
          <w:szCs w:val="20"/>
          <w:color w:val="auto"/>
        </w:rPr>
      </w:pPr>
    </w:p>
    <w:p>
      <w:pPr>
        <w:ind w:left="480" w:hanging="475"/>
        <w:spacing w:after="0"/>
        <w:tabs>
          <w:tab w:leader="none" w:pos="480" w:val="left"/>
        </w:tabs>
        <w:numPr>
          <w:ilvl w:val="0"/>
          <w:numId w:val="1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and Termination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63" w:lineRule="exact"/>
        <w:rPr>
          <w:sz w:val="20"/>
          <w:szCs w:val="20"/>
          <w:color w:val="auto"/>
        </w:rPr>
      </w:pPr>
    </w:p>
    <w:p>
      <w:pPr>
        <w:jc w:val="both"/>
        <w:ind w:firstLine="629"/>
        <w:spacing w:after="0" w:line="230" w:lineRule="auto"/>
        <w:rPr>
          <w:sz w:val="20"/>
          <w:szCs w:val="20"/>
          <w:color w:val="auto"/>
        </w:rPr>
      </w:pPr>
      <w:r>
        <w:rPr>
          <w:rFonts w:ascii="Times New Roman" w:cs="Times New Roman" w:eastAsia="Times New Roman" w:hAnsi="Times New Roman"/>
          <w:sz w:val="21"/>
          <w:szCs w:val="21"/>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41" w:lineRule="exact"/>
        <w:rPr>
          <w:sz w:val="20"/>
          <w:szCs w:val="20"/>
          <w:color w:val="auto"/>
        </w:rPr>
      </w:pPr>
    </w:p>
    <w:p>
      <w:pPr>
        <w:ind w:left="620" w:hanging="615"/>
        <w:spacing w:after="0"/>
        <w:tabs>
          <w:tab w:leader="none" w:pos="620" w:val="left"/>
        </w:tabs>
        <w:numPr>
          <w:ilvl w:val="0"/>
          <w:numId w:val="12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178" w:lineRule="exact"/>
        <w:rPr>
          <w:sz w:val="20"/>
          <w:szCs w:val="20"/>
          <w:color w:val="auto"/>
        </w:rPr>
      </w:pPr>
    </w:p>
    <w:p>
      <w:pPr>
        <w:ind w:right="100" w:firstLine="629"/>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Rules</w:t>
      </w:r>
      <w:r>
        <w:rPr>
          <w:rFonts w:ascii="Times New Roman" w:cs="Times New Roman" w:eastAsia="Times New Roman" w:hAnsi="Times New Roman"/>
          <w:sz w:val="21"/>
          <w:szCs w:val="21"/>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44" w:lineRule="exact"/>
        <w:rPr>
          <w:sz w:val="20"/>
          <w:szCs w:val="20"/>
          <w:color w:val="auto"/>
        </w:rPr>
      </w:pPr>
    </w:p>
    <w:p>
      <w:pPr>
        <w:jc w:val="both"/>
        <w:ind w:firstLine="62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Compensation Committee of the Board comprised of independent directors, or in the absence of such a committee, a majority of the independent directors serving on the Board.</w:t>
      </w:r>
    </w:p>
    <w:p>
      <w:pPr>
        <w:spacing w:after="0" w:line="136" w:lineRule="exact"/>
        <w:rPr>
          <w:sz w:val="20"/>
          <w:szCs w:val="20"/>
          <w:color w:val="auto"/>
        </w:rPr>
      </w:pPr>
    </w:p>
    <w:p>
      <w:pPr>
        <w:jc w:val="both"/>
        <w:ind w:firstLine="629"/>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Erroneously Awarded Compensation</w:t>
      </w:r>
      <w:r>
        <w:rPr>
          <w:rFonts w:ascii="Times New Roman" w:cs="Times New Roman" w:eastAsia="Times New Roman" w:hAnsi="Times New Roman"/>
          <w:sz w:val="21"/>
          <w:szCs w:val="21"/>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78" w:lineRule="exact"/>
        <w:rPr>
          <w:sz w:val="20"/>
          <w:szCs w:val="20"/>
          <w:color w:val="auto"/>
        </w:rPr>
      </w:pPr>
    </w:p>
    <w:p>
      <w:pPr>
        <w:jc w:val="both"/>
        <w:ind w:firstLine="629"/>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both GAAP and non-GAAP financial measures, as well as stock price and total stockholder return.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means United States generally accepted accounting principles.</w:t>
      </w:r>
    </w:p>
    <w:p>
      <w:pPr>
        <w:spacing w:after="0" w:line="178" w:lineRule="exact"/>
        <w:rPr>
          <w:sz w:val="20"/>
          <w:szCs w:val="20"/>
          <w:color w:val="auto"/>
        </w:rPr>
      </w:pPr>
    </w:p>
    <w:p>
      <w:pPr>
        <w:jc w:val="both"/>
        <w:ind w:firstLine="629"/>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Impracticable</w:t>
      </w:r>
      <w:r>
        <w:rPr>
          <w:rFonts w:ascii="Times New Roman" w:cs="Times New Roman" w:eastAsia="Times New Roman" w:hAnsi="Times New Roman"/>
          <w:sz w:val="21"/>
          <w:szCs w:val="21"/>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42" w:lineRule="exact"/>
        <w:rPr>
          <w:sz w:val="20"/>
          <w:szCs w:val="20"/>
          <w:color w:val="auto"/>
        </w:rPr>
      </w:pPr>
    </w:p>
    <w:p>
      <w:pPr>
        <w:jc w:val="both"/>
        <w:ind w:firstLine="629"/>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59" w:lineRule="exact"/>
        <w:rPr>
          <w:sz w:val="20"/>
          <w:szCs w:val="20"/>
          <w:color w:val="auto"/>
        </w:rPr>
      </w:pPr>
    </w:p>
    <w:p>
      <w:pPr>
        <w:jc w:val="both"/>
        <w:ind w:firstLine="629"/>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21"/>
          <w:szCs w:val="21"/>
          <w:color w:val="auto"/>
        </w:rPr>
        <w:t>” means each person who serves as an executive officer of the Company, as defined in Rule 10D-1(d) under the Exchange Act.</w:t>
      </w:r>
    </w:p>
    <w:p>
      <w:pPr>
        <w:spacing w:after="0" w:line="136" w:lineRule="exact"/>
        <w:rPr>
          <w:sz w:val="20"/>
          <w:szCs w:val="20"/>
          <w:color w:val="auto"/>
        </w:rPr>
      </w:pPr>
    </w:p>
    <w:p>
      <w:pPr>
        <w:jc w:val="both"/>
        <w:ind w:firstLine="629"/>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44" w:lineRule="exact"/>
        <w:rPr>
          <w:sz w:val="20"/>
          <w:szCs w:val="20"/>
          <w:color w:val="auto"/>
        </w:rPr>
      </w:pPr>
    </w:p>
    <w:p>
      <w:pPr>
        <w:jc w:val="both"/>
        <w:ind w:firstLine="629"/>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Three-Year Period</w:t>
      </w:r>
      <w:r>
        <w:rPr>
          <w:rFonts w:ascii="Times New Roman" w:cs="Times New Roman" w:eastAsia="Times New Roman" w:hAnsi="Times New Roman"/>
          <w:sz w:val="21"/>
          <w:szCs w:val="21"/>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ACKNOWLEDGMENT AND CONSENT TO</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POLICY FOR RECOVERY OF ERRONEOUSLY AWARDED COMPENSATION</w:t>
      </w:r>
    </w:p>
    <w:p>
      <w:pPr>
        <w:spacing w:after="0" w:line="39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21"/>
          <w:szCs w:val="21"/>
          <w:color w:val="auto"/>
        </w:rPr>
        <w:t>The undersigned has received a copy of the Policy for Recovery of Erroneously Awarded Compensation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adopted by Praxis Precision Medicines,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0" w:right="420"/>
        <w:spacing w:after="0" w:line="265" w:lineRule="auto"/>
        <w:rPr>
          <w:sz w:val="20"/>
          <w:szCs w:val="20"/>
          <w:color w:val="auto"/>
        </w:rPr>
      </w:pPr>
      <w:r>
        <w:rPr>
          <w:rFonts w:ascii="Times New Roman" w:cs="Times New Roman" w:eastAsia="Times New Roman" w:hAnsi="Times New Roman"/>
          <w:sz w:val="20"/>
          <w:szCs w:val="20"/>
          <w:color w:val="auto"/>
        </w:rPr>
        <w:t>___________________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29" w:lineRule="auto"/>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29" w:lineRule="auto"/>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ectPr>
          <w:pgSz w:w="11900" w:h="16838" w:orient="portrait"/>
          <w:cols w:equalWidth="0" w:num="2">
            <w:col w:w="2480" w:space="720"/>
            <w:col w:w="80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1."/>
      <w:numFmt w:val="decimal"/>
      <w:start w:val="3"/>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lvl w:ilvl="1">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1"/>
      <w:numFmt w:val="bullet"/>
      <w:start w:val="1"/>
    </w:lvl>
  </w:abstractNum>
  <w:abstractNum w:abstractNumId="60">
    <w:nsid w:val="4A2AC315"/>
    <w:multiLevelType w:val="hybridMultilevel"/>
    <w:lvl w:ilvl="0">
      <w:lvlJc w:val="left"/>
      <w:lvlText w:val="1"/>
      <w:numFmt w:val="bullet"/>
      <w:start w:val="1"/>
    </w:lvl>
  </w:abstractNum>
  <w:abstractNum w:abstractNumId="61">
    <w:nsid w:val="39EE015C"/>
    <w:multiLevelType w:val="hybridMultilevel"/>
    <w:lvl w:ilvl="0">
      <w:lvlJc w:val="left"/>
      <w:lvlText w:val="1"/>
      <w:numFmt w:val="bullet"/>
      <w:start w:val="1"/>
    </w:lvl>
  </w:abstractNum>
  <w:abstractNum w:abstractNumId="62">
    <w:nsid w:val="57FC4FBB"/>
    <w:multiLevelType w:val="hybridMultilevel"/>
    <w:lvl w:ilvl="0">
      <w:lvlJc w:val="left"/>
      <w:lvlText w:val="1"/>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1."/>
      <w:numFmt w:val="decimal"/>
      <w:start w:val="2"/>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1."/>
      <w:numFmt w:val="decimal"/>
      <w:start w:val="8"/>
    </w:lvl>
  </w:abstractNum>
  <w:abstractNum w:abstractNumId="67">
    <w:nsid w:val="7F01579B"/>
    <w:multiLevelType w:val="hybridMultilevel"/>
    <w:lvl w:ilvl="0">
      <w:lvlJc w:val="left"/>
      <w:lvlText w:val="%1."/>
      <w:numFmt w:val="decimal"/>
      <w:start w:val="12"/>
    </w:lvl>
  </w:abstractNum>
  <w:abstractNum w:abstractNumId="68">
    <w:nsid w:val="49DA307D"/>
    <w:multiLevelType w:val="hybridMultilevel"/>
    <w:lvl w:ilvl="0">
      <w:lvlJc w:val="left"/>
      <w:lvlText w:val="(%1)"/>
      <w:numFmt w:val="lowerRoman"/>
      <w:start w:val="2"/>
    </w:lvl>
  </w:abstractNum>
  <w:abstractNum w:abstractNumId="69">
    <w:nsid w:val="7055A5F5"/>
    <w:multiLevelType w:val="hybridMultilevel"/>
    <w:lvl w:ilvl="0">
      <w:lvlJc w:val="left"/>
      <w:lvlText w:val="(%1)"/>
      <w:numFmt w:val="lowerLetter"/>
      <w:start w:val="1"/>
    </w:lvl>
  </w:abstractNum>
  <w:abstractNum w:abstractNumId="70">
    <w:nsid w:val="5FB8370B"/>
    <w:multiLevelType w:val="hybridMultilevel"/>
    <w:lvl w:ilvl="0">
      <w:lvlJc w:val="left"/>
      <w:lvlText w:val="(%1)"/>
      <w:numFmt w:val="decimal"/>
      <w:start w:val="1"/>
    </w:lvl>
  </w:abstractNum>
  <w:abstractNum w:abstractNumId="71">
    <w:nsid w:val="50801EE1"/>
    <w:multiLevelType w:val="hybridMultilevel"/>
    <w:lvl w:ilvl="0">
      <w:lvlJc w:val="left"/>
      <w:lvlText w:val="•"/>
      <w:numFmt w:val="bullet"/>
      <w:start w:val="1"/>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1)"/>
      <w:numFmt w:val="decimal"/>
      <w:start w:val="1"/>
    </w:lvl>
  </w:abstractNum>
  <w:abstractNum w:abstractNumId="74">
    <w:nsid w:val="6AA78F7F"/>
    <w:multiLevelType w:val="hybridMultilevel"/>
    <w:lvl w:ilvl="0">
      <w:lvlJc w:val="left"/>
      <w:lvlText w:val="(%1)"/>
      <w:numFmt w:val="upperLetter"/>
      <w:start w:val="2"/>
    </w:lvl>
  </w:abstractNum>
  <w:abstractNum w:abstractNumId="75">
    <w:nsid w:val="7672BD23"/>
    <w:multiLevelType w:val="hybridMultilevel"/>
    <w:lvl w:ilvl="0">
      <w:lvlJc w:val="left"/>
      <w:lvlText w:val="(%1)"/>
      <w:numFmt w:val="decimal"/>
      <w:start w:val="1"/>
    </w:lvl>
  </w:abstractNum>
  <w:abstractNum w:abstractNumId="76">
    <w:nsid w:val="6FC75AF8"/>
    <w:multiLevelType w:val="hybridMultilevel"/>
    <w:lvl w:ilvl="0">
      <w:lvlJc w:val="left"/>
      <w:lvlText w:val="(%1)"/>
      <w:numFmt w:val="decimal"/>
      <w:start w:val="1"/>
    </w:lvl>
  </w:abstractNum>
  <w:abstractNum w:abstractNumId="77">
    <w:nsid w:val="6A5F7029"/>
    <w:multiLevelType w:val="hybridMultilevel"/>
    <w:lvl w:ilvl="0">
      <w:lvlJc w:val="left"/>
      <w:lvlText w:val="(%1)"/>
      <w:numFmt w:val="decimal"/>
      <w:start w:val="3"/>
    </w:lvl>
  </w:abstractNum>
  <w:abstractNum w:abstractNumId="78">
    <w:nsid w:val="7D5E18F8"/>
    <w:multiLevelType w:val="hybridMultilevel"/>
    <w:lvl w:ilvl="0">
      <w:lvlJc w:val="left"/>
      <w:lvlText w:val="(%1)"/>
      <w:numFmt w:val="decimal"/>
      <w:start w:val="1"/>
    </w:lvl>
  </w:abstractNum>
  <w:abstractNum w:abstractNumId="79">
    <w:nsid w:val="5F3534A4"/>
    <w:multiLevelType w:val="hybridMultilevel"/>
    <w:lvl w:ilvl="0">
      <w:lvlJc w:val="left"/>
      <w:lvlText w:val="(%1)"/>
      <w:numFmt w:val="decimal"/>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1)"/>
      <w:numFmt w:val="decimal"/>
      <w:start w:val="3"/>
    </w:lvl>
  </w:abstractNum>
  <w:abstractNum w:abstractNumId="83">
    <w:nsid w:val="3FA62ACA"/>
    <w:multiLevelType w:val="hybridMultilevel"/>
    <w:lvl w:ilvl="0">
      <w:lvlJc w:val="left"/>
      <w:lvlText w:val="(%1)"/>
      <w:numFmt w:val="decimal"/>
      <w:start w:val="1"/>
    </w:lvl>
  </w:abstractNum>
  <w:abstractNum w:abstractNumId="84">
    <w:nsid w:val="14FCE74E"/>
    <w:multiLevelType w:val="hybridMultilevel"/>
    <w:lvl w:ilvl="0">
      <w:lvlJc w:val="left"/>
      <w:lvlText w:val="*"/>
      <w:numFmt w:val="bullet"/>
      <w:start w:val="1"/>
    </w:lvl>
  </w:abstractNum>
  <w:abstractNum w:abstractNumId="85">
    <w:nsid w:val="6A3DD3E8"/>
    <w:multiLevelType w:val="hybridMultilevel"/>
    <w:lvl w:ilvl="0">
      <w:lvlJc w:val="left"/>
      <w:lvlText w:val="**"/>
      <w:numFmt w:val="bullet"/>
      <w:start w:val="1"/>
    </w:lvl>
  </w:abstractNum>
  <w:abstractNum w:abstractNumId="86">
    <w:nsid w:val="71C91298"/>
    <w:multiLevelType w:val="hybridMultilevel"/>
    <w:lvl w:ilvl="0">
      <w:lvlJc w:val="left"/>
      <w:lvlText w:val="#"/>
      <w:numFmt w:val="bullet"/>
      <w:start w:val="1"/>
    </w:lvl>
  </w:abstractNum>
  <w:abstractNum w:abstractNumId="87">
    <w:nsid w:val="9DAF632"/>
    <w:multiLevelType w:val="hybridMultilevel"/>
    <w:lvl w:ilvl="0">
      <w:lvlJc w:val="left"/>
      <w:lvlText w:val="†"/>
      <w:numFmt w:val="bullet"/>
      <w:start w:val="1"/>
    </w:lvl>
  </w:abstractNum>
  <w:abstractNum w:abstractNumId="88">
    <w:nsid w:val="53299938"/>
    <w:multiLevelType w:val="hybridMultilevel"/>
    <w:lvl w:ilvl="0">
      <w:lvlJc w:val="left"/>
      <w:lvlText w:val="%1."/>
      <w:numFmt w:val="decimal"/>
      <w:start w:val="1"/>
    </w:lvl>
  </w:abstractNum>
  <w:abstractNum w:abstractNumId="89">
    <w:nsid w:val="1FBFE8E0"/>
    <w:multiLevelType w:val="hybridMultilevel"/>
    <w:lvl w:ilvl="0">
      <w:lvlJc w:val="left"/>
      <w:lvlText w:val="%1."/>
      <w:numFmt w:val="decimal"/>
      <w:start w:val="2"/>
    </w:lvl>
  </w:abstractNum>
  <w:abstractNum w:abstractNumId="90">
    <w:nsid w:val="5092CA79"/>
    <w:multiLevelType w:val="hybridMultilevel"/>
    <w:lvl w:ilvl="0">
      <w:lvlJc w:val="left"/>
      <w:lvlText w:val="%1."/>
      <w:numFmt w:val="decimal"/>
      <w:start w:val="1"/>
    </w:lvl>
  </w:abstractNum>
  <w:abstractNum w:abstractNumId="91">
    <w:nsid w:val="1D545C4D"/>
    <w:multiLevelType w:val="hybridMultilevel"/>
    <w:lvl w:ilvl="0">
      <w:lvlJc w:val="left"/>
      <w:lvlText w:val="%1."/>
      <w:numFmt w:val="decimal"/>
      <w:start w:val="3"/>
    </w:lvl>
  </w:abstractNum>
  <w:abstractNum w:abstractNumId="92">
    <w:nsid w:val="59ADEA3D"/>
    <w:multiLevelType w:val="hybridMultilevel"/>
    <w:lvl w:ilvl="0">
      <w:lvlJc w:val="left"/>
      <w:lvlText w:val="(%1)"/>
      <w:numFmt w:val="lowerRoman"/>
      <w:start w:val="1"/>
    </w:lvl>
    <w:lvl w:ilvl="1">
      <w:lvlJc w:val="left"/>
      <w:lvlText w:val="(%2)"/>
      <w:numFmt w:val="lowerLetter"/>
      <w:start w:val="1"/>
    </w:lvl>
  </w:abstractNum>
  <w:abstractNum w:abstractNumId="93">
    <w:nsid w:val="288F1A34"/>
    <w:multiLevelType w:val="hybridMultilevel"/>
    <w:lvl w:ilvl="0">
      <w:lvlJc w:val="left"/>
      <w:lvlText w:val="(%1)"/>
      <w:numFmt w:val="lowerRoman"/>
      <w:start w:val="3"/>
    </w:lvl>
  </w:abstractNum>
  <w:abstractNum w:abstractNumId="94">
    <w:nsid w:val="2A155DB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95">
    <w:nsid w:val="1D9F6E5F"/>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abstractNum>
  <w:abstractNum w:abstractNumId="96">
    <w:nsid w:val="97E1B4E"/>
    <w:multiLevelType w:val="hybridMultilevel"/>
    <w:lvl w:ilvl="0">
      <w:lvlJc w:val="left"/>
      <w:lvlText w:val="%1"/>
      <w:numFmt w:val="lowerRoman"/>
      <w:start w:val="1"/>
    </w:lvl>
    <w:lvl w:ilvl="1">
      <w:lvlJc w:val="left"/>
      <w:lvlText w:val="(%2)"/>
      <w:numFmt w:val="lowerLetter"/>
      <w:start w:val="3"/>
    </w:lvl>
  </w:abstractNum>
  <w:abstractNum w:abstractNumId="97">
    <w:nsid w:val="51088277"/>
    <w:multiLevelType w:val="hybridMultilevel"/>
    <w:lvl w:ilvl="0">
      <w:lvlJc w:val="left"/>
      <w:lvlText w:val="(%1)"/>
      <w:numFmt w:val="lowerRoman"/>
      <w:start w:val="1"/>
    </w:lvl>
    <w:lvl w:ilvl="1">
      <w:lvlJc w:val="left"/>
      <w:lvlText w:val="(%2)"/>
      <w:numFmt w:val="lowerLetter"/>
      <w:start w:val="1"/>
    </w:lvl>
  </w:abstractNum>
  <w:abstractNum w:abstractNumId="98">
    <w:nsid w:val="1CA0C5FA"/>
    <w:multiLevelType w:val="hybridMultilevel"/>
    <w:lvl w:ilvl="0">
      <w:lvlJc w:val="left"/>
      <w:lvlText w:val="(%1)"/>
      <w:numFmt w:val="lowerLetter"/>
      <w:start w:val="2"/>
    </w:lvl>
  </w:abstractNum>
  <w:abstractNum w:abstractNumId="99">
    <w:nsid w:val="53584BCB"/>
    <w:multiLevelType w:val="hybridMultilevel"/>
    <w:lvl w:ilvl="0">
      <w:lvlJc w:val="left"/>
      <w:lvlText w:val="(%1)"/>
      <w:numFmt w:val="lowerRoman"/>
      <w:start w:val="1"/>
    </w:lvl>
  </w:abstractNum>
  <w:abstractNum w:abstractNumId="100">
    <w:nsid w:val="415E286C"/>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2"/>
    </w:lvl>
  </w:abstractNum>
  <w:abstractNum w:abstractNumId="101">
    <w:nsid w:val="7C58FD05"/>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1"/>
    </w:lvl>
  </w:abstractNum>
  <w:abstractNum w:abstractNumId="102">
    <w:nsid w:val="23D86AAC"/>
    <w:multiLevelType w:val="hybridMultilevel"/>
    <w:lvl w:ilvl="0">
      <w:lvlJc w:val="left"/>
      <w:lvlText w:val="%1."/>
      <w:numFmt w:val="decimal"/>
      <w:start w:val="5"/>
    </w:lvl>
  </w:abstractNum>
  <w:abstractNum w:abstractNumId="103">
    <w:nsid w:val="45E6D486"/>
    <w:multiLevelType w:val="hybridMultilevel"/>
    <w:lvl w:ilvl="0">
      <w:lvlJc w:val="left"/>
      <w:lvlText w:val="%1."/>
      <w:numFmt w:val="decimal"/>
      <w:start w:val="6"/>
    </w:lvl>
  </w:abstractNum>
  <w:abstractNum w:abstractNumId="104">
    <w:nsid w:val="5C10FE21"/>
    <w:multiLevelType w:val="hybridMultilevel"/>
    <w:lvl w:ilvl="0">
      <w:lvlJc w:val="left"/>
      <w:lvlText w:val="%1."/>
      <w:numFmt w:val="decimal"/>
      <w:start w:val="7"/>
    </w:lvl>
  </w:abstractNum>
  <w:abstractNum w:abstractNumId="105">
    <w:nsid w:val="E7FFA2B"/>
    <w:multiLevelType w:val="hybridMultilevel"/>
    <w:lvl w:ilvl="0">
      <w:lvlJc w:val="left"/>
      <w:lvlText w:val="%1."/>
      <w:numFmt w:val="decimal"/>
      <w:start w:val="8"/>
    </w:lvl>
  </w:abstractNum>
  <w:abstractNum w:abstractNumId="106">
    <w:nsid w:val="3C5991AA"/>
    <w:multiLevelType w:val="hybridMultilevel"/>
    <w:lvl w:ilvl="0">
      <w:lvlJc w:val="left"/>
      <w:lvlText w:val="%1."/>
      <w:numFmt w:val="decimal"/>
      <w:start w:val="9"/>
    </w:lvl>
  </w:abstractNum>
  <w:abstractNum w:abstractNumId="107">
    <w:nsid w:val="4BD8591A"/>
    <w:multiLevelType w:val="hybridMultilevel"/>
    <w:lvl w:ilvl="0">
      <w:lvlJc w:val="left"/>
      <w:lvlText w:val="(%1)"/>
      <w:numFmt w:val="decimal"/>
      <w:start w:val="1"/>
    </w:lvl>
  </w:abstractNum>
  <w:abstractNum w:abstractNumId="108">
    <w:nsid w:val="78DF6A5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9">
    <w:nsid w:val="39B7AAA2"/>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10">
    <w:nsid w:val="2B0D8DBE"/>
    <w:multiLevelType w:val="hybridMultilevel"/>
    <w:lvl w:ilvl="0">
      <w:lvlJc w:val="left"/>
      <w:lvlText w:val="(%1)"/>
      <w:numFmt w:val="decimal"/>
      <w:start w:val="1"/>
    </w:lvl>
  </w:abstractNum>
  <w:abstractNum w:abstractNumId="111">
    <w:nsid w:val="6C80EC70"/>
    <w:multiLevelType w:val="hybridMultilevel"/>
    <w:lvl w:ilvl="0">
      <w:lvlJc w:val="left"/>
      <w:lvlText w:val="%1."/>
      <w:numFmt w:val="decimal"/>
      <w:start w:val="1"/>
    </w:lvl>
  </w:abstractNum>
  <w:abstractNum w:abstractNumId="112">
    <w:nsid w:val="379E21B5"/>
    <w:multiLevelType w:val="hybridMultilevel"/>
    <w:lvl w:ilvl="0">
      <w:lvlJc w:val="left"/>
      <w:lvlText w:val="%1."/>
      <w:numFmt w:val="decimal"/>
      <w:start w:val="2"/>
    </w:lvl>
  </w:abstractNum>
  <w:abstractNum w:abstractNumId="113">
    <w:nsid w:val="69E373"/>
    <w:multiLevelType w:val="hybridMultilevel"/>
    <w:lvl w:ilvl="0">
      <w:lvlJc w:val="left"/>
      <w:lvlText w:val="%1."/>
      <w:numFmt w:val="decimal"/>
      <w:start w:val="3"/>
    </w:lvl>
  </w:abstractNum>
  <w:abstractNum w:abstractNumId="114">
    <w:nsid w:val="2C27173B"/>
    <w:multiLevelType w:val="hybridMultilevel"/>
    <w:lvl w:ilvl="0">
      <w:lvlJc w:val="left"/>
      <w:lvlText w:val="%1."/>
      <w:numFmt w:val="decimal"/>
      <w:start w:val="4"/>
    </w:lvl>
  </w:abstractNum>
  <w:abstractNum w:abstractNumId="115">
    <w:nsid w:val="4C9B0904"/>
    <w:multiLevelType w:val="hybridMultilevel"/>
    <w:lvl w:ilvl="0">
      <w:lvlJc w:val="left"/>
      <w:lvlText w:val="%1."/>
      <w:numFmt w:val="decimal"/>
      <w:start w:val="5"/>
    </w:lvl>
  </w:abstractNum>
  <w:abstractNum w:abstractNumId="116">
    <w:nsid w:val="6AA7B75C"/>
    <w:multiLevelType w:val="hybridMultilevel"/>
    <w:lvl w:ilvl="0">
      <w:lvlJc w:val="left"/>
      <w:lvlText w:val="%1."/>
      <w:numFmt w:val="decimal"/>
      <w:start w:val="6"/>
    </w:lvl>
  </w:abstractNum>
  <w:abstractNum w:abstractNumId="117">
    <w:nsid w:val="1DF029D3"/>
    <w:multiLevelType w:val="hybridMultilevel"/>
    <w:lvl w:ilvl="0">
      <w:lvlJc w:val="left"/>
      <w:lvlText w:val="%1."/>
      <w:numFmt w:val="decimal"/>
      <w:start w:val="7"/>
    </w:lvl>
  </w:abstractNum>
  <w:abstractNum w:abstractNumId="118">
    <w:nsid w:val="5675FF36"/>
    <w:multiLevelType w:val="hybridMultilevel"/>
    <w:lvl w:ilvl="0">
      <w:lvlJc w:val="left"/>
      <w:lvlText w:val="%1."/>
      <w:numFmt w:val="decimal"/>
      <w:start w:val="8"/>
    </w:lvl>
  </w:abstractNum>
  <w:abstractNum w:abstractNumId="119">
    <w:nsid w:val="3DD15094"/>
    <w:multiLevelType w:val="hybridMultilevel"/>
    <w:lvl w:ilvl="0">
      <w:lvlJc w:val="left"/>
      <w:lvlText w:val="%1."/>
      <w:numFmt w:val="decimal"/>
      <w:start w:val="9"/>
    </w:lvl>
  </w:abstractNum>
  <w:abstractNum w:abstractNumId="120">
    <w:nsid w:val="3DB012B3"/>
    <w:multiLevelType w:val="hybridMultilevel"/>
    <w:lvl w:ilvl="0">
      <w:lvlJc w:val="left"/>
      <w:lvlText w:val="%1."/>
      <w:numFmt w:val="decimal"/>
      <w:start w:val="10"/>
    </w:lvl>
  </w:abstractNum>
  <w:abstractNum w:abstractNumId="121">
    <w:nsid w:val="2708C9AF"/>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182" Type="http://schemas.openxmlformats.org/officeDocument/2006/relationships/hyperlink" Target="https://www.sec.gov/Archives/edgar/data/1689548/000119312520272877/d94620dex31.htm" TargetMode="External"/><Relationship Id="rId183" Type="http://schemas.openxmlformats.org/officeDocument/2006/relationships/hyperlink" Target="https://www.sec.gov/Archives/edgar/data/1689548/000168954823000162/exhibit31praxis-reversesto.htm" TargetMode="External"/><Relationship Id="rId184" Type="http://schemas.openxmlformats.org/officeDocument/2006/relationships/hyperlink" Target="https://www.sec.gov/Archives/edgar/data/1689548/000110465922002260/tm222120d1_ex3-1.htm" TargetMode="External"/><Relationship Id="rId185" Type="http://schemas.openxmlformats.org/officeDocument/2006/relationships/hyperlink" Target="https://www.sec.gov/Archives/edgar/data/1689548/000119312520266699/d945651dex41.htm" TargetMode="External"/><Relationship Id="rId186" Type="http://schemas.openxmlformats.org/officeDocument/2006/relationships/hyperlink" Target="https://www.sec.gov/Archives/edgar/data/1689548/000110465921133741/tm2131445d2_ex4-2.htm" TargetMode="External"/><Relationship Id="rId187" Type="http://schemas.openxmlformats.org/officeDocument/2006/relationships/hyperlink" Target="https://www.sec.gov/Archives/edgar/data/1689548/000168954822000014/exhibit43-descriptionofsec.htm" TargetMode="External"/><Relationship Id="rId188" Type="http://schemas.openxmlformats.org/officeDocument/2006/relationships/hyperlink" Target="https://www.sec.gov/Archives/edgar/data/1689548/000110465923072550/tm238261d5_ex4-1.htm" TargetMode="External"/><Relationship Id="rId189" Type="http://schemas.openxmlformats.org/officeDocument/2006/relationships/hyperlink" Target="https://www.sec.gov/Archives/edgar/data/1689548/000119312520266699/d945651dex101.htm" TargetMode="External"/><Relationship Id="rId190" Type="http://schemas.openxmlformats.org/officeDocument/2006/relationships/hyperlink" Target="https://www.sec.gov/Archives/edgar/data/1689548/000119312520254741/d945651dex102.htm" TargetMode="External"/><Relationship Id="rId191" Type="http://schemas.openxmlformats.org/officeDocument/2006/relationships/hyperlink" Target="https://www.sec.gov/Archives/edgar/data/1689548/000168954821000016/exhibit1032017plan.htm" TargetMode="External"/><Relationship Id="rId192" Type="http://schemas.openxmlformats.org/officeDocument/2006/relationships/hyperlink" Target="https://www.sec.gov/Archives/edgar/data/1689548/000119312520266699/d945651dex104.htm" TargetMode="External"/><Relationship Id="rId193" Type="http://schemas.openxmlformats.org/officeDocument/2006/relationships/hyperlink" Target="https://www.sec.gov/Archives/edgar/data/1689548/000119312520266699/d945651dex105.htm" TargetMode="External"/><Relationship Id="rId194" Type="http://schemas.openxmlformats.org/officeDocument/2006/relationships/hyperlink" Target="https://www.sec.gov/Archives/edgar/data/1689548/000119312520266699/d945651dex106.htm" TargetMode="External"/><Relationship Id="rId195" Type="http://schemas.openxmlformats.org/officeDocument/2006/relationships/hyperlink" Target="https://www.sec.gov/Archives/edgar/data/1689548/000119312520266699/d945651dex107.htm" TargetMode="External"/><Relationship Id="rId196" Type="http://schemas.openxmlformats.org/officeDocument/2006/relationships/hyperlink" Target="https://www.sec.gov/Archives/edgar/data/1689548/000119312520266699/d945651dex108.htm" TargetMode="External"/><Relationship Id="rId199" Type="http://schemas.openxmlformats.org/officeDocument/2006/relationships/hyperlink" Target="https://www.sec.gov/Archives/edgar/data/1689548/000119312520266699/d945651dex109.htm" TargetMode="External"/><Relationship Id="rId200" Type="http://schemas.openxmlformats.org/officeDocument/2006/relationships/hyperlink" Target="https://www.sec.gov/Archives/edgar/data/1689548/000119312520266699/d945651dex1010.htm" TargetMode="External"/><Relationship Id="rId201" Type="http://schemas.openxmlformats.org/officeDocument/2006/relationships/hyperlink" Target="https://www.sec.gov/Archives/edgar/data/1689548/000119312520266699/d945651dex1011.htm" TargetMode="External"/><Relationship Id="rId202" Type="http://schemas.openxmlformats.org/officeDocument/2006/relationships/hyperlink" Target="https://www.sec.gov/Archives/edgar/data/1689548/000110465924008806/tm244488d1_ex99-1.htm" TargetMode="External"/><Relationship Id="rId203" Type="http://schemas.openxmlformats.org/officeDocument/2006/relationships/hyperlink" Target="https://www.sec.gov/Archives/edgar/data/1689548/000168954822000014/exhibit1012.htm" TargetMode="External"/><Relationship Id="rId204" Type="http://schemas.openxmlformats.org/officeDocument/2006/relationships/hyperlink" Target="https://www.sec.gov/Archives/edgar/data/1689548/000168954823000044/exhibit1013-cfoemploymenta.htm" TargetMode="External"/><Relationship Id="rId205" Type="http://schemas.openxmlformats.org/officeDocument/2006/relationships/hyperlink" Target="https://www.sec.gov/Archives/edgar/data/1689548/000110465923035170/tm239181d2_ex10-1.htm" TargetMode="External"/><Relationship Id="rId206" Type="http://schemas.openxmlformats.org/officeDocument/2006/relationships/hyperlink" Target="https://www.sec.gov/Archives/edgar/data/1689548/000119312520254741/d945651dex1015.htm" TargetMode="External"/><Relationship Id="rId207" Type="http://schemas.openxmlformats.org/officeDocument/2006/relationships/hyperlink" Target="https://www.sec.gov/Archives/edgar/data/1689548/000119312520254741/d945651dex1016.htm" TargetMode="External"/><Relationship Id="rId208" Type="http://schemas.openxmlformats.org/officeDocument/2006/relationships/hyperlink" Target="https://www.sec.gov/Archives/edgar/data/1689548/000168954821000054/exhibit10120210527.htm" TargetMode="External"/><Relationship Id="rId209" Type="http://schemas.openxmlformats.org/officeDocument/2006/relationships/hyperlink" Target="https://www.sec.gov/Archives/edgar/data/1689548/000119312520254741/d94565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2024-03-05T06:25:01Z</dcterms:created>
  <dcterms:modified xsi:type="dcterms:W3CDTF">2024-03-05T06:25:01Z</dcterms:modified>
</cp:coreProperties>
</file>