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206375</wp:posOffset>
            </wp:positionH>
            <wp:positionV relativeFrom="page">
              <wp:posOffset>463550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430530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3275330</wp:posOffset>
            </wp:positionH>
            <wp:positionV relativeFrom="paragraph">
              <wp:posOffset>71755</wp:posOffset>
            </wp:positionV>
            <wp:extent cx="599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199"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3275330</wp:posOffset>
            </wp:positionH>
            <wp:positionV relativeFrom="paragraph">
              <wp:posOffset>135890</wp:posOffset>
            </wp:positionV>
            <wp:extent cx="599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6" w:lineRule="exact"/>
        <w:rPr>
          <w:sz w:val="24"/>
          <w:szCs w:val="24"/>
          <w:color w:val="auto"/>
        </w:rPr>
      </w:pPr>
    </w:p>
    <w:p>
      <w:pPr>
        <w:ind w:left="440" w:hanging="418"/>
        <w:spacing w:after="0"/>
        <w:tabs>
          <w:tab w:leader="none" w:pos="440" w:val="left"/>
        </w:tabs>
        <w:numPr>
          <w:ilvl w:val="0"/>
          <w:numId w:val="1"/>
        </w:numPr>
        <w:rPr>
          <w:rFonts w:ascii="MS PGothic" w:cs="MS PGothic" w:eastAsia="MS PGothic" w:hAnsi="MS PGothic"/>
          <w:sz w:val="21"/>
          <w:szCs w:val="2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March 31, 2021</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ind w:left="440" w:hanging="418"/>
        <w:spacing w:after="0" w:line="208" w:lineRule="auto"/>
        <w:tabs>
          <w:tab w:leader="none" w:pos="440" w:val="left"/>
        </w:tabs>
        <w:numPr>
          <w:ilvl w:val="0"/>
          <w:numId w:val="2"/>
        </w:numPr>
        <w:rPr>
          <w:rFonts w:ascii="MS PGothic" w:cs="MS PGothic" w:eastAsia="MS PGothic" w:hAnsi="MS PGothic"/>
          <w:sz w:val="42"/>
          <w:szCs w:val="42"/>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306" w:lineRule="exact"/>
        <w:rPr>
          <w:sz w:val="24"/>
          <w:szCs w:val="24"/>
          <w:color w:val="auto"/>
        </w:rPr>
      </w:pPr>
    </w:p>
    <w:p>
      <w:pPr>
        <w:ind w:left="3260"/>
        <w:spacing w:after="0"/>
        <w:tabs>
          <w:tab w:leader="none" w:pos="678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3666490</wp:posOffset>
            </wp:positionH>
            <wp:positionV relativeFrom="paragraph">
              <wp:posOffset>-635</wp:posOffset>
            </wp:positionV>
            <wp:extent cx="1399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3275330</wp:posOffset>
            </wp:positionH>
            <wp:positionV relativeFrom="paragraph">
              <wp:posOffset>98425</wp:posOffset>
            </wp:positionV>
            <wp:extent cx="599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35"/>
          <w:szCs w:val="35"/>
          <w:b w:val="1"/>
          <w:bCs w:val="1"/>
          <w:color w:val="auto"/>
        </w:rPr>
        <w:t>PRAXIS PRECISION MEDICINES,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3275330</wp:posOffset>
            </wp:positionH>
            <wp:positionV relativeFrom="paragraph">
              <wp:posOffset>118110</wp:posOffset>
            </wp:positionV>
            <wp:extent cx="599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292"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5160" w:type="dxa"/>
            <w:vAlign w:val="bottom"/>
            <w:gridSpan w:val="3"/>
          </w:tcPr>
          <w:p>
            <w:pPr>
              <w:jc w:val="center"/>
              <w:ind w:left="222"/>
              <w:spacing w:after="0"/>
              <w:rPr>
                <w:sz w:val="20"/>
                <w:szCs w:val="20"/>
                <w:color w:val="auto"/>
              </w:rPr>
            </w:pPr>
            <w:r>
              <w:rPr>
                <w:rFonts w:ascii="Arial" w:cs="Arial" w:eastAsia="Arial" w:hAnsi="Arial"/>
                <w:sz w:val="16"/>
                <w:szCs w:val="16"/>
                <w:b w:val="1"/>
                <w:bCs w:val="1"/>
                <w:color w:val="auto"/>
                <w:w w:val="99"/>
              </w:rPr>
              <w:t>Delaware</w:t>
            </w:r>
          </w:p>
        </w:tc>
        <w:tc>
          <w:tcPr>
            <w:tcW w:w="940" w:type="dxa"/>
            <w:vAlign w:val="bottom"/>
          </w:tcPr>
          <w:p>
            <w:pPr>
              <w:spacing w:after="0"/>
              <w:rPr>
                <w:sz w:val="18"/>
                <w:szCs w:val="18"/>
                <w:color w:val="auto"/>
              </w:rPr>
            </w:pPr>
          </w:p>
        </w:tc>
        <w:tc>
          <w:tcPr>
            <w:tcW w:w="5100" w:type="dxa"/>
            <w:vAlign w:val="bottom"/>
            <w:gridSpan w:val="3"/>
          </w:tcPr>
          <w:p>
            <w:pPr>
              <w:jc w:val="right"/>
              <w:ind w:right="2208"/>
              <w:spacing w:after="0"/>
              <w:rPr>
                <w:sz w:val="20"/>
                <w:szCs w:val="20"/>
                <w:color w:val="auto"/>
              </w:rPr>
            </w:pPr>
            <w:r>
              <w:rPr>
                <w:rFonts w:ascii="Arial" w:cs="Arial" w:eastAsia="Arial" w:hAnsi="Arial"/>
                <w:sz w:val="16"/>
                <w:szCs w:val="16"/>
                <w:b w:val="1"/>
                <w:bCs w:val="1"/>
                <w:color w:val="auto"/>
              </w:rPr>
              <w:t>47-5195942</w:t>
            </w:r>
          </w:p>
        </w:tc>
        <w:tc>
          <w:tcPr>
            <w:tcW w:w="0" w:type="dxa"/>
            <w:vAlign w:val="bottom"/>
          </w:tcPr>
          <w:p>
            <w:pPr>
              <w:spacing w:after="0"/>
              <w:rPr>
                <w:sz w:val="1"/>
                <w:szCs w:val="1"/>
                <w:color w:val="auto"/>
              </w:rPr>
            </w:pPr>
          </w:p>
        </w:tc>
      </w:tr>
      <w:tr>
        <w:trPr>
          <w:trHeight w:val="232"/>
        </w:trPr>
        <w:tc>
          <w:tcPr>
            <w:tcW w:w="5160" w:type="dxa"/>
            <w:vAlign w:val="bottom"/>
            <w:gridSpan w:val="3"/>
          </w:tcPr>
          <w:p>
            <w:pPr>
              <w:jc w:val="center"/>
              <w:ind w:left="222"/>
              <w:spacing w:after="0"/>
              <w:rPr>
                <w:sz w:val="20"/>
                <w:szCs w:val="20"/>
                <w:color w:val="auto"/>
              </w:rPr>
            </w:pPr>
            <w:r>
              <w:rPr>
                <w:rFonts w:ascii="Arial" w:cs="Arial" w:eastAsia="Arial" w:hAnsi="Arial"/>
                <w:sz w:val="14"/>
                <w:szCs w:val="14"/>
                <w:b w:val="1"/>
                <w:bCs w:val="1"/>
                <w:color w:val="auto"/>
                <w:w w:val="99"/>
              </w:rPr>
              <w:t>(State or other jurisdiction of incorporation or organization)</w:t>
            </w:r>
          </w:p>
        </w:tc>
        <w:tc>
          <w:tcPr>
            <w:tcW w:w="940" w:type="dxa"/>
            <w:vAlign w:val="bottom"/>
          </w:tcPr>
          <w:p>
            <w:pPr>
              <w:spacing w:after="0"/>
              <w:rPr>
                <w:sz w:val="20"/>
                <w:szCs w:val="20"/>
                <w:color w:val="auto"/>
              </w:rPr>
            </w:pPr>
          </w:p>
        </w:tc>
        <w:tc>
          <w:tcPr>
            <w:tcW w:w="5100" w:type="dxa"/>
            <w:vAlign w:val="bottom"/>
            <w:gridSpan w:val="3"/>
          </w:tcPr>
          <w:p>
            <w:pPr>
              <w:jc w:val="center"/>
              <w:ind w:right="208"/>
              <w:spacing w:after="0"/>
              <w:rPr>
                <w:sz w:val="20"/>
                <w:szCs w:val="20"/>
                <w:color w:val="auto"/>
              </w:rPr>
            </w:pPr>
            <w:r>
              <w:rPr>
                <w:rFonts w:ascii="Arial" w:cs="Arial" w:eastAsia="Arial" w:hAnsi="Arial"/>
                <w:sz w:val="16"/>
                <w:szCs w:val="16"/>
                <w:b w:val="1"/>
                <w:bCs w:val="1"/>
                <w:color w:val="auto"/>
                <w:w w:val="98"/>
              </w:rPr>
              <w:t>(I.R.S. Employer Identification No.)</w:t>
            </w:r>
          </w:p>
        </w:tc>
        <w:tc>
          <w:tcPr>
            <w:tcW w:w="0" w:type="dxa"/>
            <w:vAlign w:val="bottom"/>
          </w:tcPr>
          <w:p>
            <w:pPr>
              <w:spacing w:after="0"/>
              <w:rPr>
                <w:sz w:val="1"/>
                <w:szCs w:val="1"/>
                <w:color w:val="auto"/>
              </w:rPr>
            </w:pPr>
          </w:p>
        </w:tc>
      </w:tr>
      <w:tr>
        <w:trPr>
          <w:trHeight w:val="306"/>
        </w:trPr>
        <w:tc>
          <w:tcPr>
            <w:tcW w:w="5160" w:type="dxa"/>
            <w:vAlign w:val="bottom"/>
            <w:gridSpan w:val="3"/>
          </w:tcPr>
          <w:p>
            <w:pPr>
              <w:jc w:val="center"/>
              <w:ind w:left="222"/>
              <w:spacing w:after="0"/>
              <w:rPr>
                <w:sz w:val="20"/>
                <w:szCs w:val="20"/>
                <w:color w:val="auto"/>
              </w:rPr>
            </w:pPr>
            <w:r>
              <w:rPr>
                <w:rFonts w:ascii="Arial" w:cs="Arial" w:eastAsia="Arial" w:hAnsi="Arial"/>
                <w:sz w:val="16"/>
                <w:szCs w:val="16"/>
                <w:b w:val="1"/>
                <w:bCs w:val="1"/>
                <w:color w:val="auto"/>
                <w:w w:val="97"/>
              </w:rPr>
              <w:t>One Broadway, 16th Floor</w:t>
            </w: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60" w:type="dxa"/>
            <w:vAlign w:val="bottom"/>
            <w:gridSpan w:val="3"/>
          </w:tcPr>
          <w:p>
            <w:pPr>
              <w:jc w:val="center"/>
              <w:ind w:left="202"/>
              <w:spacing w:after="0"/>
              <w:rPr>
                <w:sz w:val="20"/>
                <w:szCs w:val="20"/>
                <w:color w:val="auto"/>
              </w:rPr>
            </w:pPr>
            <w:r>
              <w:rPr>
                <w:rFonts w:ascii="Arial" w:cs="Arial" w:eastAsia="Arial" w:hAnsi="Arial"/>
                <w:sz w:val="16"/>
                <w:szCs w:val="16"/>
                <w:b w:val="1"/>
                <w:bCs w:val="1"/>
                <w:color w:val="auto"/>
                <w:w w:val="98"/>
              </w:rPr>
              <w:t>Cambridge, MA</w:t>
            </w:r>
          </w:p>
        </w:tc>
        <w:tc>
          <w:tcPr>
            <w:tcW w:w="940" w:type="dxa"/>
            <w:vAlign w:val="bottom"/>
          </w:tcPr>
          <w:p>
            <w:pPr>
              <w:spacing w:after="0"/>
              <w:rPr>
                <w:sz w:val="18"/>
                <w:szCs w:val="18"/>
                <w:color w:val="auto"/>
              </w:rPr>
            </w:pPr>
          </w:p>
        </w:tc>
        <w:tc>
          <w:tcPr>
            <w:tcW w:w="5100" w:type="dxa"/>
            <w:vAlign w:val="bottom"/>
            <w:gridSpan w:val="3"/>
          </w:tcPr>
          <w:p>
            <w:pPr>
              <w:jc w:val="right"/>
              <w:ind w:right="2408"/>
              <w:spacing w:after="0"/>
              <w:rPr>
                <w:sz w:val="20"/>
                <w:szCs w:val="20"/>
                <w:color w:val="auto"/>
              </w:rPr>
            </w:pPr>
            <w:r>
              <w:rPr>
                <w:rFonts w:ascii="Arial" w:cs="Arial" w:eastAsia="Arial" w:hAnsi="Arial"/>
                <w:sz w:val="16"/>
                <w:szCs w:val="16"/>
                <w:b w:val="1"/>
                <w:bCs w:val="1"/>
                <w:color w:val="auto"/>
              </w:rPr>
              <w:t>02142</w:t>
            </w:r>
          </w:p>
        </w:tc>
        <w:tc>
          <w:tcPr>
            <w:tcW w:w="0" w:type="dxa"/>
            <w:vAlign w:val="bottom"/>
          </w:tcPr>
          <w:p>
            <w:pPr>
              <w:spacing w:after="0"/>
              <w:rPr>
                <w:sz w:val="1"/>
                <w:szCs w:val="1"/>
                <w:color w:val="auto"/>
              </w:rPr>
            </w:pPr>
          </w:p>
        </w:tc>
      </w:tr>
      <w:tr>
        <w:trPr>
          <w:trHeight w:val="193"/>
        </w:trPr>
        <w:tc>
          <w:tcPr>
            <w:tcW w:w="5160" w:type="dxa"/>
            <w:vAlign w:val="bottom"/>
            <w:gridSpan w:val="3"/>
          </w:tcPr>
          <w:p>
            <w:pPr>
              <w:jc w:val="center"/>
              <w:ind w:left="222"/>
              <w:spacing w:after="0"/>
              <w:rPr>
                <w:sz w:val="20"/>
                <w:szCs w:val="20"/>
                <w:color w:val="auto"/>
              </w:rPr>
            </w:pPr>
            <w:r>
              <w:rPr>
                <w:rFonts w:ascii="Arial" w:cs="Arial" w:eastAsia="Arial" w:hAnsi="Arial"/>
                <w:sz w:val="14"/>
                <w:szCs w:val="14"/>
                <w:b w:val="1"/>
                <w:bCs w:val="1"/>
                <w:color w:val="auto"/>
              </w:rPr>
              <w:t>(Address of principal executive offices)</w:t>
            </w:r>
          </w:p>
        </w:tc>
        <w:tc>
          <w:tcPr>
            <w:tcW w:w="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jc w:val="center"/>
              <w:ind w:right="1668"/>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90"/>
        </w:trPr>
        <w:tc>
          <w:tcPr>
            <w:tcW w:w="11200" w:type="dxa"/>
            <w:vAlign w:val="bottom"/>
            <w:gridSpan w:val="7"/>
          </w:tcPr>
          <w:p>
            <w:pPr>
              <w:jc w:val="center"/>
              <w:spacing w:after="0"/>
              <w:rPr>
                <w:sz w:val="20"/>
                <w:szCs w:val="20"/>
                <w:color w:val="auto"/>
              </w:rPr>
            </w:pPr>
            <w:r>
              <w:rPr>
                <w:rFonts w:ascii="Arial" w:cs="Arial" w:eastAsia="Arial" w:hAnsi="Arial"/>
                <w:sz w:val="17"/>
                <w:szCs w:val="17"/>
                <w:b w:val="1"/>
                <w:bCs w:val="1"/>
                <w:color w:val="auto"/>
              </w:rPr>
              <w:t>Registrant’s telephone number, including area code: 617-300-8460</w:t>
            </w:r>
          </w:p>
        </w:tc>
        <w:tc>
          <w:tcPr>
            <w:tcW w:w="0" w:type="dxa"/>
            <w:vAlign w:val="bottom"/>
          </w:tcPr>
          <w:p>
            <w:pPr>
              <w:spacing w:after="0"/>
              <w:rPr>
                <w:sz w:val="1"/>
                <w:szCs w:val="1"/>
                <w:color w:val="auto"/>
              </w:rPr>
            </w:pPr>
          </w:p>
        </w:tc>
      </w:tr>
      <w:tr>
        <w:trPr>
          <w:trHeight w:val="118"/>
        </w:trPr>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11200" w:type="dxa"/>
            <w:vAlign w:val="bottom"/>
            <w:gridSpan w:val="7"/>
          </w:tcPr>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63"/>
        </w:trPr>
        <w:tc>
          <w:tcPr>
            <w:tcW w:w="5160" w:type="dxa"/>
            <w:vAlign w:val="bottom"/>
            <w:gridSpan w:val="3"/>
            <w:vMerge w:val="restart"/>
          </w:tcPr>
          <w:p>
            <w:pPr>
              <w:jc w:val="center"/>
              <w:ind w:right="1520"/>
              <w:spacing w:after="0"/>
              <w:rPr>
                <w:sz w:val="20"/>
                <w:szCs w:val="20"/>
                <w:color w:val="auto"/>
              </w:rPr>
            </w:pPr>
            <w:r>
              <w:rPr>
                <w:rFonts w:ascii="Arial" w:cs="Arial" w:eastAsia="Arial" w:hAnsi="Arial"/>
                <w:sz w:val="14"/>
                <w:szCs w:val="14"/>
                <w:b w:val="1"/>
                <w:bCs w:val="1"/>
                <w:color w:val="auto"/>
                <w:w w:val="99"/>
              </w:rPr>
              <w:t>Title of each class</w:t>
            </w:r>
          </w:p>
        </w:tc>
        <w:tc>
          <w:tcPr>
            <w:tcW w:w="940" w:type="dxa"/>
            <w:vAlign w:val="bottom"/>
          </w:tcPr>
          <w:p>
            <w:pPr>
              <w:jc w:val="center"/>
              <w:ind w:right="7"/>
              <w:spacing w:after="0"/>
              <w:rPr>
                <w:sz w:val="20"/>
                <w:szCs w:val="20"/>
                <w:color w:val="auto"/>
              </w:rPr>
            </w:pPr>
            <w:r>
              <w:rPr>
                <w:rFonts w:ascii="Arial" w:cs="Arial" w:eastAsia="Arial" w:hAnsi="Arial"/>
                <w:sz w:val="14"/>
                <w:szCs w:val="14"/>
                <w:b w:val="1"/>
                <w:bCs w:val="1"/>
                <w:color w:val="auto"/>
                <w:w w:val="97"/>
              </w:rPr>
              <w:t>Trading</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9"/>
              </w:rPr>
              <w:t>Name of each exchange</w:t>
            </w:r>
          </w:p>
        </w:tc>
        <w:tc>
          <w:tcPr>
            <w:tcW w:w="0" w:type="dxa"/>
            <w:vAlign w:val="bottom"/>
          </w:tcPr>
          <w:p>
            <w:pPr>
              <w:spacing w:after="0"/>
              <w:rPr>
                <w:sz w:val="1"/>
                <w:szCs w:val="1"/>
                <w:color w:val="auto"/>
              </w:rPr>
            </w:pPr>
          </w:p>
        </w:tc>
      </w:tr>
      <w:tr>
        <w:trPr>
          <w:trHeight w:val="170"/>
        </w:trPr>
        <w:tc>
          <w:tcPr>
            <w:tcW w:w="5160" w:type="dxa"/>
            <w:vAlign w:val="bottom"/>
            <w:gridSpan w:val="3"/>
            <w:vMerge w:val="continue"/>
          </w:tcPr>
          <w:p>
            <w:pPr>
              <w:spacing w:after="0"/>
              <w:rPr>
                <w:sz w:val="14"/>
                <w:szCs w:val="14"/>
                <w:color w:val="auto"/>
              </w:rPr>
            </w:pPr>
          </w:p>
        </w:tc>
        <w:tc>
          <w:tcPr>
            <w:tcW w:w="940" w:type="dxa"/>
            <w:vAlign w:val="bottom"/>
          </w:tcPr>
          <w:p>
            <w:pPr>
              <w:jc w:val="center"/>
              <w:ind w:right="7"/>
              <w:spacing w:after="0"/>
              <w:rPr>
                <w:sz w:val="20"/>
                <w:szCs w:val="20"/>
                <w:color w:val="auto"/>
              </w:rPr>
            </w:pPr>
            <w:r>
              <w:rPr>
                <w:rFonts w:ascii="Arial" w:cs="Arial" w:eastAsia="Arial" w:hAnsi="Arial"/>
                <w:sz w:val="14"/>
                <w:szCs w:val="14"/>
                <w:b w:val="1"/>
                <w:bCs w:val="1"/>
                <w:color w:val="auto"/>
                <w:w w:val="97"/>
              </w:rPr>
              <w:t>Symbol(s)</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9"/>
              </w:rPr>
              <w:t>on which registered</w:t>
            </w:r>
          </w:p>
        </w:tc>
        <w:tc>
          <w:tcPr>
            <w:tcW w:w="0" w:type="dxa"/>
            <w:vAlign w:val="bottom"/>
          </w:tcPr>
          <w:p>
            <w:pPr>
              <w:spacing w:after="0"/>
              <w:rPr>
                <w:sz w:val="1"/>
                <w:szCs w:val="1"/>
                <w:color w:val="auto"/>
              </w:rPr>
            </w:pPr>
          </w:p>
        </w:tc>
      </w:tr>
      <w:tr>
        <w:trPr>
          <w:trHeight w:val="202"/>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Common Stock, par value $0.0001 per share</w:t>
            </w: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
              <w:spacing w:after="0"/>
              <w:rPr>
                <w:sz w:val="20"/>
                <w:szCs w:val="20"/>
                <w:color w:val="auto"/>
              </w:rPr>
            </w:pPr>
            <w:r>
              <w:rPr>
                <w:rFonts w:ascii="Arial" w:cs="Arial" w:eastAsia="Arial" w:hAnsi="Arial"/>
                <w:sz w:val="16"/>
                <w:szCs w:val="16"/>
                <w:b w:val="1"/>
                <w:bCs w:val="1"/>
                <w:color w:val="auto"/>
                <w:w w:val="94"/>
              </w:rPr>
              <w:t>PRAX</w:t>
            </w: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ind w:right="320" w:firstLine="433"/>
        <w:spacing w:after="0" w:line="19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jc w:val="both"/>
        <w:ind w:right="340" w:firstLine="433"/>
        <w:spacing w:after="0" w:line="23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84" w:lineRule="exact"/>
        <w:tabs>
          <w:tab w:leader="none" w:pos="540" w:val="left"/>
          <w:tab w:leader="none" w:pos="110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08" w:lineRule="exact"/>
        <w:rPr>
          <w:sz w:val="24"/>
          <w:szCs w:val="24"/>
          <w:color w:val="auto"/>
        </w:rPr>
      </w:pPr>
    </w:p>
    <w:p>
      <w:pPr>
        <w:jc w:val="both"/>
        <w:ind w:right="320" w:firstLine="433"/>
        <w:spacing w:after="0" w:line="2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20" w:type="dxa"/>
        <w:tblCellMar>
          <w:top w:w="0" w:type="dxa"/>
          <w:left w:w="0" w:type="dxa"/>
          <w:bottom w:w="0" w:type="dxa"/>
          <w:right w:w="0" w:type="dxa"/>
        </w:tblCellMar>
      </w:tblPr>
      <w:tr>
        <w:trPr>
          <w:trHeight w:val="274"/>
        </w:trPr>
        <w:tc>
          <w:tcPr>
            <w:tcW w:w="1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30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8"/>
        </w:trPr>
        <w:tc>
          <w:tcPr>
            <w:tcW w:w="18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30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8"/>
        </w:trPr>
        <w:tc>
          <w:tcPr>
            <w:tcW w:w="1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30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84" w:lineRule="exact"/>
        <w:rPr>
          <w:sz w:val="24"/>
          <w:szCs w:val="24"/>
          <w:color w:val="auto"/>
        </w:rPr>
      </w:pPr>
    </w:p>
    <w:p>
      <w:pPr>
        <w:ind w:firstLine="433"/>
        <w:spacing w:after="0" w:line="19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440" w:right="1660"/>
        <w:spacing w:after="0" w:line="23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30, 2021, the registrant had 38,664,518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416560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104775</wp:posOffset>
            </wp:positionV>
            <wp:extent cx="7136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71120</wp:posOffset>
            </wp:positionV>
            <wp:extent cx="71361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4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statements about:</w:t>
      </w:r>
    </w:p>
    <w:p>
      <w:pPr>
        <w:spacing w:after="0" w:line="141" w:lineRule="exact"/>
        <w:rPr>
          <w:sz w:val="20"/>
          <w:szCs w:val="20"/>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cost and timing of our product development activities and clinical trials;</w:t>
      </w:r>
    </w:p>
    <w:p>
      <w:pPr>
        <w:spacing w:after="0" w:line="171" w:lineRule="exact"/>
        <w:rPr>
          <w:rFonts w:ascii="Arial" w:cs="Arial" w:eastAsia="Arial" w:hAnsi="Arial"/>
          <w:sz w:val="17"/>
          <w:szCs w:val="17"/>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ability to obtain and maintain intellectual property protection for our product candidates;</w:t>
      </w:r>
    </w:p>
    <w:p>
      <w:pPr>
        <w:spacing w:after="0" w:line="171" w:lineRule="exact"/>
        <w:rPr>
          <w:rFonts w:ascii="Arial" w:cs="Arial" w:eastAsia="Arial" w:hAnsi="Arial"/>
          <w:sz w:val="17"/>
          <w:szCs w:val="17"/>
          <w:color w:val="auto"/>
        </w:rPr>
      </w:pPr>
    </w:p>
    <w:p>
      <w:pPr>
        <w:ind w:left="940" w:right="600" w:hanging="306"/>
        <w:spacing w:after="0" w:line="275"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to license additional intellectual property relating to our product candidates from third parties and to comply with our existing license agreements and collaboration agreements;</w:t>
      </w:r>
    </w:p>
    <w:p>
      <w:pPr>
        <w:spacing w:after="0" w:line="129" w:lineRule="exact"/>
        <w:rPr>
          <w:rFonts w:ascii="Arial" w:cs="Arial" w:eastAsia="Arial" w:hAnsi="Arial"/>
          <w:sz w:val="17"/>
          <w:szCs w:val="17"/>
          <w:color w:val="auto"/>
        </w:rPr>
      </w:pPr>
    </w:p>
    <w:p>
      <w:pPr>
        <w:ind w:left="940" w:right="60" w:hanging="306"/>
        <w:spacing w:after="0" w:line="275"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third-party research institution collaborators to continue research and development activities relating to our product candidates;</w:t>
      </w:r>
    </w:p>
    <w:p>
      <w:pPr>
        <w:spacing w:after="0" w:line="129" w:lineRule="exact"/>
        <w:rPr>
          <w:rFonts w:ascii="Arial" w:cs="Arial" w:eastAsia="Arial" w:hAnsi="Arial"/>
          <w:sz w:val="17"/>
          <w:szCs w:val="17"/>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commercialize our products in light of the intellectual property rights of others;</w:t>
      </w:r>
    </w:p>
    <w:p>
      <w:pPr>
        <w:spacing w:after="0" w:line="171" w:lineRule="exact"/>
        <w:rPr>
          <w:rFonts w:ascii="Arial" w:cs="Arial" w:eastAsia="Arial" w:hAnsi="Arial"/>
          <w:sz w:val="17"/>
          <w:szCs w:val="17"/>
          <w:color w:val="auto"/>
        </w:rPr>
      </w:pPr>
    </w:p>
    <w:p>
      <w:pPr>
        <w:ind w:left="940" w:right="200" w:hanging="306"/>
        <w:spacing w:after="0" w:line="275"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funding for our operations, including funding necessary to complete further development and commercialization of our product candidates;</w:t>
      </w:r>
    </w:p>
    <w:p>
      <w:pPr>
        <w:spacing w:after="0" w:line="129" w:lineRule="exact"/>
        <w:rPr>
          <w:rFonts w:ascii="Arial" w:cs="Arial" w:eastAsia="Arial" w:hAnsi="Arial"/>
          <w:sz w:val="17"/>
          <w:szCs w:val="17"/>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commercialization of our product candidates, if approved;</w:t>
      </w:r>
    </w:p>
    <w:p>
      <w:pPr>
        <w:spacing w:after="0" w:line="171" w:lineRule="exact"/>
        <w:rPr>
          <w:rFonts w:ascii="Arial" w:cs="Arial" w:eastAsia="Arial" w:hAnsi="Arial"/>
          <w:sz w:val="17"/>
          <w:szCs w:val="17"/>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research, develop and commercialize our product candidates;</w:t>
      </w:r>
    </w:p>
    <w:p>
      <w:pPr>
        <w:spacing w:after="0" w:line="171" w:lineRule="exact"/>
        <w:rPr>
          <w:rFonts w:ascii="Arial" w:cs="Arial" w:eastAsia="Arial" w:hAnsi="Arial"/>
          <w:sz w:val="17"/>
          <w:szCs w:val="17"/>
          <w:color w:val="auto"/>
        </w:rPr>
      </w:pPr>
    </w:p>
    <w:p>
      <w:pPr>
        <w:ind w:left="940" w:right="460" w:hanging="306"/>
        <w:spacing w:after="0" w:line="275"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our product candidates and any other approved product;</w:t>
      </w:r>
    </w:p>
    <w:p>
      <w:pPr>
        <w:spacing w:after="0" w:line="129" w:lineRule="exact"/>
        <w:rPr>
          <w:rFonts w:ascii="Arial" w:cs="Arial" w:eastAsia="Arial" w:hAnsi="Arial"/>
          <w:sz w:val="17"/>
          <w:szCs w:val="17"/>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171" w:lineRule="exact"/>
        <w:rPr>
          <w:rFonts w:ascii="Arial" w:cs="Arial" w:eastAsia="Arial" w:hAnsi="Arial"/>
          <w:sz w:val="17"/>
          <w:szCs w:val="17"/>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of our product candidates;</w:t>
      </w:r>
    </w:p>
    <w:p>
      <w:pPr>
        <w:spacing w:after="0" w:line="171" w:lineRule="exact"/>
        <w:rPr>
          <w:rFonts w:ascii="Arial" w:cs="Arial" w:eastAsia="Arial" w:hAnsi="Arial"/>
          <w:sz w:val="17"/>
          <w:szCs w:val="17"/>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pricing and reimbursement of our product candidates, if approved;</w:t>
      </w:r>
    </w:p>
    <w:p>
      <w:pPr>
        <w:spacing w:after="0" w:line="171" w:lineRule="exact"/>
        <w:rPr>
          <w:rFonts w:ascii="Arial" w:cs="Arial" w:eastAsia="Arial" w:hAnsi="Arial"/>
          <w:sz w:val="17"/>
          <w:szCs w:val="17"/>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171" w:lineRule="exact"/>
        <w:rPr>
          <w:rFonts w:ascii="Arial" w:cs="Arial" w:eastAsia="Arial" w:hAnsi="Arial"/>
          <w:sz w:val="17"/>
          <w:szCs w:val="17"/>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contract with third-party suppliers and manufacturers and their ability to perform adequately;</w:t>
      </w:r>
    </w:p>
    <w:p>
      <w:pPr>
        <w:spacing w:after="0" w:line="171" w:lineRule="exact"/>
        <w:rPr>
          <w:rFonts w:ascii="Arial" w:cs="Arial" w:eastAsia="Arial" w:hAnsi="Arial"/>
          <w:sz w:val="17"/>
          <w:szCs w:val="17"/>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of competing therapies that are or may become available;</w:t>
      </w:r>
    </w:p>
    <w:p>
      <w:pPr>
        <w:spacing w:after="0" w:line="171" w:lineRule="exact"/>
        <w:rPr>
          <w:rFonts w:ascii="Arial" w:cs="Arial" w:eastAsia="Arial" w:hAnsi="Arial"/>
          <w:sz w:val="17"/>
          <w:szCs w:val="17"/>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and retain key scientific or management personnel;</w:t>
      </w:r>
    </w:p>
    <w:p>
      <w:pPr>
        <w:spacing w:after="0" w:line="171" w:lineRule="exact"/>
        <w:rPr>
          <w:rFonts w:ascii="Arial" w:cs="Arial" w:eastAsia="Arial" w:hAnsi="Arial"/>
          <w:sz w:val="17"/>
          <w:szCs w:val="17"/>
          <w:color w:val="auto"/>
        </w:rPr>
      </w:pPr>
    </w:p>
    <w:p>
      <w:pPr>
        <w:ind w:left="940" w:hanging="306"/>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171" w:lineRule="exact"/>
        <w:rPr>
          <w:rFonts w:ascii="Arial" w:cs="Arial" w:eastAsia="Arial" w:hAnsi="Arial"/>
          <w:sz w:val="17"/>
          <w:szCs w:val="17"/>
          <w:color w:val="auto"/>
        </w:rPr>
      </w:pPr>
    </w:p>
    <w:p>
      <w:pPr>
        <w:ind w:left="940" w:right="60" w:hanging="306"/>
        <w:spacing w:after="0" w:line="275"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period during which we qualify as an emerging growth company under the JOBS Act, enacted in April 2012, or a smaller reporting company as defined in the Securities Exchange Act of 1934, as amended; and</w:t>
      </w:r>
    </w:p>
    <w:p>
      <w:pPr>
        <w:spacing w:after="0" w:line="129" w:lineRule="exact"/>
        <w:rPr>
          <w:rFonts w:ascii="Arial" w:cs="Arial" w:eastAsia="Arial" w:hAnsi="Arial"/>
          <w:sz w:val="17"/>
          <w:szCs w:val="17"/>
          <w:color w:val="auto"/>
        </w:rPr>
      </w:pPr>
    </w:p>
    <w:p>
      <w:pPr>
        <w:ind w:left="940" w:right="180" w:hanging="306"/>
        <w:spacing w:after="0" w:line="275"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development of major public health concerns, including the novel coronavirus outbreak or other pandemics arising globally, and the future impact of it and COVID-19 on our clinical trials, business operations and funding requirements.</w:t>
      </w:r>
    </w:p>
    <w:p>
      <w:pPr>
        <w:spacing w:after="0" w:line="181"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In some cases, you can identify forward-looking statements by terminology such as “may,” “should,” “expects,” “intends,” “plans,” “anticipates,” “believes,” “estimates,” “predicts,” “potential,” “continue” or the negative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511175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p>
      <w:pPr>
        <w:ind w:right="60"/>
        <w:spacing w:after="0" w:line="259" w:lineRule="auto"/>
        <w:rPr>
          <w:sz w:val="20"/>
          <w:szCs w:val="20"/>
          <w:color w:val="auto"/>
        </w:rPr>
      </w:pPr>
      <w:r>
        <w:rPr>
          <w:rFonts w:ascii="Arial" w:cs="Arial" w:eastAsia="Arial" w:hAnsi="Arial"/>
          <w:sz w:val="17"/>
          <w:szCs w:val="17"/>
          <w:color w:val="auto"/>
        </w:rPr>
        <w:t>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in our Annual Report on Form 10-K for the year ended December 31, 2020.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this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20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in our Annual Report on Form 10-K for the year ended December 31, 2020 and elsewhere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671830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096"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1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PART I.</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5"/>
          </w:tcPr>
          <w:p>
            <w:pPr>
              <w:ind w:left="5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560" w:type="dxa"/>
            <w:vAlign w:val="bottom"/>
            <w:gridSpan w:val="21"/>
          </w:tcPr>
          <w:p>
            <w:pPr>
              <w:spacing w:after="0" w:line="163" w:lineRule="exact"/>
              <w:rPr>
                <w:rFonts w:ascii="Arial" w:cs="Arial" w:eastAsia="Arial" w:hAnsi="Arial"/>
                <w:sz w:val="17"/>
                <w:szCs w:val="17"/>
                <w:color w:val="0000FF"/>
              </w:rPr>
            </w:pPr>
            <w:hyperlink w:anchor="page4">
              <w:r>
                <w:rPr>
                  <w:rFonts w:ascii="Arial" w:cs="Arial" w:eastAsia="Arial" w:hAnsi="Arial"/>
                  <w:sz w:val="17"/>
                  <w:szCs w:val="17"/>
                  <w:color w:val="0000FF"/>
                </w:rPr>
                <w:t>FINANCIAL INFORMATION</w:t>
              </w:r>
            </w:hyperlink>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1.</w:t>
            </w:r>
          </w:p>
        </w:tc>
        <w:tc>
          <w:tcPr>
            <w:tcW w:w="2600" w:type="dxa"/>
            <w:vAlign w:val="bottom"/>
            <w:tcBorders>
              <w:bottom w:val="single" w:sz="8" w:color="0000FF"/>
            </w:tcBorders>
            <w:gridSpan w:val="11"/>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Financial Statements (Unaudited)</w:t>
              </w:r>
            </w:hyperlink>
          </w:p>
        </w:tc>
        <w:tc>
          <w:tcPr>
            <w:tcW w:w="5960" w:type="dxa"/>
            <w:vAlign w:val="bottom"/>
            <w:gridSpan w:val="10"/>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560" w:type="dxa"/>
            <w:vAlign w:val="bottom"/>
            <w:gridSpan w:val="21"/>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 xml:space="preserve">Condensed Consolidated Balance Sheets as of March 31, 2021 and December 31, </w:t>
              </w:r>
            </w:hyperlink>
            <w:r>
              <w:rPr>
                <w:rFonts w:ascii="Arial" w:cs="Arial" w:eastAsia="Arial" w:hAnsi="Arial"/>
                <w:sz w:val="17"/>
                <w:szCs w:val="17"/>
                <w:color w:val="0000FF"/>
              </w:rPr>
              <w:t>2020</w:t>
            </w:r>
          </w:p>
        </w:tc>
        <w:tc>
          <w:tcPr>
            <w:tcW w:w="1480" w:type="dxa"/>
            <w:vAlign w:val="bottom"/>
            <w:gridSpan w:val="4"/>
          </w:tcPr>
          <w:p>
            <w:pPr>
              <w:jc w:val="right"/>
              <w:ind w:right="20"/>
              <w:spacing w:after="0"/>
              <w:rPr>
                <w:rFonts w:ascii="Arial" w:cs="Arial" w:eastAsia="Arial" w:hAnsi="Arial"/>
                <w:sz w:val="17"/>
                <w:szCs w:val="17"/>
                <w:color w:val="0000FF"/>
              </w:rPr>
            </w:pPr>
            <w:hyperlink w:anchor="page5">
              <w:r>
                <w:rPr>
                  <w:rFonts w:ascii="Arial" w:cs="Arial" w:eastAsia="Arial" w:hAnsi="Arial"/>
                  <w:sz w:val="17"/>
                  <w:szCs w:val="17"/>
                  <w:color w:val="0000FF"/>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60" w:type="dxa"/>
            <w:vAlign w:val="bottom"/>
            <w:tcBorders>
              <w:bottom w:val="single" w:sz="8" w:color="0000FF"/>
            </w:tcBorders>
            <w:gridSpan w:val="18"/>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Operations for the Three Months Ended March 31, 2021 and 2020</w:t>
              </w:r>
            </w:hyperlink>
          </w:p>
        </w:tc>
        <w:tc>
          <w:tcPr>
            <w:tcW w:w="300" w:type="dxa"/>
            <w:vAlign w:val="bottom"/>
            <w:gridSpan w:val="3"/>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2</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560" w:type="dxa"/>
            <w:vAlign w:val="bottom"/>
            <w:gridSpan w:val="21"/>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Statements of Comprehensive Loss for the Three Months Ended March 31, 2021</w:t>
              </w:r>
            </w:hyperlink>
          </w:p>
        </w:tc>
        <w:tc>
          <w:tcPr>
            <w:tcW w:w="1480" w:type="dxa"/>
            <w:vAlign w:val="bottom"/>
            <w:gridSpan w:val="4"/>
            <w:vMerge w:val="restart"/>
          </w:tcPr>
          <w:p>
            <w:pPr>
              <w:jc w:val="right"/>
              <w:ind w:right="20"/>
              <w:spacing w:after="0"/>
              <w:rPr>
                <w:rFonts w:ascii="Arial" w:cs="Arial" w:eastAsia="Arial" w:hAnsi="Arial"/>
                <w:sz w:val="17"/>
                <w:szCs w:val="17"/>
                <w:color w:val="0000FF"/>
              </w:rPr>
            </w:pPr>
            <w:hyperlink w:anchor="page6">
              <w:r>
                <w:rPr>
                  <w:rFonts w:ascii="Arial" w:cs="Arial" w:eastAsia="Arial" w:hAnsi="Arial"/>
                  <w:sz w:val="17"/>
                  <w:szCs w:val="17"/>
                  <w:color w:val="0000FF"/>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60" w:type="dxa"/>
            <w:vAlign w:val="bottom"/>
            <w:tcBorders>
              <w:top w:val="single" w:sz="8" w:color="0000FF"/>
            </w:tcBorders>
            <w:gridSpan w:val="18"/>
          </w:tcPr>
          <w:p>
            <w:pPr>
              <w:spacing w:after="0" w:line="150" w:lineRule="exact"/>
              <w:rPr>
                <w:rFonts w:ascii="Arial" w:cs="Arial" w:eastAsia="Arial" w:hAnsi="Arial"/>
                <w:sz w:val="17"/>
                <w:szCs w:val="17"/>
                <w:color w:val="0000FF"/>
              </w:rPr>
            </w:pPr>
            <w:hyperlink w:anchor="page6">
              <w:r>
                <w:rPr>
                  <w:rFonts w:ascii="Arial" w:cs="Arial" w:eastAsia="Arial" w:hAnsi="Arial"/>
                  <w:sz w:val="17"/>
                  <w:szCs w:val="17"/>
                  <w:color w:val="0000FF"/>
                </w:rPr>
                <w:t>and 2020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560" w:type="dxa"/>
            <w:vAlign w:val="bottom"/>
            <w:gridSpan w:val="21"/>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Condensed Consolidated Statements of Redeemable Convertible Preferred Stock and Stockholders’ Equity</w:t>
              </w:r>
            </w:hyperlink>
          </w:p>
        </w:tc>
        <w:tc>
          <w:tcPr>
            <w:tcW w:w="1480" w:type="dxa"/>
            <w:vAlign w:val="bottom"/>
            <w:gridSpan w:val="4"/>
            <w:vMerge w:val="restart"/>
          </w:tcPr>
          <w:p>
            <w:pPr>
              <w:jc w:val="right"/>
              <w:ind w:right="20"/>
              <w:spacing w:after="0"/>
              <w:rPr>
                <w:rFonts w:ascii="Arial" w:cs="Arial" w:eastAsia="Arial" w:hAnsi="Arial"/>
                <w:sz w:val="17"/>
                <w:szCs w:val="17"/>
                <w:color w:val="0000FF"/>
              </w:rPr>
            </w:pPr>
            <w:hyperlink w:anchor="page7">
              <w:r>
                <w:rPr>
                  <w:rFonts w:ascii="Arial" w:cs="Arial" w:eastAsia="Arial" w:hAnsi="Arial"/>
                  <w:sz w:val="17"/>
                  <w:szCs w:val="17"/>
                  <w:color w:val="0000FF"/>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300" w:type="dxa"/>
            <w:vAlign w:val="bottom"/>
            <w:tcBorders>
              <w:top w:val="single" w:sz="8" w:color="0000FF"/>
            </w:tcBorders>
            <w:gridSpan w:val="19"/>
          </w:tcPr>
          <w:p>
            <w:pPr>
              <w:spacing w:after="0" w:line="150" w:lineRule="exact"/>
              <w:rPr>
                <w:rFonts w:ascii="Arial" w:cs="Arial" w:eastAsia="Arial" w:hAnsi="Arial"/>
                <w:sz w:val="17"/>
                <w:szCs w:val="17"/>
                <w:color w:val="0000FF"/>
              </w:rPr>
            </w:pPr>
            <w:hyperlink w:anchor="page7">
              <w:r>
                <w:rPr>
                  <w:rFonts w:ascii="Arial" w:cs="Arial" w:eastAsia="Arial" w:hAnsi="Arial"/>
                  <w:sz w:val="17"/>
                  <w:szCs w:val="17"/>
                  <w:color w:val="0000FF"/>
                </w:rPr>
                <w:t>(Deficit) for the Three Months Ended March 31, 2021 and 2020</w:t>
              </w:r>
            </w:hyperlink>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20" w:type="dxa"/>
            <w:vAlign w:val="bottom"/>
            <w:tcBorders>
              <w:bottom w:val="single" w:sz="8" w:color="0000FF"/>
            </w:tcBorders>
            <w:gridSpan w:val="20"/>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Condensed Consolidated Statements of Cash Flows for the Three Months Ended March 31, 2021 and 2020</w:t>
              </w:r>
            </w:hyperlink>
          </w:p>
        </w:tc>
        <w:tc>
          <w:tcPr>
            <w:tcW w:w="24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7"/>
                <w:szCs w:val="17"/>
                <w:color w:val="0000FF"/>
                <w:w w:val="84"/>
              </w:rPr>
            </w:pPr>
            <w:hyperlink w:anchor="page8">
              <w:r>
                <w:rPr>
                  <w:rFonts w:ascii="Arial" w:cs="Arial" w:eastAsia="Arial" w:hAnsi="Arial"/>
                  <w:sz w:val="17"/>
                  <w:szCs w:val="17"/>
                  <w:color w:val="0000FF"/>
                  <w:w w:val="84"/>
                </w:rPr>
                <w:t>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40" w:type="dxa"/>
            <w:vAlign w:val="bottom"/>
            <w:tcBorders>
              <w:bottom w:val="single" w:sz="8" w:color="0000FF"/>
            </w:tcBorders>
            <w:gridSpan w:val="12"/>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Notes to Condensed Consolidated Financial Statements</w:t>
              </w:r>
            </w:hyperlink>
          </w:p>
        </w:tc>
        <w:tc>
          <w:tcPr>
            <w:tcW w:w="4220" w:type="dxa"/>
            <w:vAlign w:val="bottom"/>
            <w:gridSpan w:val="9"/>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7"/>
                <w:szCs w:val="17"/>
                <w:color w:val="0000FF"/>
                <w:w w:val="84"/>
              </w:rPr>
            </w:pPr>
            <w:hyperlink w:anchor="page9">
              <w:r>
                <w:rPr>
                  <w:rFonts w:ascii="Arial" w:cs="Arial" w:eastAsia="Arial" w:hAnsi="Arial"/>
                  <w:sz w:val="17"/>
                  <w:szCs w:val="17"/>
                  <w:color w:val="0000FF"/>
                  <w:w w:val="84"/>
                </w:rPr>
                <w:t>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880" w:type="dxa"/>
            <w:vAlign w:val="bottom"/>
            <w:tcBorders>
              <w:bottom w:val="single" w:sz="8" w:color="0000FF"/>
            </w:tcBorders>
            <w:gridSpan w:val="17"/>
          </w:tcPr>
          <w:p>
            <w:pPr>
              <w:spacing w:after="0"/>
              <w:rPr>
                <w:rFonts w:ascii="Arial" w:cs="Arial" w:eastAsia="Arial" w:hAnsi="Arial"/>
                <w:sz w:val="17"/>
                <w:szCs w:val="17"/>
                <w:color w:val="0000FF"/>
              </w:rPr>
            </w:pPr>
            <w:hyperlink w:anchor="page17">
              <w:r>
                <w:rPr>
                  <w:rFonts w:ascii="Arial" w:cs="Arial" w:eastAsia="Arial" w:hAnsi="Arial"/>
                  <w:sz w:val="17"/>
                  <w:szCs w:val="17"/>
                  <w:color w:val="0000FF"/>
                </w:rPr>
                <w:t>Management’s Discussion and Analysis of Financial Condition and Results of Operations</w:t>
              </w:r>
            </w:hyperlink>
          </w:p>
        </w:tc>
        <w:tc>
          <w:tcPr>
            <w:tcW w:w="168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rPr>
                <w:rFonts w:ascii="Arial" w:cs="Arial" w:eastAsia="Arial" w:hAnsi="Arial"/>
                <w:sz w:val="17"/>
                <w:szCs w:val="17"/>
                <w:color w:val="0000FF"/>
                <w:w w:val="94"/>
              </w:rPr>
            </w:pPr>
            <w:hyperlink w:anchor="page17">
              <w:r>
                <w:rPr>
                  <w:rFonts w:ascii="Arial" w:cs="Arial" w:eastAsia="Arial" w:hAnsi="Arial"/>
                  <w:sz w:val="17"/>
                  <w:szCs w:val="17"/>
                  <w:color w:val="0000FF"/>
                  <w:w w:val="94"/>
                </w:rPr>
                <w:t>14</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580" w:type="dxa"/>
            <w:vAlign w:val="bottom"/>
            <w:tcBorders>
              <w:bottom w:val="single" w:sz="8" w:color="0000FF"/>
            </w:tcBorders>
            <w:gridSpan w:val="13"/>
          </w:tcPr>
          <w:p>
            <w:pPr>
              <w:spacing w:after="0"/>
              <w:rPr>
                <w:rFonts w:ascii="Arial" w:cs="Arial" w:eastAsia="Arial" w:hAnsi="Arial"/>
                <w:sz w:val="17"/>
                <w:szCs w:val="17"/>
                <w:color w:val="0000FF"/>
              </w:rPr>
            </w:pPr>
            <w:hyperlink w:anchor="page28">
              <w:r>
                <w:rPr>
                  <w:rFonts w:ascii="Arial" w:cs="Arial" w:eastAsia="Arial" w:hAnsi="Arial"/>
                  <w:sz w:val="17"/>
                  <w:szCs w:val="17"/>
                  <w:color w:val="0000FF"/>
                </w:rPr>
                <w:t>Quantitative and Qualitative Disclosures About Market Risk</w:t>
              </w:r>
            </w:hyperlink>
          </w:p>
        </w:tc>
        <w:tc>
          <w:tcPr>
            <w:tcW w:w="3980" w:type="dxa"/>
            <w:vAlign w:val="bottom"/>
            <w:gridSpan w:val="8"/>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rPr>
                <w:rFonts w:ascii="Arial" w:cs="Arial" w:eastAsia="Arial" w:hAnsi="Arial"/>
                <w:sz w:val="17"/>
                <w:szCs w:val="17"/>
                <w:color w:val="0000FF"/>
                <w:w w:val="94"/>
              </w:rPr>
            </w:pPr>
            <w:hyperlink w:anchor="page28">
              <w:r>
                <w:rPr>
                  <w:rFonts w:ascii="Arial" w:cs="Arial" w:eastAsia="Arial" w:hAnsi="Arial"/>
                  <w:sz w:val="17"/>
                  <w:szCs w:val="17"/>
                  <w:color w:val="0000FF"/>
                  <w:w w:val="94"/>
                </w:rPr>
                <w:t>24</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4.</w:t>
            </w:r>
          </w:p>
        </w:tc>
        <w:tc>
          <w:tcPr>
            <w:tcW w:w="8560" w:type="dxa"/>
            <w:vAlign w:val="bottom"/>
            <w:gridSpan w:val="21"/>
          </w:tcPr>
          <w:p>
            <w:pPr>
              <w:spacing w:after="0"/>
              <w:rPr>
                <w:rFonts w:ascii="Arial" w:cs="Arial" w:eastAsia="Arial" w:hAnsi="Arial"/>
                <w:sz w:val="17"/>
                <w:szCs w:val="17"/>
                <w:color w:val="0000FF"/>
              </w:rPr>
            </w:pPr>
            <w:hyperlink w:anchor="page28">
              <w:r>
                <w:rPr>
                  <w:rFonts w:ascii="Arial" w:cs="Arial" w:eastAsia="Arial" w:hAnsi="Arial"/>
                  <w:sz w:val="17"/>
                  <w:szCs w:val="17"/>
                  <w:color w:val="0000FF"/>
                </w:rPr>
                <w:t>Controls and Procedures</w:t>
              </w:r>
            </w:hyperlink>
          </w:p>
        </w:tc>
        <w:tc>
          <w:tcPr>
            <w:tcW w:w="1480" w:type="dxa"/>
            <w:vAlign w:val="bottom"/>
            <w:gridSpan w:val="4"/>
          </w:tcPr>
          <w:p>
            <w:pPr>
              <w:jc w:val="right"/>
              <w:ind w:right="20"/>
              <w:spacing w:after="0"/>
              <w:rPr>
                <w:rFonts w:ascii="Arial" w:cs="Arial" w:eastAsia="Arial" w:hAnsi="Arial"/>
                <w:sz w:val="17"/>
                <w:szCs w:val="17"/>
                <w:color w:val="0000FF"/>
              </w:rPr>
            </w:pPr>
            <w:hyperlink w:anchor="page28">
              <w:r>
                <w:rPr>
                  <w:rFonts w:ascii="Arial" w:cs="Arial" w:eastAsia="Arial" w:hAnsi="Arial"/>
                  <w:sz w:val="17"/>
                  <w:szCs w:val="17"/>
                  <w:color w:val="0000FF"/>
                </w:rPr>
                <w:t>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b w:val="1"/>
                <w:bCs w:val="1"/>
                <w:color w:val="auto"/>
              </w:rPr>
              <w:t>PART II.</w:t>
            </w:r>
          </w:p>
        </w:tc>
        <w:tc>
          <w:tcPr>
            <w:tcW w:w="1920" w:type="dxa"/>
            <w:vAlign w:val="bottom"/>
            <w:tcBorders>
              <w:top w:val="single" w:sz="8" w:color="0000FF"/>
            </w:tcBorders>
            <w:gridSpan w:val="8"/>
          </w:tcPr>
          <w:p>
            <w:pPr>
              <w:spacing w:after="0"/>
              <w:rPr>
                <w:rFonts w:ascii="Arial" w:cs="Arial" w:eastAsia="Arial" w:hAnsi="Arial"/>
                <w:sz w:val="17"/>
                <w:szCs w:val="17"/>
                <w:color w:val="0000FF"/>
              </w:rPr>
            </w:pPr>
            <w:hyperlink w:anchor="page28">
              <w:r>
                <w:rPr>
                  <w:rFonts w:ascii="Arial" w:cs="Arial" w:eastAsia="Arial" w:hAnsi="Arial"/>
                  <w:sz w:val="17"/>
                  <w:szCs w:val="17"/>
                  <w:color w:val="0000FF"/>
                </w:rPr>
                <w:t>OTHER INFORMATION</w:t>
              </w:r>
            </w:hyperlink>
          </w:p>
        </w:tc>
        <w:tc>
          <w:tcPr>
            <w:tcW w:w="6640" w:type="dxa"/>
            <w:vAlign w:val="bottom"/>
            <w:gridSpan w:val="13"/>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Borders>
              <w:top w:val="single" w:sz="8" w:color="0000FF"/>
            </w:tcBorders>
            <w:gridSpan w:val="2"/>
          </w:tcPr>
          <w:p>
            <w:pPr>
              <w:jc w:val="right"/>
              <w:spacing w:after="0"/>
              <w:rPr>
                <w:rFonts w:ascii="Arial" w:cs="Arial" w:eastAsia="Arial" w:hAnsi="Arial"/>
                <w:sz w:val="17"/>
                <w:szCs w:val="17"/>
                <w:color w:val="0000FF"/>
                <w:w w:val="94"/>
              </w:rPr>
            </w:pPr>
            <w:hyperlink w:anchor="page28">
              <w:r>
                <w:rPr>
                  <w:rFonts w:ascii="Arial" w:cs="Arial" w:eastAsia="Arial" w:hAnsi="Arial"/>
                  <w:sz w:val="17"/>
                  <w:szCs w:val="17"/>
                  <w:color w:val="0000FF"/>
                  <w:w w:val="94"/>
                </w:rPr>
                <w:t>25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1.</w:t>
            </w:r>
          </w:p>
        </w:tc>
        <w:tc>
          <w:tcPr>
            <w:tcW w:w="1860" w:type="dxa"/>
            <w:vAlign w:val="bottom"/>
            <w:tcBorders>
              <w:top w:val="single" w:sz="8" w:color="0000FF"/>
            </w:tcBorders>
            <w:gridSpan w:val="6"/>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Legal Proceedings</w:t>
              </w:r>
            </w:hyperlink>
          </w:p>
        </w:tc>
        <w:tc>
          <w:tcPr>
            <w:tcW w:w="6700" w:type="dxa"/>
            <w:vAlign w:val="bottom"/>
            <w:gridSpan w:val="15"/>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Borders>
              <w:top w:val="single" w:sz="8" w:color="0000FF"/>
            </w:tcBorders>
            <w:gridSpan w:val="2"/>
          </w:tcPr>
          <w:p>
            <w:pPr>
              <w:jc w:val="right"/>
              <w:spacing w:after="0"/>
              <w:rPr>
                <w:rFonts w:ascii="Arial" w:cs="Arial" w:eastAsia="Arial" w:hAnsi="Arial"/>
                <w:sz w:val="17"/>
                <w:szCs w:val="17"/>
                <w:color w:val="0000FF"/>
                <w:w w:val="94"/>
              </w:rPr>
            </w:pPr>
            <w:hyperlink w:anchor="page29">
              <w:r>
                <w:rPr>
                  <w:rFonts w:ascii="Arial" w:cs="Arial" w:eastAsia="Arial" w:hAnsi="Arial"/>
                  <w:sz w:val="17"/>
                  <w:szCs w:val="17"/>
                  <w:color w:val="0000FF"/>
                  <w:w w:val="94"/>
                </w:rPr>
                <w:t>25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1440" w:type="dxa"/>
            <w:vAlign w:val="bottom"/>
            <w:tcBorders>
              <w:top w:val="single" w:sz="8" w:color="0000FF"/>
            </w:tcBorders>
            <w:gridSpan w:val="5"/>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Risk Factors</w:t>
              </w:r>
            </w:hyperlink>
          </w:p>
        </w:tc>
        <w:tc>
          <w:tcPr>
            <w:tcW w:w="7120" w:type="dxa"/>
            <w:vAlign w:val="bottom"/>
            <w:gridSpan w:val="16"/>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Borders>
              <w:top w:val="single" w:sz="8" w:color="0000FF"/>
            </w:tcBorders>
            <w:gridSpan w:val="2"/>
          </w:tcPr>
          <w:p>
            <w:pPr>
              <w:jc w:val="right"/>
              <w:spacing w:after="0"/>
              <w:rPr>
                <w:rFonts w:ascii="Arial" w:cs="Arial" w:eastAsia="Arial" w:hAnsi="Arial"/>
                <w:sz w:val="17"/>
                <w:szCs w:val="17"/>
                <w:color w:val="0000FF"/>
                <w:w w:val="94"/>
              </w:rPr>
            </w:pPr>
            <w:hyperlink w:anchor="page29">
              <w:r>
                <w:rPr>
                  <w:rFonts w:ascii="Arial" w:cs="Arial" w:eastAsia="Arial" w:hAnsi="Arial"/>
                  <w:sz w:val="17"/>
                  <w:szCs w:val="17"/>
                  <w:color w:val="0000FF"/>
                  <w:w w:val="94"/>
                </w:rPr>
                <w:t>25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2.</w:t>
            </w:r>
          </w:p>
        </w:tc>
        <w:tc>
          <w:tcPr>
            <w:tcW w:w="8560" w:type="dxa"/>
            <w:vAlign w:val="bottom"/>
            <w:gridSpan w:val="21"/>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7"/>
                <w:szCs w:val="17"/>
                <w:color w:val="0000FF"/>
              </w:rPr>
            </w:pPr>
            <w:hyperlink w:anchor="page29">
              <w:r>
                <w:rPr>
                  <w:rFonts w:ascii="Arial" w:cs="Arial" w:eastAsia="Arial" w:hAnsi="Arial"/>
                  <w:sz w:val="17"/>
                  <w:szCs w:val="17"/>
                  <w:color w:val="0000FF"/>
                </w:rPr>
                <w:t>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3.</w:t>
            </w:r>
          </w:p>
        </w:tc>
        <w:tc>
          <w:tcPr>
            <w:tcW w:w="2480" w:type="dxa"/>
            <w:vAlign w:val="bottom"/>
            <w:tcBorders>
              <w:top w:val="single" w:sz="8" w:color="0000FF"/>
              <w:bottom w:val="single" w:sz="8" w:color="0000FF"/>
            </w:tcBorders>
            <w:gridSpan w:val="10"/>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Defaults Upon Senior Securities</w:t>
              </w:r>
            </w:hyperlink>
          </w:p>
        </w:tc>
        <w:tc>
          <w:tcPr>
            <w:tcW w:w="2220" w:type="dxa"/>
            <w:vAlign w:val="bottom"/>
            <w:tcBorders>
              <w:top w:val="single" w:sz="8" w:color="0000FF"/>
            </w:tcBorders>
            <w:gridSpan w:val="4"/>
          </w:tcPr>
          <w:p>
            <w:pPr>
              <w:spacing w:after="0"/>
              <w:rPr>
                <w:sz w:val="17"/>
                <w:szCs w:val="17"/>
                <w:color w:val="auto"/>
              </w:rPr>
            </w:pPr>
          </w:p>
        </w:tc>
        <w:tc>
          <w:tcPr>
            <w:tcW w:w="3860" w:type="dxa"/>
            <w:vAlign w:val="bottom"/>
            <w:gridSpan w:val="7"/>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7"/>
                <w:szCs w:val="17"/>
                <w:color w:val="0000FF"/>
                <w:w w:val="94"/>
              </w:rPr>
            </w:pPr>
            <w:hyperlink w:anchor="page29">
              <w:r>
                <w:rPr>
                  <w:rFonts w:ascii="Arial" w:cs="Arial" w:eastAsia="Arial" w:hAnsi="Arial"/>
                  <w:sz w:val="17"/>
                  <w:szCs w:val="17"/>
                  <w:color w:val="0000FF"/>
                  <w:w w:val="94"/>
                </w:rPr>
                <w:t>25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880" w:type="dxa"/>
            <w:vAlign w:val="bottom"/>
            <w:tcBorders>
              <w:bottom w:val="single" w:sz="8" w:color="0000FF"/>
            </w:tcBorders>
            <w:gridSpan w:val="7"/>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Mine Safety Disclosures</w:t>
              </w:r>
            </w:hyperlink>
          </w:p>
        </w:tc>
        <w:tc>
          <w:tcPr>
            <w:tcW w:w="6680" w:type="dxa"/>
            <w:vAlign w:val="bottom"/>
            <w:gridSpan w:val="14"/>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rPr>
                <w:rFonts w:ascii="Arial" w:cs="Arial" w:eastAsia="Arial" w:hAnsi="Arial"/>
                <w:sz w:val="17"/>
                <w:szCs w:val="17"/>
                <w:color w:val="0000FF"/>
                <w:w w:val="94"/>
              </w:rPr>
            </w:pPr>
            <w:hyperlink w:anchor="page29">
              <w:r>
                <w:rPr>
                  <w:rFonts w:ascii="Arial" w:cs="Arial" w:eastAsia="Arial" w:hAnsi="Arial"/>
                  <w:sz w:val="17"/>
                  <w:szCs w:val="17"/>
                  <w:color w:val="0000FF"/>
                  <w:w w:val="94"/>
                </w:rPr>
                <w:t>25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5.</w:t>
            </w:r>
          </w:p>
        </w:tc>
        <w:tc>
          <w:tcPr>
            <w:tcW w:w="1360" w:type="dxa"/>
            <w:vAlign w:val="bottom"/>
            <w:tcBorders>
              <w:bottom w:val="single" w:sz="8" w:color="0000FF"/>
            </w:tcBorders>
            <w:gridSpan w:val="4"/>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Other Information</w:t>
              </w:r>
            </w:hyperlink>
          </w:p>
        </w:tc>
        <w:tc>
          <w:tcPr>
            <w:tcW w:w="7200" w:type="dxa"/>
            <w:vAlign w:val="bottom"/>
            <w:gridSpan w:val="17"/>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rPr>
                <w:rFonts w:ascii="Arial" w:cs="Arial" w:eastAsia="Arial" w:hAnsi="Arial"/>
                <w:sz w:val="17"/>
                <w:szCs w:val="17"/>
                <w:color w:val="0000FF"/>
                <w:w w:val="94"/>
              </w:rPr>
            </w:pPr>
            <w:hyperlink w:anchor="page29">
              <w:r>
                <w:rPr>
                  <w:rFonts w:ascii="Arial" w:cs="Arial" w:eastAsia="Arial" w:hAnsi="Arial"/>
                  <w:sz w:val="17"/>
                  <w:szCs w:val="17"/>
                  <w:color w:val="0000FF"/>
                  <w:w w:val="94"/>
                </w:rPr>
                <w:t>25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6.</w:t>
            </w:r>
          </w:p>
        </w:tc>
        <w:tc>
          <w:tcPr>
            <w:tcW w:w="8560" w:type="dxa"/>
            <w:vAlign w:val="bottom"/>
            <w:gridSpan w:val="21"/>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Exhibits</w:t>
              </w:r>
            </w:hyperlink>
          </w:p>
        </w:tc>
        <w:tc>
          <w:tcPr>
            <w:tcW w:w="1480" w:type="dxa"/>
            <w:vAlign w:val="bottom"/>
            <w:gridSpan w:val="4"/>
          </w:tcPr>
          <w:p>
            <w:pPr>
              <w:jc w:val="right"/>
              <w:ind w:right="20"/>
              <w:spacing w:after="0"/>
              <w:rPr>
                <w:rFonts w:ascii="Arial" w:cs="Arial" w:eastAsia="Arial" w:hAnsi="Arial"/>
                <w:sz w:val="17"/>
                <w:szCs w:val="17"/>
                <w:color w:val="0000FF"/>
              </w:rPr>
            </w:pPr>
            <w:hyperlink w:anchor="page29">
              <w:r>
                <w:rPr>
                  <w:rFonts w:ascii="Arial" w:cs="Arial" w:eastAsia="Arial" w:hAnsi="Arial"/>
                  <w:sz w:val="17"/>
                  <w:szCs w:val="17"/>
                  <w:color w:val="0000FF"/>
                </w:rPr>
                <w:t>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rFonts w:ascii="Arial" w:cs="Arial" w:eastAsia="Arial" w:hAnsi="Arial"/>
                <w:sz w:val="17"/>
                <w:szCs w:val="17"/>
                <w:color w:val="0000FF"/>
              </w:rPr>
            </w:pPr>
            <w:hyperlink w:anchor="page30">
              <w:r>
                <w:rPr>
                  <w:rFonts w:ascii="Arial" w:cs="Arial" w:eastAsia="Arial" w:hAnsi="Arial"/>
                  <w:sz w:val="17"/>
                  <w:szCs w:val="17"/>
                  <w:color w:val="0000FF"/>
                </w:rPr>
                <w:t>Signatures</w:t>
              </w:r>
            </w:hyperlink>
          </w:p>
        </w:tc>
        <w:tc>
          <w:tcPr>
            <w:tcW w:w="6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Borders>
              <w:top w:val="single" w:sz="8" w:color="0000FF"/>
            </w:tcBorders>
            <w:gridSpan w:val="2"/>
          </w:tcPr>
          <w:p>
            <w:pPr>
              <w:jc w:val="right"/>
              <w:spacing w:after="0"/>
              <w:rPr>
                <w:rFonts w:ascii="Arial" w:cs="Arial" w:eastAsia="Arial" w:hAnsi="Arial"/>
                <w:sz w:val="17"/>
                <w:szCs w:val="17"/>
                <w:color w:val="0000FF"/>
                <w:w w:val="94"/>
              </w:rPr>
            </w:pPr>
            <w:hyperlink w:anchor="page30">
              <w:r>
                <w:rPr>
                  <w:rFonts w:ascii="Arial" w:cs="Arial" w:eastAsia="Arial" w:hAnsi="Arial"/>
                  <w:sz w:val="17"/>
                  <w:szCs w:val="17"/>
                  <w:color w:val="0000FF"/>
                  <w:w w:val="94"/>
                </w:rPr>
                <w:t>27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4"/>
        </w:trPr>
        <w:tc>
          <w:tcPr>
            <w:tcW w:w="2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PART I—FINANCIAL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2021</w:t>
            </w:r>
          </w:p>
        </w:tc>
        <w:tc>
          <w:tcPr>
            <w:tcW w:w="158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December 31, 2020</w:t>
            </w:r>
          </w:p>
        </w:tc>
      </w:tr>
      <w:tr>
        <w:trPr>
          <w:trHeight w:val="19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3"/>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131,152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296,608</w:t>
            </w:r>
          </w:p>
        </w:tc>
      </w:tr>
      <w:tr>
        <w:trPr>
          <w:trHeight w:val="207"/>
        </w:trPr>
        <w:tc>
          <w:tcPr>
            <w:tcW w:w="802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139,659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5,718</w:t>
            </w:r>
          </w:p>
        </w:tc>
      </w:tr>
      <w:tr>
        <w:trPr>
          <w:trHeight w:val="203"/>
        </w:trPr>
        <w:tc>
          <w:tcPr>
            <w:tcW w:w="802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278,564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302,326</w:t>
            </w: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754</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6"/>
        </w:trPr>
        <w:tc>
          <w:tcPr>
            <w:tcW w:w="8020" w:type="dxa"/>
            <w:vAlign w:val="bottom"/>
          </w:tcPr>
          <w:p>
            <w:pPr>
              <w:ind w:left="4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279,253</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303,177</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6"/>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3"/>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w:t>
            </w:r>
          </w:p>
        </w:tc>
      </w:tr>
      <w:tr>
        <w:trPr>
          <w:trHeight w:val="207"/>
        </w:trPr>
        <w:tc>
          <w:tcPr>
            <w:tcW w:w="802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7,386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10,869</w:t>
            </w:r>
          </w:p>
        </w:tc>
      </w:tr>
      <w:tr>
        <w:trPr>
          <w:trHeight w:val="210"/>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w:t>
            </w:r>
          </w:p>
        </w:tc>
      </w:tr>
      <w:tr>
        <w:trPr>
          <w:trHeight w:val="203"/>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13,738</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15,720</w:t>
            </w:r>
          </w:p>
        </w:tc>
      </w:tr>
      <w:tr>
        <w:trPr>
          <w:trHeight w:val="206"/>
        </w:trPr>
        <w:tc>
          <w:tcPr>
            <w:tcW w:w="8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15,720</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Commitments and contingencies (Note 6)</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72"/>
        </w:trPr>
        <w:tc>
          <w:tcPr>
            <w:tcW w:w="8020" w:type="dxa"/>
            <w:vAlign w:val="bottom"/>
          </w:tcPr>
          <w:p>
            <w:pPr>
              <w:ind w:left="240"/>
              <w:spacing w:after="0" w:line="172"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2"/>
        </w:trPr>
        <w:tc>
          <w:tcPr>
            <w:tcW w:w="8020" w:type="dxa"/>
            <w:vAlign w:val="bottom"/>
          </w:tcPr>
          <w:p>
            <w:pPr>
              <w:ind w:left="240"/>
              <w:spacing w:after="0"/>
              <w:rPr>
                <w:sz w:val="20"/>
                <w:szCs w:val="20"/>
                <w:color w:val="auto"/>
              </w:rPr>
            </w:pPr>
            <w:r>
              <w:rPr>
                <w:rFonts w:ascii="Arial" w:cs="Arial" w:eastAsia="Arial" w:hAnsi="Arial"/>
                <w:sz w:val="16"/>
                <w:szCs w:val="16"/>
                <w:color w:val="auto"/>
              </w:rPr>
              <w:t>March 31, 2021 and December 31, 2020</w:t>
            </w:r>
          </w:p>
        </w:tc>
        <w:tc>
          <w:tcPr>
            <w:tcW w:w="16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6"/>
        </w:trPr>
        <w:tc>
          <w:tcPr>
            <w:tcW w:w="8020" w:type="dxa"/>
            <w:vAlign w:val="bottom"/>
            <w:shd w:val="clear" w:color="auto" w:fill="CCEEFF"/>
          </w:tcPr>
          <w:p>
            <w:pPr>
              <w:ind w:left="240"/>
              <w:spacing w:after="0" w:line="175" w:lineRule="exact"/>
              <w:rPr>
                <w:sz w:val="20"/>
                <w:szCs w:val="20"/>
                <w:color w:val="auto"/>
              </w:rPr>
            </w:pPr>
            <w:r>
              <w:rPr>
                <w:rFonts w:ascii="Arial" w:cs="Arial" w:eastAsia="Arial" w:hAnsi="Arial"/>
                <w:sz w:val="16"/>
                <w:szCs w:val="16"/>
                <w:color w:val="auto"/>
                <w:w w:val="99"/>
              </w:rPr>
              <w:t>Common stock, $0.0001 par value; 150,000,000 shares authorized; 38,621,049 shares issued and outstanding</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5"/>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as of March 31, 2021, and 38,268,543 shares issued and outstanding as of December 31, 2020</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7"/>
        </w:trPr>
        <w:tc>
          <w:tcPr>
            <w:tcW w:w="802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442,524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437,007</w:t>
            </w:r>
          </w:p>
        </w:tc>
      </w:tr>
      <w:tr>
        <w:trPr>
          <w:trHeight w:val="213"/>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(176,927)</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(149,554)</w:t>
            </w:r>
          </w:p>
        </w:tc>
      </w:tr>
      <w:tr>
        <w:trPr>
          <w:trHeight w:val="203"/>
        </w:trPr>
        <w:tc>
          <w:tcPr>
            <w:tcW w:w="8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265,515</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287,457</w:t>
            </w:r>
          </w:p>
        </w:tc>
      </w:tr>
      <w:tr>
        <w:trPr>
          <w:trHeight w:val="206"/>
        </w:trPr>
        <w:tc>
          <w:tcPr>
            <w:tcW w:w="8020" w:type="dxa"/>
            <w:vAlign w:val="bottom"/>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279,253</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303,177</w:t>
            </w: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144"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Three Months Ended</w:t>
      </w:r>
    </w:p>
    <w:p>
      <w:pPr>
        <w:jc w:val="center"/>
        <w:ind w:left="8240"/>
        <w:spacing w:after="0"/>
        <w:rPr>
          <w:sz w:val="20"/>
          <w:szCs w:val="20"/>
          <w:color w:val="auto"/>
        </w:rPr>
      </w:pPr>
      <w:r>
        <w:rPr>
          <w:rFonts w:ascii="Arial" w:cs="Arial" w:eastAsia="Arial" w:hAnsi="Arial"/>
          <w:sz w:val="16"/>
          <w:szCs w:val="16"/>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2020</w:t>
            </w:r>
          </w:p>
        </w:tc>
      </w:tr>
      <w:tr>
        <w:trPr>
          <w:trHeight w:val="19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7"/>
        </w:trPr>
        <w:tc>
          <w:tcPr>
            <w:tcW w:w="826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17,929</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6,868</w:t>
            </w:r>
          </w:p>
        </w:tc>
      </w:tr>
      <w:tr>
        <w:trPr>
          <w:trHeight w:val="210"/>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9,490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w:t>
            </w:r>
          </w:p>
        </w:tc>
      </w:tr>
      <w:tr>
        <w:trPr>
          <w:trHeight w:val="203"/>
        </w:trPr>
        <w:tc>
          <w:tcPr>
            <w:tcW w:w="82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27,419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8,469</w:t>
            </w:r>
          </w:p>
        </w:tc>
      </w:tr>
      <w:tr>
        <w:trPr>
          <w:trHeight w:val="20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(8,469)</w:t>
            </w: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03"/>
        </w:trPr>
        <w:tc>
          <w:tcPr>
            <w:tcW w:w="82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income</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0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benefit from income taxes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(8,341)</w:t>
            </w: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Benefit from income taxes</w:t>
            </w: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(8,330)</w:t>
            </w:r>
          </w:p>
        </w:tc>
      </w:tr>
      <w:tr>
        <w:trPr>
          <w:trHeight w:val="203"/>
        </w:trPr>
        <w:tc>
          <w:tcPr>
            <w:tcW w:w="8260" w:type="dxa"/>
            <w:vAlign w:val="bottom"/>
          </w:tcPr>
          <w:p>
            <w:pPr>
              <w:ind w:left="240"/>
              <w:spacing w:after="0"/>
              <w:rPr>
                <w:sz w:val="20"/>
                <w:szCs w:val="20"/>
                <w:color w:val="auto"/>
              </w:rPr>
            </w:pPr>
            <w:r>
              <w:rPr>
                <w:rFonts w:ascii="Arial" w:cs="Arial" w:eastAsia="Arial" w:hAnsi="Arial"/>
                <w:sz w:val="16"/>
                <w:szCs w:val="16"/>
                <w:color w:val="auto"/>
              </w:rPr>
              <w:t>Accretion and cumulative dividends on redeemable convertible preferred stock</w:t>
            </w: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(2,064)</w:t>
            </w:r>
          </w:p>
        </w:tc>
      </w:tr>
      <w:tr>
        <w:trPr>
          <w:trHeight w:val="210"/>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on repurchase of redeemable convertible preferred stock</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r>
      <w:tr>
        <w:trPr>
          <w:trHeight w:val="206"/>
        </w:trPr>
        <w:tc>
          <w:tcPr>
            <w:tcW w:w="826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(27,373)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(9,901)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82"/>
        </w:trPr>
        <w:tc>
          <w:tcPr>
            <w:tcW w:w="8260" w:type="dxa"/>
            <w:vAlign w:val="bottom"/>
          </w:tcPr>
          <w:p>
            <w:pPr>
              <w:ind w:left="20"/>
              <w:spacing w:after="0" w:line="182" w:lineRule="exact"/>
              <w:rPr>
                <w:sz w:val="20"/>
                <w:szCs w:val="20"/>
                <w:color w:val="auto"/>
              </w:rPr>
            </w:pPr>
            <w:r>
              <w:rPr>
                <w:rFonts w:ascii="Arial" w:cs="Arial" w:eastAsia="Arial" w:hAnsi="Arial"/>
                <w:sz w:val="16"/>
                <w:szCs w:val="16"/>
                <w:color w:val="auto"/>
              </w:rPr>
              <w:t>Weighted average common shares outstanding, basic and diluted</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38,470,710</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1,629,340</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w:t>
      </w:r>
    </w:p>
    <w:p>
      <w:pPr>
        <w:spacing w:after="0" w:line="144"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Three Months Ended</w:t>
      </w:r>
    </w:p>
    <w:p>
      <w:pPr>
        <w:jc w:val="center"/>
        <w:ind w:left="8240"/>
        <w:spacing w:after="0"/>
        <w:rPr>
          <w:sz w:val="20"/>
          <w:szCs w:val="20"/>
          <w:color w:val="auto"/>
        </w:rPr>
      </w:pPr>
      <w:r>
        <w:rPr>
          <w:rFonts w:ascii="Arial" w:cs="Arial" w:eastAsia="Arial" w:hAnsi="Arial"/>
          <w:sz w:val="16"/>
          <w:szCs w:val="16"/>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2020</w:t>
            </w: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(8,330)</w:t>
            </w:r>
          </w:p>
        </w:tc>
      </w:tr>
      <w:tr>
        <w:trPr>
          <w:trHeight w:val="207"/>
        </w:trPr>
        <w:tc>
          <w:tcPr>
            <w:tcW w:w="82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Unrealized losses on marketable securities, net of tax</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(27,459)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 w:name="page8"/>
    <w:bookmarkEnd w:id="7"/>
    <w:p>
      <w:pPr>
        <w:ind w:left="4040"/>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 EQUITY</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(DEFICIT)</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(Amounts in thousands, except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ind w:left="480"/>
              <w:spacing w:after="0"/>
              <w:rPr>
                <w:sz w:val="20"/>
                <w:szCs w:val="20"/>
                <w:color w:val="auto"/>
              </w:rPr>
            </w:pPr>
            <w:r>
              <w:rPr>
                <w:rFonts w:ascii="Arial" w:cs="Arial" w:eastAsia="Arial" w:hAnsi="Arial"/>
                <w:sz w:val="12"/>
                <w:szCs w:val="12"/>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880" w:type="dxa"/>
            <w:vAlign w:val="bottom"/>
          </w:tcPr>
          <w:p>
            <w:pPr>
              <w:spacing w:after="0"/>
              <w:rPr>
                <w:sz w:val="22"/>
                <w:szCs w:val="22"/>
                <w:color w:val="auto"/>
              </w:rPr>
            </w:pPr>
          </w:p>
        </w:tc>
        <w:tc>
          <w:tcPr>
            <w:tcW w:w="134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9"/>
              </w:rPr>
              <w:t>Series A</w:t>
            </w:r>
          </w:p>
        </w:tc>
        <w:tc>
          <w:tcPr>
            <w:tcW w:w="140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rPr>
              <w:t>Series B</w:t>
            </w:r>
          </w:p>
        </w:tc>
        <w:tc>
          <w:tcPr>
            <w:tcW w:w="134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rPr>
              <w:t>Series B-1</w:t>
            </w:r>
          </w:p>
        </w:tc>
        <w:tc>
          <w:tcPr>
            <w:tcW w:w="1340" w:type="dxa"/>
            <w:vAlign w:val="bottom"/>
            <w:tcBorders>
              <w:right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9"/>
              </w:rPr>
              <w:t>Series C</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340" w:type="dxa"/>
            <w:vAlign w:val="bottom"/>
            <w:gridSpan w:val="5"/>
          </w:tcPr>
          <w:p>
            <w:pPr>
              <w:jc w:val="center"/>
              <w:ind w:right="100"/>
              <w:spacing w:after="0" w:line="118" w:lineRule="exact"/>
              <w:rPr>
                <w:sz w:val="20"/>
                <w:szCs w:val="20"/>
                <w:color w:val="auto"/>
              </w:rPr>
            </w:pPr>
            <w:r>
              <w:rPr>
                <w:rFonts w:ascii="Arial" w:cs="Arial" w:eastAsia="Arial" w:hAnsi="Arial"/>
                <w:sz w:val="12"/>
                <w:szCs w:val="12"/>
                <w:b w:val="1"/>
                <w:bCs w:val="1"/>
                <w:color w:val="auto"/>
              </w:rPr>
              <w:t>Redeemable</w:t>
            </w:r>
          </w:p>
        </w:tc>
        <w:tc>
          <w:tcPr>
            <w:tcW w:w="1400" w:type="dxa"/>
            <w:vAlign w:val="bottom"/>
            <w:gridSpan w:val="5"/>
          </w:tcPr>
          <w:p>
            <w:pPr>
              <w:jc w:val="center"/>
              <w:ind w:right="100"/>
              <w:spacing w:after="0" w:line="118" w:lineRule="exact"/>
              <w:rPr>
                <w:sz w:val="20"/>
                <w:szCs w:val="20"/>
                <w:color w:val="auto"/>
              </w:rPr>
            </w:pPr>
            <w:r>
              <w:rPr>
                <w:rFonts w:ascii="Arial" w:cs="Arial" w:eastAsia="Arial" w:hAnsi="Arial"/>
                <w:sz w:val="12"/>
                <w:szCs w:val="12"/>
                <w:b w:val="1"/>
                <w:bCs w:val="1"/>
                <w:color w:val="auto"/>
              </w:rPr>
              <w:t>Redeemable</w:t>
            </w:r>
          </w:p>
        </w:tc>
        <w:tc>
          <w:tcPr>
            <w:tcW w:w="1340" w:type="dxa"/>
            <w:vAlign w:val="bottom"/>
            <w:gridSpan w:val="5"/>
          </w:tcPr>
          <w:p>
            <w:pPr>
              <w:jc w:val="center"/>
              <w:ind w:right="100"/>
              <w:spacing w:after="0" w:line="118" w:lineRule="exact"/>
              <w:rPr>
                <w:sz w:val="20"/>
                <w:szCs w:val="20"/>
                <w:color w:val="auto"/>
              </w:rPr>
            </w:pPr>
            <w:r>
              <w:rPr>
                <w:rFonts w:ascii="Arial" w:cs="Arial" w:eastAsia="Arial" w:hAnsi="Arial"/>
                <w:sz w:val="12"/>
                <w:szCs w:val="12"/>
                <w:b w:val="1"/>
                <w:bCs w:val="1"/>
                <w:color w:val="auto"/>
              </w:rPr>
              <w:t>Redeemable</w:t>
            </w:r>
          </w:p>
        </w:tc>
        <w:tc>
          <w:tcPr>
            <w:tcW w:w="1340" w:type="dxa"/>
            <w:vAlign w:val="bottom"/>
            <w:tcBorders>
              <w:right w:val="single" w:sz="8" w:color="auto"/>
            </w:tcBorders>
            <w:gridSpan w:val="4"/>
          </w:tcPr>
          <w:p>
            <w:pPr>
              <w:jc w:val="center"/>
              <w:spacing w:after="0" w:line="118" w:lineRule="exact"/>
              <w:rPr>
                <w:sz w:val="20"/>
                <w:szCs w:val="20"/>
                <w:color w:val="auto"/>
              </w:rPr>
            </w:pPr>
            <w:r>
              <w:rPr>
                <w:rFonts w:ascii="Arial" w:cs="Arial" w:eastAsia="Arial" w:hAnsi="Arial"/>
                <w:sz w:val="12"/>
                <w:szCs w:val="12"/>
                <w:b w:val="1"/>
                <w:bCs w:val="1"/>
                <w:color w:val="auto"/>
              </w:rPr>
              <w:t>Redeemable</w:t>
            </w:r>
          </w:p>
        </w:tc>
        <w:tc>
          <w:tcPr>
            <w:tcW w:w="6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10"/>
                <w:szCs w:val="10"/>
                <w:color w:val="auto"/>
              </w:rPr>
            </w:pPr>
          </w:p>
        </w:tc>
        <w:tc>
          <w:tcPr>
            <w:tcW w:w="720" w:type="dxa"/>
            <w:vAlign w:val="bottom"/>
            <w:vMerge w:val="restart"/>
          </w:tcPr>
          <w:p>
            <w:pPr>
              <w:jc w:val="center"/>
              <w:ind w:right="8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340" w:type="dxa"/>
            <w:vAlign w:val="bottom"/>
            <w:gridSpan w:val="5"/>
          </w:tcPr>
          <w:p>
            <w:pPr>
              <w:jc w:val="center"/>
              <w:ind w:right="100"/>
              <w:spacing w:after="0" w:line="118" w:lineRule="exact"/>
              <w:rPr>
                <w:sz w:val="20"/>
                <w:szCs w:val="20"/>
                <w:color w:val="auto"/>
              </w:rPr>
            </w:pPr>
            <w:r>
              <w:rPr>
                <w:rFonts w:ascii="Arial" w:cs="Arial" w:eastAsia="Arial" w:hAnsi="Arial"/>
                <w:sz w:val="12"/>
                <w:szCs w:val="12"/>
                <w:b w:val="1"/>
                <w:bCs w:val="1"/>
                <w:color w:val="auto"/>
              </w:rPr>
              <w:t>Convertible</w:t>
            </w:r>
          </w:p>
        </w:tc>
        <w:tc>
          <w:tcPr>
            <w:tcW w:w="1400" w:type="dxa"/>
            <w:vAlign w:val="bottom"/>
            <w:gridSpan w:val="5"/>
          </w:tcPr>
          <w:p>
            <w:pPr>
              <w:jc w:val="center"/>
              <w:ind w:right="100"/>
              <w:spacing w:after="0" w:line="118" w:lineRule="exact"/>
              <w:rPr>
                <w:sz w:val="20"/>
                <w:szCs w:val="20"/>
                <w:color w:val="auto"/>
              </w:rPr>
            </w:pPr>
            <w:r>
              <w:rPr>
                <w:rFonts w:ascii="Arial" w:cs="Arial" w:eastAsia="Arial" w:hAnsi="Arial"/>
                <w:sz w:val="12"/>
                <w:szCs w:val="12"/>
                <w:b w:val="1"/>
                <w:bCs w:val="1"/>
                <w:color w:val="auto"/>
                <w:w w:val="99"/>
              </w:rPr>
              <w:t>Convertible</w:t>
            </w:r>
          </w:p>
        </w:tc>
        <w:tc>
          <w:tcPr>
            <w:tcW w:w="1340" w:type="dxa"/>
            <w:vAlign w:val="bottom"/>
            <w:gridSpan w:val="5"/>
          </w:tcPr>
          <w:p>
            <w:pPr>
              <w:jc w:val="center"/>
              <w:ind w:right="80"/>
              <w:spacing w:after="0" w:line="118" w:lineRule="exact"/>
              <w:rPr>
                <w:sz w:val="20"/>
                <w:szCs w:val="20"/>
                <w:color w:val="auto"/>
              </w:rPr>
            </w:pPr>
            <w:r>
              <w:rPr>
                <w:rFonts w:ascii="Arial" w:cs="Arial" w:eastAsia="Arial" w:hAnsi="Arial"/>
                <w:sz w:val="12"/>
                <w:szCs w:val="12"/>
                <w:b w:val="1"/>
                <w:bCs w:val="1"/>
                <w:color w:val="auto"/>
                <w:w w:val="99"/>
              </w:rPr>
              <w:t>Convertible</w:t>
            </w:r>
          </w:p>
        </w:tc>
        <w:tc>
          <w:tcPr>
            <w:tcW w:w="1340" w:type="dxa"/>
            <w:vAlign w:val="bottom"/>
            <w:tcBorders>
              <w:right w:val="single" w:sz="8" w:color="auto"/>
            </w:tcBorders>
            <w:gridSpan w:val="4"/>
          </w:tcPr>
          <w:p>
            <w:pPr>
              <w:jc w:val="center"/>
              <w:spacing w:after="0" w:line="118" w:lineRule="exact"/>
              <w:rPr>
                <w:sz w:val="20"/>
                <w:szCs w:val="20"/>
                <w:color w:val="auto"/>
              </w:rPr>
            </w:pPr>
            <w:r>
              <w:rPr>
                <w:rFonts w:ascii="Arial" w:cs="Arial" w:eastAsia="Arial" w:hAnsi="Arial"/>
                <w:sz w:val="12"/>
                <w:szCs w:val="12"/>
                <w:b w:val="1"/>
                <w:bCs w:val="1"/>
                <w:color w:val="auto"/>
              </w:rPr>
              <w:t>Convertible</w:t>
            </w:r>
          </w:p>
        </w:tc>
        <w:tc>
          <w:tcPr>
            <w:tcW w:w="60" w:type="dxa"/>
            <w:vAlign w:val="bottom"/>
            <w:gridSpan w:val="2"/>
          </w:tcPr>
          <w:p>
            <w:pPr>
              <w:spacing w:after="0"/>
              <w:rPr>
                <w:sz w:val="10"/>
                <w:szCs w:val="10"/>
                <w:color w:val="auto"/>
              </w:rPr>
            </w:pPr>
          </w:p>
        </w:tc>
        <w:tc>
          <w:tcPr>
            <w:tcW w:w="110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w w:val="99"/>
              </w:rPr>
              <w:t>Common Stock</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340" w:type="dxa"/>
            <w:vAlign w:val="bottom"/>
            <w:gridSpan w:val="5"/>
          </w:tcPr>
          <w:p>
            <w:pPr>
              <w:jc w:val="center"/>
              <w:ind w:right="100"/>
              <w:spacing w:after="0" w:line="118" w:lineRule="exact"/>
              <w:rPr>
                <w:sz w:val="20"/>
                <w:szCs w:val="20"/>
                <w:color w:val="auto"/>
              </w:rPr>
            </w:pPr>
            <w:r>
              <w:rPr>
                <w:rFonts w:ascii="Arial" w:cs="Arial" w:eastAsia="Arial" w:hAnsi="Arial"/>
                <w:sz w:val="12"/>
                <w:szCs w:val="12"/>
                <w:b w:val="1"/>
                <w:bCs w:val="1"/>
                <w:color w:val="auto"/>
              </w:rPr>
              <w:t>Preferred Stock</w:t>
            </w:r>
          </w:p>
        </w:tc>
        <w:tc>
          <w:tcPr>
            <w:tcW w:w="1400" w:type="dxa"/>
            <w:vAlign w:val="bottom"/>
            <w:gridSpan w:val="5"/>
          </w:tcPr>
          <w:p>
            <w:pPr>
              <w:jc w:val="center"/>
              <w:ind w:right="100"/>
              <w:spacing w:after="0" w:line="118" w:lineRule="exact"/>
              <w:rPr>
                <w:sz w:val="20"/>
                <w:szCs w:val="20"/>
                <w:color w:val="auto"/>
              </w:rPr>
            </w:pPr>
            <w:r>
              <w:rPr>
                <w:rFonts w:ascii="Arial" w:cs="Arial" w:eastAsia="Arial" w:hAnsi="Arial"/>
                <w:sz w:val="12"/>
                <w:szCs w:val="12"/>
                <w:b w:val="1"/>
                <w:bCs w:val="1"/>
                <w:color w:val="auto"/>
              </w:rPr>
              <w:t>Preferred Stock</w:t>
            </w:r>
          </w:p>
        </w:tc>
        <w:tc>
          <w:tcPr>
            <w:tcW w:w="1340" w:type="dxa"/>
            <w:vAlign w:val="bottom"/>
            <w:gridSpan w:val="5"/>
          </w:tcPr>
          <w:p>
            <w:pPr>
              <w:jc w:val="center"/>
              <w:ind w:right="80"/>
              <w:spacing w:after="0" w:line="118" w:lineRule="exact"/>
              <w:rPr>
                <w:sz w:val="20"/>
                <w:szCs w:val="20"/>
                <w:color w:val="auto"/>
              </w:rPr>
            </w:pPr>
            <w:r>
              <w:rPr>
                <w:rFonts w:ascii="Arial" w:cs="Arial" w:eastAsia="Arial" w:hAnsi="Arial"/>
                <w:sz w:val="12"/>
                <w:szCs w:val="12"/>
                <w:b w:val="1"/>
                <w:bCs w:val="1"/>
                <w:color w:val="auto"/>
              </w:rPr>
              <w:t>Preferred Stock</w:t>
            </w:r>
          </w:p>
        </w:tc>
        <w:tc>
          <w:tcPr>
            <w:tcW w:w="1340" w:type="dxa"/>
            <w:vAlign w:val="bottom"/>
            <w:tcBorders>
              <w:right w:val="single" w:sz="8" w:color="auto"/>
            </w:tcBorders>
            <w:gridSpan w:val="4"/>
          </w:tcPr>
          <w:p>
            <w:pPr>
              <w:jc w:val="center"/>
              <w:spacing w:after="0" w:line="118" w:lineRule="exact"/>
              <w:rPr>
                <w:sz w:val="20"/>
                <w:szCs w:val="20"/>
                <w:color w:val="auto"/>
              </w:rPr>
            </w:pPr>
            <w:r>
              <w:rPr>
                <w:rFonts w:ascii="Arial" w:cs="Arial" w:eastAsia="Arial" w:hAnsi="Arial"/>
                <w:sz w:val="12"/>
                <w:szCs w:val="12"/>
                <w:b w:val="1"/>
                <w:bCs w:val="1"/>
                <w:color w:val="auto"/>
              </w:rPr>
              <w:t>Preferred Stock</w:t>
            </w:r>
          </w:p>
        </w:tc>
        <w:tc>
          <w:tcPr>
            <w:tcW w:w="60" w:type="dxa"/>
            <w:vAlign w:val="bottom"/>
            <w:gridSpan w:val="2"/>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160"/>
              <w:spacing w:after="0" w:line="118" w:lineRule="exact"/>
              <w:rPr>
                <w:sz w:val="20"/>
                <w:szCs w:val="20"/>
                <w:color w:val="auto"/>
              </w:rPr>
            </w:pPr>
            <w:r>
              <w:rPr>
                <w:rFonts w:ascii="Arial" w:cs="Arial" w:eastAsia="Arial" w:hAnsi="Arial"/>
                <w:sz w:val="12"/>
                <w:szCs w:val="12"/>
                <w:b w:val="1"/>
                <w:bCs w:val="1"/>
                <w:color w:val="auto"/>
                <w:w w:val="99"/>
              </w:rPr>
              <w:t>Other</w:t>
            </w:r>
          </w:p>
        </w:tc>
        <w:tc>
          <w:tcPr>
            <w:tcW w:w="840" w:type="dxa"/>
            <w:vAlign w:val="bottom"/>
            <w:gridSpan w:val="2"/>
          </w:tcPr>
          <w:p>
            <w:pPr>
              <w:spacing w:after="0" w:line="11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52"/>
        </w:trPr>
        <w:tc>
          <w:tcPr>
            <w:tcW w:w="8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ind w:left="20"/>
              <w:spacing w:after="0" w:line="53" w:lineRule="exact"/>
              <w:rPr>
                <w:sz w:val="20"/>
                <w:szCs w:val="20"/>
                <w:color w:val="auto"/>
              </w:rPr>
            </w:pPr>
            <w:r>
              <w:rPr>
                <w:rFonts w:ascii="Arial" w:cs="Arial" w:eastAsia="Arial" w:hAnsi="Arial"/>
                <w:sz w:val="6"/>
                <w:szCs w:val="6"/>
                <w:b w:val="1"/>
                <w:bCs w:val="1"/>
                <w:color w:val="auto"/>
              </w:rPr>
              <w:t>Paid-In</w:t>
            </w:r>
          </w:p>
        </w:tc>
        <w:tc>
          <w:tcPr>
            <w:tcW w:w="880" w:type="dxa"/>
            <w:vAlign w:val="bottom"/>
            <w:gridSpan w:val="3"/>
          </w:tcPr>
          <w:p>
            <w:pPr>
              <w:ind w:left="20"/>
              <w:spacing w:after="0" w:line="53" w:lineRule="exact"/>
              <w:rPr>
                <w:sz w:val="20"/>
                <w:szCs w:val="20"/>
                <w:color w:val="auto"/>
              </w:rPr>
            </w:pPr>
            <w:r>
              <w:rPr>
                <w:rFonts w:ascii="Arial" w:cs="Arial" w:eastAsia="Arial" w:hAnsi="Arial"/>
                <w:sz w:val="6"/>
                <w:szCs w:val="6"/>
                <w:b w:val="1"/>
                <w:bCs w:val="1"/>
                <w:color w:val="auto"/>
              </w:rPr>
              <w:t>Accumulated</w:t>
            </w:r>
          </w:p>
        </w:tc>
        <w:tc>
          <w:tcPr>
            <w:tcW w:w="1040" w:type="dxa"/>
            <w:vAlign w:val="bottom"/>
            <w:gridSpan w:val="3"/>
          </w:tcPr>
          <w:p>
            <w:pPr>
              <w:ind w:left="20"/>
              <w:spacing w:after="0" w:line="53" w:lineRule="exact"/>
              <w:rPr>
                <w:sz w:val="20"/>
                <w:szCs w:val="20"/>
                <w:color w:val="auto"/>
              </w:rPr>
            </w:pPr>
            <w:r>
              <w:rPr>
                <w:rFonts w:ascii="Arial" w:cs="Arial" w:eastAsia="Arial" w:hAnsi="Arial"/>
                <w:sz w:val="6"/>
                <w:szCs w:val="6"/>
                <w:b w:val="1"/>
                <w:bCs w:val="1"/>
                <w:color w:val="auto"/>
              </w:rPr>
              <w:t>Comprehensive</w:t>
            </w:r>
          </w:p>
        </w:tc>
        <w:tc>
          <w:tcPr>
            <w:tcW w:w="120" w:type="dxa"/>
            <w:vAlign w:val="bottom"/>
          </w:tcPr>
          <w:p>
            <w:pPr>
              <w:spacing w:after="0"/>
              <w:rPr>
                <w:sz w:val="4"/>
                <w:szCs w:val="4"/>
                <w:color w:val="auto"/>
              </w:rPr>
            </w:pPr>
          </w:p>
        </w:tc>
        <w:tc>
          <w:tcPr>
            <w:tcW w:w="720" w:type="dxa"/>
            <w:vAlign w:val="bottom"/>
          </w:tcPr>
          <w:p>
            <w:pPr>
              <w:jc w:val="center"/>
              <w:ind w:right="81"/>
              <w:spacing w:after="0" w:line="53" w:lineRule="exact"/>
              <w:rPr>
                <w:sz w:val="20"/>
                <w:szCs w:val="20"/>
                <w:color w:val="auto"/>
              </w:rPr>
            </w:pPr>
            <w:r>
              <w:rPr>
                <w:rFonts w:ascii="Arial" w:cs="Arial" w:eastAsia="Arial" w:hAnsi="Arial"/>
                <w:sz w:val="6"/>
                <w:szCs w:val="6"/>
                <w:b w:val="1"/>
                <w:bCs w:val="1"/>
                <w:color w:val="auto"/>
              </w:rPr>
              <w:t>Equity</w:t>
            </w:r>
          </w:p>
        </w:tc>
        <w:tc>
          <w:tcPr>
            <w:tcW w:w="0" w:type="dxa"/>
            <w:vAlign w:val="bottom"/>
          </w:tcPr>
          <w:p>
            <w:pPr>
              <w:spacing w:after="0"/>
              <w:rPr>
                <w:sz w:val="1"/>
                <w:szCs w:val="1"/>
                <w:color w:val="auto"/>
              </w:rPr>
            </w:pPr>
          </w:p>
        </w:tc>
      </w:tr>
      <w:tr>
        <w:trPr>
          <w:trHeight w:val="185"/>
        </w:trPr>
        <w:tc>
          <w:tcPr>
            <w:tcW w:w="880" w:type="dxa"/>
            <w:vAlign w:val="bottom"/>
          </w:tcPr>
          <w:p>
            <w:pPr>
              <w:spacing w:after="0"/>
              <w:rPr>
                <w:sz w:val="16"/>
                <w:szCs w:val="16"/>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580" w:type="dxa"/>
            <w:vAlign w:val="bottom"/>
            <w:tcBorders>
              <w:right w:val="single" w:sz="8" w:color="auto"/>
            </w:tcBorders>
            <w:gridSpan w:val="2"/>
          </w:tcPr>
          <w:p>
            <w:pPr>
              <w:jc w:val="right"/>
              <w:ind w:right="19"/>
              <w:spacing w:after="0"/>
              <w:rPr>
                <w:sz w:val="20"/>
                <w:szCs w:val="20"/>
                <w:color w:val="auto"/>
              </w:rPr>
            </w:pPr>
            <w:r>
              <w:rPr>
                <w:rFonts w:ascii="Arial" w:cs="Arial" w:eastAsia="Arial" w:hAnsi="Arial"/>
                <w:sz w:val="12"/>
                <w:szCs w:val="12"/>
                <w:b w:val="1"/>
                <w:bCs w:val="1"/>
                <w:color w:val="auto"/>
              </w:rPr>
              <w:t>Amount</w:t>
            </w:r>
          </w:p>
        </w:tc>
        <w:tc>
          <w:tcPr>
            <w:tcW w:w="60" w:type="dxa"/>
            <w:vAlign w:val="bottom"/>
            <w:gridSpan w:val="2"/>
          </w:tcPr>
          <w:p>
            <w:pPr>
              <w:spacing w:after="0"/>
              <w:rPr>
                <w:sz w:val="16"/>
                <w:szCs w:val="16"/>
                <w:color w:val="auto"/>
              </w:rPr>
            </w:pP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Capital</w:t>
            </w:r>
          </w:p>
        </w:tc>
        <w:tc>
          <w:tcPr>
            <w:tcW w:w="14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Deficit</w:t>
            </w:r>
          </w:p>
        </w:tc>
        <w:tc>
          <w:tcPr>
            <w:tcW w:w="8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Loss</w:t>
            </w:r>
          </w:p>
        </w:tc>
        <w:tc>
          <w:tcPr>
            <w:tcW w:w="120" w:type="dxa"/>
            <w:vAlign w:val="bottom"/>
          </w:tcPr>
          <w:p>
            <w:pPr>
              <w:spacing w:after="0"/>
              <w:rPr>
                <w:sz w:val="16"/>
                <w:szCs w:val="16"/>
                <w:color w:val="auto"/>
              </w:rPr>
            </w:pPr>
          </w:p>
        </w:tc>
        <w:tc>
          <w:tcPr>
            <w:tcW w:w="720" w:type="dxa"/>
            <w:vAlign w:val="bottom"/>
          </w:tcPr>
          <w:p>
            <w:pPr>
              <w:jc w:val="center"/>
              <w:ind w:right="81"/>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03"/>
        </w:trPr>
        <w:tc>
          <w:tcPr>
            <w:tcW w:w="88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Balance at</w:t>
            </w: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right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880" w:type="dxa"/>
            <w:vAlign w:val="bottom"/>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December 31,</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2020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60" w:type="dxa"/>
            <w:vAlign w:val="bottom"/>
            <w:gridSpan w:val="2"/>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38,268,543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437,007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(149,554)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287,457</w:t>
            </w:r>
          </w:p>
        </w:tc>
        <w:tc>
          <w:tcPr>
            <w:tcW w:w="0" w:type="dxa"/>
            <w:vAlign w:val="bottom"/>
          </w:tcPr>
          <w:p>
            <w:pPr>
              <w:spacing w:after="0"/>
              <w:rPr>
                <w:sz w:val="1"/>
                <w:szCs w:val="1"/>
                <w:color w:val="auto"/>
              </w:rPr>
            </w:pPr>
          </w:p>
        </w:tc>
      </w:tr>
      <w:tr>
        <w:trPr>
          <w:trHeight w:val="125"/>
        </w:trPr>
        <w:tc>
          <w:tcPr>
            <w:tcW w:w="880" w:type="dxa"/>
            <w:vAlign w:val="bottom"/>
          </w:tcPr>
          <w:p>
            <w:pPr>
              <w:spacing w:after="0" w:line="125" w:lineRule="exact"/>
              <w:rPr>
                <w:sz w:val="20"/>
                <w:szCs w:val="20"/>
                <w:color w:val="auto"/>
              </w:rPr>
            </w:pPr>
            <w:r>
              <w:rPr>
                <w:rFonts w:ascii="Arial" w:cs="Arial" w:eastAsia="Arial" w:hAnsi="Arial"/>
                <w:sz w:val="12"/>
                <w:szCs w:val="12"/>
                <w:color w:val="auto"/>
              </w:rPr>
              <w:t>Stock-based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line="118" w:lineRule="exact"/>
              <w:rPr>
                <w:sz w:val="20"/>
                <w:szCs w:val="20"/>
                <w:color w:val="auto"/>
              </w:rPr>
            </w:pPr>
            <w:r>
              <w:rPr>
                <w:rFonts w:ascii="Arial" w:cs="Arial" w:eastAsia="Arial" w:hAnsi="Arial"/>
                <w:sz w:val="12"/>
                <w:szCs w:val="12"/>
                <w:color w:val="auto"/>
              </w:rPr>
              <w:t>compensation</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20"/>
                <w:szCs w:val="20"/>
                <w:color w:val="auto"/>
              </w:rPr>
            </w:pPr>
            <w:r>
              <w:rPr>
                <w:rFonts w:ascii="Arial" w:cs="Arial" w:eastAsia="Arial" w:hAnsi="Arial"/>
                <w:sz w:val="12"/>
                <w:szCs w:val="12"/>
                <w:color w:val="auto"/>
              </w:rPr>
              <w:t>expense</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80" w:type="dxa"/>
            <w:vAlign w:val="bottom"/>
            <w:tcBorders>
              <w:right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60" w:type="dxa"/>
            <w:vAlign w:val="bottom"/>
            <w:gridSpan w:val="2"/>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4,666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4,666</w:t>
            </w:r>
          </w:p>
        </w:tc>
        <w:tc>
          <w:tcPr>
            <w:tcW w:w="0" w:type="dxa"/>
            <w:vAlign w:val="bottom"/>
          </w:tcPr>
          <w:p>
            <w:pPr>
              <w:spacing w:after="0"/>
              <w:rPr>
                <w:sz w:val="1"/>
                <w:szCs w:val="1"/>
                <w:color w:val="auto"/>
              </w:rPr>
            </w:pPr>
          </w:p>
        </w:tc>
      </w:tr>
      <w:tr>
        <w:trPr>
          <w:trHeight w:val="134"/>
        </w:trPr>
        <w:tc>
          <w:tcPr>
            <w:tcW w:w="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Issuance of</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common stock</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upon exercise</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of stock</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options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60" w:type="dxa"/>
            <w:vAlign w:val="bottom"/>
            <w:gridSpan w:val="2"/>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352,506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851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851</w:t>
            </w:r>
          </w:p>
        </w:tc>
        <w:tc>
          <w:tcPr>
            <w:tcW w:w="0" w:type="dxa"/>
            <w:vAlign w:val="bottom"/>
          </w:tcPr>
          <w:p>
            <w:pPr>
              <w:spacing w:after="0"/>
              <w:rPr>
                <w:sz w:val="1"/>
                <w:szCs w:val="1"/>
                <w:color w:val="auto"/>
              </w:rPr>
            </w:pPr>
          </w:p>
        </w:tc>
      </w:tr>
      <w:tr>
        <w:trPr>
          <w:trHeight w:val="125"/>
        </w:trPr>
        <w:tc>
          <w:tcPr>
            <w:tcW w:w="880" w:type="dxa"/>
            <w:vAlign w:val="bottom"/>
          </w:tcPr>
          <w:p>
            <w:pPr>
              <w:spacing w:after="0" w:line="125" w:lineRule="exact"/>
              <w:rPr>
                <w:sz w:val="20"/>
                <w:szCs w:val="20"/>
                <w:color w:val="auto"/>
              </w:rPr>
            </w:pPr>
            <w:r>
              <w:rPr>
                <w:rFonts w:ascii="Arial" w:cs="Arial" w:eastAsia="Arial" w:hAnsi="Arial"/>
                <w:sz w:val="12"/>
                <w:szCs w:val="12"/>
                <w:color w:val="auto"/>
              </w:rPr>
              <w:t>Unrealized loss</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line="118" w:lineRule="exact"/>
              <w:rPr>
                <w:sz w:val="20"/>
                <w:szCs w:val="20"/>
                <w:color w:val="auto"/>
              </w:rPr>
            </w:pPr>
            <w:r>
              <w:rPr>
                <w:rFonts w:ascii="Arial" w:cs="Arial" w:eastAsia="Arial" w:hAnsi="Arial"/>
                <w:sz w:val="12"/>
                <w:szCs w:val="12"/>
                <w:color w:val="auto"/>
              </w:rPr>
              <w:t>on marketable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line="118" w:lineRule="exact"/>
              <w:rPr>
                <w:sz w:val="20"/>
                <w:szCs w:val="20"/>
                <w:color w:val="auto"/>
              </w:rPr>
            </w:pPr>
            <w:r>
              <w:rPr>
                <w:rFonts w:ascii="Arial" w:cs="Arial" w:eastAsia="Arial" w:hAnsi="Arial"/>
                <w:sz w:val="12"/>
                <w:szCs w:val="12"/>
                <w:color w:val="auto"/>
              </w:rPr>
              <w:t>securities, net</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20"/>
                <w:szCs w:val="20"/>
                <w:color w:val="auto"/>
              </w:rPr>
            </w:pPr>
            <w:r>
              <w:rPr>
                <w:rFonts w:ascii="Arial" w:cs="Arial" w:eastAsia="Arial" w:hAnsi="Arial"/>
                <w:sz w:val="12"/>
                <w:szCs w:val="12"/>
                <w:color w:val="auto"/>
              </w:rPr>
              <w:t>of tax</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80" w:type="dxa"/>
            <w:vAlign w:val="bottom"/>
            <w:tcBorders>
              <w:right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60" w:type="dxa"/>
            <w:vAlign w:val="bottom"/>
            <w:gridSpan w:val="2"/>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79"/>
        </w:trPr>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60" w:type="dxa"/>
            <w:vAlign w:val="bottom"/>
            <w:gridSpan w:val="2"/>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(27,373)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(27,373)</w:t>
            </w:r>
          </w:p>
        </w:tc>
        <w:tc>
          <w:tcPr>
            <w:tcW w:w="0" w:type="dxa"/>
            <w:vAlign w:val="bottom"/>
          </w:tcPr>
          <w:p>
            <w:pPr>
              <w:spacing w:after="0"/>
              <w:rPr>
                <w:sz w:val="1"/>
                <w:szCs w:val="1"/>
                <w:color w:val="auto"/>
              </w:rPr>
            </w:pPr>
          </w:p>
        </w:tc>
      </w:tr>
      <w:tr>
        <w:trPr>
          <w:trHeight w:val="98"/>
        </w:trPr>
        <w:tc>
          <w:tcPr>
            <w:tcW w:w="880" w:type="dxa"/>
            <w:vAlign w:val="bottom"/>
          </w:tcPr>
          <w:p>
            <w:pPr>
              <w:spacing w:after="0" w:line="98" w:lineRule="exact"/>
              <w:rPr>
                <w:sz w:val="20"/>
                <w:szCs w:val="20"/>
                <w:color w:val="auto"/>
              </w:rPr>
            </w:pPr>
            <w:r>
              <w:rPr>
                <w:rFonts w:ascii="Arial" w:cs="Arial" w:eastAsia="Arial" w:hAnsi="Arial"/>
                <w:sz w:val="11"/>
                <w:szCs w:val="11"/>
                <w:b w:val="1"/>
                <w:bCs w:val="1"/>
                <w:color w:val="auto"/>
              </w:rPr>
              <w:t>Balance at</w:t>
            </w: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line="118" w:lineRule="exact"/>
              <w:rPr>
                <w:sz w:val="20"/>
                <w:szCs w:val="20"/>
                <w:color w:val="auto"/>
              </w:rPr>
            </w:pPr>
            <w:r>
              <w:rPr>
                <w:rFonts w:ascii="Arial" w:cs="Arial" w:eastAsia="Arial" w:hAnsi="Arial"/>
                <w:sz w:val="12"/>
                <w:szCs w:val="12"/>
                <w:b w:val="1"/>
                <w:bCs w:val="1"/>
                <w:color w:val="auto"/>
              </w:rPr>
              <w:t>March 31,</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w w:val="99"/>
              </w:rPr>
              <w:t>38,621,049</w:t>
            </w:r>
          </w:p>
        </w:tc>
        <w:tc>
          <w:tcPr>
            <w:tcW w:w="80" w:type="dxa"/>
            <w:vAlign w:val="bottom"/>
          </w:tcPr>
          <w:p>
            <w:pPr>
              <w:spacing w:after="0"/>
              <w:rPr>
                <w:sz w:val="10"/>
                <w:szCs w:val="10"/>
                <w:color w:val="auto"/>
              </w:rPr>
            </w:pPr>
          </w:p>
        </w:tc>
        <w:tc>
          <w:tcPr>
            <w:tcW w:w="340" w:type="dxa"/>
            <w:vAlign w:val="bottom"/>
            <w:vMerge w:val="restart"/>
          </w:tcPr>
          <w:p>
            <w:pPr>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jc w:val="right"/>
              <w:ind w:right="19"/>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Arial" w:cs="Arial" w:eastAsia="Arial" w:hAnsi="Arial"/>
                <w:sz w:val="12"/>
                <w:szCs w:val="12"/>
                <w:color w:val="auto"/>
                <w:w w:val="89"/>
              </w:rPr>
              <w:t>$</w:t>
            </w:r>
          </w:p>
        </w:tc>
        <w:tc>
          <w:tcPr>
            <w:tcW w:w="560" w:type="dxa"/>
            <w:vAlign w:val="bottom"/>
            <w:vMerge w:val="restart"/>
          </w:tcPr>
          <w:p>
            <w:pPr>
              <w:jc w:val="right"/>
              <w:ind w:right="1"/>
              <w:spacing w:after="0"/>
              <w:rPr>
                <w:sz w:val="20"/>
                <w:szCs w:val="20"/>
                <w:color w:val="auto"/>
              </w:rPr>
            </w:pPr>
            <w:r>
              <w:rPr>
                <w:rFonts w:ascii="Arial" w:cs="Arial" w:eastAsia="Arial" w:hAnsi="Arial"/>
                <w:sz w:val="12"/>
                <w:szCs w:val="12"/>
                <w:color w:val="auto"/>
              </w:rPr>
              <w:t>442,524</w:t>
            </w:r>
          </w:p>
        </w:tc>
        <w:tc>
          <w:tcPr>
            <w:tcW w:w="80" w:type="dxa"/>
            <w:vAlign w:val="bottom"/>
          </w:tcPr>
          <w:p>
            <w:pPr>
              <w:spacing w:after="0"/>
              <w:rPr>
                <w:sz w:val="10"/>
                <w:szCs w:val="10"/>
                <w:color w:val="auto"/>
              </w:rPr>
            </w:pPr>
          </w:p>
        </w:tc>
        <w:tc>
          <w:tcPr>
            <w:tcW w:w="140" w:type="dxa"/>
            <w:vAlign w:val="bottom"/>
            <w:vMerge w:val="restart"/>
          </w:tcPr>
          <w:p>
            <w:pPr>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(176,927)</w:t>
            </w:r>
          </w:p>
        </w:tc>
        <w:tc>
          <w:tcPr>
            <w:tcW w:w="80" w:type="dxa"/>
            <w:vAlign w:val="bottom"/>
          </w:tcPr>
          <w:p>
            <w:pPr>
              <w:spacing w:after="0"/>
              <w:rPr>
                <w:sz w:val="10"/>
                <w:szCs w:val="10"/>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(86)</w:t>
            </w:r>
          </w:p>
        </w:tc>
        <w:tc>
          <w:tcPr>
            <w:tcW w:w="8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1"/>
              <w:spacing w:after="0"/>
              <w:rPr>
                <w:sz w:val="20"/>
                <w:szCs w:val="20"/>
                <w:color w:val="auto"/>
              </w:rPr>
            </w:pPr>
            <w:r>
              <w:rPr>
                <w:rFonts w:ascii="Arial" w:cs="Arial" w:eastAsia="Arial" w:hAnsi="Arial"/>
                <w:sz w:val="12"/>
                <w:szCs w:val="12"/>
                <w:color w:val="auto"/>
              </w:rPr>
              <w:t>265,515</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20"/>
                <w:szCs w:val="20"/>
                <w:color w:val="auto"/>
              </w:rPr>
            </w:pPr>
            <w:r>
              <w:rPr>
                <w:rFonts w:ascii="Arial" w:cs="Arial" w:eastAsia="Arial" w:hAnsi="Arial"/>
                <w:sz w:val="12"/>
                <w:szCs w:val="12"/>
                <w:b w:val="1"/>
                <w:bCs w:val="1"/>
                <w:color w:val="auto"/>
              </w:rPr>
              <w:t>2021</w:t>
            </w:r>
          </w:p>
        </w:tc>
        <w:tc>
          <w:tcPr>
            <w:tcW w:w="70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tcBorders>
              <w:right w:val="single" w:sz="8" w:color="auto"/>
            </w:tcBorders>
            <w:vMerge w:val="continue"/>
          </w:tcPr>
          <w:p>
            <w:pPr>
              <w:spacing w:after="0"/>
              <w:rPr>
                <w:sz w:val="12"/>
                <w:szCs w:val="12"/>
                <w:color w:val="auto"/>
              </w:rPr>
            </w:pPr>
          </w:p>
        </w:tc>
        <w:tc>
          <w:tcPr>
            <w:tcW w:w="60" w:type="dxa"/>
            <w:vAlign w:val="bottom"/>
            <w:gridSpan w:val="2"/>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line="118" w:lineRule="exact"/>
              <w:rPr>
                <w:sz w:val="20"/>
                <w:szCs w:val="20"/>
                <w:color w:val="auto"/>
              </w:rPr>
            </w:pPr>
            <w:r>
              <w:rPr>
                <w:rFonts w:ascii="Arial" w:cs="Arial" w:eastAsia="Arial" w:hAnsi="Arial"/>
                <w:sz w:val="12"/>
                <w:szCs w:val="12"/>
                <w:b w:val="1"/>
                <w:bCs w:val="1"/>
                <w:color w:val="auto"/>
              </w:rPr>
              <w:t>Balance at</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line="118" w:lineRule="exact"/>
              <w:rPr>
                <w:sz w:val="20"/>
                <w:szCs w:val="20"/>
                <w:color w:val="auto"/>
              </w:rPr>
            </w:pPr>
            <w:r>
              <w:rPr>
                <w:rFonts w:ascii="Arial" w:cs="Arial" w:eastAsia="Arial" w:hAnsi="Arial"/>
                <w:sz w:val="12"/>
                <w:szCs w:val="12"/>
                <w:b w:val="1"/>
                <w:bCs w:val="1"/>
                <w:color w:val="auto"/>
              </w:rPr>
              <w:t>December 31,</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20"/>
                <w:szCs w:val="20"/>
                <w:color w:val="auto"/>
              </w:rPr>
            </w:pPr>
            <w:r>
              <w:rPr>
                <w:rFonts w:ascii="Arial" w:cs="Arial" w:eastAsia="Arial" w:hAnsi="Arial"/>
                <w:sz w:val="12"/>
                <w:szCs w:val="12"/>
                <w:b w:val="1"/>
                <w:bCs w:val="1"/>
                <w:color w:val="auto"/>
              </w:rPr>
              <w:t>2019</w:t>
            </w:r>
          </w:p>
        </w:tc>
        <w:tc>
          <w:tcPr>
            <w:tcW w:w="620" w:type="dxa"/>
            <w:vAlign w:val="bottom"/>
          </w:tcPr>
          <w:p>
            <w:pPr>
              <w:jc w:val="right"/>
              <w:spacing w:after="0"/>
              <w:rPr>
                <w:sz w:val="20"/>
                <w:szCs w:val="20"/>
                <w:color w:val="auto"/>
              </w:rPr>
            </w:pPr>
            <w:r>
              <w:rPr>
                <w:rFonts w:ascii="Arial" w:cs="Arial" w:eastAsia="Arial" w:hAnsi="Arial"/>
                <w:sz w:val="12"/>
                <w:szCs w:val="12"/>
                <w:color w:val="auto"/>
              </w:rPr>
              <w:t>8,075,799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9,932</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w w:val="99"/>
              </w:rPr>
              <w:t>14,913,704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49,969</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2,666,666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10,431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9,805,827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right w:val="single" w:sz="8" w:color="auto"/>
            </w:tcBorders>
          </w:tcPr>
          <w:p>
            <w:pPr>
              <w:jc w:val="right"/>
              <w:ind w:right="19"/>
              <w:spacing w:after="0"/>
              <w:rPr>
                <w:sz w:val="20"/>
                <w:szCs w:val="20"/>
                <w:color w:val="auto"/>
              </w:rPr>
            </w:pPr>
            <w:r>
              <w:rPr>
                <w:rFonts w:ascii="Arial" w:cs="Arial" w:eastAsia="Arial" w:hAnsi="Arial"/>
                <w:sz w:val="12"/>
                <w:szCs w:val="12"/>
                <w:color w:val="auto"/>
              </w:rPr>
              <w:t>50,789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1,621,880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jc w:val="right"/>
              <w:ind w:right="19"/>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(81,009)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(81,008)</w:t>
            </w:r>
          </w:p>
        </w:tc>
        <w:tc>
          <w:tcPr>
            <w:tcW w:w="0" w:type="dxa"/>
            <w:vAlign w:val="bottom"/>
          </w:tcPr>
          <w:p>
            <w:pPr>
              <w:spacing w:after="0"/>
              <w:rPr>
                <w:sz w:val="1"/>
                <w:szCs w:val="1"/>
                <w:color w:val="auto"/>
              </w:rPr>
            </w:pPr>
          </w:p>
        </w:tc>
      </w:tr>
      <w:tr>
        <w:trPr>
          <w:trHeight w:val="130"/>
        </w:trPr>
        <w:tc>
          <w:tcPr>
            <w:tcW w:w="8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Repurchase of</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Series C</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redeemable</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convertible</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preferred stock</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(5,825,243)</w:t>
            </w: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(30,493)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493</w:t>
            </w:r>
          </w:p>
        </w:tc>
        <w:tc>
          <w:tcPr>
            <w:tcW w:w="0" w:type="dxa"/>
            <w:vAlign w:val="bottom"/>
          </w:tcPr>
          <w:p>
            <w:pPr>
              <w:spacing w:after="0"/>
              <w:rPr>
                <w:sz w:val="1"/>
                <w:szCs w:val="1"/>
                <w:color w:val="auto"/>
              </w:rPr>
            </w:pPr>
          </w:p>
        </w:tc>
      </w:tr>
      <w:tr>
        <w:trPr>
          <w:trHeight w:val="125"/>
        </w:trPr>
        <w:tc>
          <w:tcPr>
            <w:tcW w:w="880" w:type="dxa"/>
            <w:vAlign w:val="bottom"/>
          </w:tcPr>
          <w:p>
            <w:pPr>
              <w:spacing w:after="0" w:line="125" w:lineRule="exact"/>
              <w:rPr>
                <w:sz w:val="20"/>
                <w:szCs w:val="20"/>
                <w:color w:val="auto"/>
              </w:rPr>
            </w:pPr>
            <w:r>
              <w:rPr>
                <w:rFonts w:ascii="Arial" w:cs="Arial" w:eastAsia="Arial" w:hAnsi="Arial"/>
                <w:sz w:val="12"/>
                <w:szCs w:val="12"/>
                <w:color w:val="auto"/>
              </w:rPr>
              <w:t>Series C</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line="118" w:lineRule="exact"/>
              <w:rPr>
                <w:sz w:val="20"/>
                <w:szCs w:val="20"/>
                <w:color w:val="auto"/>
              </w:rPr>
            </w:pPr>
            <w:r>
              <w:rPr>
                <w:rFonts w:ascii="Arial" w:cs="Arial" w:eastAsia="Arial" w:hAnsi="Arial"/>
                <w:sz w:val="12"/>
                <w:szCs w:val="12"/>
                <w:color w:val="auto"/>
              </w:rPr>
              <w:t>redeemable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line="118" w:lineRule="exact"/>
              <w:rPr>
                <w:sz w:val="20"/>
                <w:szCs w:val="20"/>
                <w:color w:val="auto"/>
              </w:rPr>
            </w:pPr>
            <w:r>
              <w:rPr>
                <w:rFonts w:ascii="Arial" w:cs="Arial" w:eastAsia="Arial" w:hAnsi="Arial"/>
                <w:sz w:val="12"/>
                <w:szCs w:val="12"/>
                <w:color w:val="auto"/>
              </w:rPr>
              <w:t>convertible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line="118" w:lineRule="exact"/>
              <w:rPr>
                <w:sz w:val="20"/>
                <w:szCs w:val="20"/>
                <w:color w:val="auto"/>
              </w:rPr>
            </w:pPr>
            <w:r>
              <w:rPr>
                <w:rFonts w:ascii="Arial" w:cs="Arial" w:eastAsia="Arial" w:hAnsi="Arial"/>
                <w:sz w:val="12"/>
                <w:szCs w:val="12"/>
                <w:color w:val="auto"/>
              </w:rPr>
              <w:t>preferred stock</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20"/>
                <w:szCs w:val="20"/>
                <w:color w:val="auto"/>
              </w:rPr>
            </w:pPr>
            <w:r>
              <w:rPr>
                <w:rFonts w:ascii="Arial" w:cs="Arial" w:eastAsia="Arial" w:hAnsi="Arial"/>
                <w:sz w:val="12"/>
                <w:szCs w:val="12"/>
                <w:color w:val="auto"/>
              </w:rPr>
              <w:t>issuance costs</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Vesting of</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restricted</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common stock</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awards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60" w:type="dxa"/>
            <w:vAlign w:val="bottom"/>
            <w:gridSpan w:val="2"/>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13,143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880" w:type="dxa"/>
            <w:vAlign w:val="bottom"/>
          </w:tcPr>
          <w:p>
            <w:pPr>
              <w:spacing w:after="0" w:line="125" w:lineRule="exact"/>
              <w:rPr>
                <w:sz w:val="20"/>
                <w:szCs w:val="20"/>
                <w:color w:val="auto"/>
              </w:rPr>
            </w:pPr>
            <w:r>
              <w:rPr>
                <w:rFonts w:ascii="Arial" w:cs="Arial" w:eastAsia="Arial" w:hAnsi="Arial"/>
                <w:sz w:val="12"/>
                <w:szCs w:val="12"/>
                <w:color w:val="auto"/>
              </w:rPr>
              <w:t>Stock-based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line="118" w:lineRule="exact"/>
              <w:rPr>
                <w:sz w:val="20"/>
                <w:szCs w:val="20"/>
                <w:color w:val="auto"/>
              </w:rPr>
            </w:pPr>
            <w:r>
              <w:rPr>
                <w:rFonts w:ascii="Arial" w:cs="Arial" w:eastAsia="Arial" w:hAnsi="Arial"/>
                <w:sz w:val="12"/>
                <w:szCs w:val="12"/>
                <w:color w:val="auto"/>
              </w:rPr>
              <w:t>compensation</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20"/>
                <w:szCs w:val="20"/>
                <w:color w:val="auto"/>
              </w:rPr>
            </w:pPr>
            <w:r>
              <w:rPr>
                <w:rFonts w:ascii="Arial" w:cs="Arial" w:eastAsia="Arial" w:hAnsi="Arial"/>
                <w:sz w:val="12"/>
                <w:szCs w:val="12"/>
                <w:color w:val="auto"/>
              </w:rPr>
              <w:t>expense</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80" w:type="dxa"/>
            <w:vAlign w:val="bottom"/>
            <w:tcBorders>
              <w:right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60" w:type="dxa"/>
            <w:vAlign w:val="bottom"/>
            <w:gridSpan w:val="2"/>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147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34"/>
        </w:trPr>
        <w:tc>
          <w:tcPr>
            <w:tcW w:w="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Accretion of</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redeemable</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convertible</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preferred stock</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to redemption</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value</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160</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890</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815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(2,064)</w:t>
            </w:r>
          </w:p>
        </w:tc>
        <w:tc>
          <w:tcPr>
            <w:tcW w:w="0" w:type="dxa"/>
            <w:vAlign w:val="bottom"/>
          </w:tcPr>
          <w:p>
            <w:pPr>
              <w:spacing w:after="0"/>
              <w:rPr>
                <w:sz w:val="1"/>
                <w:szCs w:val="1"/>
                <w:color w:val="auto"/>
              </w:rPr>
            </w:pPr>
          </w:p>
        </w:tc>
      </w:tr>
      <w:tr>
        <w:trPr>
          <w:trHeight w:val="125"/>
        </w:trPr>
        <w:tc>
          <w:tcPr>
            <w:tcW w:w="880" w:type="dxa"/>
            <w:vAlign w:val="bottom"/>
          </w:tcPr>
          <w:p>
            <w:pPr>
              <w:spacing w:after="0" w:line="125" w:lineRule="exact"/>
              <w:rPr>
                <w:sz w:val="20"/>
                <w:szCs w:val="20"/>
                <w:color w:val="auto"/>
              </w:rPr>
            </w:pPr>
            <w:r>
              <w:rPr>
                <w:rFonts w:ascii="Arial" w:cs="Arial" w:eastAsia="Arial" w:hAnsi="Arial"/>
                <w:sz w:val="12"/>
                <w:szCs w:val="12"/>
                <w:color w:val="auto"/>
              </w:rPr>
              <w:t>Net loss and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line="118" w:lineRule="exact"/>
              <w:rPr>
                <w:sz w:val="20"/>
                <w:szCs w:val="20"/>
                <w:color w:val="auto"/>
              </w:rPr>
            </w:pPr>
            <w:r>
              <w:rPr>
                <w:rFonts w:ascii="Arial" w:cs="Arial" w:eastAsia="Arial" w:hAnsi="Arial"/>
                <w:sz w:val="12"/>
                <w:szCs w:val="12"/>
                <w:color w:val="auto"/>
              </w:rPr>
              <w:t>comprehensive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20"/>
                <w:szCs w:val="20"/>
                <w:color w:val="auto"/>
              </w:rPr>
            </w:pPr>
            <w:r>
              <w:rPr>
                <w:rFonts w:ascii="Arial" w:cs="Arial" w:eastAsia="Arial" w:hAnsi="Arial"/>
                <w:sz w:val="12"/>
                <w:szCs w:val="12"/>
                <w:color w:val="auto"/>
              </w:rPr>
              <w:t>loss</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80" w:type="dxa"/>
            <w:vAlign w:val="bottom"/>
            <w:tcBorders>
              <w:right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60" w:type="dxa"/>
            <w:vAlign w:val="bottom"/>
            <w:gridSpan w:val="2"/>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(8,330)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(8,330)</w:t>
            </w:r>
          </w:p>
        </w:tc>
        <w:tc>
          <w:tcPr>
            <w:tcW w:w="0" w:type="dxa"/>
            <w:vAlign w:val="bottom"/>
          </w:tcPr>
          <w:p>
            <w:pPr>
              <w:spacing w:after="0"/>
              <w:rPr>
                <w:sz w:val="1"/>
                <w:szCs w:val="1"/>
                <w:color w:val="auto"/>
              </w:rPr>
            </w:pPr>
          </w:p>
        </w:tc>
      </w:tr>
      <w:tr>
        <w:trPr>
          <w:trHeight w:val="105"/>
        </w:trPr>
        <w:tc>
          <w:tcPr>
            <w:tcW w:w="880" w:type="dxa"/>
            <w:vAlign w:val="bottom"/>
            <w:tcBorders>
              <w:top w:val="single" w:sz="8" w:color="CCEEFF"/>
            </w:tcBorders>
            <w:shd w:val="clear" w:color="auto" w:fill="CCEEFF"/>
          </w:tcPr>
          <w:p>
            <w:pPr>
              <w:spacing w:after="0" w:line="105" w:lineRule="exact"/>
              <w:rPr>
                <w:sz w:val="20"/>
                <w:szCs w:val="20"/>
                <w:color w:val="auto"/>
              </w:rPr>
            </w:pPr>
            <w:r>
              <w:rPr>
                <w:rFonts w:ascii="Arial" w:cs="Arial" w:eastAsia="Arial" w:hAnsi="Arial"/>
                <w:sz w:val="12"/>
                <w:szCs w:val="12"/>
                <w:b w:val="1"/>
                <w:bCs w:val="1"/>
                <w:color w:val="auto"/>
              </w:rPr>
              <w:t>Balance at</w:t>
            </w: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right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880" w:type="dxa"/>
            <w:vAlign w:val="bottom"/>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March 31,</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8,075,799</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vMerge w:val="restart"/>
            <w:shd w:val="clear" w:color="auto" w:fill="CCEEFF"/>
          </w:tcPr>
          <w:p>
            <w:pPr>
              <w:jc w:val="right"/>
              <w:ind w:right="19"/>
              <w:spacing w:after="0"/>
              <w:rPr>
                <w:sz w:val="20"/>
                <w:szCs w:val="20"/>
                <w:color w:val="auto"/>
              </w:rPr>
            </w:pPr>
            <w:r>
              <w:rPr>
                <w:rFonts w:ascii="Arial" w:cs="Arial" w:eastAsia="Arial" w:hAnsi="Arial"/>
                <w:sz w:val="12"/>
                <w:szCs w:val="12"/>
                <w:color w:val="auto"/>
                <w:w w:val="97"/>
              </w:rPr>
              <w:t>10,092</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9"/>
              </w:rPr>
              <w:t>14,913,704</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50,859</w:t>
            </w: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2,666,666</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10,630</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3,980,584</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2"/>
                <w:szCs w:val="12"/>
                <w:color w:val="auto"/>
              </w:rPr>
              <w:t>21,074</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1,635,023</w:t>
            </w:r>
          </w:p>
        </w:tc>
        <w:tc>
          <w:tcPr>
            <w:tcW w:w="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2"/>
                <w:szCs w:val="12"/>
                <w:color w:val="auto"/>
                <w:w w:val="89"/>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(90,763)</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(90,762)</w:t>
            </w:r>
          </w:p>
        </w:tc>
        <w:tc>
          <w:tcPr>
            <w:tcW w:w="0" w:type="dxa"/>
            <w:vAlign w:val="bottom"/>
          </w:tcPr>
          <w:p>
            <w:pPr>
              <w:spacing w:after="0"/>
              <w:rPr>
                <w:sz w:val="1"/>
                <w:szCs w:val="1"/>
                <w:color w:val="auto"/>
              </w:rPr>
            </w:pPr>
          </w:p>
        </w:tc>
      </w:tr>
      <w:tr>
        <w:trPr>
          <w:trHeight w:val="164"/>
        </w:trPr>
        <w:tc>
          <w:tcPr>
            <w:tcW w:w="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2020</w:t>
            </w: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80" w:type="dxa"/>
            <w:vAlign w:val="bottom"/>
            <w:tcBorders>
              <w:right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63500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134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w:t>
      </w:r>
    </w:p>
    <w:p>
      <w:pPr>
        <w:spacing w:after="0" w:line="157"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Three Months Ended</w:t>
      </w:r>
    </w:p>
    <w:p>
      <w:pPr>
        <w:jc w:val="center"/>
        <w:ind w:left="7820"/>
        <w:spacing w:after="0"/>
        <w:rPr>
          <w:sz w:val="20"/>
          <w:szCs w:val="20"/>
          <w:color w:val="auto"/>
        </w:rPr>
      </w:pPr>
      <w:r>
        <w:rPr>
          <w:rFonts w:ascii="Arial" w:cs="Arial" w:eastAsia="Arial" w:hAnsi="Arial"/>
          <w:sz w:val="16"/>
          <w:szCs w:val="16"/>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r>
      <w:tr>
        <w:trPr>
          <w:trHeight w:val="19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(27,373)</w:t>
            </w:r>
          </w:p>
        </w:tc>
        <w:tc>
          <w:tcPr>
            <w:tcW w:w="10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(8,330)</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7"/>
        </w:trPr>
        <w:tc>
          <w:tcPr>
            <w:tcW w:w="784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8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07"/>
        </w:trPr>
        <w:tc>
          <w:tcPr>
            <w:tcW w:w="784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8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3"/>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84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3"/>
        </w:trPr>
        <w:tc>
          <w:tcPr>
            <w:tcW w:w="78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07"/>
        </w:trPr>
        <w:tc>
          <w:tcPr>
            <w:tcW w:w="7840" w:type="dxa"/>
            <w:vAlign w:val="bottom"/>
          </w:tcPr>
          <w:p>
            <w:pPr>
              <w:ind w:left="44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2,208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991</w:t>
            </w:r>
          </w:p>
        </w:tc>
      </w:tr>
      <w:tr>
        <w:trPr>
          <w:trHeight w:val="213"/>
        </w:trPr>
        <w:tc>
          <w:tcPr>
            <w:tcW w:w="78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expenses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r>
      <w:tr>
        <w:trPr>
          <w:trHeight w:val="207"/>
        </w:trPr>
        <w:tc>
          <w:tcPr>
            <w:tcW w:w="7840" w:type="dxa"/>
            <w:vAlign w:val="bottom"/>
          </w:tcPr>
          <w:p>
            <w:pPr>
              <w:ind w:left="440"/>
              <w:spacing w:after="0"/>
              <w:rPr>
                <w:sz w:val="20"/>
                <w:szCs w:val="20"/>
                <w:color w:val="auto"/>
              </w:rPr>
            </w:pPr>
            <w:r>
              <w:rPr>
                <w:rFonts w:ascii="Arial" w:cs="Arial" w:eastAsia="Arial" w:hAnsi="Arial"/>
                <w:sz w:val="16"/>
                <w:szCs w:val="16"/>
                <w:color w:val="auto"/>
              </w:rPr>
              <w:t>Operating lease liabilities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0"/>
        </w:trPr>
        <w:tc>
          <w:tcPr>
            <w:tcW w:w="78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3"/>
        </w:trPr>
        <w:tc>
          <w:tcPr>
            <w:tcW w:w="7840" w:type="dxa"/>
            <w:vAlign w:val="bottom"/>
          </w:tcPr>
          <w:p>
            <w:pPr>
              <w:ind w:left="660"/>
              <w:spacing w:after="0"/>
              <w:rPr>
                <w:sz w:val="20"/>
                <w:szCs w:val="20"/>
                <w:color w:val="auto"/>
              </w:rPr>
            </w:pPr>
            <w:r>
              <w:rPr>
                <w:rFonts w:ascii="Arial" w:cs="Arial" w:eastAsia="Arial" w:hAnsi="Arial"/>
                <w:sz w:val="16"/>
                <w:szCs w:val="16"/>
                <w:color w:val="auto"/>
              </w:rPr>
              <w:t>Net cash used in operating activities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(25,722)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(8,569)</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(140,006)</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840" w:type="dxa"/>
            <w:vAlign w:val="bottom"/>
          </w:tcPr>
          <w:p>
            <w:pPr>
              <w:ind w:left="66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(140,010)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Payment of deferred offering costs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 of options to purchase common stock</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Repurchase of Series C redeemable convertible preferred stock</w:t>
            </w: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w:t>
            </w:r>
          </w:p>
        </w:tc>
      </w:tr>
      <w:tr>
        <w:trPr>
          <w:trHeight w:val="203"/>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provided by (used in) financing activities</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w:t>
            </w:r>
          </w:p>
        </w:tc>
      </w:tr>
      <w:tr>
        <w:trPr>
          <w:trHeight w:val="203"/>
        </w:trPr>
        <w:tc>
          <w:tcPr>
            <w:tcW w:w="7840" w:type="dxa"/>
            <w:vAlign w:val="bottom"/>
          </w:tcPr>
          <w:p>
            <w:pPr>
              <w:ind w:left="20"/>
              <w:spacing w:after="0"/>
              <w:rPr>
                <w:sz w:val="20"/>
                <w:szCs w:val="20"/>
                <w:color w:val="auto"/>
              </w:rPr>
            </w:pPr>
            <w:r>
              <w:rPr>
                <w:rFonts w:ascii="Arial" w:cs="Arial" w:eastAsia="Arial" w:hAnsi="Arial"/>
                <w:sz w:val="16"/>
                <w:szCs w:val="16"/>
                <w:color w:val="auto"/>
              </w:rPr>
              <w:t>Decrease in cash, cash equivalents and restricted cash</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(165,456)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(38,569)</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297,208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45,415</w:t>
            </w:r>
          </w:p>
        </w:tc>
      </w:tr>
      <w:tr>
        <w:trPr>
          <w:trHeight w:val="206"/>
        </w:trPr>
        <w:tc>
          <w:tcPr>
            <w:tcW w:w="78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131,752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6,846</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6"/>
        </w:trPr>
        <w:tc>
          <w:tcPr>
            <w:tcW w:w="784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Reconciliation of cash, cash equivalents and restricted cash:</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131,152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6,246</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06"/>
        </w:trPr>
        <w:tc>
          <w:tcPr>
            <w:tcW w:w="7840" w:type="dxa"/>
            <w:vAlign w:val="bottom"/>
          </w:tcPr>
          <w:p>
            <w:pPr>
              <w:ind w:left="660"/>
              <w:spacing w:after="0"/>
              <w:rPr>
                <w:sz w:val="20"/>
                <w:szCs w:val="20"/>
                <w:color w:val="auto"/>
              </w:rPr>
            </w:pPr>
            <w:r>
              <w:rPr>
                <w:rFonts w:ascii="Arial" w:cs="Arial" w:eastAsia="Arial" w:hAnsi="Arial"/>
                <w:sz w:val="16"/>
                <w:szCs w:val="16"/>
                <w:color w:val="auto"/>
              </w:rPr>
              <w:t>Total cash, cash equivalents and restricted cash</w:t>
            </w:r>
          </w:p>
        </w:tc>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131,752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6,846</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6"/>
        </w:trPr>
        <w:tc>
          <w:tcPr>
            <w:tcW w:w="784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Supplemental disclosures of non-cash activities: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0"/>
        </w:trPr>
        <w:tc>
          <w:tcPr>
            <w:tcW w:w="784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 included in accounts payable</w:t>
            </w:r>
          </w:p>
        </w:tc>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2"/>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Accretion of redeemable convertible preferred stock to redemption value</w:t>
            </w: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2,064</w:t>
            </w: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2"/>
        </w:trPr>
        <w:tc>
          <w:tcPr>
            <w:tcW w:w="7840" w:type="dxa"/>
            <w:vAlign w:val="bottom"/>
          </w:tcPr>
          <w:p>
            <w:pPr>
              <w:ind w:left="20"/>
              <w:spacing w:after="0" w:line="182" w:lineRule="exact"/>
              <w:rPr>
                <w:sz w:val="20"/>
                <w:szCs w:val="20"/>
                <w:color w:val="auto"/>
              </w:rPr>
            </w:pPr>
            <w:r>
              <w:rPr>
                <w:rFonts w:ascii="Arial" w:cs="Arial" w:eastAsia="Arial" w:hAnsi="Arial"/>
                <w:sz w:val="16"/>
                <w:szCs w:val="16"/>
                <w:color w:val="auto"/>
              </w:rPr>
              <w:t>Redeemable convertible preferred stock issuance costs included in accounts payable</w:t>
            </w:r>
          </w:p>
        </w:tc>
        <w:tc>
          <w:tcPr>
            <w:tcW w:w="380" w:type="dxa"/>
            <w:vAlign w:val="bottom"/>
          </w:tcPr>
          <w:p>
            <w:pPr>
              <w:jc w:val="right"/>
              <w:ind w:right="181"/>
              <w:spacing w:after="0" w:line="182" w:lineRule="exact"/>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line="182" w:lineRule="exact"/>
              <w:rPr>
                <w:sz w:val="20"/>
                <w:szCs w:val="20"/>
                <w:color w:val="auto"/>
              </w:rPr>
            </w:pPr>
            <w:r>
              <w:rPr>
                <w:rFonts w:ascii="Arial" w:cs="Arial" w:eastAsia="Arial" w:hAnsi="Arial"/>
                <w:sz w:val="16"/>
                <w:szCs w:val="16"/>
                <w:color w:val="auto"/>
              </w:rPr>
              <w:t>—</w:t>
            </w:r>
          </w:p>
        </w:tc>
        <w:tc>
          <w:tcPr>
            <w:tcW w:w="360" w:type="dxa"/>
            <w:vAlign w:val="bottom"/>
          </w:tcPr>
          <w:p>
            <w:pPr>
              <w:jc w:val="right"/>
              <w:ind w:right="181"/>
              <w:spacing w:after="0" w:line="182" w:lineRule="exact"/>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line="182" w:lineRule="exact"/>
              <w:rPr>
                <w:sz w:val="20"/>
                <w:szCs w:val="20"/>
                <w:color w:val="auto"/>
              </w:rPr>
            </w:pPr>
            <w:r>
              <w:rPr>
                <w:rFonts w:ascii="Arial" w:cs="Arial" w:eastAsia="Arial" w:hAnsi="Arial"/>
                <w:sz w:val="16"/>
                <w:szCs w:val="16"/>
                <w:color w:val="auto"/>
              </w:rPr>
              <w:t>36</w:t>
            </w:r>
          </w:p>
        </w:tc>
      </w:tr>
      <w:tr>
        <w:trPr>
          <w:trHeight w:val="20"/>
        </w:trPr>
        <w:tc>
          <w:tcPr>
            <w:tcW w:w="7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 w:name="page10"/>
    <w:bookmarkEnd w:id="9"/>
    <w:p>
      <w:pPr>
        <w:jc w:val="center"/>
        <w:spacing w:after="0" w:line="465" w:lineRule="auto"/>
        <w:rPr>
          <w:sz w:val="20"/>
          <w:szCs w:val="20"/>
          <w:color w:val="auto"/>
        </w:rPr>
      </w:pPr>
      <w:r>
        <w:rPr>
          <w:rFonts w:ascii="Arial" w:cs="Arial" w:eastAsia="Arial" w:hAnsi="Arial"/>
          <w:sz w:val="17"/>
          <w:szCs w:val="17"/>
          <w:b w:val="1"/>
          <w:bCs w:val="1"/>
          <w:color w:val="auto"/>
        </w:rPr>
        <w:t>PRAXIS PRECISION MEDICINES, INC. NOTES TO CONDENSED CONSOLIDATED FINANCIAL STATEMENTS (Unaudited)</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the Business</w:t>
      </w:r>
    </w:p>
    <w:p>
      <w:pPr>
        <w:spacing w:after="0" w:line="102" w:lineRule="exact"/>
        <w:rPr>
          <w:sz w:val="20"/>
          <w:szCs w:val="20"/>
          <w:color w:val="auto"/>
        </w:rPr>
      </w:pPr>
    </w:p>
    <w:p>
      <w:pPr>
        <w:ind w:right="100" w:firstLine="433"/>
        <w:spacing w:after="0" w:line="259" w:lineRule="auto"/>
        <w:rPr>
          <w:sz w:val="20"/>
          <w:szCs w:val="20"/>
          <w:color w:val="auto"/>
        </w:rPr>
      </w:pPr>
      <w:r>
        <w:rPr>
          <w:rFonts w:ascii="Arial" w:cs="Arial" w:eastAsia="Arial" w:hAnsi="Arial"/>
          <w:sz w:val="17"/>
          <w:szCs w:val="17"/>
          <w:color w:val="auto"/>
        </w:rPr>
        <w:t>Praxis Precision Medicines, Inc. (“Praxis” or the “Company”) is a clinical-stage biopharmaceutical company translating genetic insights into the development of therapies for central nervous system (“CNS”) disorders characterized by neuronal imbalance. The Company has established a broad portfolio, including multiple disclosed programs across CNS disorders, including depression, epilepsy, movement disorders and pain syndromes, with three clinical-stage product candidates. The Company intends to develop differentiated therapies that can deliver long-term benefits to human health by meaningfully impacting patients and society. The Company’s most advanced programs, PRAX-114 and PRAX-944, are currently in Phase 2/3 and Phase 2 development, respectively. PRAX-114 is an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 preferring positive allosteric modulator currently being developed for the treatment of major depressive disorder and perimenopausal depression. The Company plans to initiate Phase 2 trials of PRAX-114 in post-traumatic stress disorder and essential tremor ("ET") in the second half of 2021. PRAX-944 is a selective small molecule inhibitor of T-type calcium channels currently being developed for the treatment of ET. The Company plans to initiate a Phase 2 trial of PRAX-944 in Parkinson's disease in the first half of 2022.</w:t>
      </w:r>
    </w:p>
    <w:p>
      <w:pPr>
        <w:spacing w:after="0" w:line="198"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Praxis was incorporated in 2015 and commenced operations in 2016. The Company has funded its operations primarily with proceeds from the issuance of convertible debt, Series A redeemable convertible preferred stock (the “Series A Preferred Stock”), Series B redeemable convertible preferred stock (the “Series B Preferred Stock”), Series B-1 redeemable convertible preferred stock (the “Series B-1 Preferred Stock”), Series C redeemable convertible preferred stock (the “Series C Preferred Stock”) and Series C-1 redeemable convertible preferred stock (the "Series "C-1 Preferred Stock" and together the Series A Preferred Stock, Series B Preferred Stock, Series B-1 Preferred Stock, Series C Preferred Stock and Series C-1 Preferred Stock are collectively referred to as the “Redeemable Convertible Preferred Stock”), and from proceeds from its initial public offering ("IPO"). From inception through March 31, 2021, the Company raised $411.0 million in aggregate cash proceeds from these transactions, net of issuance costs.</w:t>
      </w:r>
    </w:p>
    <w:p>
      <w:pPr>
        <w:spacing w:after="0" w:line="194"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121" w:lineRule="exact"/>
        <w:rPr>
          <w:sz w:val="20"/>
          <w:szCs w:val="20"/>
          <w:color w:val="auto"/>
        </w:rPr>
      </w:pPr>
    </w:p>
    <w:p>
      <w:pPr>
        <w:ind w:right="480" w:firstLine="433"/>
        <w:spacing w:after="0" w:line="270" w:lineRule="auto"/>
        <w:rPr>
          <w:sz w:val="20"/>
          <w:szCs w:val="20"/>
          <w:color w:val="auto"/>
        </w:rPr>
      </w:pPr>
      <w:r>
        <w:rPr>
          <w:rFonts w:ascii="Arial" w:cs="Arial" w:eastAsia="Arial" w:hAnsi="Arial"/>
          <w:sz w:val="17"/>
          <w:szCs w:val="17"/>
          <w:color w:val="auto"/>
        </w:rPr>
        <w:t xml:space="preserve">In accordance with the Financial Accounting Standards Board (“FASB”) Accounting Standards Update (“ASU”) 2014-15, </w:t>
      </w:r>
      <w:r>
        <w:rPr>
          <w:rFonts w:ascii="Arial" w:cs="Arial" w:eastAsia="Arial" w:hAnsi="Arial"/>
          <w:sz w:val="17"/>
          <w:szCs w:val="17"/>
          <w:i w:val="1"/>
          <w:iCs w:val="1"/>
          <w:color w:val="auto"/>
        </w:rPr>
        <w:t>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Uncertainties about an Entity’s Ability to Continue as a Going Concern (Subtopic 205-40)</w:t>
      </w:r>
      <w:r>
        <w:rPr>
          <w:rFonts w:ascii="Arial" w:cs="Arial" w:eastAsia="Arial" w:hAnsi="Arial"/>
          <w:sz w:val="17"/>
          <w:szCs w:val="17"/>
          <w:color w:val="auto"/>
        </w:rPr>
        <w:t>, the Company has evaluated whether there are</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and events, considered in the aggregate, that raise substantial doubt about the Company’s ability to continue as a going concern within one year after the date that these condensed consolidated financial statements are issued.</w:t>
      </w:r>
    </w:p>
    <w:p>
      <w:pPr>
        <w:spacing w:after="0" w:line="187" w:lineRule="exact"/>
        <w:rPr>
          <w:sz w:val="20"/>
          <w:szCs w:val="20"/>
          <w:color w:val="auto"/>
        </w:rPr>
      </w:pPr>
    </w:p>
    <w:p>
      <w:pPr>
        <w:ind w:right="160" w:firstLine="433"/>
        <w:spacing w:after="0" w:line="266" w:lineRule="auto"/>
        <w:rPr>
          <w:sz w:val="20"/>
          <w:szCs w:val="20"/>
          <w:color w:val="auto"/>
        </w:rPr>
      </w:pPr>
      <w:r>
        <w:rPr>
          <w:rFonts w:ascii="Arial" w:cs="Arial" w:eastAsia="Arial" w:hAnsi="Arial"/>
          <w:sz w:val="17"/>
          <w:szCs w:val="17"/>
          <w:color w:val="auto"/>
        </w:rPr>
        <w:t>The Company has incurred recurring losses since its inception, including net losses of $27.4 million for the three months ended March 31, 2021. In addition, as of March 31, 2021, the Company had an accumulated deficit of $176.9 million. The Company expects to continue to generate operating losses for the foreseeable future.</w:t>
      </w:r>
    </w:p>
    <w:p>
      <w:pPr>
        <w:spacing w:after="0" w:line="189" w:lineRule="exact"/>
        <w:rPr>
          <w:sz w:val="20"/>
          <w:szCs w:val="20"/>
          <w:color w:val="auto"/>
        </w:rPr>
      </w:pPr>
    </w:p>
    <w:p>
      <w:pPr>
        <w:ind w:right="160" w:firstLine="433"/>
        <w:spacing w:after="0" w:line="263" w:lineRule="auto"/>
        <w:rPr>
          <w:sz w:val="20"/>
          <w:szCs w:val="20"/>
          <w:color w:val="auto"/>
        </w:rPr>
      </w:pPr>
      <w:r>
        <w:rPr>
          <w:rFonts w:ascii="Arial" w:cs="Arial" w:eastAsia="Arial" w:hAnsi="Arial"/>
          <w:sz w:val="17"/>
          <w:szCs w:val="17"/>
          <w:color w:val="auto"/>
        </w:rPr>
        <w:t>The Company expects that its cash, cash equivalents and marketable securities as of March 31, 2021 of $270.8 million will be sufficient to fund the operating expenses and capital expenditure requirements necessary to advance its research efforts and clinical trials for at least one year from the date of issuance of these condensed consolidated financial statements. The future viability of the Company is dependent on its ability to raise additional</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 w:name="page11"/>
    <w:bookmarkEnd w:id="10"/>
    <w:p>
      <w:pPr>
        <w:ind w:right="500"/>
        <w:spacing w:after="0" w:line="266" w:lineRule="auto"/>
        <w:rPr>
          <w:sz w:val="20"/>
          <w:szCs w:val="20"/>
          <w:color w:val="auto"/>
        </w:rPr>
      </w:pPr>
      <w:r>
        <w:rPr>
          <w:rFonts w:ascii="Arial" w:cs="Arial" w:eastAsia="Arial" w:hAnsi="Arial"/>
          <w:sz w:val="17"/>
          <w:szCs w:val="17"/>
          <w:color w:val="auto"/>
        </w:rPr>
        <w:t>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72" w:lineRule="exact"/>
        <w:rPr>
          <w:sz w:val="20"/>
          <w:szCs w:val="20"/>
          <w:color w:val="auto"/>
        </w:rPr>
      </w:pPr>
    </w:p>
    <w:p>
      <w:pPr>
        <w:ind w:right="7280" w:firstLine="5"/>
        <w:spacing w:after="0" w:line="399" w:lineRule="auto"/>
        <w:tabs>
          <w:tab w:leader="none" w:pos="194"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jc w:val="both"/>
        <w:ind w:right="280" w:firstLine="433"/>
        <w:spacing w:after="0" w:line="266" w:lineRule="auto"/>
        <w:rPr>
          <w:sz w:val="20"/>
          <w:szCs w:val="20"/>
          <w:color w:val="auto"/>
        </w:rPr>
      </w:pPr>
      <w:r>
        <w:rPr>
          <w:rFonts w:ascii="Arial" w:cs="Arial" w:eastAsia="Arial" w:hAnsi="Arial"/>
          <w:sz w:val="17"/>
          <w:szCs w:val="17"/>
          <w:color w:val="auto"/>
        </w:rPr>
        <w:t>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89" w:lineRule="exact"/>
        <w:rPr>
          <w:sz w:val="20"/>
          <w:szCs w:val="20"/>
          <w:color w:val="auto"/>
        </w:rPr>
      </w:pPr>
    </w:p>
    <w:p>
      <w:pPr>
        <w:jc w:val="both"/>
        <w:ind w:right="160" w:firstLine="433"/>
        <w:spacing w:after="0" w:line="266"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three months ended March 31, 2021 are consistent with those discussed in Note 2 to the consolidated financial statements included in the Company's 2020 Annual Report on Form 10-K, except as noted immediately below.</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Condensed Consolidated Financial Information</w:t>
      </w:r>
    </w:p>
    <w:p>
      <w:pPr>
        <w:spacing w:after="0" w:line="139"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accompanying condensed consolidated balance sheet as of March 31, 2021, the condensed consolidated statements of operations for the three months ended March 31, 2021 and 2020, the condensed consolidated statements of comprehensive loss for the three months ended March 31, 2021 and 2020, the condensed consolidated statements of cash flows for the three months ended March 31, 2021 and 2020 and the condensed consolidated statements of redeemable convertible preferred stock and stockholders’ equity (deficit) for the three months ended March 31, 2021 and 2020 are unaudited. The unaudited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March 31, 2021, the results of its operations for the three months ended March 31, 2021 and 2020 and its cash flows for the three months ended March 31, 2021 and 2020. Financial statement disclosures for the three months ended March 31, 2021 and 2020 are condensed and do not include all disclosures required for an annual set of financial statements in accordance with GAAP.</w:t>
      </w:r>
    </w:p>
    <w:p>
      <w:pPr>
        <w:spacing w:after="0" w:line="200" w:lineRule="exact"/>
        <w:rPr>
          <w:sz w:val="20"/>
          <w:szCs w:val="20"/>
          <w:color w:val="auto"/>
        </w:rPr>
      </w:pPr>
    </w:p>
    <w:p>
      <w:pPr>
        <w:spacing w:after="0" w:line="209" w:lineRule="exact"/>
        <w:rPr>
          <w:sz w:val="20"/>
          <w:szCs w:val="20"/>
          <w:color w:val="auto"/>
        </w:rPr>
      </w:pPr>
    </w:p>
    <w:p>
      <w:pPr>
        <w:ind w:right="740" w:firstLine="433"/>
        <w:spacing w:after="0" w:line="275" w:lineRule="auto"/>
        <w:rPr>
          <w:sz w:val="20"/>
          <w:szCs w:val="20"/>
          <w:color w:val="auto"/>
        </w:rPr>
      </w:pPr>
      <w:r>
        <w:rPr>
          <w:rFonts w:ascii="Arial" w:cs="Arial" w:eastAsia="Arial" w:hAnsi="Arial"/>
          <w:sz w:val="17"/>
          <w:szCs w:val="17"/>
          <w:color w:val="auto"/>
        </w:rPr>
        <w:t>The results for the three months ended March 31, 2021 are not necessarily indicative of results to be expected for the year ended December 31, 2021, any other interim periods, or any future year or period.</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39" w:lineRule="exact"/>
        <w:rPr>
          <w:sz w:val="20"/>
          <w:szCs w:val="20"/>
          <w:color w:val="auto"/>
        </w:rPr>
      </w:pPr>
    </w:p>
    <w:p>
      <w:pPr>
        <w:ind w:right="140" w:firstLine="472"/>
        <w:spacing w:after="0" w:line="260" w:lineRule="auto"/>
        <w:rPr>
          <w:sz w:val="20"/>
          <w:szCs w:val="20"/>
          <w:color w:val="auto"/>
        </w:rPr>
      </w:pPr>
      <w:r>
        <w:rPr>
          <w:rFonts w:ascii="Arial" w:cs="Arial" w:eastAsia="Arial" w:hAnsi="Arial"/>
          <w:sz w:val="17"/>
          <w:szCs w:val="17"/>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the accrual for research and development expenses, stock-based compensation expense, and the valuation of equity awards. Estimates are periodically reviewed in light of changes in circumstances, facts and experience. Changes in estimates are recorded in the period in which they become known. Actual results could differ materially from those estimates.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139"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The Company invests its excess cash in money market funds and debt instruments of the U.S. Treasury, financial institutions, corporations and U.S. government agencies with strong credit ratings and an investment grade rating at or above A-1 or P-1 by two of the three nationally recognized statistical rating organizations. The Company has established guidelines relative to diversification and maturities that maintain safety and liquidity, and periodically reviews and modifies these guidelines to maximize trends in yields and interest rates without compromising safety and liquidity. The Company classifies its investments in debt instruments as available-for-sale. Available-for-sale investments are reported at fair value at each balance sheet date, and include any unrealized holding gains and losses in accumulated other comprehensive gain (loss), a component of stockholders’ equity. Realized gains and losses are included in the Company's condensed consolidated statements of operations. All of the Company's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096" w:right="419" w:bottom="1440" w:gutter="0" w:footer="0" w:header="0"/>
        </w:sectPr>
      </w:pPr>
    </w:p>
    <w:bookmarkStart w:id="11" w:name="page12"/>
    <w:bookmarkEnd w:id="11"/>
    <w:p>
      <w:pPr>
        <w:ind w:right="480"/>
        <w:spacing w:after="0" w:line="275" w:lineRule="auto"/>
        <w:rPr>
          <w:sz w:val="20"/>
          <w:szCs w:val="20"/>
          <w:color w:val="auto"/>
        </w:rPr>
      </w:pPr>
      <w:r>
        <w:rPr>
          <w:rFonts w:ascii="Arial" w:cs="Arial" w:eastAsia="Arial" w:hAnsi="Arial"/>
          <w:sz w:val="17"/>
          <w:szCs w:val="17"/>
          <w:color w:val="auto"/>
        </w:rPr>
        <w:t>available-for-sale securities are available for use in its current operations. As a result, the Company has categorized all of these securities as current assets even though the stated maturity of some individual securities may be one year or more beyond the balance sheet date.</w:t>
      </w:r>
    </w:p>
    <w:p>
      <w:pPr>
        <w:spacing w:after="0" w:line="313"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The Company evaluates securities for impairment at the end of each reporting period. Impairment is evaluated considering numerous factors, and their relative significance varies depending on the situation. Factors considered include whether a decline in fair value below the amortized cost basis is due to credit-related factors or non-credit-related factors, the financial condition and near-term prospects of the issuer, and the Company's intent and ability to hold the investment to allow for an anticipated recovery in fair value. A credit-related impairment is recognized as an allowance on the balance sheet with a corresponding adjustment to earnings. Any impairment that is not credit- related is recognized in other comprehensive (loss) income, net of applicable taxes.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54" w:lineRule="exact"/>
        <w:rPr>
          <w:sz w:val="20"/>
          <w:szCs w:val="20"/>
          <w:color w:val="auto"/>
        </w:rPr>
      </w:pPr>
    </w:p>
    <w:p>
      <w:pPr>
        <w:ind w:right="340" w:firstLine="433"/>
        <w:spacing w:after="0" w:line="26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740)—Simplifying the Accounting for Income Taxes</w:t>
      </w:r>
      <w:r>
        <w:rPr>
          <w:rFonts w:ascii="Arial" w:cs="Arial" w:eastAsia="Arial" w:hAnsi="Arial"/>
          <w:sz w:val="17"/>
          <w:szCs w:val="17"/>
          <w:color w:val="auto"/>
        </w:rPr>
        <w:t xml:space="preserve"> ("ASU 2019-12"). The ASU simplifies the accounting for income taxes by eliminating certain exceptions to the guidance in ASC 740, Income Taxes, related to the approach for allocating income tax expense or benefit for the year to continuing operations, discontinued operations, other comprehensive income, and other charges or credits recorded directly to shareholders’ equity; the methodology for calculating income taxes in an interim period; and the recognition of deferred tax liabilities for outside basis differences. On January 1, 2021, the Company early adopted ASU 2019-12 on a prospective basis, with no material impact on its condensed consolidated financial statements and related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41" w:lineRule="exact"/>
        <w:rPr>
          <w:sz w:val="20"/>
          <w:szCs w:val="20"/>
          <w:color w:val="auto"/>
        </w:rPr>
      </w:pPr>
    </w:p>
    <w:p>
      <w:pPr>
        <w:ind w:right="360" w:firstLine="433"/>
        <w:spacing w:after="0" w:line="264"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which has been subsequently amended by ASU No. 2018-19, ASU No. 2019-04, ASU No. 2019-05, ASU No. 2019-10,</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2019-11 and ASU No. 2020-03 (“ASU 2016-13”). The provisions of ASU 2016-13 modify the impairment model to utilize an expected loss methodology in place of the currently used incurred loss methodology and require a consideration of a broader range of reasonable and supportable information to inform credit loss estimates. ASU 2016-13 is effective for the Company on January 1, 2023, with early adoption permitted. The Company is currently evaluating the potential impact that this standard may have on its financial position and results of operations, as well as the timing of its adoption of this standard.</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Marketable Securities</w:t>
      </w:r>
    </w:p>
    <w:p>
      <w:pPr>
        <w:spacing w:after="0" w:line="141" w:lineRule="exact"/>
        <w:rPr>
          <w:sz w:val="20"/>
          <w:szCs w:val="20"/>
          <w:color w:val="auto"/>
        </w:rPr>
      </w:pPr>
    </w:p>
    <w:p>
      <w:pPr>
        <w:ind w:right="680" w:firstLine="433"/>
        <w:spacing w:after="0" w:line="275" w:lineRule="auto"/>
        <w:rPr>
          <w:sz w:val="20"/>
          <w:szCs w:val="20"/>
          <w:color w:val="auto"/>
        </w:rPr>
      </w:pPr>
      <w:r>
        <w:rPr>
          <w:rFonts w:ascii="Arial" w:cs="Arial" w:eastAsia="Arial" w:hAnsi="Arial"/>
          <w:sz w:val="17"/>
          <w:szCs w:val="17"/>
          <w:color w:val="auto"/>
        </w:rPr>
        <w:t>The following is a summary of the Company's investment portfolio at March 31, 2021 (in thousands). The Company did not have any marketable securities as of December 31, 2020.</w:t>
      </w:r>
    </w:p>
    <w:p>
      <w:pPr>
        <w:spacing w:after="0" w:line="94" w:lineRule="exact"/>
        <w:rPr>
          <w:sz w:val="20"/>
          <w:szCs w:val="20"/>
          <w:color w:val="auto"/>
        </w:rPr>
      </w:pPr>
    </w:p>
    <w:tbl>
      <w:tblPr>
        <w:tblLayout w:type="fixed"/>
        <w:tblInd w:w="440" w:type="dxa"/>
        <w:tblCellMar>
          <w:top w:w="0" w:type="dxa"/>
          <w:left w:w="0" w:type="dxa"/>
          <w:bottom w:w="0" w:type="dxa"/>
          <w:right w:w="0" w:type="dxa"/>
        </w:tblCellMar>
      </w:tblPr>
      <w:tr>
        <w:trPr>
          <w:trHeight w:val="223"/>
        </w:trPr>
        <w:tc>
          <w:tcPr>
            <w:tcW w:w="4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20" w:type="dxa"/>
            <w:vAlign w:val="bottom"/>
            <w:gridSpan w:val="2"/>
          </w:tcPr>
          <w:p>
            <w:pPr>
              <w:ind w:left="320"/>
              <w:spacing w:after="0"/>
              <w:rPr>
                <w:sz w:val="20"/>
                <w:szCs w:val="20"/>
                <w:color w:val="auto"/>
              </w:rPr>
            </w:pPr>
            <w:r>
              <w:rPr>
                <w:rFonts w:ascii="Arial" w:cs="Arial" w:eastAsia="Arial" w:hAnsi="Arial"/>
                <w:sz w:val="17"/>
                <w:szCs w:val="17"/>
                <w:b w:val="1"/>
                <w:bCs w:val="1"/>
                <w:color w:val="auto"/>
              </w:rPr>
              <w:t>Gross Unrealized</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Estimated</w:t>
            </w:r>
          </w:p>
        </w:tc>
      </w:tr>
      <w:tr>
        <w:trPr>
          <w:trHeight w:val="232"/>
        </w:trPr>
        <w:tc>
          <w:tcPr>
            <w:tcW w:w="40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7"/>
                <w:szCs w:val="17"/>
                <w:b w:val="1"/>
                <w:bCs w:val="1"/>
                <w:color w:val="auto"/>
              </w:rPr>
              <w:t>Cost</w:t>
            </w:r>
          </w:p>
        </w:tc>
        <w:tc>
          <w:tcPr>
            <w:tcW w:w="2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Gains</w:t>
            </w:r>
          </w:p>
        </w:tc>
        <w:tc>
          <w:tcPr>
            <w:tcW w:w="1240" w:type="dxa"/>
            <w:vAlign w:val="bottom"/>
            <w:tcBorders>
              <w:bottom w:val="single" w:sz="8" w:color="auto"/>
            </w:tcBorders>
            <w:gridSpan w:val="2"/>
          </w:tcPr>
          <w:p>
            <w:pPr>
              <w:ind w:left="380"/>
              <w:spacing w:after="0"/>
              <w:rPr>
                <w:sz w:val="20"/>
                <w:szCs w:val="20"/>
                <w:color w:val="auto"/>
              </w:rPr>
            </w:pPr>
            <w:r>
              <w:rPr>
                <w:rFonts w:ascii="Arial" w:cs="Arial" w:eastAsia="Arial" w:hAnsi="Arial"/>
                <w:sz w:val="17"/>
                <w:szCs w:val="17"/>
                <w:b w:val="1"/>
                <w:bCs w:val="1"/>
                <w:color w:val="auto"/>
              </w:rPr>
              <w:t>Losses</w:t>
            </w:r>
          </w:p>
        </w:tc>
        <w:tc>
          <w:tcPr>
            <w:tcW w:w="1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Fair Value</w:t>
            </w:r>
          </w:p>
        </w:tc>
      </w:tr>
      <w:tr>
        <w:trPr>
          <w:trHeight w:val="203"/>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Available-for-sale securities:</w:t>
            </w:r>
          </w:p>
        </w:tc>
        <w:tc>
          <w:tcPr>
            <w:tcW w:w="7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7"/>
        </w:trPr>
        <w:tc>
          <w:tcPr>
            <w:tcW w:w="4220" w:type="dxa"/>
            <w:vAlign w:val="bottom"/>
            <w:gridSpan w:val="2"/>
          </w:tcPr>
          <w:p>
            <w:pPr>
              <w:ind w:left="440"/>
              <w:spacing w:after="0"/>
              <w:rPr>
                <w:sz w:val="20"/>
                <w:szCs w:val="20"/>
                <w:color w:val="auto"/>
              </w:rPr>
            </w:pPr>
            <w:r>
              <w:rPr>
                <w:rFonts w:ascii="Arial" w:cs="Arial" w:eastAsia="Arial" w:hAnsi="Arial"/>
                <w:sz w:val="16"/>
                <w:szCs w:val="16"/>
                <w:color w:val="auto"/>
              </w:rPr>
              <w:t>Commercial paper</w:t>
            </w:r>
          </w:p>
        </w:tc>
        <w:tc>
          <w:tcPr>
            <w:tcW w:w="7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55,926</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4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0"/>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Corporate debt securities</w:t>
            </w:r>
          </w:p>
        </w:tc>
        <w:tc>
          <w:tcPr>
            <w:tcW w:w="7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44,686</w:t>
            </w: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(40)</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3"/>
        </w:trPr>
        <w:tc>
          <w:tcPr>
            <w:tcW w:w="422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securities with a maturity of one year or less</w:t>
            </w:r>
          </w:p>
        </w:tc>
        <w:tc>
          <w:tcPr>
            <w:tcW w:w="7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100,612</w:t>
            </w: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(40)</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45"/>
        </w:trPr>
        <w:tc>
          <w:tcPr>
            <w:tcW w:w="4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07"/>
        </w:trPr>
        <w:tc>
          <w:tcPr>
            <w:tcW w:w="4220" w:type="dxa"/>
            <w:vAlign w:val="bottom"/>
            <w:gridSpan w:val="2"/>
          </w:tcPr>
          <w:p>
            <w:pPr>
              <w:ind w:left="440"/>
              <w:spacing w:after="0"/>
              <w:rPr>
                <w:sz w:val="20"/>
                <w:szCs w:val="20"/>
                <w:color w:val="auto"/>
              </w:rPr>
            </w:pPr>
            <w:r>
              <w:rPr>
                <w:rFonts w:ascii="Arial" w:cs="Arial" w:eastAsia="Arial" w:hAnsi="Arial"/>
                <w:sz w:val="16"/>
                <w:szCs w:val="16"/>
                <w:color w:val="auto"/>
              </w:rPr>
              <w:t>Corporate debt securities</w:t>
            </w:r>
          </w:p>
        </w:tc>
        <w:tc>
          <w:tcPr>
            <w:tcW w:w="7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26,888</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ind w:left="4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76"/>
        </w:trPr>
        <w:tc>
          <w:tcPr>
            <w:tcW w:w="4220" w:type="dxa"/>
            <w:vAlign w:val="bottom"/>
            <w:gridSpan w:val="2"/>
            <w:shd w:val="clear" w:color="auto" w:fill="CCEEFF"/>
          </w:tcPr>
          <w:p>
            <w:pPr>
              <w:ind w:left="440"/>
              <w:spacing w:after="0" w:line="175" w:lineRule="exact"/>
              <w:rPr>
                <w:sz w:val="20"/>
                <w:szCs w:val="20"/>
                <w:color w:val="auto"/>
              </w:rPr>
            </w:pPr>
            <w:r>
              <w:rPr>
                <w:rFonts w:ascii="Arial" w:cs="Arial" w:eastAsia="Arial" w:hAnsi="Arial"/>
                <w:sz w:val="16"/>
                <w:szCs w:val="16"/>
                <w:color w:val="auto"/>
              </w:rPr>
              <w:t>Debt securities issued by U.S. government</w:t>
            </w:r>
          </w:p>
        </w:tc>
        <w:tc>
          <w:tcPr>
            <w:tcW w:w="7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92"/>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agencies</w:t>
            </w:r>
          </w:p>
        </w:tc>
        <w:tc>
          <w:tcPr>
            <w:tcW w:w="7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12,245</w:t>
            </w: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6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3"/>
        </w:trPr>
        <w:tc>
          <w:tcPr>
            <w:tcW w:w="422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securities with a maturity of one to two years</w:t>
            </w:r>
          </w:p>
        </w:tc>
        <w:tc>
          <w:tcPr>
            <w:tcW w:w="7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39,133</w:t>
            </w: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(46)</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31"/>
        </w:trPr>
        <w:tc>
          <w:tcPr>
            <w:tcW w:w="42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Total available-for-sale securities</w:t>
            </w:r>
          </w:p>
        </w:tc>
        <w:tc>
          <w:tcPr>
            <w:tcW w:w="7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139,745</w:t>
            </w:r>
          </w:p>
        </w:tc>
        <w:tc>
          <w:tcPr>
            <w:tcW w:w="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(86)</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991" w:right="239" w:bottom="1440" w:gutter="0" w:footer="0" w:header="0"/>
        </w:sectPr>
      </w:pPr>
    </w:p>
    <w:bookmarkStart w:id="12" w:name="page13"/>
    <w:bookmarkEnd w:id="12"/>
    <w:p>
      <w:pPr>
        <w:ind w:right="240" w:firstLine="433"/>
        <w:spacing w:after="0" w:line="263" w:lineRule="auto"/>
        <w:rPr>
          <w:sz w:val="20"/>
          <w:szCs w:val="20"/>
          <w:color w:val="auto"/>
        </w:rPr>
      </w:pPr>
      <w:r>
        <w:rPr>
          <w:rFonts w:ascii="Arial" w:cs="Arial" w:eastAsia="Arial" w:hAnsi="Arial"/>
          <w:sz w:val="17"/>
          <w:szCs w:val="17"/>
          <w:color w:val="auto"/>
        </w:rPr>
        <w:t>The Company recorded unrealized losses related to the marketable securities listed above as of March 31, 2021. The Company believes that the unrealized losses associated with the decline in value of these securities is temporary and primarily related to the change in market interest rates since purchase, and believes that it is more likely than not that it will be able to hold its debt securities to maturity. Therefore, the Company anticipates a full recovery of the amortized cost basis of its debt securities at maturity.</w:t>
      </w:r>
    </w:p>
    <w:p>
      <w:pPr>
        <w:spacing w:after="0" w:line="87" w:lineRule="exact"/>
        <w:rPr>
          <w:sz w:val="20"/>
          <w:szCs w:val="20"/>
          <w:color w:val="auto"/>
        </w:rPr>
      </w:pPr>
    </w:p>
    <w:p>
      <w:pPr>
        <w:ind w:right="480" w:firstLine="433"/>
        <w:spacing w:after="0" w:line="275" w:lineRule="auto"/>
        <w:rPr>
          <w:sz w:val="20"/>
          <w:szCs w:val="20"/>
          <w:color w:val="auto"/>
        </w:rPr>
      </w:pPr>
      <w:r>
        <w:rPr>
          <w:rFonts w:ascii="Arial" w:cs="Arial" w:eastAsia="Arial" w:hAnsi="Arial"/>
          <w:sz w:val="17"/>
          <w:szCs w:val="17"/>
          <w:color w:val="auto"/>
        </w:rPr>
        <w:t>Securities are evaluated for impairment at the end of each reporting period. The Company did not record any impairment related to its available-for-sale securities during the three months ended March 31, 2021.</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w:t>
      </w:r>
    </w:p>
    <w:p>
      <w:pPr>
        <w:spacing w:after="0" w:line="141" w:lineRule="exact"/>
        <w:rPr>
          <w:sz w:val="20"/>
          <w:szCs w:val="20"/>
          <w:color w:val="auto"/>
        </w:rPr>
      </w:pPr>
    </w:p>
    <w:p>
      <w:pPr>
        <w:ind w:right="300" w:firstLine="433"/>
        <w:spacing w:after="0" w:line="266" w:lineRule="auto"/>
        <w:rPr>
          <w:sz w:val="20"/>
          <w:szCs w:val="20"/>
          <w:color w:val="auto"/>
        </w:rPr>
      </w:pPr>
      <w:r>
        <w:rPr>
          <w:rFonts w:ascii="Arial" w:cs="Arial" w:eastAsia="Arial" w:hAnsi="Arial"/>
          <w:sz w:val="17"/>
          <w:szCs w:val="17"/>
          <w:color w:val="auto"/>
        </w:rPr>
        <w:t>Fair value is defined as the price that would be received to sell an asset in an orderly transaction between market participants at the measurement date. The Company categorizes financial assets measured at fair value based on a fair value hierarchy. The following fair value hierarchy is used to classify financial assets based on observable inputs and unobservable inputs used to value the financial assets:</w:t>
      </w:r>
    </w:p>
    <w:p>
      <w:pPr>
        <w:spacing w:after="0" w:line="84" w:lineRule="exact"/>
        <w:rPr>
          <w:sz w:val="20"/>
          <w:szCs w:val="20"/>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Unadjusted quoted prices in active markets that are accessible at the measurement date for identical assets;</w:t>
      </w:r>
    </w:p>
    <w:p>
      <w:pPr>
        <w:spacing w:after="0" w:line="119" w:lineRule="exact"/>
        <w:rPr>
          <w:rFonts w:ascii="Arial" w:cs="Arial" w:eastAsia="Arial" w:hAnsi="Arial"/>
          <w:sz w:val="17"/>
          <w:szCs w:val="17"/>
          <w:color w:val="auto"/>
        </w:rPr>
      </w:pPr>
    </w:p>
    <w:p>
      <w:pPr>
        <w:ind w:left="640" w:right="1140" w:hanging="320"/>
        <w:spacing w:after="0" w:line="275"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 Quoted prices for similar assets in active markets, quoted prices in markets that are not active, or inputs which are unobservable, either directly or indirectly, for substantially the full term of the asset; or</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Prices or valuation techniques that require inputs that are both significant to the valuation of the asset and unobservable.</w:t>
      </w:r>
    </w:p>
    <w:p>
      <w:pPr>
        <w:spacing w:after="0" w:line="11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following tables present information about the Company’s financial assets measured at fair value on a recurring basis and indicates the level of the fair value hierarchy utilized to determine such fair values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6"/>
                <w:szCs w:val="16"/>
                <w:b w:val="1"/>
                <w:bCs w:val="1"/>
                <w:color w:val="auto"/>
              </w:rPr>
              <w:t>As of March 31, 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5"/>
        </w:trPr>
        <w:tc>
          <w:tcPr>
            <w:tcW w:w="5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61"/>
              <w:spacing w:after="0"/>
              <w:rPr>
                <w:sz w:val="20"/>
                <w:szCs w:val="20"/>
                <w:color w:val="auto"/>
              </w:rPr>
            </w:pPr>
            <w:r>
              <w:rPr>
                <w:rFonts w:ascii="Arial" w:cs="Arial" w:eastAsia="Arial" w:hAnsi="Arial"/>
                <w:sz w:val="16"/>
                <w:szCs w:val="16"/>
                <w:b w:val="1"/>
                <w:bCs w:val="1"/>
                <w:color w:val="auto"/>
              </w:rPr>
              <w:t>Total</w:t>
            </w:r>
          </w:p>
        </w:tc>
      </w:tr>
      <w:tr>
        <w:trPr>
          <w:trHeight w:val="19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3"/>
        </w:trPr>
        <w:tc>
          <w:tcPr>
            <w:tcW w:w="5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127,773</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3"/>
        </w:trPr>
        <w:tc>
          <w:tcPr>
            <w:tcW w:w="5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Corporate debt securities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71,488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71,488</w:t>
            </w:r>
          </w:p>
        </w:tc>
      </w:tr>
      <w:tr>
        <w:trPr>
          <w:trHeight w:val="207"/>
        </w:trPr>
        <w:tc>
          <w:tcPr>
            <w:tcW w:w="5200" w:type="dxa"/>
            <w:vAlign w:val="bottom"/>
          </w:tcPr>
          <w:p>
            <w:pPr>
              <w:ind w:left="440"/>
              <w:spacing w:after="0"/>
              <w:rPr>
                <w:sz w:val="20"/>
                <w:szCs w:val="20"/>
                <w:color w:val="auto"/>
              </w:rPr>
            </w:pPr>
            <w:r>
              <w:rPr>
                <w:rFonts w:ascii="Arial" w:cs="Arial" w:eastAsia="Arial" w:hAnsi="Arial"/>
                <w:sz w:val="16"/>
                <w:szCs w:val="16"/>
                <w:color w:val="auto"/>
              </w:rPr>
              <w:t>Commercial paper</w:t>
            </w:r>
          </w:p>
        </w:tc>
        <w:tc>
          <w:tcPr>
            <w:tcW w:w="2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55,926</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55,926</w:t>
            </w:r>
          </w:p>
        </w:tc>
      </w:tr>
      <w:tr>
        <w:trPr>
          <w:trHeight w:val="210"/>
        </w:trPr>
        <w:tc>
          <w:tcPr>
            <w:tcW w:w="5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U.S. government agency and treasury securities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12,245</w:t>
            </w:r>
          </w:p>
        </w:tc>
      </w:tr>
      <w:tr>
        <w:trPr>
          <w:trHeight w:val="203"/>
        </w:trPr>
        <w:tc>
          <w:tcPr>
            <w:tcW w:w="52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140,018</w:t>
            </w:r>
          </w:p>
        </w:tc>
        <w:tc>
          <w:tcPr>
            <w:tcW w:w="12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127,414</w:t>
            </w:r>
          </w:p>
        </w:tc>
        <w:tc>
          <w:tcPr>
            <w:tcW w:w="100" w:type="dxa"/>
            <w:vAlign w:val="bottom"/>
          </w:tcPr>
          <w:p>
            <w:pPr>
              <w:spacing w:after="0"/>
              <w:rPr>
                <w:sz w:val="17"/>
                <w:szCs w:val="17"/>
                <w:color w:val="auto"/>
              </w:rPr>
            </w:pPr>
          </w:p>
        </w:tc>
        <w:tc>
          <w:tcPr>
            <w:tcW w:w="1100" w:type="dxa"/>
            <w:vAlign w:val="bottom"/>
          </w:tcPr>
          <w:p>
            <w:pPr>
              <w:jc w:val="right"/>
              <w:ind w:right="901"/>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267,432</w:t>
            </w:r>
          </w:p>
        </w:tc>
      </w:tr>
      <w:tr>
        <w:trPr>
          <w:trHeight w:val="23"/>
        </w:trPr>
        <w:tc>
          <w:tcPr>
            <w:tcW w:w="5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6"/>
                <w:szCs w:val="16"/>
                <w:b w:val="1"/>
                <w:bCs w:val="1"/>
                <w:color w:val="auto"/>
              </w:rPr>
              <w:t>As of December 31, 2020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5"/>
        </w:trPr>
        <w:tc>
          <w:tcPr>
            <w:tcW w:w="5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61"/>
              <w:spacing w:after="0"/>
              <w:rPr>
                <w:sz w:val="20"/>
                <w:szCs w:val="20"/>
                <w:color w:val="auto"/>
              </w:rPr>
            </w:pPr>
            <w:r>
              <w:rPr>
                <w:rFonts w:ascii="Arial" w:cs="Arial" w:eastAsia="Arial" w:hAnsi="Arial"/>
                <w:sz w:val="16"/>
                <w:szCs w:val="16"/>
                <w:b w:val="1"/>
                <w:bCs w:val="1"/>
                <w:color w:val="auto"/>
              </w:rPr>
              <w:t>Total</w:t>
            </w:r>
          </w:p>
        </w:tc>
      </w:tr>
      <w:tr>
        <w:trPr>
          <w:trHeight w:val="19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207"/>
        </w:trPr>
        <w:tc>
          <w:tcPr>
            <w:tcW w:w="518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5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Money market funds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290,931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290,931</w:t>
            </w:r>
          </w:p>
        </w:tc>
      </w:tr>
      <w:tr>
        <w:trPr>
          <w:trHeight w:val="203"/>
        </w:trPr>
        <w:tc>
          <w:tcPr>
            <w:tcW w:w="518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290,931</w:t>
            </w:r>
          </w:p>
        </w:tc>
        <w:tc>
          <w:tcPr>
            <w:tcW w:w="12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01"/>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290,931</w:t>
            </w:r>
          </w:p>
        </w:tc>
      </w:tr>
      <w:tr>
        <w:trPr>
          <w:trHeight w:val="23"/>
        </w:trPr>
        <w:tc>
          <w:tcPr>
            <w:tcW w:w="5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Accrued Expenses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Accrued expenses consisted of the following (in thousands):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2"/>
        </w:trPr>
        <w:tc>
          <w:tcPr>
            <w:tcW w:w="8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06"/>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4,541</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4,206</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Accrued personnel-related expenses</w:t>
            </w:r>
          </w:p>
        </w:tc>
        <w:tc>
          <w:tcPr>
            <w:tcW w:w="160" w:type="dxa"/>
            <w:vAlign w:val="bottom"/>
          </w:tcPr>
          <w:p>
            <w:pPr>
              <w:spacing w:after="0"/>
              <w:rPr>
                <w:sz w:val="17"/>
                <w:szCs w:val="17"/>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5,516</w:t>
            </w: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consulting expenses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Accrued other</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r>
      <w:tr>
        <w:trPr>
          <w:trHeight w:val="206"/>
        </w:trPr>
        <w:tc>
          <w:tcPr>
            <w:tcW w:w="8040" w:type="dxa"/>
            <w:vAlign w:val="bottom"/>
          </w:tcPr>
          <w:p>
            <w:pPr>
              <w:ind w:left="440"/>
              <w:spacing w:after="0"/>
              <w:rPr>
                <w:sz w:val="20"/>
                <w:szCs w:val="20"/>
                <w:color w:val="auto"/>
              </w:rPr>
            </w:pPr>
            <w:r>
              <w:rPr>
                <w:rFonts w:ascii="Arial" w:cs="Arial" w:eastAsia="Arial" w:hAnsi="Arial"/>
                <w:sz w:val="16"/>
                <w:szCs w:val="16"/>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7,386</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10,869</w:t>
            </w:r>
          </w:p>
        </w:tc>
      </w:tr>
      <w:tr>
        <w:trPr>
          <w:trHeight w:val="20"/>
        </w:trPr>
        <w:tc>
          <w:tcPr>
            <w:tcW w:w="8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Commitments and Contingencies</w:t>
      </w:r>
    </w:p>
    <w:p>
      <w:pPr>
        <w:spacing w:after="0" w:line="141" w:lineRule="exact"/>
        <w:rPr>
          <w:sz w:val="20"/>
          <w:szCs w:val="20"/>
          <w:color w:val="auto"/>
        </w:rPr>
      </w:pPr>
    </w:p>
    <w:p>
      <w:pPr>
        <w:ind w:right="180" w:firstLine="433"/>
        <w:spacing w:after="0" w:line="262" w:lineRule="auto"/>
        <w:rPr>
          <w:sz w:val="20"/>
          <w:szCs w:val="20"/>
          <w:color w:val="auto"/>
        </w:rPr>
      </w:pPr>
      <w:r>
        <w:rPr>
          <w:rFonts w:ascii="Arial" w:cs="Arial" w:eastAsia="Arial" w:hAnsi="Arial"/>
          <w:sz w:val="17"/>
          <w:szCs w:val="17"/>
          <w:color w:val="auto"/>
        </w:rPr>
        <w:t>In October 2018, the Company entered into a sublease agreement for office space located in Cambridge, Massachusetts that expires on December 30, 2021, with no option to renew or terminate early. The base rent increases by approximately 1% annually. The Company issued a letter of credit to the landlord related to the security deposit, secured by restricted cash, which is reflected within prepaid expenses and other current assets on the accompanying condensed consolidated balance sheets as of March 31, 2021 and December 31, 2020, as the lease term expires less than twelve months from the condensed consolidated balance sheet dates. This lease qualifies as an operating lease.</w:t>
      </w:r>
    </w:p>
    <w:p>
      <w:pPr>
        <w:spacing w:after="0" w:line="275" w:lineRule="exact"/>
        <w:rPr>
          <w:sz w:val="20"/>
          <w:szCs w:val="20"/>
          <w:color w:val="auto"/>
        </w:rPr>
      </w:pPr>
    </w:p>
    <w:p>
      <w:pPr>
        <w:ind w:right="8040" w:firstLine="5"/>
        <w:spacing w:after="0" w:line="399" w:lineRule="auto"/>
        <w:tabs>
          <w:tab w:leader="none" w:pos="194"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Common Stock and Preferred Stock </w:t>
      </w:r>
      <w:r>
        <w:rPr>
          <w:rFonts w:ascii="Arial" w:cs="Arial" w:eastAsia="Arial" w:hAnsi="Arial"/>
          <w:sz w:val="17"/>
          <w:szCs w:val="17"/>
          <w:b w:val="1"/>
          <w:bCs w:val="1"/>
          <w:i w:val="1"/>
          <w:iCs w:val="1"/>
          <w:color w:val="auto"/>
        </w:rPr>
        <w:t>Common Stock</w:t>
      </w:r>
    </w:p>
    <w:p>
      <w:pPr>
        <w:spacing w:after="0" w:line="1"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As of March 31, 2021 and December 31, 2020, the authorized capital stock of the Company included 150,000,000 shares of common stock, $0.0001 par value.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March 31, 2021 and December 31, 2020, the Company did not hold any treasury shares.</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Reserved for Future Issuance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reserved the following shares of common stock for future issuance: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640" w:type="dxa"/>
            <w:vAlign w:val="bottom"/>
            <w:gridSpan w:val="2"/>
          </w:tcPr>
          <w:p>
            <w:pPr>
              <w:ind w:left="420"/>
              <w:spacing w:after="0"/>
              <w:rPr>
                <w:sz w:val="20"/>
                <w:szCs w:val="20"/>
                <w:color w:val="auto"/>
              </w:rPr>
            </w:pPr>
            <w:r>
              <w:rPr>
                <w:rFonts w:ascii="Arial" w:cs="Arial" w:eastAsia="Arial" w:hAnsi="Arial"/>
                <w:sz w:val="16"/>
                <w:szCs w:val="16"/>
                <w:b w:val="1"/>
                <w:bCs w:val="1"/>
                <w:color w:val="auto"/>
              </w:rPr>
              <w:t>March 31,</w:t>
            </w:r>
          </w:p>
        </w:tc>
        <w:tc>
          <w:tcPr>
            <w:tcW w:w="1540" w:type="dxa"/>
            <w:vAlign w:val="bottom"/>
          </w:tcPr>
          <w:p>
            <w:pPr>
              <w:jc w:val="right"/>
              <w:ind w:right="181"/>
              <w:spacing w:after="0"/>
              <w:rPr>
                <w:sz w:val="20"/>
                <w:szCs w:val="20"/>
                <w:color w:val="auto"/>
              </w:rPr>
            </w:pPr>
            <w:r>
              <w:rPr>
                <w:rFonts w:ascii="Arial" w:cs="Arial" w:eastAsia="Arial" w:hAnsi="Arial"/>
                <w:sz w:val="16"/>
                <w:szCs w:val="16"/>
                <w:b w:val="1"/>
                <w:bCs w:val="1"/>
                <w:color w:val="auto"/>
              </w:rPr>
              <w:t>December 31,</w:t>
            </w:r>
          </w:p>
        </w:tc>
      </w:tr>
      <w:tr>
        <w:trPr>
          <w:trHeight w:val="209"/>
        </w:trPr>
        <w:tc>
          <w:tcPr>
            <w:tcW w:w="3520" w:type="dxa"/>
            <w:vAlign w:val="bottom"/>
            <w:tcBorders>
              <w:bottom w:val="single" w:sz="8" w:color="CCEEFF"/>
            </w:tcBorders>
          </w:tcPr>
          <w:p>
            <w:pPr>
              <w:spacing w:after="0"/>
              <w:rPr>
                <w:sz w:val="18"/>
                <w:szCs w:val="18"/>
                <w:color w:val="auto"/>
              </w:rPr>
            </w:pPr>
          </w:p>
        </w:tc>
        <w:tc>
          <w:tcPr>
            <w:tcW w:w="454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2020</w:t>
            </w:r>
          </w:p>
        </w:tc>
      </w:tr>
      <w:tr>
        <w:trPr>
          <w:trHeight w:val="204"/>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6,648,367</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5,944,546</w:t>
            </w:r>
          </w:p>
        </w:tc>
      </w:tr>
      <w:tr>
        <w:trPr>
          <w:trHeight w:val="207"/>
        </w:trPr>
        <w:tc>
          <w:tcPr>
            <w:tcW w:w="3520" w:type="dxa"/>
            <w:vAlign w:val="bottom"/>
          </w:tcPr>
          <w:p>
            <w:pPr>
              <w:ind w:left="20"/>
              <w:spacing w:after="0"/>
              <w:rPr>
                <w:sz w:val="20"/>
                <w:szCs w:val="20"/>
                <w:color w:val="auto"/>
              </w:rPr>
            </w:pPr>
            <w:r>
              <w:rPr>
                <w:rFonts w:ascii="Arial" w:cs="Arial" w:eastAsia="Arial" w:hAnsi="Arial"/>
                <w:sz w:val="16"/>
                <w:szCs w:val="16"/>
                <w:color w:val="auto"/>
                <w:w w:val="98"/>
              </w:rPr>
              <w:t>Shares reserved for future awards under the 2020</w:t>
            </w:r>
          </w:p>
        </w:tc>
        <w:tc>
          <w:tcPr>
            <w:tcW w:w="4540" w:type="dxa"/>
            <w:vAlign w:val="bottom"/>
          </w:tcPr>
          <w:p>
            <w:pPr>
              <w:ind w:left="20"/>
              <w:spacing w:after="0"/>
              <w:rPr>
                <w:sz w:val="20"/>
                <w:szCs w:val="20"/>
                <w:color w:val="auto"/>
              </w:rPr>
            </w:pPr>
            <w:r>
              <w:rPr>
                <w:rFonts w:ascii="Arial" w:cs="Arial" w:eastAsia="Arial" w:hAnsi="Arial"/>
                <w:sz w:val="16"/>
                <w:szCs w:val="16"/>
                <w:color w:val="auto"/>
              </w:rPr>
              <w:t>Stock Option and Incentive Plan</w:t>
            </w:r>
          </w:p>
        </w:tc>
        <w:tc>
          <w:tcPr>
            <w:tcW w:w="1540" w:type="dxa"/>
            <w:vAlign w:val="bottom"/>
          </w:tcPr>
          <w:p>
            <w:pPr>
              <w:jc w:val="right"/>
              <w:spacing w:after="0"/>
              <w:rPr>
                <w:sz w:val="20"/>
                <w:szCs w:val="20"/>
                <w:color w:val="auto"/>
              </w:rPr>
            </w:pPr>
            <w:r>
              <w:rPr>
                <w:rFonts w:ascii="Arial" w:cs="Arial" w:eastAsia="Arial" w:hAnsi="Arial"/>
                <w:sz w:val="16"/>
                <w:szCs w:val="16"/>
                <w:color w:val="auto"/>
              </w:rPr>
              <w:t>3,515,208</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3,036,776</w:t>
            </w:r>
          </w:p>
        </w:tc>
      </w:tr>
      <w:tr>
        <w:trPr>
          <w:trHeight w:val="213"/>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Shares reserved for future awards under the 2020</w:t>
            </w:r>
          </w:p>
        </w:tc>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654,204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327,102</w:t>
            </w:r>
          </w:p>
        </w:tc>
      </w:tr>
      <w:tr>
        <w:trPr>
          <w:trHeight w:val="207"/>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328,363</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11,146,142</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9,308,424</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39" w:lineRule="exact"/>
        <w:rPr>
          <w:sz w:val="20"/>
          <w:szCs w:val="20"/>
          <w:color w:val="auto"/>
        </w:rPr>
      </w:pPr>
    </w:p>
    <w:p>
      <w:pPr>
        <w:ind w:right="240" w:firstLine="433"/>
        <w:spacing w:after="0" w:line="275" w:lineRule="auto"/>
        <w:rPr>
          <w:sz w:val="20"/>
          <w:szCs w:val="20"/>
          <w:color w:val="auto"/>
        </w:rPr>
      </w:pPr>
      <w:r>
        <w:rPr>
          <w:rFonts w:ascii="Arial" w:cs="Arial" w:eastAsia="Arial" w:hAnsi="Arial"/>
          <w:sz w:val="17"/>
          <w:szCs w:val="17"/>
          <w:color w:val="auto"/>
        </w:rPr>
        <w:t>As of March 31, 2021 and December 31, 2020, the authorized capital stock of the Company included 10,000,000 shares of undesignated preferred stock, $0.0001 par value.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Stock Option and Incentive Plan</w:t>
      </w:r>
    </w:p>
    <w:p>
      <w:pPr>
        <w:spacing w:after="0" w:line="139" w:lineRule="exact"/>
        <w:rPr>
          <w:sz w:val="20"/>
          <w:szCs w:val="20"/>
          <w:color w:val="auto"/>
        </w:rPr>
      </w:pPr>
    </w:p>
    <w:p>
      <w:pPr>
        <w:ind w:right="280" w:firstLine="433"/>
        <w:spacing w:after="0" w:line="275" w:lineRule="auto"/>
        <w:rPr>
          <w:sz w:val="20"/>
          <w:szCs w:val="20"/>
          <w:color w:val="auto"/>
        </w:rPr>
      </w:pPr>
      <w:r>
        <w:rPr>
          <w:rFonts w:ascii="Arial" w:cs="Arial" w:eastAsia="Arial" w:hAnsi="Arial"/>
          <w:sz w:val="17"/>
          <w:szCs w:val="17"/>
          <w:color w:val="auto"/>
        </w:rPr>
        <w:t>The total number of shares of common stock authorized for issuance under the 2020 Stock Option Incentive Plan (the "2020 Plan”) as of March 31, 2021 and December 31, 2020 was 5,184,455 shares and 3,271,028 shares,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2017 Stock Incentive Plan</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number of shares of common stock authorized for issuance under the 2017 Stock Incentive Plan (the "2017 Plan”) as of March 31,</w:t>
      </w:r>
    </w:p>
    <w:p>
      <w:pPr>
        <w:spacing w:after="0" w:line="14" w:lineRule="exact"/>
        <w:rPr>
          <w:sz w:val="20"/>
          <w:szCs w:val="20"/>
          <w:color w:val="auto"/>
        </w:rPr>
      </w:pPr>
    </w:p>
    <w:p>
      <w:pPr>
        <w:ind w:right="580"/>
        <w:spacing w:after="0" w:line="275" w:lineRule="auto"/>
        <w:rPr>
          <w:sz w:val="20"/>
          <w:szCs w:val="20"/>
          <w:color w:val="auto"/>
        </w:rPr>
      </w:pPr>
      <w:r>
        <w:rPr>
          <w:rFonts w:ascii="Arial" w:cs="Arial" w:eastAsia="Arial" w:hAnsi="Arial"/>
          <w:sz w:val="17"/>
          <w:szCs w:val="17"/>
          <w:color w:val="auto"/>
        </w:rPr>
        <w:t>2021 and December 31, 2020 was 5,937,763 shares. Any authorization to issue new options under the 2017 Plan was cancelled upon the effectiveness of the 2020 Plan and no further awards will be granted under the 2017 Plan.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139" w:lineRule="exact"/>
        <w:rPr>
          <w:sz w:val="20"/>
          <w:szCs w:val="20"/>
          <w:color w:val="auto"/>
        </w:rPr>
      </w:pPr>
    </w:p>
    <w:p>
      <w:pPr>
        <w:ind w:right="60" w:firstLine="433"/>
        <w:spacing w:after="0" w:line="275" w:lineRule="auto"/>
        <w:rPr>
          <w:sz w:val="20"/>
          <w:szCs w:val="20"/>
          <w:color w:val="auto"/>
        </w:rPr>
      </w:pPr>
      <w:r>
        <w:rPr>
          <w:rFonts w:ascii="Arial" w:cs="Arial" w:eastAsia="Arial" w:hAnsi="Arial"/>
          <w:sz w:val="17"/>
          <w:szCs w:val="17"/>
          <w:color w:val="auto"/>
        </w:rPr>
        <w:t>The total number of shares of common stock authorized for issuance under the 2020 Employee Stock Purchase Plan (the "2020 ESPP”) as of March 31, 2021 and December 31, 2020 was 654,204 shares and 327,102 shares,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Company’s restricted stock unit activity: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61"/>
              <w:spacing w:after="0"/>
              <w:rPr>
                <w:sz w:val="20"/>
                <w:szCs w:val="20"/>
                <w:color w:val="auto"/>
              </w:rPr>
            </w:pPr>
            <w:r>
              <w:rPr>
                <w:rFonts w:ascii="Arial" w:cs="Arial" w:eastAsia="Arial" w:hAnsi="Arial"/>
                <w:sz w:val="16"/>
                <w:szCs w:val="16"/>
                <w:b w:val="1"/>
                <w:bCs w:val="1"/>
                <w:color w:val="auto"/>
                <w:w w:val="97"/>
              </w:rPr>
              <w:t>Weighted</w:t>
            </w:r>
          </w:p>
        </w:tc>
        <w:tc>
          <w:tcPr>
            <w:tcW w:w="0" w:type="dxa"/>
            <w:vAlign w:val="bottom"/>
          </w:tcPr>
          <w:p>
            <w:pPr>
              <w:spacing w:after="0"/>
              <w:rPr>
                <w:sz w:val="1"/>
                <w:szCs w:val="1"/>
                <w:color w:val="auto"/>
              </w:rPr>
            </w:pPr>
          </w:p>
        </w:tc>
      </w:tr>
      <w:tr>
        <w:trPr>
          <w:trHeight w:val="157"/>
        </w:trPr>
        <w:tc>
          <w:tcPr>
            <w:tcW w:w="80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61"/>
              <w:spacing w:after="0" w:line="158"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57"/>
        </w:trPr>
        <w:tc>
          <w:tcPr>
            <w:tcW w:w="8060" w:type="dxa"/>
            <w:vAlign w:val="bottom"/>
          </w:tcPr>
          <w:p>
            <w:pPr>
              <w:spacing w:after="0"/>
              <w:rPr>
                <w:sz w:val="13"/>
                <w:szCs w:val="13"/>
                <w:color w:val="auto"/>
              </w:rPr>
            </w:pPr>
          </w:p>
        </w:tc>
        <w:tc>
          <w:tcPr>
            <w:tcW w:w="1540" w:type="dxa"/>
            <w:vAlign w:val="bottom"/>
            <w:vMerge w:val="restart"/>
          </w:tcPr>
          <w:p>
            <w:pPr>
              <w:jc w:val="right"/>
              <w:ind w:right="441"/>
              <w:spacing w:after="0"/>
              <w:rPr>
                <w:sz w:val="20"/>
                <w:szCs w:val="20"/>
                <w:color w:val="auto"/>
              </w:rPr>
            </w:pPr>
            <w:r>
              <w:rPr>
                <w:rFonts w:ascii="Arial" w:cs="Arial" w:eastAsia="Arial" w:hAnsi="Arial"/>
                <w:sz w:val="16"/>
                <w:szCs w:val="16"/>
                <w:b w:val="1"/>
                <w:bCs w:val="1"/>
                <w:color w:val="auto"/>
              </w:rPr>
              <w:t>Shares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61"/>
              <w:spacing w:after="0" w:line="158"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as of December 31, 2020</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60" w:type="dxa"/>
            <w:vAlign w:val="bottom"/>
          </w:tcPr>
          <w:p>
            <w:pPr>
              <w:ind w:left="240"/>
              <w:spacing w:after="0"/>
              <w:rPr>
                <w:sz w:val="20"/>
                <w:szCs w:val="20"/>
                <w:color w:val="auto"/>
              </w:rPr>
            </w:pPr>
            <w:r>
              <w:rPr>
                <w:rFonts w:ascii="Arial" w:cs="Arial" w:eastAsia="Arial" w:hAnsi="Arial"/>
                <w:sz w:val="16"/>
                <w:szCs w:val="16"/>
                <w:color w:val="auto"/>
              </w:rPr>
              <w:t>Issued</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329,963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52.16</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52.53</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March 31, 2021</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328,363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Company’s stock option activity: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center"/>
              <w:ind w:right="81"/>
              <w:spacing w:after="0"/>
              <w:rPr>
                <w:sz w:val="20"/>
                <w:szCs w:val="20"/>
                <w:color w:val="auto"/>
              </w:rPr>
            </w:pPr>
            <w:r>
              <w:rPr>
                <w:rFonts w:ascii="Arial" w:cs="Arial" w:eastAsia="Arial" w:hAnsi="Arial"/>
                <w:sz w:val="16"/>
                <w:szCs w:val="16"/>
                <w:b w:val="1"/>
                <w:bCs w:val="1"/>
                <w:color w:val="auto"/>
                <w:w w:val="97"/>
              </w:rPr>
              <w:t>Weighted</w:t>
            </w:r>
          </w:p>
        </w:tc>
        <w:tc>
          <w:tcPr>
            <w:tcW w:w="10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20" w:type="dxa"/>
            <w:vAlign w:val="bottom"/>
          </w:tcPr>
          <w:p>
            <w:pPr>
              <w:spacing w:after="0"/>
              <w:rPr>
                <w:sz w:val="13"/>
                <w:szCs w:val="13"/>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Number of</w:t>
            </w:r>
          </w:p>
        </w:tc>
        <w:tc>
          <w:tcPr>
            <w:tcW w:w="160" w:type="dxa"/>
            <w:vAlign w:val="bottom"/>
          </w:tcPr>
          <w:p>
            <w:pPr>
              <w:spacing w:after="0"/>
              <w:rPr>
                <w:sz w:val="13"/>
                <w:szCs w:val="13"/>
                <w:color w:val="auto"/>
              </w:rPr>
            </w:pPr>
          </w:p>
        </w:tc>
        <w:tc>
          <w:tcPr>
            <w:tcW w:w="1380" w:type="dxa"/>
            <w:vAlign w:val="bottom"/>
          </w:tcPr>
          <w:p>
            <w:pPr>
              <w:jc w:val="center"/>
              <w:ind w:right="81"/>
              <w:spacing w:after="0" w:line="158" w:lineRule="exact"/>
              <w:rPr>
                <w:sz w:val="20"/>
                <w:szCs w:val="20"/>
                <w:color w:val="auto"/>
              </w:rPr>
            </w:pPr>
            <w:r>
              <w:rPr>
                <w:rFonts w:ascii="Arial" w:cs="Arial" w:eastAsia="Arial" w:hAnsi="Arial"/>
                <w:sz w:val="16"/>
                <w:szCs w:val="16"/>
                <w:b w:val="1"/>
                <w:bCs w:val="1"/>
                <w:color w:val="auto"/>
                <w:w w:val="98"/>
              </w:rPr>
              <w:t>Average</w:t>
            </w:r>
          </w:p>
        </w:tc>
        <w:tc>
          <w:tcPr>
            <w:tcW w:w="100" w:type="dxa"/>
            <w:vAlign w:val="bottom"/>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7"/>
              </w:rPr>
              <w:t>Remaining</w:t>
            </w:r>
          </w:p>
        </w:tc>
        <w:tc>
          <w:tcPr>
            <w:tcW w:w="180" w:type="dxa"/>
            <w:vAlign w:val="bottom"/>
          </w:tcPr>
          <w:p>
            <w:pPr>
              <w:spacing w:after="0"/>
              <w:rPr>
                <w:sz w:val="13"/>
                <w:szCs w:val="13"/>
                <w:color w:val="auto"/>
              </w:rPr>
            </w:pPr>
          </w:p>
        </w:tc>
        <w:tc>
          <w:tcPr>
            <w:tcW w:w="1380" w:type="dxa"/>
            <w:vAlign w:val="bottom"/>
            <w:vMerge w:val="restart"/>
          </w:tcPr>
          <w:p>
            <w:pPr>
              <w:jc w:val="center"/>
              <w:ind w:right="81"/>
              <w:spacing w:after="0"/>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57"/>
        </w:trPr>
        <w:tc>
          <w:tcPr>
            <w:tcW w:w="502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right="81"/>
              <w:spacing w:after="0" w:line="158" w:lineRule="exact"/>
              <w:rPr>
                <w:sz w:val="20"/>
                <w:szCs w:val="20"/>
                <w:color w:val="auto"/>
              </w:rPr>
            </w:pPr>
            <w:r>
              <w:rPr>
                <w:rFonts w:ascii="Arial" w:cs="Arial" w:eastAsia="Arial" w:hAnsi="Arial"/>
                <w:sz w:val="16"/>
                <w:szCs w:val="16"/>
                <w:b w:val="1"/>
                <w:bCs w:val="1"/>
                <w:color w:val="auto"/>
                <w:w w:val="96"/>
              </w:rPr>
              <w:t>Exercise Price</w:t>
            </w:r>
          </w:p>
        </w:tc>
        <w:tc>
          <w:tcPr>
            <w:tcW w:w="100" w:type="dxa"/>
            <w:vAlign w:val="bottom"/>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8"/>
              </w:rPr>
              <w:t>Contractual</w:t>
            </w:r>
          </w:p>
        </w:tc>
        <w:tc>
          <w:tcPr>
            <w:tcW w:w="18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380" w:type="dxa"/>
            <w:vAlign w:val="bottom"/>
          </w:tcPr>
          <w:p>
            <w:pPr>
              <w:jc w:val="center"/>
              <w:ind w:right="81"/>
              <w:spacing w:after="0"/>
              <w:rPr>
                <w:sz w:val="20"/>
                <w:szCs w:val="20"/>
                <w:color w:val="auto"/>
              </w:rPr>
            </w:pPr>
            <w:r>
              <w:rPr>
                <w:rFonts w:ascii="Arial" w:cs="Arial" w:eastAsia="Arial" w:hAnsi="Arial"/>
                <w:sz w:val="16"/>
                <w:szCs w:val="16"/>
                <w:b w:val="1"/>
                <w:bCs w:val="1"/>
                <w:color w:val="auto"/>
              </w:rPr>
              <w:t>per Share</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180" w:type="dxa"/>
            <w:vAlign w:val="bottom"/>
          </w:tcPr>
          <w:p>
            <w:pPr>
              <w:spacing w:after="0"/>
              <w:rPr>
                <w:sz w:val="18"/>
                <w:szCs w:val="18"/>
                <w:color w:val="auto"/>
              </w:rPr>
            </w:pPr>
          </w:p>
        </w:tc>
        <w:tc>
          <w:tcPr>
            <w:tcW w:w="1380" w:type="dxa"/>
            <w:vAlign w:val="bottom"/>
          </w:tcPr>
          <w:p>
            <w:pPr>
              <w:jc w:val="center"/>
              <w:ind w:right="101"/>
              <w:spacing w:after="0"/>
              <w:rPr>
                <w:sz w:val="20"/>
                <w:szCs w:val="20"/>
                <w:color w:val="auto"/>
              </w:rPr>
            </w:pPr>
            <w:r>
              <w:rPr>
                <w:rFonts w:ascii="Arial" w:cs="Arial" w:eastAsia="Arial" w:hAnsi="Arial"/>
                <w:sz w:val="16"/>
                <w:szCs w:val="16"/>
                <w:b w:val="1"/>
                <w:bCs w:val="1"/>
                <w:color w:val="auto"/>
                <w:w w:val="98"/>
              </w:rPr>
              <w:t>Intrinsic Value</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(In years)</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97"/>
              </w:rPr>
              <w:t>(In thousands)</w:t>
            </w:r>
          </w:p>
        </w:tc>
        <w:tc>
          <w:tcPr>
            <w:tcW w:w="0" w:type="dxa"/>
            <w:vAlign w:val="bottom"/>
          </w:tcPr>
          <w:p>
            <w:pPr>
              <w:spacing w:after="0"/>
              <w:rPr>
                <w:sz w:val="1"/>
                <w:szCs w:val="1"/>
                <w:color w:val="auto"/>
              </w:rPr>
            </w:pPr>
          </w:p>
        </w:tc>
      </w:tr>
      <w:tr>
        <w:trPr>
          <w:trHeight w:val="211"/>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2020</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5,944,546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1,139,723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52.60</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16,671</w:t>
            </w:r>
          </w:p>
        </w:tc>
        <w:tc>
          <w:tcPr>
            <w:tcW w:w="0" w:type="dxa"/>
            <w:vAlign w:val="bottom"/>
          </w:tcPr>
          <w:p>
            <w:pPr>
              <w:spacing w:after="0"/>
              <w:rPr>
                <w:sz w:val="1"/>
                <w:szCs w:val="1"/>
                <w:color w:val="auto"/>
              </w:rPr>
            </w:pPr>
          </w:p>
        </w:tc>
      </w:tr>
      <w:tr>
        <w:trPr>
          <w:trHeight w:val="207"/>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(83,396)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March 31, 2021</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6,648,367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140,012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March 31, 2021</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020" w:type="dxa"/>
            <w:vAlign w:val="bottom"/>
            <w:vMerge w:val="continue"/>
          </w:tcPr>
          <w:p>
            <w:pPr>
              <w:spacing w:after="0"/>
              <w:rPr>
                <w:sz w:val="17"/>
                <w:szCs w:val="17"/>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792,732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2.48</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24,004</w:t>
            </w:r>
          </w:p>
        </w:tc>
        <w:tc>
          <w:tcPr>
            <w:tcW w:w="0" w:type="dxa"/>
            <w:vAlign w:val="bottom"/>
          </w:tcPr>
          <w:p>
            <w:pPr>
              <w:spacing w:after="0"/>
              <w:rPr>
                <w:sz w:val="1"/>
                <w:szCs w:val="1"/>
                <w:color w:val="auto"/>
              </w:rPr>
            </w:pPr>
          </w:p>
        </w:tc>
      </w:tr>
      <w:tr>
        <w:trPr>
          <w:trHeight w:val="21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March 31, 2021</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6,498,698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136,220</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100" w:firstLine="433"/>
        <w:spacing w:after="0" w:line="261" w:lineRule="auto"/>
        <w:rPr>
          <w:sz w:val="20"/>
          <w:szCs w:val="20"/>
          <w:color w:val="auto"/>
        </w:rPr>
      </w:pPr>
      <w:r>
        <w:rPr>
          <w:rFonts w:ascii="Arial" w:cs="Arial" w:eastAsia="Arial" w:hAnsi="Arial"/>
          <w:sz w:val="17"/>
          <w:szCs w:val="17"/>
          <w:color w:val="auto"/>
        </w:rPr>
        <w:t>The aggregate intrinsic value of stock options outstanding, exercisable, and vested and expected to vest is calculated as the difference between the exercise price of the underlying stock options and the estimated fair value of the Company’s common stock for those stock options that had exercise prices lower than the estimated fair value of the Company’s common stock at March 31, 2021. The aggregate intrinsic value of stock options exercised is calculated as the difference between the exercise price of the underlying stock options and the estimated fair value of the Company’s common stock on the date of exercise for those stock options that had exercise prices lower than the estimated fair value of the Company’s common stock on the exercise date.</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 Valuation</w:t>
      </w:r>
    </w:p>
    <w:p>
      <w:pPr>
        <w:spacing w:after="0" w:line="137" w:lineRule="exact"/>
        <w:rPr>
          <w:sz w:val="20"/>
          <w:szCs w:val="20"/>
          <w:color w:val="auto"/>
        </w:rPr>
      </w:pPr>
    </w:p>
    <w:p>
      <w:pPr>
        <w:ind w:right="20" w:firstLine="433"/>
        <w:spacing w:after="0" w:line="275" w:lineRule="auto"/>
        <w:rPr>
          <w:sz w:val="20"/>
          <w:szCs w:val="20"/>
          <w:color w:val="auto"/>
        </w:rPr>
      </w:pPr>
      <w:r>
        <w:rPr>
          <w:rFonts w:ascii="Arial" w:cs="Arial" w:eastAsia="Arial" w:hAnsi="Arial"/>
          <w:sz w:val="17"/>
          <w:szCs w:val="17"/>
          <w:color w:val="auto"/>
        </w:rPr>
        <w:t>The weighted-average assumptions that the Company used in the Black-Scholes option pricing model to determine the grant-date fair value of stock options granted to employees and non-employees on the date of grant were as follows: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8980" w:type="dxa"/>
            <w:vAlign w:val="bottom"/>
          </w:tcPr>
          <w:p>
            <w:pPr>
              <w:spacing w:after="0"/>
              <w:rPr>
                <w:sz w:val="16"/>
                <w:szCs w:val="16"/>
                <w:color w:val="auto"/>
              </w:rPr>
            </w:pPr>
          </w:p>
        </w:tc>
        <w:tc>
          <w:tcPr>
            <w:tcW w:w="2260" w:type="dxa"/>
            <w:vAlign w:val="bottom"/>
          </w:tcPr>
          <w:p>
            <w:pPr>
              <w:jc w:val="right"/>
              <w:ind w:right="21"/>
              <w:spacing w:after="0"/>
              <w:rPr>
                <w:sz w:val="20"/>
                <w:szCs w:val="20"/>
                <w:color w:val="auto"/>
              </w:rPr>
            </w:pPr>
            <w:r>
              <w:rPr>
                <w:rFonts w:ascii="Arial" w:cs="Arial" w:eastAsia="Arial" w:hAnsi="Arial"/>
                <w:sz w:val="16"/>
                <w:szCs w:val="16"/>
                <w:b w:val="1"/>
                <w:bCs w:val="1"/>
                <w:color w:val="auto"/>
              </w:rPr>
              <w:t>Three Months Ended March</w:t>
            </w:r>
          </w:p>
        </w:tc>
      </w:tr>
      <w:tr>
        <w:trPr>
          <w:trHeight w:val="209"/>
        </w:trPr>
        <w:tc>
          <w:tcPr>
            <w:tcW w:w="8980" w:type="dxa"/>
            <w:vAlign w:val="bottom"/>
          </w:tcPr>
          <w:p>
            <w:pPr>
              <w:spacing w:after="0"/>
              <w:rPr>
                <w:sz w:val="18"/>
                <w:szCs w:val="18"/>
                <w:color w:val="auto"/>
              </w:rPr>
            </w:pPr>
          </w:p>
        </w:tc>
        <w:tc>
          <w:tcPr>
            <w:tcW w:w="2260" w:type="dxa"/>
            <w:vAlign w:val="bottom"/>
            <w:tcBorders>
              <w:bottom w:val="single" w:sz="8" w:color="auto"/>
            </w:tcBorders>
          </w:tcPr>
          <w:p>
            <w:pPr>
              <w:jc w:val="right"/>
              <w:ind w:right="941"/>
              <w:spacing w:after="0"/>
              <w:rPr>
                <w:sz w:val="20"/>
                <w:szCs w:val="20"/>
                <w:color w:val="auto"/>
              </w:rPr>
            </w:pPr>
            <w:r>
              <w:rPr>
                <w:rFonts w:ascii="Arial" w:cs="Arial" w:eastAsia="Arial" w:hAnsi="Arial"/>
                <w:sz w:val="16"/>
                <w:szCs w:val="16"/>
                <w:b w:val="1"/>
                <w:bCs w:val="1"/>
                <w:color w:val="auto"/>
              </w:rPr>
              <w:t>31,</w:t>
            </w:r>
          </w:p>
        </w:tc>
      </w:tr>
      <w:tr>
        <w:trPr>
          <w:trHeight w:val="203"/>
        </w:trPr>
        <w:tc>
          <w:tcPr>
            <w:tcW w:w="8980" w:type="dxa"/>
            <w:vAlign w:val="bottom"/>
            <w:tcBorders>
              <w:bottom w:val="single" w:sz="8" w:color="CCEEFF"/>
            </w:tcBorders>
          </w:tcPr>
          <w:p>
            <w:pPr>
              <w:spacing w:after="0"/>
              <w:rPr>
                <w:sz w:val="17"/>
                <w:szCs w:val="17"/>
                <w:color w:val="auto"/>
              </w:rPr>
            </w:pPr>
          </w:p>
        </w:tc>
        <w:tc>
          <w:tcPr>
            <w:tcW w:w="226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b w:val="1"/>
                <w:bCs w:val="1"/>
                <w:color w:val="auto"/>
              </w:rPr>
              <w:t>2021</w:t>
            </w:r>
          </w:p>
        </w:tc>
      </w:tr>
      <w:tr>
        <w:trPr>
          <w:trHeight w:val="204"/>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0.66 %</w:t>
            </w:r>
          </w:p>
        </w:tc>
      </w:tr>
      <w:tr>
        <w:trPr>
          <w:trHeight w:val="207"/>
        </w:trPr>
        <w:tc>
          <w:tcPr>
            <w:tcW w:w="898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2260" w:type="dxa"/>
            <w:vAlign w:val="bottom"/>
          </w:tcPr>
          <w:p>
            <w:pPr>
              <w:jc w:val="right"/>
              <w:spacing w:after="0"/>
              <w:rPr>
                <w:sz w:val="20"/>
                <w:szCs w:val="20"/>
                <w:color w:val="auto"/>
              </w:rPr>
            </w:pPr>
            <w:r>
              <w:rPr>
                <w:rFonts w:ascii="Arial" w:cs="Arial" w:eastAsia="Arial" w:hAnsi="Arial"/>
                <w:sz w:val="16"/>
                <w:szCs w:val="16"/>
                <w:color w:val="auto"/>
              </w:rPr>
              <w:t>6.14</w:t>
            </w:r>
          </w:p>
        </w:tc>
      </w:tr>
      <w:tr>
        <w:trPr>
          <w:trHeight w:val="213"/>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85.28 %</w:t>
            </w:r>
          </w:p>
        </w:tc>
      </w:tr>
      <w:tr>
        <w:trPr>
          <w:trHeight w:val="203"/>
        </w:trPr>
        <w:tc>
          <w:tcPr>
            <w:tcW w:w="898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26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294" w:lineRule="exact"/>
        <w:rPr>
          <w:sz w:val="20"/>
          <w:szCs w:val="20"/>
          <w:color w:val="auto"/>
        </w:rPr>
      </w:pPr>
    </w:p>
    <w:p>
      <w:pPr>
        <w:ind w:right="300" w:firstLine="433"/>
        <w:spacing w:after="0" w:line="275" w:lineRule="auto"/>
        <w:rPr>
          <w:sz w:val="20"/>
          <w:szCs w:val="20"/>
          <w:color w:val="auto"/>
        </w:rPr>
      </w:pPr>
      <w:r>
        <w:rPr>
          <w:rFonts w:ascii="Arial" w:cs="Arial" w:eastAsia="Arial" w:hAnsi="Arial"/>
          <w:sz w:val="17"/>
          <w:szCs w:val="17"/>
          <w:color w:val="auto"/>
        </w:rPr>
        <w:t>The weighted-average grant-date fair value of the Company’s stock options granted during the three months ended March 31, 2021 was $37.54 per share. There were no stock options granted during the three months ended March 31, 2020.</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Stock-based compensation expense was allocated as follows (in thousands):</w:t>
      </w:r>
    </w:p>
    <w:p>
      <w:pPr>
        <w:spacing w:after="0" w:line="122"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Three Months Ended</w:t>
      </w:r>
    </w:p>
    <w:p>
      <w:pPr>
        <w:jc w:val="center"/>
        <w:ind w:left="8240"/>
        <w:spacing w:after="0"/>
        <w:rPr>
          <w:sz w:val="20"/>
          <w:szCs w:val="20"/>
          <w:color w:val="auto"/>
        </w:rPr>
      </w:pPr>
      <w:r>
        <w:rPr>
          <w:rFonts w:ascii="Arial" w:cs="Arial" w:eastAsia="Arial" w:hAnsi="Arial"/>
          <w:sz w:val="16"/>
          <w:szCs w:val="16"/>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r>
      <w:tr>
        <w:trPr>
          <w:trHeight w:val="241"/>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stock-based compensation expense</w:t>
            </w: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520" w:firstLine="433"/>
        <w:spacing w:after="0" w:line="275" w:lineRule="auto"/>
        <w:rPr>
          <w:sz w:val="20"/>
          <w:szCs w:val="20"/>
          <w:color w:val="auto"/>
        </w:rPr>
      </w:pPr>
      <w:r>
        <w:rPr>
          <w:rFonts w:ascii="Arial" w:cs="Arial" w:eastAsia="Arial" w:hAnsi="Arial"/>
          <w:sz w:val="17"/>
          <w:szCs w:val="17"/>
          <w:color w:val="auto"/>
        </w:rPr>
        <w:t>As of March 31, 2021, total unrecognized compensation expense related to unvested stock-based awards was $81.2 million, which is expected to be recognized over a weighted-average period of 3.30 years.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Net Loss per Share</w:t>
      </w:r>
    </w:p>
    <w:p>
      <w:pPr>
        <w:spacing w:after="0" w:line="141" w:lineRule="exact"/>
        <w:rPr>
          <w:sz w:val="20"/>
          <w:szCs w:val="20"/>
          <w:color w:val="auto"/>
        </w:rPr>
      </w:pPr>
    </w:p>
    <w:p>
      <w:pPr>
        <w:ind w:right="320" w:firstLine="433"/>
        <w:spacing w:after="0" w:line="275" w:lineRule="auto"/>
        <w:rPr>
          <w:sz w:val="20"/>
          <w:szCs w:val="20"/>
          <w:color w:val="auto"/>
        </w:rPr>
      </w:pPr>
      <w:r>
        <w:rPr>
          <w:rFonts w:ascii="Arial" w:cs="Arial" w:eastAsia="Arial" w:hAnsi="Arial"/>
          <w:sz w:val="17"/>
          <w:szCs w:val="17"/>
          <w:color w:val="auto"/>
        </w:rPr>
        <w:t>Basic and diluted net loss per share attributable to common stockholders was calculated as follows (in thousands, except share and per share data):</w:t>
      </w:r>
    </w:p>
    <w:p>
      <w:pPr>
        <w:spacing w:after="0" w:line="66"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Three Months Ended</w:t>
      </w:r>
    </w:p>
    <w:p>
      <w:pPr>
        <w:jc w:val="center"/>
        <w:ind w:left="8420"/>
        <w:spacing w:after="0"/>
        <w:rPr>
          <w:sz w:val="20"/>
          <w:szCs w:val="20"/>
          <w:color w:val="auto"/>
        </w:rPr>
      </w:pPr>
      <w:r>
        <w:rPr>
          <w:rFonts w:ascii="Arial" w:cs="Arial" w:eastAsia="Arial" w:hAnsi="Arial"/>
          <w:sz w:val="16"/>
          <w:szCs w:val="16"/>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440" w:type="dxa"/>
            <w:vAlign w:val="bottom"/>
          </w:tcPr>
          <w:p>
            <w:pPr>
              <w:ind w:left="24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(27,373)</w:t>
            </w:r>
          </w:p>
        </w:tc>
        <w:tc>
          <w:tcPr>
            <w:tcW w:w="12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(8,330)</w:t>
            </w:r>
          </w:p>
        </w:tc>
        <w:tc>
          <w:tcPr>
            <w:tcW w:w="0" w:type="dxa"/>
            <w:vAlign w:val="bottom"/>
          </w:tcPr>
          <w:p>
            <w:pPr>
              <w:spacing w:after="0"/>
              <w:rPr>
                <w:sz w:val="1"/>
                <w:szCs w:val="1"/>
                <w:color w:val="auto"/>
              </w:rPr>
            </w:pPr>
          </w:p>
        </w:tc>
      </w:tr>
      <w:tr>
        <w:trPr>
          <w:trHeight w:val="213"/>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Accretion and cumulative dividends on redeemable convertible preferred stock</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w:t>
            </w:r>
          </w:p>
        </w:tc>
        <w:tc>
          <w:tcPr>
            <w:tcW w:w="0" w:type="dxa"/>
            <w:vAlign w:val="bottom"/>
          </w:tcPr>
          <w:p>
            <w:pPr>
              <w:spacing w:after="0"/>
              <w:rPr>
                <w:sz w:val="1"/>
                <w:szCs w:val="1"/>
                <w:color w:val="auto"/>
              </w:rPr>
            </w:pPr>
          </w:p>
        </w:tc>
      </w:tr>
      <w:tr>
        <w:trPr>
          <w:trHeight w:val="207"/>
        </w:trPr>
        <w:tc>
          <w:tcPr>
            <w:tcW w:w="8440" w:type="dxa"/>
            <w:vAlign w:val="bottom"/>
          </w:tcPr>
          <w:p>
            <w:pPr>
              <w:ind w:left="240"/>
              <w:spacing w:after="0"/>
              <w:rPr>
                <w:sz w:val="20"/>
                <w:szCs w:val="20"/>
                <w:color w:val="auto"/>
              </w:rPr>
            </w:pPr>
            <w:r>
              <w:rPr>
                <w:rFonts w:ascii="Arial" w:cs="Arial" w:eastAsia="Arial" w:hAnsi="Arial"/>
                <w:sz w:val="16"/>
                <w:szCs w:val="16"/>
                <w:color w:val="auto"/>
              </w:rPr>
              <w:t>Gain on repurchase of redeemable convertible preferred stock</w:t>
            </w:r>
          </w:p>
        </w:tc>
        <w:tc>
          <w:tcPr>
            <w:tcW w:w="3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37"/>
        </w:trPr>
        <w:tc>
          <w:tcPr>
            <w:tcW w:w="84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loss attributable to common stockholders</w:t>
            </w: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Weighted average common shares outstanding, basic and diluted</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38,470,710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1,629,340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4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32"/>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180" w:firstLine="433"/>
        <w:spacing w:after="0" w:line="266" w:lineRule="auto"/>
        <w:rPr>
          <w:sz w:val="20"/>
          <w:szCs w:val="20"/>
          <w:color w:val="auto"/>
        </w:rPr>
      </w:pPr>
      <w:r>
        <w:rPr>
          <w:rFonts w:ascii="Arial" w:cs="Arial" w:eastAsia="Arial" w:hAnsi="Arial"/>
          <w:sz w:val="17"/>
          <w:szCs w:val="17"/>
          <w:color w:val="auto"/>
        </w:rPr>
        <w:t>The following potential shares of common stock, presented based on amounts outstanding at each period end, were excluded from the calculation of diluted net loss per share attributable to common stockholders for the periods indicated because including them would have been anti-dilutive: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6" w:name="page17"/>
    <w:bookmarkEnd w:id="16"/>
    <w:p>
      <w:pPr>
        <w:jc w:val="center"/>
        <w:ind w:left="8400"/>
        <w:spacing w:after="0"/>
        <w:rPr>
          <w:sz w:val="20"/>
          <w:szCs w:val="20"/>
          <w:color w:val="auto"/>
        </w:rPr>
      </w:pPr>
      <w:r>
        <w:rPr>
          <w:rFonts w:ascii="Arial" w:cs="Arial" w:eastAsia="Arial" w:hAnsi="Arial"/>
          <w:sz w:val="16"/>
          <w:szCs w:val="16"/>
          <w:b w:val="1"/>
          <w:bCs w:val="1"/>
          <w:color w:val="auto"/>
        </w:rPr>
        <w:t>Three Months Ended</w:t>
      </w:r>
    </w:p>
    <w:p>
      <w:pPr>
        <w:jc w:val="center"/>
        <w:ind w:left="8400"/>
        <w:spacing w:after="0"/>
        <w:rPr>
          <w:sz w:val="20"/>
          <w:szCs w:val="20"/>
          <w:color w:val="auto"/>
        </w:rPr>
      </w:pPr>
      <w:r>
        <w:rPr>
          <w:rFonts w:ascii="Arial" w:cs="Arial" w:eastAsia="Arial" w:hAnsi="Arial"/>
          <w:sz w:val="16"/>
          <w:szCs w:val="16"/>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6,648,367</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1,634,686</w:t>
            </w:r>
          </w:p>
        </w:tc>
      </w:tr>
      <w:tr>
        <w:trPr>
          <w:trHeight w:val="207"/>
        </w:trPr>
        <w:tc>
          <w:tcPr>
            <w:tcW w:w="8420" w:type="dxa"/>
            <w:vAlign w:val="bottom"/>
          </w:tcPr>
          <w:p>
            <w:pPr>
              <w:ind w:left="20"/>
              <w:spacing w:after="0"/>
              <w:rPr>
                <w:sz w:val="20"/>
                <w:szCs w:val="20"/>
                <w:color w:val="auto"/>
              </w:rPr>
            </w:pPr>
            <w:r>
              <w:rPr>
                <w:rFonts w:ascii="Arial" w:cs="Arial" w:eastAsia="Arial" w:hAnsi="Arial"/>
                <w:sz w:val="16"/>
                <w:szCs w:val="16"/>
                <w:color w:val="auto"/>
              </w:rPr>
              <w:t>Unvested restricted common stock and restricted stock units</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328,363</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35,047</w:t>
            </w:r>
          </w:p>
        </w:tc>
      </w:tr>
      <w:tr>
        <w:trPr>
          <w:trHeight w:val="213"/>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 Preferred Stock</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3,773,820</w:t>
            </w:r>
          </w:p>
        </w:tc>
      </w:tr>
      <w:tr>
        <w:trPr>
          <w:trHeight w:val="207"/>
        </w:trPr>
        <w:tc>
          <w:tcPr>
            <w:tcW w:w="8420" w:type="dxa"/>
            <w:vAlign w:val="bottom"/>
          </w:tcPr>
          <w:p>
            <w:pPr>
              <w:ind w:left="20"/>
              <w:spacing w:after="0"/>
              <w:rPr>
                <w:sz w:val="20"/>
                <w:szCs w:val="20"/>
                <w:color w:val="auto"/>
              </w:rPr>
            </w:pPr>
            <w:r>
              <w:rPr>
                <w:rFonts w:ascii="Arial" w:cs="Arial" w:eastAsia="Arial" w:hAnsi="Arial"/>
                <w:sz w:val="16"/>
                <w:szCs w:val="16"/>
                <w:color w:val="auto"/>
              </w:rPr>
              <w:t>Series B Preferred Stock</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6,969,173</w:t>
            </w:r>
          </w:p>
        </w:tc>
      </w:tr>
      <w:tr>
        <w:trPr>
          <w:trHeight w:val="213"/>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B-1 Preferred Stock</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1,246,133</w:t>
            </w:r>
          </w:p>
        </w:tc>
      </w:tr>
      <w:tr>
        <w:trPr>
          <w:trHeight w:val="207"/>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Series C Preferred Stock</w:t>
            </w: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1,860,126</w:t>
            </w:r>
          </w:p>
        </w:tc>
      </w:tr>
      <w:tr>
        <w:trPr>
          <w:trHeight w:val="206"/>
        </w:trPr>
        <w:tc>
          <w:tcPr>
            <w:tcW w:w="8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6,976,730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15,518,985</w:t>
            </w:r>
          </w:p>
        </w:tc>
      </w:tr>
    </w:tbl>
    <w:p>
      <w:pPr>
        <w:spacing w:after="0" w:line="288" w:lineRule="exact"/>
        <w:rPr>
          <w:sz w:val="20"/>
          <w:szCs w:val="20"/>
          <w:color w:val="auto"/>
        </w:rPr>
      </w:pPr>
    </w:p>
    <w:p>
      <w:pPr>
        <w:ind w:right="660" w:firstLine="433"/>
        <w:spacing w:after="0" w:line="275" w:lineRule="auto"/>
        <w:rPr>
          <w:sz w:val="20"/>
          <w:szCs w:val="20"/>
          <w:color w:val="auto"/>
        </w:rPr>
      </w:pPr>
      <w:r>
        <w:rPr>
          <w:rFonts w:ascii="Arial" w:cs="Arial" w:eastAsia="Arial" w:hAnsi="Arial"/>
          <w:sz w:val="17"/>
          <w:szCs w:val="17"/>
          <w:color w:val="auto"/>
        </w:rPr>
        <w:t>The shares of common stock issuable upon conversion of the Redeemable Convertible Preferred Stock for the three months ended March 31, 2020 assumed automatic conversion in the event of a qualified public offering.</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Related Party Transactions</w:t>
      </w:r>
    </w:p>
    <w:p>
      <w:pPr>
        <w:spacing w:after="0" w:line="141"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On September 11, 2019, the Company entered into a Cooperation and License Agreement (the “License Agreement”) with RogCon Inc. (“RogCon”). 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Pursuant to the terms of the License Agreement, the Company will conduct, at its own cost and expense, the research and development activities assigned to it under the associated research plan. In addition, the Company is responsible for reimbursing RogCon for any costs associated with research and development activities RogCon performs at the request of the Company. One of the founders of RogCon became the Company’s General Counsel in June 2020. The Company continues to reimburse RogCon for its out-of-pocket costs incurred for activities performed under the License Agreement. During both the three months ended March 31, 2021 and 2020, the Company expensed less than $0.1 million for the reimbursement of RogCon’s out-of-pocket costs. As of March 31, 2021, the Company had accrued expenses of $0.3 million due to RogCon under the License Agreement.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Subsequent Events</w:t>
      </w:r>
    </w:p>
    <w:p>
      <w:pPr>
        <w:spacing w:after="0" w:line="141"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The Company considers events or transactions that occur after the balance sheet date but prior to the issuance of the condensed consolidated financial statements to provide additional evidence for certain estimates or to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2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the audited financial information and the notes thereto included in our Annual Report on Form 10-K, which was filed with the Securities and Exchange Commission, or SEC, on March 17, 2021.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for the year ended December 31, 2020, our actual results could differ materially from the results described in or implied by the forward-looking statements contained in the following discussion and analysis.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41"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We are a clinical-stage biopharmaceutical company translating genetic insights into the development of therapies for central nervous system, or CNS, disorders characterized by neuronal imbalance. Normal brain function requires a delicate balance of excitation and inhibition in neuronal circuits, which, when dysregulated, leads to abnormal function and disease. We are applying insights from genetic epilepsies to broader neurological and psychiatric disorders, using our understanding of shared biological targets and circuits in the brain. We apply a deliberate and pragmatic precision approach, leveraging a suite of translational tools including novel transgenic and predictive translational animal models and electrophysiology markers, to enable an efficient path to proof-of-concept in patients. Through this approach, we have established a broad portfolio, including multiple disclosed programs across CNS disorders, including depression, epilepsy, movement disorders and pain syndromes, with three clinical-stage product candidates. We expect multiple topline clinical trial readouts from all three programs in the next year and anticipate the launch of a new clinical development program in 2021. We intend to develop differentiated therapies that can deliver long-term benefits to human health by meaningfully impacting patients and society.</w:t>
      </w:r>
    </w:p>
    <w:p>
      <w:pPr>
        <w:spacing w:after="0" w:line="198"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Our most advanced programs, PRAX-114 and PRAX-944, are currently in Phase 2/3 and Phase 2 development, respectively. PRAX-114 is currently being developed for the treatment of major depressive disorder and perimenopausal depression. Together, these conditions affect more than 22 million patients in the United States. We plan to initiate a Phase 2 trial of PRAX-114 in post-traumatic stress disorder and a Phase 2 trial of PRAX-114 in essential tremor, or ET, in the second half of 2021. PRAX-944 is a selective small molecule inhibitor of T-type calcium channels, currently being developed for the treatment of ET, a progressive and debilitating movement disorder affecting up to seven million people in the United States. We plan to initiate a PRAX-944 Phase 2 trial for the treatment of Parkinson's disease in the first half of 2022. In addition, we initiated a Phase 1 trial of PRAX-562, a persistent sodium current blocker, for the potential treatment of a broad range of rare, devastating CNS disorders, such as severe pediatric epilepsies and rare adult cephalgias. In addition to our clinical programs, we have multiple disclosed preclinical product candidates in development for severe genetic epilepsies.</w:t>
      </w:r>
    </w:p>
    <w:p>
      <w:pPr>
        <w:spacing w:after="0" w:line="200" w:lineRule="exact"/>
        <w:rPr>
          <w:sz w:val="20"/>
          <w:szCs w:val="20"/>
          <w:color w:val="auto"/>
        </w:rPr>
      </w:pPr>
    </w:p>
    <w:p>
      <w:pPr>
        <w:ind w:right="120" w:firstLine="433"/>
        <w:spacing w:after="0" w:line="260" w:lineRule="auto"/>
        <w:rPr>
          <w:sz w:val="20"/>
          <w:szCs w:val="20"/>
          <w:color w:val="auto"/>
        </w:rPr>
      </w:pPr>
      <w:r>
        <w:rPr>
          <w:rFonts w:ascii="Arial" w:cs="Arial" w:eastAsia="Arial" w:hAnsi="Arial"/>
          <w:sz w:val="17"/>
          <w:szCs w:val="17"/>
          <w:color w:val="auto"/>
        </w:rPr>
        <w:t>We were incorporated in 2015 and commenced operations in 2016. Since inception, we have devoted substantially all of our resources to developing our preclinical and clinical product candidates, building our intellectual property portfolio, business planning, raising capital and providing general and administrative support for these operations. We employ a “virtual” research and development model, relying heavily upon external consultants, collaborators and contract research organizations to conduct our preclinical and clinical activities. Since inception, we have financed our operations primarily with proceeds from the issuance of convertible debt, sales of our Series A redeemable convertible preferred stock, Series B redeemable convertible preferred stock, Series B-1 redeemable convertible preferred stock, Series C redeemable convertible preferred stock and Series C-1 redeemable convertible preferred stock and the closing of our initial public offering, or IPO in October 2020.</w:t>
      </w:r>
    </w:p>
    <w:p>
      <w:pPr>
        <w:spacing w:after="0" w:line="196"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We are a development stage company and we have not generated any revenue from product sales, and do not expect to do so for several years, if at all. All of our programs are still in preclinical and clinical 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a net loss of $27.4 million for the three months ended March 31, 2021. As of March 31, 2021, we had an accumulated deficit of $176.9 million. We expect to incur significant expenses and operating losses for the foreseeable future as we expand our research and development activities. In addition, our losses from operations may fluctuate significantly from quarter-to-quarter and year-to-year,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sectPr>
      </w:pPr>
    </w:p>
    <w:bookmarkStart w:id="18" w:name="page19"/>
    <w:bookmarkEnd w:id="18"/>
    <w:p>
      <w:pPr>
        <w:ind w:right="60"/>
        <w:spacing w:after="0" w:line="275" w:lineRule="auto"/>
        <w:rPr>
          <w:sz w:val="20"/>
          <w:szCs w:val="20"/>
          <w:color w:val="auto"/>
        </w:rPr>
      </w:pPr>
      <w:r>
        <w:rPr>
          <w:rFonts w:ascii="Arial" w:cs="Arial" w:eastAsia="Arial" w:hAnsi="Arial"/>
          <w:sz w:val="17"/>
          <w:szCs w:val="17"/>
          <w:color w:val="auto"/>
        </w:rPr>
        <w:t>depending on the timing of our clinical trials and our expenditures on other research and development activities. We anticipate that our expenses will increase significantly in connection with our ongoing activities, as we:</w:t>
      </w:r>
    </w:p>
    <w:p>
      <w:pPr>
        <w:spacing w:after="0" w:line="129" w:lineRule="exact"/>
        <w:rPr>
          <w:sz w:val="20"/>
          <w:szCs w:val="20"/>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advance our lead product candidates, PRAX-114 and PRAX-944, to and through late stage clinical trials;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advance our PRAX-562 product candidate to Phase 2 clinical trials;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advance our preclinical programs to clinical trials;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further invest in our pipeline;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further invest in our manufacturing capabilities;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seek regulatory approval for our investigational medicines;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maintain, expand, protect and defend our intellectual property portfolio;</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acquire or in-license technology;</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secure facilities to support continued growth in our research, development and commercialization efforts;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 our headcount to support our development efforts and to expand our clinical development team;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incur additional costs and headcount associated with our transition to becoming a public company.</w:t>
      </w:r>
    </w:p>
    <w:p>
      <w:pPr>
        <w:spacing w:after="0" w:line="224" w:lineRule="exact"/>
        <w:rPr>
          <w:sz w:val="20"/>
          <w:szCs w:val="20"/>
          <w:color w:val="auto"/>
        </w:rPr>
      </w:pPr>
    </w:p>
    <w:p>
      <w:pPr>
        <w:ind w:right="200" w:firstLine="433"/>
        <w:spacing w:after="0" w:line="275" w:lineRule="auto"/>
        <w:rPr>
          <w:sz w:val="20"/>
          <w:szCs w:val="20"/>
          <w:color w:val="auto"/>
        </w:rPr>
      </w:pPr>
      <w:r>
        <w:rPr>
          <w:rFonts w:ascii="Arial" w:cs="Arial" w:eastAsia="Arial" w:hAnsi="Arial"/>
          <w:sz w:val="17"/>
          <w:szCs w:val="17"/>
          <w:color w:val="auto"/>
        </w:rPr>
        <w:t>In addition, as we progress toward marketing approval for any of our product candidates, we expect to incur significant commercialization expenses related to product manufacturing, marketing, sales and distribution.</w:t>
      </w:r>
    </w:p>
    <w:p>
      <w:pPr>
        <w:spacing w:after="0" w:line="181"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93" w:lineRule="exact"/>
        <w:rPr>
          <w:sz w:val="20"/>
          <w:szCs w:val="20"/>
          <w:color w:val="auto"/>
        </w:rPr>
      </w:pPr>
    </w:p>
    <w:p>
      <w:pPr>
        <w:jc w:val="both"/>
        <w:ind w:right="200" w:firstLine="433"/>
        <w:spacing w:after="0" w:line="263" w:lineRule="auto"/>
        <w:rPr>
          <w:sz w:val="20"/>
          <w:szCs w:val="20"/>
          <w:color w:val="auto"/>
        </w:rPr>
      </w:pPr>
      <w:r>
        <w:rPr>
          <w:rFonts w:ascii="Arial" w:cs="Arial" w:eastAsia="Arial" w:hAnsi="Arial"/>
          <w:sz w:val="17"/>
          <w:szCs w:val="17"/>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2" w:lineRule="exact"/>
        <w:rPr>
          <w:sz w:val="20"/>
          <w:szCs w:val="20"/>
          <w:color w:val="auto"/>
        </w:rPr>
      </w:pPr>
    </w:p>
    <w:p>
      <w:pPr>
        <w:jc w:val="both"/>
        <w:ind w:right="80" w:firstLine="433"/>
        <w:spacing w:after="0" w:line="263" w:lineRule="auto"/>
        <w:rPr>
          <w:sz w:val="20"/>
          <w:szCs w:val="20"/>
          <w:color w:val="auto"/>
        </w:rPr>
      </w:pPr>
      <w:r>
        <w:rPr>
          <w:rFonts w:ascii="Arial" w:cs="Arial" w:eastAsia="Arial" w:hAnsi="Arial"/>
          <w:sz w:val="17"/>
          <w:szCs w:val="17"/>
          <w:color w:val="auto"/>
        </w:rPr>
        <w:t>As of March 31, 2021, we had cash, cash equivalents and marketable securities of $270.8 million. We believe that our existing cash, cash equivalents and marketable securities will enable us to fund our operating expenses and capital expenditure requirements into the fourth quarter of 2022. We have based this estimate on assumptions that may prove to be wrong, and we could exhaust our available capital resources sooner than we expect. See “—Liquidity and Capital Resources.”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Business Update</w:t>
      </w:r>
    </w:p>
    <w:p>
      <w:pPr>
        <w:spacing w:after="0" w:line="139" w:lineRule="exact"/>
        <w:rPr>
          <w:sz w:val="20"/>
          <w:szCs w:val="20"/>
          <w:color w:val="auto"/>
        </w:rPr>
      </w:pPr>
    </w:p>
    <w:p>
      <w:pPr>
        <w:ind w:right="100" w:firstLine="433"/>
        <w:spacing w:after="0" w:line="260" w:lineRule="auto"/>
        <w:rPr>
          <w:sz w:val="20"/>
          <w:szCs w:val="20"/>
          <w:color w:val="auto"/>
        </w:rPr>
      </w:pPr>
      <w:r>
        <w:rPr>
          <w:rFonts w:ascii="Arial" w:cs="Arial" w:eastAsia="Arial" w:hAnsi="Arial"/>
          <w:sz w:val="17"/>
          <w:szCs w:val="17"/>
          <w:color w:val="auto"/>
        </w:rPr>
        <w:t>With the global spread of the ongoing COVID-19 pandemic, we have implemented business continuity plans designed to address and mitigate the impact of the COVID-19 pandemic on our employees and our business, including our preclinical studies and clinical trials. Our operations are considered an essential business and we are continuing to operate during this period. We have taken measures to secure our research and development activities. While we are experiencing limited financial impacts at this time, given the global economic slowdown, the overall disruption of global healthcare systems and the other risks and uncertainties associated with the pandemic, our business, financial condition and results of operations could be materially adversely affected. We continue to closely monitor the COVID-19 pandemic as we evolve our business continuity plans, clinical development plans and response strategy.</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19" w:name="page20"/>
    <w:bookmarkEnd w:id="19"/>
    <w:p>
      <w:pPr>
        <w:ind w:firstLine="433"/>
        <w:spacing w:after="0" w:line="259" w:lineRule="auto"/>
        <w:rPr>
          <w:sz w:val="20"/>
          <w:szCs w:val="20"/>
          <w:color w:val="auto"/>
        </w:rPr>
      </w:pPr>
      <w:r>
        <w:rPr>
          <w:rFonts w:ascii="Arial" w:cs="Arial" w:eastAsia="Arial" w:hAnsi="Arial"/>
          <w:sz w:val="17"/>
          <w:szCs w:val="17"/>
          <w:color w:val="auto"/>
        </w:rPr>
        <w:t>In addition, while we have taken and are continuing to take steps to mitigate against possible delays, our planned clinical trials may be affected by the COVID-19 pandemic, including (i) delays or difficulties in enrolling and retaining patients in our planned clinical trials, including patients that may not be able or willing to comply with clinical trial protocols if quarantines impede patient movement or interrupt healthcare services; (ii) delays or difficulties in clinical site initiation, including difficulties in recruiting and retaining clinical site investigators and clinical site staff; (iii) 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 (iv) interruption of our future clinical supply chain or key clinical trial activities, such as clinical trial site monitoring, due to limitations on travel imposed or recommended by federal, state/provincial or municipal governments, employers and others; and (v) limitations in outsourced third-party resources that would otherwise be focused on the conduct of our planned clinical trials, including because of sickness of third-party personnel or their families, or the desire of third-party personnel to avoid contact with large groups of people.</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39"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We have not generated any revenue since inception and do not expect to generate any revenue from the sale of products for several years, if at all. If our development efforts for our current or future product candidates are successful and result in marketing approval or collaboration or license agreements with third parties, we may generate revenue in the future from a combination of product sales or payments from collaboration or license agreements that we may enter into with third parties.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137" w:lineRule="exact"/>
        <w:rPr>
          <w:sz w:val="20"/>
          <w:szCs w:val="20"/>
          <w:color w:val="auto"/>
        </w:rPr>
      </w:pPr>
    </w:p>
    <w:p>
      <w:pPr>
        <w:ind w:right="100" w:firstLine="433"/>
        <w:spacing w:after="0" w:line="275" w:lineRule="auto"/>
        <w:rPr>
          <w:sz w:val="20"/>
          <w:szCs w:val="20"/>
          <w:color w:val="auto"/>
        </w:rPr>
      </w:pPr>
      <w:r>
        <w:rPr>
          <w:rFonts w:ascii="Arial" w:cs="Arial" w:eastAsia="Arial" w:hAnsi="Arial"/>
          <w:sz w:val="17"/>
          <w:szCs w:val="17"/>
          <w:color w:val="auto"/>
        </w:rPr>
        <w:t>The nature of our business and primary focus of our activities generate a significant amount of research and development costs. Research and development expenses represent costs incurred by us for the following:</w:t>
      </w:r>
    </w:p>
    <w:p>
      <w:pPr>
        <w:spacing w:after="0" w:line="129" w:lineRule="exact"/>
        <w:rPr>
          <w:sz w:val="20"/>
          <w:szCs w:val="20"/>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costs to develop our portfolio;</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discovery efforts leading to development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clinical development costs for our programs;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costs to develop our manufacturing technology and infrastructure.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costs above comprise the following categories:</w:t>
      </w:r>
    </w:p>
    <w:p>
      <w:pPr>
        <w:spacing w:after="0" w:line="172" w:lineRule="exact"/>
        <w:rPr>
          <w:sz w:val="20"/>
          <w:szCs w:val="20"/>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personnel-related expenses, including salaries, benefits and stock-based compensation expense;</w:t>
      </w:r>
    </w:p>
    <w:p>
      <w:pPr>
        <w:spacing w:after="0" w:line="171" w:lineRule="exact"/>
        <w:rPr>
          <w:rFonts w:ascii="Arial" w:cs="Arial" w:eastAsia="Arial" w:hAnsi="Arial"/>
          <w:sz w:val="17"/>
          <w:szCs w:val="17"/>
          <w:color w:val="auto"/>
        </w:rPr>
      </w:pPr>
    </w:p>
    <w:p>
      <w:pPr>
        <w:ind w:left="640" w:right="60" w:hanging="320"/>
        <w:spacing w:after="0" w:line="275"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such as consultants, investigative sites and contract research organizations, that conduct our preclinical and clinical studies and in-licensing arrangements;</w:t>
      </w:r>
    </w:p>
    <w:p>
      <w:pPr>
        <w:spacing w:after="0" w:line="129"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costs incurred to maintain compliance with regulatory requirements;</w:t>
      </w:r>
    </w:p>
    <w:p>
      <w:pPr>
        <w:spacing w:after="0" w:line="171" w:lineRule="exact"/>
        <w:rPr>
          <w:rFonts w:ascii="Arial" w:cs="Arial" w:eastAsia="Arial" w:hAnsi="Arial"/>
          <w:sz w:val="17"/>
          <w:szCs w:val="17"/>
          <w:color w:val="auto"/>
        </w:rPr>
      </w:pPr>
    </w:p>
    <w:p>
      <w:pPr>
        <w:ind w:left="640" w:right="100" w:hanging="320"/>
        <w:spacing w:after="0" w:line="275"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costs incurred with third-party contract development and manufacturing organizations to acquire, develop and manufacture materials for preclinical and clinical studies; and</w:t>
      </w:r>
    </w:p>
    <w:p>
      <w:pPr>
        <w:spacing w:after="0" w:line="129" w:lineRule="exact"/>
        <w:rPr>
          <w:rFonts w:ascii="Arial" w:cs="Arial" w:eastAsia="Arial" w:hAnsi="Arial"/>
          <w:sz w:val="17"/>
          <w:szCs w:val="17"/>
          <w:color w:val="auto"/>
        </w:rPr>
      </w:pPr>
    </w:p>
    <w:p>
      <w:pPr>
        <w:ind w:left="640" w:right="320" w:hanging="320"/>
        <w:spacing w:after="0" w:line="275"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depreciation, amortization and other direct and allocated expenses, including rent, insurance and other operating costs, incurred as a result of our research and development activities.</w:t>
      </w:r>
    </w:p>
    <w:p>
      <w:pPr>
        <w:spacing w:after="0" w:line="181" w:lineRule="exact"/>
        <w:rPr>
          <w:sz w:val="20"/>
          <w:szCs w:val="20"/>
          <w:color w:val="auto"/>
        </w:rPr>
      </w:pPr>
    </w:p>
    <w:p>
      <w:pPr>
        <w:ind w:right="200" w:firstLine="433"/>
        <w:spacing w:after="0" w:line="262" w:lineRule="auto"/>
        <w:rPr>
          <w:sz w:val="20"/>
          <w:szCs w:val="20"/>
          <w:color w:val="auto"/>
        </w:rPr>
      </w:pPr>
      <w:r>
        <w:rPr>
          <w:rFonts w:ascii="Arial" w:cs="Arial" w:eastAsia="Arial" w:hAnsi="Arial"/>
          <w:sz w:val="17"/>
          <w:szCs w:val="17"/>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consolidated balance sheets as prepaid expenses or accrued research and development expenses. Non-refundable advance payments for goods or services to be received in the future for use in research and development activities are deferred and capitalized,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20" w:name="page21"/>
    <w:bookmarkEnd w:id="20"/>
    <w:p>
      <w:pPr>
        <w:ind w:right="140"/>
        <w:spacing w:after="0" w:line="275" w:lineRule="auto"/>
        <w:rPr>
          <w:sz w:val="20"/>
          <w:szCs w:val="20"/>
          <w:color w:val="auto"/>
        </w:rPr>
      </w:pPr>
      <w:r>
        <w:rPr>
          <w:rFonts w:ascii="Arial" w:cs="Arial" w:eastAsia="Arial" w:hAnsi="Arial"/>
          <w:sz w:val="17"/>
          <w:szCs w:val="17"/>
          <w:color w:val="auto"/>
        </w:rPr>
        <w:t>even when there is no alternative future use for the research and development. The capitalized amounts are expensed as the related goods are delivered or the services are performed.</w:t>
      </w:r>
    </w:p>
    <w:p>
      <w:pPr>
        <w:spacing w:after="0" w:line="181" w:lineRule="exact"/>
        <w:rPr>
          <w:sz w:val="20"/>
          <w:szCs w:val="20"/>
          <w:color w:val="auto"/>
        </w:rPr>
      </w:pPr>
    </w:p>
    <w:p>
      <w:pPr>
        <w:ind w:right="160" w:firstLine="433"/>
        <w:spacing w:after="0" w:line="263" w:lineRule="auto"/>
        <w:rPr>
          <w:sz w:val="20"/>
          <w:szCs w:val="20"/>
          <w:color w:val="auto"/>
        </w:rPr>
      </w:pPr>
      <w:r>
        <w:rPr>
          <w:rFonts w:ascii="Arial" w:cs="Arial" w:eastAsia="Arial" w:hAnsi="Arial"/>
          <w:sz w:val="17"/>
          <w:szCs w:val="17"/>
          <w:color w:val="auto"/>
        </w:rPr>
        <w:t>A significant portion of our research and development costs have been external costs. We track direct external research and development expenses to specific programs upon commencement. Due to the number of ongoing programs and our ability to use resources across several projects, indirect or shared operating costs incurred for our research and development programs, such as personnel, facility costs and certain consulting costs, are not recorded or maintained on a program-specific basis.</w:t>
      </w:r>
    </w:p>
    <w:p>
      <w:pPr>
        <w:spacing w:after="0" w:line="192" w:lineRule="exact"/>
        <w:rPr>
          <w:sz w:val="20"/>
          <w:szCs w:val="20"/>
          <w:color w:val="auto"/>
        </w:rPr>
      </w:pPr>
    </w:p>
    <w:p>
      <w:pPr>
        <w:ind w:right="300" w:firstLine="433"/>
        <w:spacing w:after="0" w:line="263" w:lineRule="auto"/>
        <w:rPr>
          <w:sz w:val="20"/>
          <w:szCs w:val="20"/>
          <w:color w:val="auto"/>
        </w:rPr>
      </w:pPr>
      <w:r>
        <w:rPr>
          <w:rFonts w:ascii="Arial" w:cs="Arial" w:eastAsia="Arial" w:hAnsi="Arial"/>
          <w:sz w:val="17"/>
          <w:szCs w:val="17"/>
          <w:color w:val="auto"/>
        </w:rPr>
        <w:t>Our major programs, PRAX-114, PRAX-944 and PRAX-562, are those for which we have initiated clinical activities. Our discovery-stage programs are those which are at an earlier point in the development process. The following table reflects our research and development expenses, including direct program-specific expenses summarized by major program, discovery-stage program costs and indirect or shared operating costs recognized as research and development expenses during each period presented (in thousands):</w:t>
      </w:r>
    </w:p>
    <w:p>
      <w:pPr>
        <w:spacing w:after="0" w:line="90" w:lineRule="exact"/>
        <w:rPr>
          <w:sz w:val="20"/>
          <w:szCs w:val="20"/>
          <w:color w:val="auto"/>
        </w:rPr>
      </w:pPr>
    </w:p>
    <w:p>
      <w:pPr>
        <w:jc w:val="center"/>
        <w:ind w:left="7780"/>
        <w:spacing w:after="0"/>
        <w:rPr>
          <w:sz w:val="20"/>
          <w:szCs w:val="20"/>
          <w:color w:val="auto"/>
        </w:rPr>
      </w:pPr>
      <w:r>
        <w:rPr>
          <w:rFonts w:ascii="Arial" w:cs="Arial" w:eastAsia="Arial" w:hAnsi="Arial"/>
          <w:sz w:val="16"/>
          <w:szCs w:val="16"/>
          <w:b w:val="1"/>
          <w:bCs w:val="1"/>
          <w:color w:val="auto"/>
        </w:rPr>
        <w:t>Three Months Ended</w:t>
      </w:r>
    </w:p>
    <w:p>
      <w:pPr>
        <w:jc w:val="center"/>
        <w:ind w:left="7780"/>
        <w:spacing w:after="0"/>
        <w:rPr>
          <w:sz w:val="20"/>
          <w:szCs w:val="20"/>
          <w:color w:val="auto"/>
        </w:rPr>
      </w:pPr>
      <w:r>
        <w:rPr>
          <w:rFonts w:ascii="Arial" w:cs="Arial" w:eastAsia="Arial" w:hAnsi="Arial"/>
          <w:sz w:val="16"/>
          <w:szCs w:val="16"/>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r>
      <w:tr>
        <w:trPr>
          <w:trHeight w:val="243"/>
        </w:trPr>
        <w:tc>
          <w:tcPr>
            <w:tcW w:w="7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PRAX-114</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PRAX-944</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1,328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716</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PRAX-562</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Discovery-stage programs</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3,272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609</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1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w:t>
            </w:r>
          </w:p>
        </w:tc>
      </w:tr>
      <w:tr>
        <w:trPr>
          <w:trHeight w:val="231"/>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17,929</w:t>
            </w: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192"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40" w:lineRule="exact"/>
        <w:rPr>
          <w:sz w:val="20"/>
          <w:szCs w:val="20"/>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add and retain key research and development personnel;</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and progress of preclinical and clinical development activities;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number and scope of preclinical and clinical programs we decide to pursue;</w:t>
      </w:r>
    </w:p>
    <w:p>
      <w:pPr>
        <w:spacing w:after="0" w:line="171" w:lineRule="exact"/>
        <w:rPr>
          <w:rFonts w:ascii="Arial" w:cs="Arial" w:eastAsia="Arial" w:hAnsi="Arial"/>
          <w:sz w:val="17"/>
          <w:szCs w:val="17"/>
          <w:color w:val="auto"/>
        </w:rPr>
      </w:pPr>
    </w:p>
    <w:p>
      <w:pPr>
        <w:ind w:left="640" w:right="360" w:hanging="320"/>
        <w:spacing w:after="0" w:line="275"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successfully complete clinical trials with safety, tolerability and efficacy profiles that are satisfactory to the U.S. Food and Drug Administration, or FDA, or any comparable foreign regulatory authority;</w:t>
      </w:r>
    </w:p>
    <w:p>
      <w:pPr>
        <w:spacing w:after="0" w:line="129"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successfully develop, obtain regulatory approval for, and then successfully commercialize, our product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successful enrollment in and completion of clinical trials;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associated with the development of any additional product candidates we identify in-house or acquire through collaborations;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21" w:name="page22"/>
    <w:bookmarkEnd w:id="21"/>
    <w:p>
      <w:pPr>
        <w:ind w:left="640" w:right="540" w:hanging="320"/>
        <w:spacing w:after="0" w:line="275"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discover, develop and utilize biomarkers to demonstrate target engagement, pathway engagement and the impact on disease progression of our product candidates;</w:t>
      </w:r>
    </w:p>
    <w:p>
      <w:pPr>
        <w:spacing w:after="0" w:line="129" w:lineRule="exact"/>
        <w:rPr>
          <w:rFonts w:ascii="Arial" w:cs="Arial" w:eastAsia="Arial" w:hAnsi="Arial"/>
          <w:sz w:val="17"/>
          <w:szCs w:val="17"/>
          <w:color w:val="auto"/>
        </w:rPr>
      </w:pPr>
    </w:p>
    <w:p>
      <w:pPr>
        <w:ind w:left="640" w:right="300" w:hanging="320"/>
        <w:spacing w:after="0" w:line="275"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establish and maintain agreements with third-party manufacturers for clinical supply for our clinical trials and commercial manufacturing, if our product candidates are approved;</w:t>
      </w:r>
    </w:p>
    <w:p>
      <w:pPr>
        <w:spacing w:after="0" w:line="129" w:lineRule="exact"/>
        <w:rPr>
          <w:rFonts w:ascii="Arial" w:cs="Arial" w:eastAsia="Arial" w:hAnsi="Arial"/>
          <w:sz w:val="17"/>
          <w:szCs w:val="17"/>
          <w:color w:val="auto"/>
        </w:rPr>
      </w:pPr>
    </w:p>
    <w:p>
      <w:pPr>
        <w:ind w:left="640" w:right="540" w:hanging="320"/>
        <w:spacing w:after="0" w:line="275"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terms and timing of any collaboration, license or other arrangement, including the terms and timing of any milestone payments thereunder;</w:t>
      </w:r>
    </w:p>
    <w:p>
      <w:pPr>
        <w:spacing w:after="0" w:line="129" w:lineRule="exact"/>
        <w:rPr>
          <w:rFonts w:ascii="Arial" w:cs="Arial" w:eastAsia="Arial" w:hAnsi="Arial"/>
          <w:sz w:val="17"/>
          <w:szCs w:val="17"/>
          <w:color w:val="auto"/>
        </w:rPr>
      </w:pPr>
    </w:p>
    <w:p>
      <w:pPr>
        <w:ind w:left="640" w:right="140" w:hanging="320"/>
        <w:spacing w:after="0" w:line="275"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obtain and maintain patent, trade secret and other intellectual property protection and regulatory exclusivity for our product candidates if and when approved;</w:t>
      </w:r>
    </w:p>
    <w:p>
      <w:pPr>
        <w:spacing w:after="0" w:line="129"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receipt of marketing approvals from applicable regulatory authorities;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commercialize products, if and when approved, whether alone or in collaboration with others;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continued acceptable safety profiles of the product candidates following approval.</w:t>
      </w:r>
    </w:p>
    <w:p>
      <w:pPr>
        <w:spacing w:after="0" w:line="224" w:lineRule="exact"/>
        <w:rPr>
          <w:sz w:val="20"/>
          <w:szCs w:val="20"/>
          <w:color w:val="auto"/>
        </w:rPr>
      </w:pPr>
    </w:p>
    <w:p>
      <w:pPr>
        <w:ind w:right="160" w:firstLine="433"/>
        <w:spacing w:after="0" w:line="261" w:lineRule="auto"/>
        <w:rPr>
          <w:sz w:val="20"/>
          <w:szCs w:val="20"/>
          <w:color w:val="auto"/>
        </w:rPr>
      </w:pPr>
      <w:r>
        <w:rPr>
          <w:rFonts w:ascii="Arial" w:cs="Arial" w:eastAsia="Arial" w:hAnsi="Arial"/>
          <w:sz w:val="17"/>
          <w:szCs w:val="17"/>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millions of dollars in development costs.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137"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insurance costs; administrative travel expenses; and facility-related expenses, which include direct depreciation costs and allocated expenses for office rent and other operating costs. These costs relate to the operation of the business, unrelated to the research and development function, or any individual program. Costs to secure and defend our intellectual property, or IP, are expensed as incurred and are classified as general and administrative expenses.</w:t>
      </w:r>
    </w:p>
    <w:p>
      <w:pPr>
        <w:spacing w:after="0" w:line="200" w:lineRule="exact"/>
        <w:rPr>
          <w:sz w:val="20"/>
          <w:szCs w:val="20"/>
          <w:color w:val="auto"/>
        </w:rPr>
      </w:pPr>
    </w:p>
    <w:p>
      <w:pPr>
        <w:spacing w:after="0" w:line="203" w:lineRule="exact"/>
        <w:rPr>
          <w:sz w:val="20"/>
          <w:szCs w:val="20"/>
          <w:color w:val="auto"/>
        </w:rPr>
      </w:pPr>
    </w:p>
    <w:p>
      <w:pPr>
        <w:ind w:right="240" w:firstLine="433"/>
        <w:spacing w:after="0" w:line="261"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the expected growth in our research and development activities and the potential commercialization of our product candidates. We also expect to incur increased expenses associated with being a public company, including increased costs of accounting, audit, legal, regulatory and tax-related services associated with maintaining compliance with exchange listing and SEC requirements, director and officer insurance costs and investor and public relations costs. We also expect to incur additional IP-related expenses as we file patent applications to protect innovations arising from our research and development activities.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 Net</w:t>
      </w:r>
    </w:p>
    <w:p>
      <w:pPr>
        <w:spacing w:after="0" w:line="137" w:lineRule="exact"/>
        <w:rPr>
          <w:sz w:val="20"/>
          <w:szCs w:val="20"/>
          <w:color w:val="auto"/>
        </w:rPr>
      </w:pPr>
    </w:p>
    <w:p>
      <w:pPr>
        <w:ind w:right="140" w:firstLine="433"/>
        <w:spacing w:after="0" w:line="275" w:lineRule="auto"/>
        <w:rPr>
          <w:sz w:val="20"/>
          <w:szCs w:val="20"/>
          <w:color w:val="auto"/>
        </w:rPr>
      </w:pPr>
      <w:r>
        <w:rPr>
          <w:rFonts w:ascii="Arial" w:cs="Arial" w:eastAsia="Arial" w:hAnsi="Arial"/>
          <w:sz w:val="17"/>
          <w:szCs w:val="17"/>
          <w:color w:val="auto"/>
        </w:rPr>
        <w:t>Interest income, net consists of interest income from our cash, cash equivalents and marketable securities and amortization of investment premiums.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39"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Since our inception, we have not recorded any U.S. federal or state income tax benefits for the net losses we have incurred in each year or for our earned research and development tax credits due to our uncertainty of realizing a benefit from those items. Income taxes are determined at the applicable tax rates adjusted for non-deductible expenses, research and development tax credits and other permanent differences. Our income tax provision may be significantly affected by changes to our estimates. There was no income tax provision or benefit</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22" w:name="page23"/>
    <w:bookmarkEnd w:id="22"/>
    <w:p>
      <w:pPr>
        <w:ind w:right="20"/>
        <w:spacing w:after="0" w:line="275" w:lineRule="auto"/>
        <w:rPr>
          <w:sz w:val="20"/>
          <w:szCs w:val="20"/>
          <w:color w:val="auto"/>
        </w:rPr>
      </w:pPr>
      <w:r>
        <w:rPr>
          <w:rFonts w:ascii="Arial" w:cs="Arial" w:eastAsia="Arial" w:hAnsi="Arial"/>
          <w:sz w:val="17"/>
          <w:szCs w:val="17"/>
          <w:color w:val="auto"/>
        </w:rPr>
        <w:t>recognized for the three months ended March 31, 2021. The income tax benefit recognized for the three months ended March 31, 2020 related to income tax associated with our operations in Australia.</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March 31, 2021 and 2020</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consolidated statements of operations for each period presented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1180" w:type="dxa"/>
            <w:vAlign w:val="bottom"/>
            <w:vMerge w:val="restart"/>
          </w:tcPr>
          <w:p>
            <w:pPr>
              <w:jc w:val="right"/>
              <w:ind w:right="34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70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17,929</w:t>
            </w:r>
          </w:p>
        </w:tc>
        <w:tc>
          <w:tcPr>
            <w:tcW w:w="120" w:type="dxa"/>
            <w:vAlign w:val="bottom"/>
          </w:tcPr>
          <w:p>
            <w:pPr>
              <w:spacing w:after="0"/>
              <w:rPr>
                <w:sz w:val="17"/>
                <w:szCs w:val="17"/>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6,868</w:t>
            </w:r>
          </w:p>
        </w:tc>
        <w:tc>
          <w:tcPr>
            <w:tcW w:w="10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11,061</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9,490</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1,601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7,889</w:t>
            </w:r>
          </w:p>
        </w:tc>
        <w:tc>
          <w:tcPr>
            <w:tcW w:w="0" w:type="dxa"/>
            <w:vAlign w:val="bottom"/>
          </w:tcPr>
          <w:p>
            <w:pPr>
              <w:spacing w:after="0"/>
              <w:rPr>
                <w:sz w:val="1"/>
                <w:szCs w:val="1"/>
                <w:color w:val="auto"/>
              </w:rPr>
            </w:pPr>
          </w:p>
        </w:tc>
      </w:tr>
      <w:tr>
        <w:trPr>
          <w:trHeight w:val="203"/>
        </w:trPr>
        <w:tc>
          <w:tcPr>
            <w:tcW w:w="67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27,419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8,469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18,950</w:t>
            </w:r>
          </w:p>
        </w:tc>
        <w:tc>
          <w:tcPr>
            <w:tcW w:w="0" w:type="dxa"/>
            <w:vAlign w:val="bottom"/>
          </w:tcPr>
          <w:p>
            <w:pPr>
              <w:spacing w:after="0"/>
              <w:rPr>
                <w:sz w:val="1"/>
                <w:szCs w:val="1"/>
                <w:color w:val="auto"/>
              </w:rPr>
            </w:pPr>
          </w:p>
        </w:tc>
      </w:tr>
      <w:tr>
        <w:trPr>
          <w:trHeight w:val="20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(18,950)</w:t>
            </w:r>
          </w:p>
        </w:tc>
        <w:tc>
          <w:tcPr>
            <w:tcW w:w="0" w:type="dxa"/>
            <w:vAlign w:val="bottom"/>
          </w:tcPr>
          <w:p>
            <w:pPr>
              <w:spacing w:after="0"/>
              <w:rPr>
                <w:sz w:val="1"/>
                <w:szCs w:val="1"/>
                <w:color w:val="auto"/>
              </w:rPr>
            </w:pPr>
          </w:p>
        </w:tc>
      </w:tr>
      <w:tr>
        <w:trPr>
          <w:trHeight w:val="207"/>
        </w:trPr>
        <w:tc>
          <w:tcPr>
            <w:tcW w:w="6700" w:type="dxa"/>
            <w:vAlign w:val="bottom"/>
          </w:tcPr>
          <w:p>
            <w:pPr>
              <w:ind w:left="20"/>
              <w:spacing w:after="0"/>
              <w:rPr>
                <w:sz w:val="20"/>
                <w:szCs w:val="20"/>
                <w:color w:val="auto"/>
              </w:rPr>
            </w:pPr>
            <w:r>
              <w:rPr>
                <w:rFonts w:ascii="Arial" w:cs="Arial" w:eastAsia="Arial" w:hAnsi="Arial"/>
                <w:sz w:val="16"/>
                <w:szCs w:val="16"/>
                <w:color w:val="auto"/>
              </w:rPr>
              <w:t>Total other income: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 net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3"/>
        </w:trPr>
        <w:tc>
          <w:tcPr>
            <w:tcW w:w="6700" w:type="dxa"/>
            <w:vAlign w:val="bottom"/>
          </w:tcPr>
          <w:p>
            <w:pPr>
              <w:ind w:left="660"/>
              <w:spacing w:after="0"/>
              <w:rPr>
                <w:sz w:val="20"/>
                <w:szCs w:val="20"/>
                <w:color w:val="auto"/>
              </w:rPr>
            </w:pPr>
            <w:r>
              <w:rPr>
                <w:rFonts w:ascii="Arial" w:cs="Arial" w:eastAsia="Arial" w:hAnsi="Arial"/>
                <w:sz w:val="16"/>
                <w:szCs w:val="16"/>
                <w:color w:val="auto"/>
              </w:rPr>
              <w:t>Total other income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benefit from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(19,032)</w:t>
            </w:r>
          </w:p>
        </w:tc>
        <w:tc>
          <w:tcPr>
            <w:tcW w:w="0" w:type="dxa"/>
            <w:vAlign w:val="bottom"/>
          </w:tcPr>
          <w:p>
            <w:pPr>
              <w:spacing w:after="0"/>
              <w:rPr>
                <w:sz w:val="1"/>
                <w:szCs w:val="1"/>
                <w:color w:val="auto"/>
              </w:rPr>
            </w:pPr>
          </w:p>
        </w:tc>
      </w:tr>
      <w:tr>
        <w:trPr>
          <w:trHeight w:val="207"/>
        </w:trPr>
        <w:tc>
          <w:tcPr>
            <w:tcW w:w="6700" w:type="dxa"/>
            <w:vAlign w:val="bottom"/>
          </w:tcPr>
          <w:p>
            <w:pPr>
              <w:ind w:left="20"/>
              <w:spacing w:after="0"/>
              <w:rPr>
                <w:sz w:val="20"/>
                <w:szCs w:val="20"/>
                <w:color w:val="auto"/>
              </w:rPr>
            </w:pPr>
            <w:r>
              <w:rPr>
                <w:rFonts w:ascii="Arial" w:cs="Arial" w:eastAsia="Arial" w:hAnsi="Arial"/>
                <w:sz w:val="16"/>
                <w:szCs w:val="16"/>
                <w:color w:val="auto"/>
              </w:rPr>
              <w:t>Benefit from income taxes</w:t>
            </w: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1"/>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(19,043)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137" w:lineRule="exact"/>
        <w:rPr>
          <w:sz w:val="20"/>
          <w:szCs w:val="20"/>
          <w:color w:val="auto"/>
        </w:rPr>
      </w:pPr>
    </w:p>
    <w:p>
      <w:pPr>
        <w:ind w:right="80" w:firstLine="433"/>
        <w:spacing w:after="0" w:line="275" w:lineRule="auto"/>
        <w:rPr>
          <w:sz w:val="20"/>
          <w:szCs w:val="20"/>
          <w:color w:val="auto"/>
        </w:rPr>
      </w:pPr>
      <w:r>
        <w:rPr>
          <w:rFonts w:ascii="Arial" w:cs="Arial" w:eastAsia="Arial" w:hAnsi="Arial"/>
          <w:sz w:val="17"/>
          <w:szCs w:val="17"/>
          <w:color w:val="auto"/>
        </w:rPr>
        <w:t>The following table summarizes our research and development expenses for each period presented, along with the changes in those items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1180" w:type="dxa"/>
            <w:vAlign w:val="bottom"/>
            <w:vMerge w:val="restart"/>
          </w:tcPr>
          <w:p>
            <w:pPr>
              <w:jc w:val="right"/>
              <w:ind w:right="34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PRAX-114</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1,947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0" w:type="dxa"/>
            <w:vAlign w:val="bottom"/>
          </w:tcPr>
          <w:p>
            <w:pPr>
              <w:spacing w:after="0"/>
              <w:rPr>
                <w:sz w:val="1"/>
                <w:szCs w:val="1"/>
                <w:color w:val="auto"/>
              </w:rPr>
            </w:pPr>
          </w:p>
        </w:tc>
      </w:tr>
      <w:tr>
        <w:trPr>
          <w:trHeight w:val="207"/>
        </w:trPr>
        <w:tc>
          <w:tcPr>
            <w:tcW w:w="6700" w:type="dxa"/>
            <w:vAlign w:val="bottom"/>
          </w:tcPr>
          <w:p>
            <w:pPr>
              <w:ind w:left="20"/>
              <w:spacing w:after="0"/>
              <w:rPr>
                <w:sz w:val="20"/>
                <w:szCs w:val="20"/>
                <w:color w:val="auto"/>
              </w:rPr>
            </w:pPr>
            <w:r>
              <w:rPr>
                <w:rFonts w:ascii="Arial" w:cs="Arial" w:eastAsia="Arial" w:hAnsi="Arial"/>
                <w:sz w:val="16"/>
                <w:szCs w:val="16"/>
                <w:color w:val="auto"/>
              </w:rPr>
              <w:t>PRAX-944</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1,328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PRAX-562</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0" w:type="dxa"/>
            <w:vAlign w:val="bottom"/>
          </w:tcPr>
          <w:p>
            <w:pPr>
              <w:spacing w:after="0"/>
              <w:rPr>
                <w:sz w:val="1"/>
                <w:szCs w:val="1"/>
                <w:color w:val="auto"/>
              </w:rPr>
            </w:pPr>
          </w:p>
        </w:tc>
      </w:tr>
      <w:tr>
        <w:trPr>
          <w:trHeight w:val="207"/>
        </w:trPr>
        <w:tc>
          <w:tcPr>
            <w:tcW w:w="6700" w:type="dxa"/>
            <w:vAlign w:val="bottom"/>
          </w:tcPr>
          <w:p>
            <w:pPr>
              <w:ind w:left="20"/>
              <w:spacing w:after="0"/>
              <w:rPr>
                <w:sz w:val="20"/>
                <w:szCs w:val="20"/>
                <w:color w:val="auto"/>
              </w:rPr>
            </w:pPr>
            <w:r>
              <w:rPr>
                <w:rFonts w:ascii="Arial" w:cs="Arial" w:eastAsia="Arial" w:hAnsi="Arial"/>
                <w:sz w:val="16"/>
                <w:szCs w:val="16"/>
                <w:color w:val="auto"/>
              </w:rPr>
              <w:t>Discovery-stage programs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3,272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2,663</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4,458</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31"/>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17,929</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6,868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160" w:firstLine="433"/>
        <w:spacing w:after="0" w:line="266" w:lineRule="auto"/>
        <w:rPr>
          <w:sz w:val="20"/>
          <w:szCs w:val="20"/>
          <w:color w:val="auto"/>
        </w:rPr>
      </w:pPr>
      <w:r>
        <w:rPr>
          <w:rFonts w:ascii="Arial" w:cs="Arial" w:eastAsia="Arial" w:hAnsi="Arial"/>
          <w:sz w:val="17"/>
          <w:szCs w:val="17"/>
          <w:color w:val="auto"/>
        </w:rPr>
        <w:t>Research and development expenses increased approximately $11.1 million from $6.9 million for the three months ended March 31, 2020 to $17.9 million for the three months ended March 31, 2021. The increase in research and development expenses was primarily attributable to the following:</w:t>
      </w:r>
    </w:p>
    <w:p>
      <w:pPr>
        <w:spacing w:after="0" w:line="137" w:lineRule="exact"/>
        <w:rPr>
          <w:sz w:val="20"/>
          <w:szCs w:val="20"/>
          <w:color w:val="auto"/>
        </w:rPr>
      </w:pPr>
    </w:p>
    <w:p>
      <w:pPr>
        <w:ind w:left="640" w:right="20" w:hanging="320"/>
        <w:spacing w:after="0" w:line="275"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$4.5 million increase in personnel-related costs primarily due to increased headcount, including an increase of $2.2 million in stock-based compensation expense due to the increase in fair value of our stock options since becoming a public company;</w:t>
      </w:r>
    </w:p>
    <w:p>
      <w:pPr>
        <w:spacing w:after="0" w:line="129" w:lineRule="exact"/>
        <w:rPr>
          <w:rFonts w:ascii="Arial" w:cs="Arial" w:eastAsia="Arial" w:hAnsi="Arial"/>
          <w:sz w:val="17"/>
          <w:szCs w:val="17"/>
          <w:color w:val="auto"/>
        </w:rPr>
      </w:pPr>
    </w:p>
    <w:p>
      <w:pPr>
        <w:ind w:left="640" w:right="120" w:hanging="320"/>
        <w:spacing w:after="0" w:line="275"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$2.7 million increase in expense related to our discovery-stage programs, primarily driven by an increase in preclinical activities for such programs;</w:t>
      </w:r>
    </w:p>
    <w:p>
      <w:pPr>
        <w:spacing w:after="0" w:line="129" w:lineRule="exact"/>
        <w:rPr>
          <w:rFonts w:ascii="Arial" w:cs="Arial" w:eastAsia="Arial" w:hAnsi="Arial"/>
          <w:sz w:val="17"/>
          <w:szCs w:val="17"/>
          <w:color w:val="auto"/>
        </w:rPr>
      </w:pPr>
    </w:p>
    <w:p>
      <w:pPr>
        <w:ind w:left="640" w:right="560" w:hanging="320"/>
        <w:spacing w:after="0" w:line="275"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$1.8 million increase in expense related to our PRAX-562 program, primarily driven by an increase in clinical and toxicology spend related to our Phase 1 clinical trial for this program;</w:t>
      </w:r>
    </w:p>
    <w:p>
      <w:pPr>
        <w:spacing w:after="0" w:line="129" w:lineRule="exact"/>
        <w:rPr>
          <w:rFonts w:ascii="Arial" w:cs="Arial" w:eastAsia="Arial" w:hAnsi="Arial"/>
          <w:sz w:val="17"/>
          <w:szCs w:val="17"/>
          <w:color w:val="auto"/>
        </w:rPr>
      </w:pPr>
    </w:p>
    <w:p>
      <w:pPr>
        <w:ind w:left="640" w:right="160" w:hanging="320"/>
        <w:spacing w:after="0" w:line="275"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$1.3 million increase in expense related to our PRAX-114 program, driven by an increase in toxicology and clinical spend for our Phase 2/3 clinical trial for this program;</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23" w:name="page24"/>
    <w:bookmarkEnd w:id="23"/>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$0.6 million increase in expense related to our PRAX-944 program, driven primarily by a $0.4 million increase in clinical related spend.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137" w:lineRule="exact"/>
        <w:rPr>
          <w:sz w:val="20"/>
          <w:szCs w:val="20"/>
          <w:color w:val="auto"/>
        </w:rPr>
      </w:pPr>
    </w:p>
    <w:p>
      <w:pPr>
        <w:ind w:right="60" w:firstLine="433"/>
        <w:spacing w:after="0" w:line="275" w:lineRule="auto"/>
        <w:rPr>
          <w:sz w:val="20"/>
          <w:szCs w:val="20"/>
          <w:color w:val="auto"/>
        </w:rPr>
      </w:pPr>
      <w:r>
        <w:rPr>
          <w:rFonts w:ascii="Arial" w:cs="Arial" w:eastAsia="Arial" w:hAnsi="Arial"/>
          <w:sz w:val="17"/>
          <w:szCs w:val="17"/>
          <w:color w:val="auto"/>
        </w:rPr>
        <w:t>General and administrative expenses increased $7.9 million from $1.6 million for the three months ended March 31, 2020 to $9.5 million for the three months ended March 31, 2021. The increase in general and administrative expenses was primarily attributable to the following:</w:t>
      </w:r>
    </w:p>
    <w:p>
      <w:pPr>
        <w:spacing w:after="0" w:line="129" w:lineRule="exact"/>
        <w:rPr>
          <w:sz w:val="20"/>
          <w:szCs w:val="20"/>
          <w:color w:val="auto"/>
        </w:rPr>
      </w:pPr>
    </w:p>
    <w:p>
      <w:pPr>
        <w:ind w:left="640" w:right="220" w:hanging="320"/>
        <w:spacing w:after="0" w:line="275"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$3.8 million increase in personnel-related costs, primarily driven by increased headcount, including an increase of $2.3 million in stock-based compensation expense due to the increase in fair value of our stock options since becoming a public company;</w:t>
      </w:r>
    </w:p>
    <w:p>
      <w:pPr>
        <w:spacing w:after="0" w:line="129" w:lineRule="exact"/>
        <w:rPr>
          <w:rFonts w:ascii="Arial" w:cs="Arial" w:eastAsia="Arial" w:hAnsi="Arial"/>
          <w:sz w:val="17"/>
          <w:szCs w:val="17"/>
          <w:color w:val="auto"/>
        </w:rPr>
      </w:pPr>
    </w:p>
    <w:p>
      <w:pPr>
        <w:jc w:val="both"/>
        <w:ind w:left="640" w:right="300" w:hanging="320"/>
        <w:spacing w:after="0" w:line="266"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$2.3 million increase in professional fees including legal and consulting services, driven by a $1.8 million increase in consulting costs, primarily $1.4 million of increased commercial-related spend to support assessments of our clinical-stage programs and a $0.6 million increase in audit and legal fees.</w:t>
      </w:r>
    </w:p>
    <w:p>
      <w:pPr>
        <w:spacing w:after="0" w:line="136" w:lineRule="exact"/>
        <w:rPr>
          <w:rFonts w:ascii="Arial" w:cs="Arial" w:eastAsia="Arial" w:hAnsi="Arial"/>
          <w:sz w:val="17"/>
          <w:szCs w:val="17"/>
          <w:color w:val="auto"/>
        </w:rPr>
      </w:pPr>
    </w:p>
    <w:p>
      <w:pPr>
        <w:ind w:left="640" w:right="500" w:hanging="320"/>
        <w:spacing w:after="0" w:line="275"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$1.8 million increase in other general and administrative expenses, including a $1.1 million increase in insurance and related costs, primarily due to becoming a public company.</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37" w:lineRule="exact"/>
        <w:rPr>
          <w:sz w:val="20"/>
          <w:szCs w:val="20"/>
          <w:color w:val="auto"/>
        </w:rPr>
      </w:pPr>
    </w:p>
    <w:p>
      <w:pPr>
        <w:ind w:right="540" w:firstLine="433"/>
        <w:spacing w:after="0" w:line="275" w:lineRule="auto"/>
        <w:rPr>
          <w:sz w:val="20"/>
          <w:szCs w:val="20"/>
          <w:color w:val="auto"/>
        </w:rPr>
      </w:pPr>
      <w:r>
        <w:rPr>
          <w:rFonts w:ascii="Arial" w:cs="Arial" w:eastAsia="Arial" w:hAnsi="Arial"/>
          <w:sz w:val="17"/>
          <w:szCs w:val="17"/>
          <w:color w:val="auto"/>
        </w:rPr>
        <w:t>Other income for the three months ended March 31, 2021 and 2020, comprised of interest income on our cash, cash equivalents and marketable securities and investment premium amortization, was not material.</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39" w:lineRule="exact"/>
        <w:rPr>
          <w:sz w:val="20"/>
          <w:szCs w:val="20"/>
          <w:color w:val="auto"/>
        </w:rPr>
      </w:pPr>
    </w:p>
    <w:p>
      <w:pPr>
        <w:jc w:val="both"/>
        <w:ind w:right="360" w:firstLine="433"/>
        <w:spacing w:after="0" w:line="266" w:lineRule="auto"/>
        <w:rPr>
          <w:sz w:val="20"/>
          <w:szCs w:val="20"/>
          <w:color w:val="auto"/>
        </w:rPr>
      </w:pPr>
      <w:r>
        <w:rPr>
          <w:rFonts w:ascii="Arial" w:cs="Arial" w:eastAsia="Arial" w:hAnsi="Arial"/>
          <w:sz w:val="17"/>
          <w:szCs w:val="17"/>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84"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To date, we have financed our operations primarily with proceeds from sales of our redeemable convertible preferred stock, the issuance of convertible debt and the closing of our IPO. We raised an aggregate of $206.7 million in proceeds from the sale of our redeemable convertible preferred stock, $4.0 million in proceeds from the issuance of convertible promissory notes, and $200.3 million in net proceeds from our IPO, after deducting underwriting discounts and commissions and offering expenses payable by us. As of March 31, 2021, we had cash, cash equivalents and marketable securities of $270.8 million.</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Historical Cash Flows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regarding our cash flows for each period presented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4"/>
          </w:tcPr>
          <w:p>
            <w:pPr>
              <w:jc w:val="right"/>
              <w:ind w:right="881"/>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6"/>
                <w:szCs w:val="16"/>
                <w:b w:val="1"/>
                <w:bCs w:val="1"/>
                <w:color w:val="auto"/>
              </w:rPr>
              <w:t>March 31,</w:t>
            </w:r>
          </w:p>
        </w:tc>
        <w:tc>
          <w:tcPr>
            <w:tcW w:w="1240" w:type="dxa"/>
            <w:vAlign w:val="bottom"/>
            <w:tcBorders>
              <w:bottom w:val="single" w:sz="8" w:color="auto"/>
            </w:tcBorders>
          </w:tcPr>
          <w:p>
            <w:pPr>
              <w:spacing w:after="0"/>
              <w:rPr>
                <w:sz w:val="18"/>
                <w:szCs w:val="18"/>
                <w:color w:val="auto"/>
              </w:rPr>
            </w:pPr>
          </w:p>
        </w:tc>
      </w:tr>
      <w:tr>
        <w:trPr>
          <w:trHeight w:val="203"/>
        </w:trPr>
        <w:tc>
          <w:tcPr>
            <w:tcW w:w="77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2020</w:t>
            </w:r>
          </w:p>
        </w:tc>
      </w:tr>
      <w:tr>
        <w:trPr>
          <w:trHeight w:val="191"/>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7"/>
        </w:trPr>
        <w:tc>
          <w:tcPr>
            <w:tcW w:w="77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(25,722)</w:t>
            </w:r>
          </w:p>
        </w:tc>
        <w:tc>
          <w:tcPr>
            <w:tcW w:w="120" w:type="dxa"/>
            <w:vAlign w:val="bottom"/>
          </w:tcPr>
          <w:p>
            <w:pPr>
              <w:spacing w:after="0"/>
              <w:rPr>
                <w:sz w:val="17"/>
                <w:szCs w:val="17"/>
                <w:color w:val="auto"/>
              </w:rPr>
            </w:pPr>
          </w:p>
        </w:tc>
        <w:tc>
          <w:tcPr>
            <w:tcW w:w="600" w:type="dxa"/>
            <w:vAlign w:val="bottom"/>
          </w:tcPr>
          <w:p>
            <w:pPr>
              <w:jc w:val="right"/>
              <w:ind w:right="4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(8,569)</w:t>
            </w:r>
          </w:p>
        </w:tc>
      </w:tr>
      <w:tr>
        <w:trPr>
          <w:trHeight w:val="21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(140,010)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w:t>
            </w:r>
          </w:p>
        </w:tc>
      </w:tr>
      <w:tr>
        <w:trPr>
          <w:trHeight w:val="22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(165,456)</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(38,569)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37"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Our cash flows from operating activities are greatly influenced by our use of cash for operating expenses and working capital requirements to support the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changes in components of working capital, which are primarily the result of increased expenses and timing of vendor payments.</w:t>
      </w:r>
    </w:p>
    <w:p>
      <w:pPr>
        <w:spacing w:after="0" w:line="224"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During the three months ended March 31, 2021, net cash used in operating activities of $25.7 million was primarily due to our $27.4 million net loss and $3.5 million in changes in operating assets and liabilities, partially offset by $5.1 million of non-cash charges primarily related to stock-based compensation.</w:t>
      </w:r>
    </w:p>
    <w:p>
      <w:pPr>
        <w:spacing w:after="0" w:line="189"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During the three months ended March 31, 2020, net cash used in operating activities of $8.6 million was primarily due to our $8.3 million net loss and $0.6 million in changes in operating assets and liabilities, partially offset by $0.3 million of non-cash charges.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37" w:lineRule="exact"/>
        <w:rPr>
          <w:sz w:val="20"/>
          <w:szCs w:val="20"/>
          <w:color w:val="auto"/>
        </w:rPr>
      </w:pPr>
    </w:p>
    <w:p>
      <w:pPr>
        <w:ind w:right="240" w:firstLine="433"/>
        <w:spacing w:after="0" w:line="275" w:lineRule="auto"/>
        <w:rPr>
          <w:sz w:val="20"/>
          <w:szCs w:val="20"/>
          <w:color w:val="auto"/>
        </w:rPr>
      </w:pPr>
      <w:r>
        <w:rPr>
          <w:rFonts w:ascii="Arial" w:cs="Arial" w:eastAsia="Arial" w:hAnsi="Arial"/>
          <w:sz w:val="17"/>
          <w:szCs w:val="17"/>
          <w:color w:val="auto"/>
        </w:rPr>
        <w:t>During the three months ended March 31, 2021, net cash used in investing activities of $140.0 million primarily related to the purchase of marketable securities. There were no cash flows from investing activities during the three months ended March 31, 2020.</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37" w:lineRule="exact"/>
        <w:rPr>
          <w:sz w:val="20"/>
          <w:szCs w:val="20"/>
          <w:color w:val="auto"/>
        </w:rPr>
      </w:pPr>
    </w:p>
    <w:p>
      <w:pPr>
        <w:ind w:right="100" w:firstLine="433"/>
        <w:spacing w:after="0" w:line="275" w:lineRule="auto"/>
        <w:rPr>
          <w:sz w:val="20"/>
          <w:szCs w:val="20"/>
          <w:color w:val="auto"/>
        </w:rPr>
      </w:pPr>
      <w:r>
        <w:rPr>
          <w:rFonts w:ascii="Arial" w:cs="Arial" w:eastAsia="Arial" w:hAnsi="Arial"/>
          <w:sz w:val="17"/>
          <w:szCs w:val="17"/>
          <w:color w:val="auto"/>
        </w:rPr>
        <w:t>During the three months ended March 31, 2021, net cash provided by financing activities of $0.3 million consisted of net proceeds from the exercise of stock options, partially offset by payment of deferred initial public offering costs.</w:t>
      </w:r>
    </w:p>
    <w:p>
      <w:pPr>
        <w:spacing w:after="0" w:line="181" w:lineRule="exact"/>
        <w:rPr>
          <w:sz w:val="20"/>
          <w:szCs w:val="20"/>
          <w:color w:val="auto"/>
        </w:rPr>
      </w:pPr>
    </w:p>
    <w:p>
      <w:pPr>
        <w:ind w:right="740" w:firstLine="433"/>
        <w:spacing w:after="0" w:line="275" w:lineRule="auto"/>
        <w:rPr>
          <w:sz w:val="20"/>
          <w:szCs w:val="20"/>
          <w:color w:val="auto"/>
        </w:rPr>
      </w:pPr>
      <w:r>
        <w:rPr>
          <w:rFonts w:ascii="Arial" w:cs="Arial" w:eastAsia="Arial" w:hAnsi="Arial"/>
          <w:sz w:val="17"/>
          <w:szCs w:val="17"/>
          <w:color w:val="auto"/>
        </w:rPr>
        <w:t>During the three months ended March 31, 2020, net cash used in financing activities of $30.0 million consisted of cash paid for the repurchase of our Series C redeemable convertible preferred stock.</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Plan of Operation and Future Funding Requirements</w:t>
      </w:r>
    </w:p>
    <w:p>
      <w:pPr>
        <w:spacing w:after="0" w:line="139"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We expect our expenses to increase substantially in connection with our ongoing research and development activities, particularly as we advance the preclinical activities and clinical trials of our product candidates. In addition, we expect to incur additional costs associated with operating as a public company. As a result, we expect to incur substantial operating losses and negative operating cash flows for the foreseeable future. We anticipate that our expenses will increase substantially if and as we:</w:t>
      </w:r>
    </w:p>
    <w:p>
      <w:pPr>
        <w:spacing w:after="0" w:line="140" w:lineRule="exact"/>
        <w:rPr>
          <w:sz w:val="20"/>
          <w:szCs w:val="20"/>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advance the clinical development of our PRAX-114, PRAX-944 and PRAX-562 product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advance the development of any additional product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conduct research and continue preclinical development of potential product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make strategic investments in manufacturing capabilities;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maintain our current intellectual property portfolio and opportunistically acquire complementary intellectual property;</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seek to obtain regulatory approvals for our product candidates;</w:t>
      </w:r>
    </w:p>
    <w:p>
      <w:pPr>
        <w:spacing w:after="0" w:line="171" w:lineRule="exact"/>
        <w:rPr>
          <w:rFonts w:ascii="Arial" w:cs="Arial" w:eastAsia="Arial" w:hAnsi="Arial"/>
          <w:sz w:val="17"/>
          <w:szCs w:val="17"/>
          <w:color w:val="auto"/>
        </w:rPr>
      </w:pPr>
    </w:p>
    <w:p>
      <w:pPr>
        <w:ind w:left="640" w:right="500" w:hanging="320"/>
        <w:spacing w:after="0" w:line="275"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potentially establish a sales, marketing and distribution infrastructure and scale-up manufacturing capabilities to commercialize any products for which we may obtain regulatory approval;</w:t>
      </w:r>
    </w:p>
    <w:p>
      <w:pPr>
        <w:spacing w:after="0" w:line="129" w:lineRule="exact"/>
        <w:rPr>
          <w:rFonts w:ascii="Arial" w:cs="Arial" w:eastAsia="Arial" w:hAnsi="Arial"/>
          <w:sz w:val="17"/>
          <w:szCs w:val="17"/>
          <w:color w:val="auto"/>
        </w:rPr>
      </w:pPr>
    </w:p>
    <w:p>
      <w:pPr>
        <w:ind w:left="640" w:right="380" w:hanging="320"/>
        <w:spacing w:after="0" w:line="275"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transition to a public company; and</w:t>
      </w:r>
    </w:p>
    <w:p>
      <w:pPr>
        <w:spacing w:after="0" w:line="129" w:lineRule="exact"/>
        <w:rPr>
          <w:rFonts w:ascii="Arial" w:cs="Arial" w:eastAsia="Arial" w:hAnsi="Arial"/>
          <w:sz w:val="17"/>
          <w:szCs w:val="17"/>
          <w:color w:val="auto"/>
        </w:rPr>
      </w:pPr>
    </w:p>
    <w:p>
      <w:pPr>
        <w:ind w:left="640" w:right="200" w:hanging="320"/>
        <w:spacing w:after="0" w:line="275"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experience any delays or encounter any issues with any of the above, including but not limited to failed studies, complex results, safety issues or other regulatory challenges.</w:t>
      </w:r>
    </w:p>
    <w:p>
      <w:pPr>
        <w:spacing w:after="0" w:line="181"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We are unable to estimate the exact amount of our working capital requirements, but based on our current operating plan, we believe that our existing cash, cash equivalents and marketable securities will enable us to fund our operating expenses and capital expenditure requirements into the fourth quarter of 2022. However, we have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based this estimate on assumptions that may prove to be wrong and we could exhaust our capital resources sooner than we expect.</w:t>
      </w:r>
    </w:p>
    <w:p>
      <w:pPr>
        <w:spacing w:after="0" w:line="224"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Because of the numerous risks and uncertainties associated with product development, and because the extent to which we may enter into collaborations with third parties for the development of our product candidates is unknown,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140" w:lineRule="exact"/>
        <w:rPr>
          <w:sz w:val="20"/>
          <w:szCs w:val="20"/>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studies and clinical trials for our programs and product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and characteristics of programs and technologies that we develop or may in-license;</w:t>
      </w:r>
    </w:p>
    <w:p>
      <w:pPr>
        <w:spacing w:after="0" w:line="171" w:lineRule="exact"/>
        <w:rPr>
          <w:rFonts w:ascii="Arial" w:cs="Arial" w:eastAsia="Arial" w:hAnsi="Arial"/>
          <w:sz w:val="17"/>
          <w:szCs w:val="17"/>
          <w:color w:val="auto"/>
        </w:rPr>
      </w:pPr>
    </w:p>
    <w:p>
      <w:pPr>
        <w:ind w:left="640" w:right="480" w:hanging="320"/>
        <w:spacing w:after="0" w:line="275"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manufacturing, marketing, sales and distribution, for any of our product candidates for which we receive marketing approval;</w:t>
      </w:r>
    </w:p>
    <w:p>
      <w:pPr>
        <w:spacing w:after="0" w:line="129" w:lineRule="exact"/>
        <w:rPr>
          <w:rFonts w:ascii="Arial" w:cs="Arial" w:eastAsia="Arial" w:hAnsi="Arial"/>
          <w:sz w:val="17"/>
          <w:szCs w:val="17"/>
          <w:color w:val="auto"/>
        </w:rPr>
      </w:pPr>
    </w:p>
    <w:p>
      <w:pPr>
        <w:ind w:left="640" w:right="60" w:hanging="320"/>
        <w:spacing w:after="0" w:line="275"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129" w:lineRule="exact"/>
        <w:rPr>
          <w:rFonts w:ascii="Arial" w:cs="Arial" w:eastAsia="Arial" w:hAnsi="Arial"/>
          <w:sz w:val="17"/>
          <w:szCs w:val="17"/>
          <w:color w:val="auto"/>
        </w:rPr>
      </w:pPr>
    </w:p>
    <w:p>
      <w:pPr>
        <w:ind w:left="640" w:hanging="320"/>
        <w:spacing w:after="0" w:line="275"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w:t>
      </w:r>
    </w:p>
    <w:p>
      <w:pPr>
        <w:spacing w:after="0" w:line="129"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continuation of our existing licensing arrangements and entry into new collaborations and licensing arrangements;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we incur in maintaining business operations;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associated with being a public company;</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any product candidates for which we receive marketing approval;</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71" w:lineRule="exact"/>
        <w:rPr>
          <w:rFonts w:ascii="Arial" w:cs="Arial" w:eastAsia="Arial" w:hAnsi="Arial"/>
          <w:sz w:val="17"/>
          <w:szCs w:val="17"/>
          <w:color w:val="auto"/>
        </w:rPr>
      </w:pPr>
    </w:p>
    <w:p>
      <w:pPr>
        <w:ind w:left="640" w:right="80" w:hanging="320"/>
        <w:spacing w:after="0" w:line="275"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any business interruptions to our operations or to those of our manufacturers, suppliers or other vendors resulting from the COVID-19 pandemic or similar public health crisis; and</w:t>
      </w:r>
    </w:p>
    <w:p>
      <w:pPr>
        <w:spacing w:after="0" w:line="129" w:lineRule="exact"/>
        <w:rPr>
          <w:rFonts w:ascii="Arial" w:cs="Arial" w:eastAsia="Arial" w:hAnsi="Arial"/>
          <w:sz w:val="17"/>
          <w:szCs w:val="17"/>
          <w:color w:val="auto"/>
        </w:rPr>
      </w:pPr>
    </w:p>
    <w:p>
      <w:pPr>
        <w:ind w:left="640" w:right="160" w:hanging="320"/>
        <w:spacing w:after="0" w:line="266"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189"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92"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Market volatility resulting from the COVID-19 pandemic or other factors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196" w:lineRule="exact"/>
        <w:rPr>
          <w:sz w:val="20"/>
          <w:szCs w:val="20"/>
          <w:color w:val="auto"/>
        </w:rPr>
      </w:pPr>
    </w:p>
    <w:p>
      <w:pPr>
        <w:ind w:right="740" w:firstLine="433"/>
        <w:spacing w:after="0" w:line="275"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we may have to relinquish valuable rights to our technologies, future revenue streams, research programs</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096" w:right="379" w:bottom="1440" w:gutter="0" w:footer="0" w:header="0"/>
        </w:sectPr>
      </w:pPr>
    </w:p>
    <w:bookmarkStart w:id="26" w:name="page27"/>
    <w:bookmarkEnd w:id="26"/>
    <w:p>
      <w:pPr>
        <w:ind w:right="40"/>
        <w:spacing w:after="0" w:line="266" w:lineRule="auto"/>
        <w:rPr>
          <w:sz w:val="20"/>
          <w:szCs w:val="20"/>
          <w:color w:val="auto"/>
        </w:rPr>
      </w:pPr>
      <w:r>
        <w:rPr>
          <w:rFonts w:ascii="Arial" w:cs="Arial" w:eastAsia="Arial" w:hAnsi="Arial"/>
          <w:sz w:val="17"/>
          <w:szCs w:val="17"/>
          <w:color w:val="auto"/>
        </w:rPr>
        <w:t>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41" w:lineRule="exact"/>
        <w:rPr>
          <w:sz w:val="20"/>
          <w:szCs w:val="20"/>
          <w:color w:val="auto"/>
        </w:rPr>
      </w:pPr>
    </w:p>
    <w:p>
      <w:pPr>
        <w:ind w:right="180" w:firstLine="433"/>
        <w:spacing w:after="0" w:line="266" w:lineRule="auto"/>
        <w:rPr>
          <w:sz w:val="20"/>
          <w:szCs w:val="20"/>
          <w:color w:val="auto"/>
        </w:rPr>
      </w:pPr>
      <w:r>
        <w:rPr>
          <w:rFonts w:ascii="Arial" w:cs="Arial" w:eastAsia="Arial" w:hAnsi="Arial"/>
          <w:sz w:val="17"/>
          <w:szCs w:val="17"/>
          <w:color w:val="auto"/>
        </w:rPr>
        <w:t>There have been no changes to our contractual obligations from those described under the heading “Management’s Discussion and Analysis of Financial Condition and Results of Operations – Contractual Obligations and Commitments” included in our Annual Report on Form 10-K filed with the SEC on March 17, 2021.</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41" w:lineRule="exact"/>
        <w:rPr>
          <w:sz w:val="20"/>
          <w:szCs w:val="20"/>
          <w:color w:val="auto"/>
        </w:rPr>
      </w:pPr>
    </w:p>
    <w:p>
      <w:pPr>
        <w:ind w:right="200" w:firstLine="433"/>
        <w:spacing w:after="0" w:line="275"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in the rules and regulations of the SEC.</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41"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or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4" w:lineRule="exact"/>
        <w:rPr>
          <w:sz w:val="20"/>
          <w:szCs w:val="20"/>
          <w:color w:val="auto"/>
        </w:rPr>
      </w:pPr>
    </w:p>
    <w:p>
      <w:pPr>
        <w:jc w:val="both"/>
        <w:ind w:right="280" w:firstLine="433"/>
        <w:spacing w:after="0" w:line="266" w:lineRule="auto"/>
        <w:rPr>
          <w:sz w:val="20"/>
          <w:szCs w:val="20"/>
          <w:color w:val="auto"/>
        </w:rPr>
      </w:pPr>
      <w:r>
        <w:rPr>
          <w:rFonts w:ascii="Arial" w:cs="Arial" w:eastAsia="Arial" w:hAnsi="Arial"/>
          <w:sz w:val="17"/>
          <w:szCs w:val="17"/>
          <w:color w:val="auto"/>
        </w:rPr>
        <w:t>There have been no changes to our critical accounting policies from those described under the heading “Management’s Discussion and Analysis of Financial Condition and Results of Operations – Critical Accounting Policies and Significant Judgments and Estimates” included in our Annual Report on Form 10-K filed with the SEC on March 17, 2021.</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and Emerging Growth Company and Smaller Reporting Company Status</w:t>
      </w:r>
    </w:p>
    <w:p>
      <w:pPr>
        <w:spacing w:after="0" w:line="141" w:lineRule="exact"/>
        <w:rPr>
          <w:sz w:val="20"/>
          <w:szCs w:val="20"/>
          <w:color w:val="auto"/>
        </w:rPr>
      </w:pPr>
    </w:p>
    <w:p>
      <w:pPr>
        <w:ind w:right="80" w:firstLine="433"/>
        <w:spacing w:after="0" w:line="259" w:lineRule="auto"/>
        <w:rPr>
          <w:sz w:val="20"/>
          <w:szCs w:val="20"/>
          <w:color w:val="auto"/>
        </w:rPr>
      </w:pPr>
      <w:r>
        <w:rPr>
          <w:rFonts w:ascii="Arial" w:cs="Arial" w:eastAsia="Arial" w:hAnsi="Arial"/>
          <w:sz w:val="17"/>
          <w:szCs w:val="17"/>
          <w:color w:val="auto"/>
        </w:rPr>
        <w:t>In April 2012, the JOBS Act was enacted. As an emerging growth company, or EGC, under the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initial public offering, an exemption from the requirement to provide an auditor’s report on internal controls over financial reporting pursuant to Section 404(b) of the Sarbanes-Oxley Act of 2002, an exemption from any requirement that may be adopted by the Public Company Accounting Oversight Board regarding mandatory audit firm rotation and less extensive disclosure about our executive compensation arrangements. Additionally,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the extended transition period and, therefore, while we are an EGC we will not be subject to new or revised accounting standards at the same time that they become applicable to other public companies that are not EGCs, unless we choose to early adopt a new or revised accounting standard.</w:t>
      </w:r>
    </w:p>
    <w:p>
      <w:pPr>
        <w:spacing w:after="0" w:line="197"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We will remain classified as an EGC until the earlier of: (i) the last day of our first fiscal year in which we have total annual gross revenues of $1.07 billion or more, (ii) the last day of the fiscal year following the fifth anniversary of completion of our IPO, (iii) the date on which we have issued more than $1.0 billion of non-convertible debt instruments during the previous three fiscal years or (iv) the date on which we are deemed a “large accelerated filer” under the rules of the SEC.</w:t>
      </w:r>
    </w:p>
    <w:p>
      <w:pPr>
        <w:spacing w:after="0" w:line="192" w:lineRule="exact"/>
        <w:rPr>
          <w:sz w:val="20"/>
          <w:szCs w:val="20"/>
          <w:color w:val="auto"/>
        </w:rPr>
      </w:pPr>
    </w:p>
    <w:p>
      <w:pPr>
        <w:ind w:right="500" w:firstLine="433"/>
        <w:spacing w:after="0" w:line="275" w:lineRule="auto"/>
        <w:rPr>
          <w:sz w:val="20"/>
          <w:szCs w:val="20"/>
          <w:color w:val="auto"/>
        </w:rPr>
      </w:pPr>
      <w:r>
        <w:rPr>
          <w:rFonts w:ascii="Arial" w:cs="Arial" w:eastAsia="Arial" w:hAnsi="Arial"/>
          <w:sz w:val="17"/>
          <w:szCs w:val="17"/>
          <w:color w:val="auto"/>
        </w:rPr>
        <w:t>We are also a “smaller reporting company” as defined in the Securities Exchange Act of 1934, as amended. We may continue to be a smaller reporting company even after we are no longer an emerging growth company. We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27" w:name="page28"/>
    <w:bookmarkEnd w:id="27"/>
    <w:p>
      <w:pPr>
        <w:ind w:right="140"/>
        <w:spacing w:after="0" w:line="263" w:lineRule="auto"/>
        <w:rPr>
          <w:sz w:val="20"/>
          <w:szCs w:val="20"/>
          <w:color w:val="auto"/>
        </w:rPr>
      </w:pPr>
      <w:r>
        <w:rPr>
          <w:rFonts w:ascii="Arial" w:cs="Arial" w:eastAsia="Arial" w:hAnsi="Arial"/>
          <w:sz w:val="17"/>
          <w:szCs w:val="17"/>
          <w:color w:val="auto"/>
        </w:rPr>
        <w:t>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less than $100 million during the most recently completed fiscal year and our voting and non-voting common stock held by non-affiliates is more than $700 million measured on the last business day of our second fiscal quarter.</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41"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We have reviewed all recently issued standards and have determined that, other than as disclosed in Note 2 to our condensed consolidated financial statements appearing elsewhere in this Quarterly Report on Form 10-Q, such standards will not have a material impact on our condensed consolidated financial statements or do not otherwise apply to our current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Reserved.</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Evaluation of Our Disclosure Controls and Procedures</w:t>
      </w:r>
    </w:p>
    <w:p>
      <w:pPr>
        <w:spacing w:after="0" w:line="139"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0" w:lineRule="exact"/>
        <w:rPr>
          <w:sz w:val="20"/>
          <w:szCs w:val="20"/>
          <w:color w:val="auto"/>
        </w:rPr>
      </w:pPr>
    </w:p>
    <w:p>
      <w:pPr>
        <w:spacing w:after="0" w:line="204"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Our management, with the participation of our Chief Executive Officer (our principal executive officer) and our Vice President of Finance (our principal accounting officer and interim principal financial officer), evaluated the effectiveness of our disclosure controls and procedures as of March 31, 2021. Based on the evaluation of our disclosure controls and procedures as of March 31, 2021, our Chief Executive Officer and Vice President of Finance concluded that, as of such date, our disclosure controls and procedures were effective at the reasonable assurance level.</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44" w:lineRule="exact"/>
        <w:rPr>
          <w:sz w:val="20"/>
          <w:szCs w:val="20"/>
          <w:color w:val="auto"/>
        </w:rPr>
      </w:pPr>
    </w:p>
    <w:p>
      <w:pPr>
        <w:ind w:right="240" w:firstLine="433"/>
        <w:spacing w:after="0" w:line="275" w:lineRule="auto"/>
        <w:rPr>
          <w:sz w:val="20"/>
          <w:szCs w:val="20"/>
          <w:color w:val="auto"/>
        </w:rPr>
      </w:pPr>
      <w:r>
        <w:rPr>
          <w:rFonts w:ascii="Arial" w:cs="Arial" w:eastAsia="Arial" w:hAnsi="Arial"/>
          <w:sz w:val="17"/>
          <w:szCs w:val="17"/>
          <w:color w:val="auto"/>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7"/>
          <w:szCs w:val="17"/>
          <w:b w:val="1"/>
          <w:bCs w:val="1"/>
          <w:color w:val="auto"/>
        </w:rPr>
        <w:t>PART II—OTHER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41" w:lineRule="exact"/>
        <w:rPr>
          <w:sz w:val="20"/>
          <w:szCs w:val="20"/>
          <w:color w:val="auto"/>
        </w:rPr>
      </w:pPr>
    </w:p>
    <w:p>
      <w:pPr>
        <w:ind w:right="140" w:firstLine="433"/>
        <w:spacing w:after="0" w:line="263" w:lineRule="auto"/>
        <w:rPr>
          <w:sz w:val="20"/>
          <w:szCs w:val="20"/>
          <w:color w:val="auto"/>
        </w:rPr>
      </w:pPr>
      <w:r>
        <w:rPr>
          <w:rFonts w:ascii="Arial" w:cs="Arial" w:eastAsia="Arial" w:hAnsi="Arial"/>
          <w:sz w:val="17"/>
          <w:szCs w:val="17"/>
          <w:color w:val="auto"/>
        </w:rPr>
        <w:t>As of the date of this Quarterly Report on Form 10-Q,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41" w:lineRule="exact"/>
        <w:rPr>
          <w:sz w:val="20"/>
          <w:szCs w:val="20"/>
          <w:color w:val="auto"/>
        </w:rPr>
      </w:pPr>
    </w:p>
    <w:p>
      <w:pPr>
        <w:ind w:right="140" w:firstLine="433"/>
        <w:spacing w:after="0" w:line="275" w:lineRule="auto"/>
        <w:rPr>
          <w:sz w:val="20"/>
          <w:szCs w:val="20"/>
          <w:color w:val="auto"/>
        </w:rPr>
      </w:pPr>
      <w:r>
        <w:rPr>
          <w:rFonts w:ascii="Arial" w:cs="Arial" w:eastAsia="Arial" w:hAnsi="Arial"/>
          <w:sz w:val="17"/>
          <w:szCs w:val="17"/>
          <w:color w:val="auto"/>
        </w:rPr>
        <w:t>There have been no material changes from the risk factors previously disclosed in the section entitled "Risk Factors" of our Annual Report on Form 10-K for the year ended December 31, 2020.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Equity Securities</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 from Public Offering of Common Stock</w:t>
      </w:r>
    </w:p>
    <w:p>
      <w:pPr>
        <w:spacing w:after="0" w:line="244" w:lineRule="exact"/>
        <w:rPr>
          <w:sz w:val="20"/>
          <w:szCs w:val="20"/>
          <w:color w:val="auto"/>
        </w:rPr>
      </w:pPr>
    </w:p>
    <w:p>
      <w:pPr>
        <w:ind w:right="280" w:firstLine="433"/>
        <w:spacing w:after="0" w:line="275" w:lineRule="auto"/>
        <w:rPr>
          <w:sz w:val="20"/>
          <w:szCs w:val="20"/>
          <w:color w:val="auto"/>
        </w:rPr>
      </w:pPr>
      <w:r>
        <w:rPr>
          <w:rFonts w:ascii="Arial" w:cs="Arial" w:eastAsia="Arial" w:hAnsi="Arial"/>
          <w:sz w:val="17"/>
          <w:szCs w:val="17"/>
          <w:color w:val="auto"/>
        </w:rPr>
        <w:t>In October 2020, we completed the initial public offering of our common stock, or IPO, pursuant to which we issued and sold 11,500,000 shares of our common stock at a price to the public of $19.00 per share.</w:t>
      </w:r>
    </w:p>
    <w:p>
      <w:pPr>
        <w:spacing w:after="0" w:line="208" w:lineRule="exact"/>
        <w:rPr>
          <w:sz w:val="20"/>
          <w:szCs w:val="20"/>
          <w:color w:val="auto"/>
        </w:rPr>
      </w:pPr>
    </w:p>
    <w:p>
      <w:pPr>
        <w:ind w:firstLine="393"/>
        <w:spacing w:after="0" w:line="210" w:lineRule="exact"/>
        <w:rPr>
          <w:sz w:val="20"/>
          <w:szCs w:val="20"/>
          <w:color w:val="auto"/>
        </w:rPr>
      </w:pPr>
      <w:r>
        <w:rPr>
          <w:rFonts w:ascii="Arial" w:cs="Arial" w:eastAsia="Arial" w:hAnsi="Arial"/>
          <w:sz w:val="17"/>
          <w:szCs w:val="17"/>
          <w:color w:val="auto"/>
        </w:rPr>
        <w:t>All of the shares issued and sold in the IPO were registered under the Securities Act pursuant to a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1 (File No. 333-249074), which was declared effective by the Securities and Exchange Commission, or the SEC, on October 15, 2020. Following the sale of all shares, including shares sold pursuant to the underwriters' option to purchase an additional 1,500,000 shares exercised in October 2020, the offering terminated. Cowen and Company, LLC, Evercore Group L.L.C. and Piper Sandler &amp; Co. acted as joint book-running managers, Wedbush Securities Inc. acted as lead manager and Blackstone Securities Partners L.P. acted as co-manager of the IPO.</w:t>
      </w:r>
    </w:p>
    <w:p>
      <w:pPr>
        <w:spacing w:after="0" w:line="239" w:lineRule="exact"/>
        <w:rPr>
          <w:sz w:val="20"/>
          <w:szCs w:val="20"/>
          <w:color w:val="auto"/>
        </w:rPr>
      </w:pPr>
    </w:p>
    <w:p>
      <w:pPr>
        <w:ind w:right="200" w:firstLine="393"/>
        <w:spacing w:after="0" w:line="263" w:lineRule="auto"/>
        <w:rPr>
          <w:sz w:val="20"/>
          <w:szCs w:val="20"/>
          <w:color w:val="auto"/>
        </w:rPr>
      </w:pPr>
      <w:r>
        <w:rPr>
          <w:rFonts w:ascii="Arial" w:cs="Arial" w:eastAsia="Arial" w:hAnsi="Arial"/>
          <w:sz w:val="17"/>
          <w:szCs w:val="17"/>
          <w:color w:val="auto"/>
        </w:rPr>
        <w:t>We received aggregate gross proceeds from our IPO of approximately $218.5 million, or aggregate net cash proceeds of approximately $200.3 million after deducting underwriting discounts and commissions and offering expenses. None of the underwriting discounts and commissions or offering expenses were incurred or paid to directors or officers of ours or their associates or to persons owning 10% or more of our common stock or to any of our affiliates.</w:t>
      </w:r>
    </w:p>
    <w:p>
      <w:pPr>
        <w:spacing w:after="0" w:line="218"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Information related to use of proceeds from registered securities is incorporated herein by reference to the “Use of Proceeds” section of our final prospectus filed pursuant to Rule 424(b)(4) under the Securities Act with the SEC on October 16, 2020. There has been no material change in the planned use of proceeds from our IPO as described in our final prospectus. We are holding the balance of the net proceeds in cash, cash equivalents, and marketable securities. We invested the funds received in short-term, interest-bearing investment-grade securities and government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84" w:right="35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80" w:type="dxa"/>
            <w:vAlign w:val="bottom"/>
            <w:gridSpan w:val="4"/>
          </w:tcPr>
          <w:p>
            <w:pPr>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720" w:type="dxa"/>
            <w:vAlign w:val="bottom"/>
            <w:gridSpan w:val="6"/>
            <w:vMerge w:val="restart"/>
          </w:tcPr>
          <w:p>
            <w:pPr>
              <w:ind w:left="44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97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40" w:type="dxa"/>
            <w:vAlign w:val="bottom"/>
            <w:tcBorders>
              <w:top w:val="single" w:sz="8" w:color="auto"/>
            </w:tcBorders>
            <w:gridSpan w:val="2"/>
          </w:tcPr>
          <w:p>
            <w:pPr>
              <w:ind w:left="20"/>
              <w:spacing w:after="0"/>
              <w:rPr>
                <w:rFonts w:ascii="Arial" w:cs="Arial" w:eastAsia="Arial" w:hAnsi="Arial"/>
                <w:sz w:val="17"/>
                <w:szCs w:val="17"/>
                <w:color w:val="0000FF"/>
              </w:rPr>
            </w:pPr>
            <w:hyperlink w:anchor="page32">
              <w:r>
                <w:rPr>
                  <w:rFonts w:ascii="Arial" w:cs="Arial" w:eastAsia="Arial" w:hAnsi="Arial"/>
                  <w:sz w:val="17"/>
                  <w:szCs w:val="17"/>
                  <w:color w:val="0000FF"/>
                </w:rPr>
                <w:t>31.</w:t>
              </w:r>
              <w:r>
                <w:rPr>
                  <w:rFonts w:ascii="Arial" w:cs="Arial" w:eastAsia="Arial" w:hAnsi="Arial"/>
                  <w:sz w:val="17"/>
                  <w:szCs w:val="17"/>
                  <w:u w:val="single" w:color="auto"/>
                  <w:color w:val="0000FF"/>
                </w:rPr>
                <w:t>1*</w:t>
              </w:r>
            </w:hyperlink>
          </w:p>
        </w:tc>
        <w:tc>
          <w:tcPr>
            <w:tcW w:w="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9720" w:type="dxa"/>
            <w:vAlign w:val="bottom"/>
            <w:tcBorders>
              <w:top w:val="single" w:sz="8" w:color="auto"/>
            </w:tcBorders>
            <w:gridSpan w:val="6"/>
          </w:tcPr>
          <w:p>
            <w:pPr>
              <w:spacing w:after="0"/>
              <w:rPr>
                <w:rFonts w:ascii="Arial" w:cs="Arial" w:eastAsia="Arial" w:hAnsi="Arial"/>
                <w:sz w:val="17"/>
                <w:szCs w:val="17"/>
                <w:color w:val="0000FF"/>
              </w:rPr>
            </w:pPr>
            <w:hyperlink w:anchor="page32">
              <w:r>
                <w:rPr>
                  <w:rFonts w:ascii="Arial" w:cs="Arial" w:eastAsia="Arial" w:hAnsi="Arial"/>
                  <w:sz w:val="17"/>
                  <w:szCs w:val="17"/>
                  <w:color w:val="0000FF"/>
                </w:rPr>
                <w:t>Certification of Principal Executive Officer Pursuant to Rules 13a-14(a) and 15d-14(a) under the Securities Exchange Act of</w:t>
              </w:r>
            </w:hyperlink>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6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rPr>
            </w:pPr>
            <w:hyperlink w:anchor="page32">
              <w:r>
                <w:rPr>
                  <w:rFonts w:ascii="Arial" w:cs="Arial" w:eastAsia="Arial" w:hAnsi="Arial"/>
                  <w:sz w:val="17"/>
                  <w:szCs w:val="17"/>
                  <w:color w:val="0000FF"/>
                </w:rPr>
                <w:t>1934, as Adopted Pursuant to Section 302 of the Sarbanes-Oxley Act of 2002.</w:t>
              </w:r>
            </w:hyperlink>
          </w:p>
        </w:tc>
        <w:tc>
          <w:tcPr>
            <w:tcW w:w="3460" w:type="dxa"/>
            <w:vAlign w:val="bottom"/>
            <w:tcBorders>
              <w:top w:val="single" w:sz="8" w:color="0000FF"/>
            </w:tcBorders>
            <w:gridSpan w:val="3"/>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440" w:type="dxa"/>
            <w:vAlign w:val="bottom"/>
            <w:gridSpan w:val="2"/>
          </w:tcPr>
          <w:p>
            <w:pPr>
              <w:ind w:left="20"/>
              <w:spacing w:after="0"/>
              <w:rPr>
                <w:rFonts w:ascii="Arial" w:cs="Arial" w:eastAsia="Arial" w:hAnsi="Arial"/>
                <w:sz w:val="17"/>
                <w:szCs w:val="17"/>
                <w:color w:val="0000FF"/>
              </w:rPr>
            </w:pPr>
            <w:hyperlink w:anchor="page33">
              <w:r>
                <w:rPr>
                  <w:rFonts w:ascii="Arial" w:cs="Arial" w:eastAsia="Arial" w:hAnsi="Arial"/>
                  <w:sz w:val="17"/>
                  <w:szCs w:val="17"/>
                  <w:color w:val="0000FF"/>
                </w:rPr>
                <w:t>31.</w:t>
              </w:r>
              <w:r>
                <w:rPr>
                  <w:rFonts w:ascii="Arial" w:cs="Arial" w:eastAsia="Arial" w:hAnsi="Arial"/>
                  <w:sz w:val="17"/>
                  <w:szCs w:val="17"/>
                  <w:u w:val="single" w:color="auto"/>
                  <w:color w:val="0000FF"/>
                </w:rPr>
                <w:t>2*</w:t>
              </w:r>
            </w:hyperlink>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6"/>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Certification of Principal Financial Officer Pursuant to Rules 13a-14(a) and 15d-14(a) under the Securities Exchange Act of</w:t>
              </w:r>
            </w:hyperlink>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6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rPr>
            </w:pPr>
            <w:hyperlink w:anchor="page33">
              <w:r>
                <w:rPr>
                  <w:rFonts w:ascii="Arial" w:cs="Arial" w:eastAsia="Arial" w:hAnsi="Arial"/>
                  <w:sz w:val="17"/>
                  <w:szCs w:val="17"/>
                  <w:color w:val="0000FF"/>
                </w:rPr>
                <w:t>1934, as Adopted Pursuant to Section 302 of the Sarbanes-Oxley Act of 2002.</w:t>
              </w:r>
            </w:hyperlink>
          </w:p>
        </w:tc>
        <w:tc>
          <w:tcPr>
            <w:tcW w:w="3400" w:type="dxa"/>
            <w:vAlign w:val="bottom"/>
            <w:tcBorders>
              <w:top w:val="single" w:sz="8" w:color="0000FF"/>
            </w:tcBorders>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400" w:type="dxa"/>
            <w:vAlign w:val="bottom"/>
            <w:gridSpan w:val="4"/>
          </w:tcPr>
          <w:p>
            <w:pPr>
              <w:ind w:left="20"/>
              <w:spacing w:after="0"/>
              <w:rPr>
                <w:rFonts w:ascii="Arial" w:cs="Arial" w:eastAsia="Arial" w:hAnsi="Arial"/>
                <w:sz w:val="17"/>
                <w:szCs w:val="17"/>
                <w:color w:val="0000FF"/>
              </w:rPr>
            </w:pPr>
            <w:hyperlink w:anchor="page34">
              <w:r>
                <w:rPr>
                  <w:rFonts w:ascii="Arial" w:cs="Arial" w:eastAsia="Arial" w:hAnsi="Arial"/>
                  <w:sz w:val="17"/>
                  <w:szCs w:val="17"/>
                  <w:color w:val="0000FF"/>
                </w:rPr>
                <w:t>32.</w:t>
              </w:r>
              <w:r>
                <w:rPr>
                  <w:rFonts w:ascii="Arial" w:cs="Arial" w:eastAsia="Arial" w:hAnsi="Arial"/>
                  <w:sz w:val="17"/>
                  <w:szCs w:val="17"/>
                  <w:u w:val="single" w:color="auto"/>
                  <w:color w:val="0000FF"/>
                </w:rPr>
                <w:t>1**</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6"/>
          </w:tcPr>
          <w:p>
            <w:pPr>
              <w:spacing w:after="0"/>
              <w:rPr>
                <w:rFonts w:ascii="Arial" w:cs="Arial" w:eastAsia="Arial" w:hAnsi="Arial"/>
                <w:sz w:val="17"/>
                <w:szCs w:val="17"/>
                <w:color w:val="0000FF"/>
              </w:rPr>
            </w:pPr>
            <w:hyperlink w:anchor="page34">
              <w:r>
                <w:rPr>
                  <w:rFonts w:ascii="Arial" w:cs="Arial" w:eastAsia="Arial" w:hAnsi="Arial"/>
                  <w:sz w:val="17"/>
                  <w:szCs w:val="17"/>
                  <w:color w:val="0000FF"/>
                </w:rPr>
                <w:t>Certification of Principal Executive Officer and Principal Financial Officer Pursuant to 18 U.S.C. Section 1350, as Adopted</w:t>
              </w:r>
            </w:hyperlink>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640" w:type="dxa"/>
            <w:vAlign w:val="bottom"/>
            <w:tcBorders>
              <w:top w:val="single" w:sz="8" w:color="0000FF"/>
              <w:bottom w:val="single" w:sz="8" w:color="0000FF"/>
            </w:tcBorders>
          </w:tcPr>
          <w:p>
            <w:pPr>
              <w:spacing w:after="0" w:line="150" w:lineRule="exact"/>
              <w:rPr>
                <w:rFonts w:ascii="Arial" w:cs="Arial" w:eastAsia="Arial" w:hAnsi="Arial"/>
                <w:sz w:val="17"/>
                <w:szCs w:val="17"/>
                <w:color w:val="0000FF"/>
              </w:rPr>
            </w:pPr>
            <w:hyperlink w:anchor="page34">
              <w:r>
                <w:rPr>
                  <w:rFonts w:ascii="Arial" w:cs="Arial" w:eastAsia="Arial" w:hAnsi="Arial"/>
                  <w:sz w:val="17"/>
                  <w:szCs w:val="17"/>
                  <w:color w:val="0000FF"/>
                </w:rPr>
                <w:t>Pursuant to Section 906 of the Sarbanes-Oxley Act of 2002.</w:t>
              </w:r>
            </w:hyperlink>
          </w:p>
        </w:tc>
        <w:tc>
          <w:tcPr>
            <w:tcW w:w="4720" w:type="dxa"/>
            <w:vAlign w:val="bottom"/>
            <w:tcBorders>
              <w:top w:val="single" w:sz="8" w:color="0000FF"/>
            </w:tcBorders>
            <w:gridSpan w:val="2"/>
          </w:tcPr>
          <w:p>
            <w:pPr>
              <w:spacing w:after="0"/>
              <w:rPr>
                <w:sz w:val="13"/>
                <w:szCs w:val="13"/>
                <w:color w:val="auto"/>
              </w:rPr>
            </w:pPr>
          </w:p>
        </w:tc>
        <w:tc>
          <w:tcPr>
            <w:tcW w:w="3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24"/>
                <w:szCs w:val="24"/>
                <w:color w:val="auto"/>
              </w:rPr>
            </w:pPr>
          </w:p>
        </w:tc>
        <w:tc>
          <w:tcPr>
            <w:tcW w:w="9720" w:type="dxa"/>
            <w:vAlign w:val="bottom"/>
            <w:gridSpan w:val="6"/>
          </w:tcPr>
          <w:p>
            <w:pPr>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480" w:type="dxa"/>
            <w:vAlign w:val="bottom"/>
            <w:gridSpan w:val="4"/>
          </w:tcPr>
          <w:p>
            <w:pPr>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23"/>
                <w:szCs w:val="23"/>
                <w:color w:val="auto"/>
              </w:rPr>
            </w:pPr>
          </w:p>
        </w:tc>
        <w:tc>
          <w:tcPr>
            <w:tcW w:w="9720" w:type="dxa"/>
            <w:vAlign w:val="bottom"/>
            <w:gridSpan w:val="6"/>
          </w:tcPr>
          <w:p>
            <w:pPr>
              <w:spacing w:after="0"/>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480" w:type="dxa"/>
            <w:vAlign w:val="bottom"/>
            <w:gridSpan w:val="4"/>
          </w:tcPr>
          <w:p>
            <w:pPr>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23"/>
                <w:szCs w:val="23"/>
                <w:color w:val="auto"/>
              </w:rPr>
            </w:pPr>
          </w:p>
        </w:tc>
        <w:tc>
          <w:tcPr>
            <w:tcW w:w="9720" w:type="dxa"/>
            <w:vAlign w:val="bottom"/>
            <w:gridSpan w:val="6"/>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480" w:type="dxa"/>
            <w:vAlign w:val="bottom"/>
            <w:gridSpan w:val="4"/>
          </w:tcPr>
          <w:p>
            <w:pPr>
              <w:spacing w:after="0"/>
              <w:rPr>
                <w:sz w:val="20"/>
                <w:szCs w:val="20"/>
                <w:color w:val="auto"/>
              </w:rPr>
            </w:pPr>
            <w:r>
              <w:rPr>
                <w:rFonts w:ascii="Arial" w:cs="Arial" w:eastAsia="Arial" w:hAnsi="Arial"/>
                <w:sz w:val="17"/>
                <w:szCs w:val="17"/>
                <w:color w:val="auto"/>
              </w:rPr>
              <w:t>101.DEF*</w:t>
            </w:r>
          </w:p>
        </w:tc>
        <w:tc>
          <w:tcPr>
            <w:tcW w:w="20" w:type="dxa"/>
            <w:vAlign w:val="bottom"/>
          </w:tcPr>
          <w:p>
            <w:pPr>
              <w:spacing w:after="0"/>
              <w:rPr>
                <w:sz w:val="23"/>
                <w:szCs w:val="23"/>
                <w:color w:val="auto"/>
              </w:rPr>
            </w:pPr>
          </w:p>
        </w:tc>
        <w:tc>
          <w:tcPr>
            <w:tcW w:w="9720" w:type="dxa"/>
            <w:vAlign w:val="bottom"/>
            <w:gridSpan w:val="6"/>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480" w:type="dxa"/>
            <w:vAlign w:val="bottom"/>
            <w:gridSpan w:val="4"/>
          </w:tcPr>
          <w:p>
            <w:pPr>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23"/>
                <w:szCs w:val="23"/>
                <w:color w:val="auto"/>
              </w:rPr>
            </w:pPr>
          </w:p>
        </w:tc>
        <w:tc>
          <w:tcPr>
            <w:tcW w:w="9720" w:type="dxa"/>
            <w:vAlign w:val="bottom"/>
            <w:gridSpan w:val="6"/>
          </w:tcPr>
          <w:p>
            <w:pPr>
              <w:spacing w:after="0"/>
              <w:rPr>
                <w:sz w:val="20"/>
                <w:szCs w:val="20"/>
                <w:color w:val="auto"/>
              </w:rPr>
            </w:pPr>
            <w:r>
              <w:rPr>
                <w:rFonts w:ascii="Arial" w:cs="Arial" w:eastAsia="Arial" w:hAnsi="Arial"/>
                <w:sz w:val="17"/>
                <w:szCs w:val="17"/>
                <w:color w:val="auto"/>
              </w:rPr>
              <w:t>XBRL Taxonomy Extension Label Linkbase Document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480" w:type="dxa"/>
            <w:vAlign w:val="bottom"/>
            <w:gridSpan w:val="4"/>
          </w:tcPr>
          <w:p>
            <w:pPr>
              <w:spacing w:after="0"/>
              <w:rPr>
                <w:sz w:val="20"/>
                <w:szCs w:val="20"/>
                <w:color w:val="auto"/>
              </w:rPr>
            </w:pPr>
            <w:r>
              <w:rPr>
                <w:rFonts w:ascii="Arial" w:cs="Arial" w:eastAsia="Arial" w:hAnsi="Arial"/>
                <w:sz w:val="17"/>
                <w:szCs w:val="17"/>
                <w:color w:val="auto"/>
              </w:rPr>
              <w:t>101.PRE*</w:t>
            </w:r>
          </w:p>
        </w:tc>
        <w:tc>
          <w:tcPr>
            <w:tcW w:w="20" w:type="dxa"/>
            <w:vAlign w:val="bottom"/>
          </w:tcPr>
          <w:p>
            <w:pPr>
              <w:spacing w:after="0"/>
              <w:rPr>
                <w:sz w:val="23"/>
                <w:szCs w:val="23"/>
                <w:color w:val="auto"/>
              </w:rPr>
            </w:pPr>
          </w:p>
        </w:tc>
        <w:tc>
          <w:tcPr>
            <w:tcW w:w="9720" w:type="dxa"/>
            <w:vAlign w:val="bottom"/>
            <w:gridSpan w:val="6"/>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300" w:hanging="295"/>
        <w:spacing w:after="0"/>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4" w:lineRule="exact"/>
        <w:rPr>
          <w:sz w:val="20"/>
          <w:szCs w:val="20"/>
          <w:color w:val="auto"/>
        </w:rPr>
      </w:pPr>
    </w:p>
    <w:p>
      <w:pPr>
        <w:ind w:left="320" w:right="360" w:hanging="315"/>
        <w:spacing w:after="0" w:line="263" w:lineRule="auto"/>
        <w:tabs>
          <w:tab w:leader="none" w:pos="33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46"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43" w:lineRule="exact"/>
        <w:rPr>
          <w:sz w:val="20"/>
          <w:szCs w:val="20"/>
          <w:color w:val="auto"/>
        </w:rPr>
      </w:pPr>
    </w:p>
    <w:p>
      <w:pPr>
        <w:ind w:left="5460"/>
        <w:spacing w:after="0"/>
        <w:rPr>
          <w:sz w:val="20"/>
          <w:szCs w:val="20"/>
          <w:color w:val="auto"/>
        </w:rPr>
      </w:pPr>
      <w:r>
        <w:rPr>
          <w:rFonts w:ascii="Arial" w:cs="Arial" w:eastAsia="Arial" w:hAnsi="Arial"/>
          <w:sz w:val="17"/>
          <w:szCs w:val="17"/>
          <w:b w:val="1"/>
          <w:bCs w:val="1"/>
          <w:color w:val="auto"/>
        </w:rPr>
        <w:t>PRAXIS PRECISION MEDICINES, INC.</w:t>
      </w:r>
    </w:p>
    <w:p>
      <w:pPr>
        <w:spacing w:after="0" w:line="312" w:lineRule="exact"/>
        <w:rPr>
          <w:sz w:val="20"/>
          <w:szCs w:val="20"/>
          <w:color w:val="auto"/>
        </w:rPr>
      </w:pPr>
    </w:p>
    <w:p>
      <w:pPr>
        <w:ind w:left="20"/>
        <w:spacing w:after="0"/>
        <w:tabs>
          <w:tab w:leader="none" w:pos="600" w:val="left"/>
          <w:tab w:leader="none" w:pos="5440" w:val="left"/>
          <w:tab w:leader="none" w:pos="8040" w:val="left"/>
        </w:tabs>
        <w:rPr>
          <w:sz w:val="20"/>
          <w:szCs w:val="20"/>
          <w:color w:val="auto"/>
        </w:rPr>
      </w:pPr>
      <w:r>
        <w:rPr>
          <w:rFonts w:ascii="Arial" w:cs="Arial" w:eastAsia="Arial" w:hAnsi="Arial"/>
          <w:sz w:val="17"/>
          <w:szCs w:val="17"/>
          <w:color w:val="auto"/>
        </w:rPr>
        <w:t>Date:</w:t>
        <w:tab/>
        <w:t>May 11,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9525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8160"/>
        <w:spacing w:after="0"/>
        <w:rPr>
          <w:sz w:val="20"/>
          <w:szCs w:val="20"/>
          <w:color w:val="auto"/>
        </w:rPr>
      </w:pPr>
      <w:r>
        <w:rPr>
          <w:rFonts w:ascii="Arial" w:cs="Arial" w:eastAsia="Arial" w:hAnsi="Arial"/>
          <w:sz w:val="17"/>
          <w:szCs w:val="17"/>
          <w:b w:val="1"/>
          <w:bCs w:val="1"/>
          <w:color w:val="auto"/>
        </w:rPr>
        <w:t>Marcio Souza</w:t>
      </w:r>
    </w:p>
    <w:p>
      <w:pPr>
        <w:spacing w:after="0" w:line="24" w:lineRule="exact"/>
        <w:rPr>
          <w:sz w:val="20"/>
          <w:szCs w:val="20"/>
          <w:color w:val="auto"/>
        </w:rPr>
      </w:pPr>
    </w:p>
    <w:p>
      <w:pPr>
        <w:ind w:left="6360"/>
        <w:spacing w:after="0"/>
        <w:rPr>
          <w:sz w:val="20"/>
          <w:szCs w:val="20"/>
          <w:color w:val="auto"/>
        </w:rPr>
      </w:pPr>
      <w:r>
        <w:rPr>
          <w:rFonts w:ascii="Arial" w:cs="Arial" w:eastAsia="Arial" w:hAnsi="Arial"/>
          <w:sz w:val="17"/>
          <w:szCs w:val="17"/>
          <w:b w:val="1"/>
          <w:bCs w:val="1"/>
          <w:color w:val="auto"/>
        </w:rPr>
        <w:t>Chief Executive Officer and Director (Principal Executive</w:t>
      </w:r>
    </w:p>
    <w:p>
      <w:pPr>
        <w:ind w:left="8400"/>
        <w:spacing w:after="0"/>
        <w:rPr>
          <w:sz w:val="20"/>
          <w:szCs w:val="20"/>
          <w:color w:val="auto"/>
        </w:rPr>
      </w:pPr>
      <w:r>
        <w:rPr>
          <w:rFonts w:ascii="Arial" w:cs="Arial" w:eastAsia="Arial" w:hAnsi="Arial"/>
          <w:sz w:val="17"/>
          <w:szCs w:val="17"/>
          <w:b w:val="1"/>
          <w:bCs w:val="1"/>
          <w:color w:val="auto"/>
        </w:rPr>
        <w:t>Officer)</w:t>
      </w:r>
    </w:p>
    <w:p>
      <w:pPr>
        <w:spacing w:after="0" w:line="290" w:lineRule="exact"/>
        <w:rPr>
          <w:sz w:val="20"/>
          <w:szCs w:val="20"/>
          <w:color w:val="auto"/>
        </w:rPr>
      </w:pPr>
    </w:p>
    <w:p>
      <w:pPr>
        <w:ind w:left="20"/>
        <w:spacing w:after="0"/>
        <w:tabs>
          <w:tab w:leader="none" w:pos="600" w:val="left"/>
          <w:tab w:leader="none" w:pos="5440" w:val="left"/>
          <w:tab w:leader="none" w:pos="7860" w:val="left"/>
        </w:tabs>
        <w:rPr>
          <w:sz w:val="20"/>
          <w:szCs w:val="20"/>
          <w:color w:val="auto"/>
        </w:rPr>
      </w:pPr>
      <w:r>
        <w:rPr>
          <w:rFonts w:ascii="Arial" w:cs="Arial" w:eastAsia="Arial" w:hAnsi="Arial"/>
          <w:sz w:val="17"/>
          <w:szCs w:val="17"/>
          <w:color w:val="auto"/>
        </w:rPr>
        <w:t>Date:</w:t>
        <w:tab/>
        <w:t>May 11,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Lauren Mastrocola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9525</wp:posOffset>
            </wp:positionV>
            <wp:extent cx="3206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7"/>
          <w:szCs w:val="17"/>
          <w:b w:val="1"/>
          <w:bCs w:val="1"/>
          <w:color w:val="auto"/>
        </w:rPr>
        <w:t>Lauren Mastrocola</w:t>
      </w:r>
    </w:p>
    <w:p>
      <w:pPr>
        <w:spacing w:after="0" w:line="24" w:lineRule="exact"/>
        <w:rPr>
          <w:sz w:val="20"/>
          <w:szCs w:val="20"/>
          <w:color w:val="auto"/>
        </w:rPr>
      </w:pPr>
    </w:p>
    <w:p>
      <w:pPr>
        <w:ind w:left="6240"/>
        <w:spacing w:after="0"/>
        <w:rPr>
          <w:sz w:val="20"/>
          <w:szCs w:val="20"/>
          <w:color w:val="auto"/>
        </w:rPr>
      </w:pPr>
      <w:r>
        <w:rPr>
          <w:rFonts w:ascii="Arial" w:cs="Arial" w:eastAsia="Arial" w:hAnsi="Arial"/>
          <w:sz w:val="17"/>
          <w:szCs w:val="17"/>
          <w:b w:val="1"/>
          <w:bCs w:val="1"/>
          <w:color w:val="auto"/>
        </w:rPr>
        <w:t>Principal Accounting Officer and Interim Principal Financial</w:t>
      </w:r>
    </w:p>
    <w:p>
      <w:pPr>
        <w:ind w:left="8440"/>
        <w:spacing w:after="0"/>
        <w:rPr>
          <w:sz w:val="20"/>
          <w:szCs w:val="20"/>
          <w:color w:val="auto"/>
        </w:rPr>
      </w:pPr>
      <w:r>
        <w:rPr>
          <w:rFonts w:ascii="Arial" w:cs="Arial" w:eastAsia="Arial" w:hAnsi="Arial"/>
          <w:sz w:val="17"/>
          <w:szCs w:val="17"/>
          <w:b w:val="1"/>
          <w:b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20" w:top="864"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7"/>
          <w:szCs w:val="17"/>
          <w:b w:val="1"/>
          <w:bCs w:val="1"/>
          <w:color w:val="auto"/>
        </w:rPr>
        <w:t>Exhibit 31.1</w:t>
      </w:r>
    </w:p>
    <w:p>
      <w:pPr>
        <w:spacing w:after="0" w:line="224" w:lineRule="exact"/>
        <w:rPr>
          <w:sz w:val="20"/>
          <w:szCs w:val="20"/>
          <w:color w:val="auto"/>
        </w:rPr>
      </w:pPr>
    </w:p>
    <w:p>
      <w:pPr>
        <w:jc w:val="center"/>
        <w:spacing w:after="0" w:line="277" w:lineRule="auto"/>
        <w:rPr>
          <w:sz w:val="20"/>
          <w:szCs w:val="20"/>
          <w:color w:val="auto"/>
        </w:rPr>
      </w:pPr>
      <w:r>
        <w:rPr>
          <w:rFonts w:ascii="Arial" w:cs="Arial" w:eastAsia="Arial" w:hAnsi="Arial"/>
          <w:sz w:val="17"/>
          <w:szCs w:val="17"/>
          <w:b w:val="1"/>
          <w:bCs w:val="1"/>
          <w:color w:val="auto"/>
        </w:rPr>
        <w:t>CERTIFICATION OF PRINCIPAL EXECUTIVE OFFICER PURSUANT TO RULES 13a-14(a) AND 15d-14(a) UNDER THE SECURITIES EXCHANGE ACT OF 1934, 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I, Marcio Souza, certify that:</w:t>
      </w:r>
    </w:p>
    <w:p>
      <w:pPr>
        <w:spacing w:after="0" w:line="200" w:lineRule="exact"/>
        <w:rPr>
          <w:sz w:val="20"/>
          <w:szCs w:val="20"/>
          <w:color w:val="auto"/>
        </w:rPr>
      </w:pPr>
    </w:p>
    <w:p>
      <w:pPr>
        <w:spacing w:after="0" w:line="260" w:lineRule="exact"/>
        <w:rPr>
          <w:sz w:val="20"/>
          <w:szCs w:val="20"/>
          <w:color w:val="auto"/>
        </w:rPr>
      </w:pPr>
    </w:p>
    <w:p>
      <w:pPr>
        <w:ind w:left="320" w:hanging="315"/>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Praxis Precision Medicines, Inc.;</w:t>
      </w:r>
    </w:p>
    <w:p>
      <w:pPr>
        <w:spacing w:after="0" w:line="250" w:lineRule="exact"/>
        <w:rPr>
          <w:rFonts w:ascii="Arial" w:cs="Arial" w:eastAsia="Arial" w:hAnsi="Arial"/>
          <w:sz w:val="17"/>
          <w:szCs w:val="17"/>
          <w:color w:val="auto"/>
        </w:rPr>
      </w:pPr>
    </w:p>
    <w:p>
      <w:pPr>
        <w:ind w:left="320" w:right="260" w:hanging="315"/>
        <w:spacing w:after="0" w:line="360" w:lineRule="auto"/>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5"/>
          <w:szCs w:val="15"/>
          <w:color w:val="auto"/>
        </w:rPr>
      </w:pPr>
    </w:p>
    <w:p>
      <w:pPr>
        <w:ind w:left="320" w:right="60" w:hanging="315"/>
        <w:spacing w:after="0" w:line="289"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320" w:right="20" w:hanging="315"/>
        <w:spacing w:after="0" w:line="289"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84" w:lineRule="exact"/>
        <w:rPr>
          <w:rFonts w:ascii="Arial" w:cs="Arial" w:eastAsia="Arial" w:hAnsi="Arial"/>
          <w:sz w:val="17"/>
          <w:szCs w:val="17"/>
          <w:color w:val="auto"/>
        </w:rPr>
      </w:pPr>
    </w:p>
    <w:p>
      <w:pPr>
        <w:ind w:left="640" w:right="200" w:hanging="320"/>
        <w:spacing w:after="0" w:line="273" w:lineRule="auto"/>
        <w:tabs>
          <w:tab w:leader="none" w:pos="637"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7"/>
          <w:szCs w:val="17"/>
          <w:color w:val="auto"/>
        </w:rPr>
      </w:pPr>
    </w:p>
    <w:p>
      <w:pPr>
        <w:ind w:left="620" w:hanging="300"/>
        <w:spacing w:after="0"/>
        <w:tabs>
          <w:tab w:leader="none" w:pos="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(Paragraph omitted pursuant to SEC Release Nos. 33-8238/34-47986 and 33-8392/34-49313);</w:t>
      </w:r>
    </w:p>
    <w:p>
      <w:pPr>
        <w:spacing w:after="0" w:line="250" w:lineRule="exact"/>
        <w:rPr>
          <w:rFonts w:ascii="Arial" w:cs="Arial" w:eastAsia="Arial" w:hAnsi="Arial"/>
          <w:sz w:val="17"/>
          <w:szCs w:val="17"/>
          <w:color w:val="auto"/>
        </w:rPr>
      </w:pPr>
    </w:p>
    <w:p>
      <w:pPr>
        <w:ind w:left="640" w:right="40" w:hanging="320"/>
        <w:spacing w:after="0" w:line="289" w:lineRule="auto"/>
        <w:tabs>
          <w:tab w:leader="none" w:pos="637"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7"/>
          <w:szCs w:val="17"/>
          <w:color w:val="auto"/>
        </w:rPr>
      </w:pPr>
    </w:p>
    <w:p>
      <w:pPr>
        <w:ind w:left="640" w:right="100" w:hanging="320"/>
        <w:spacing w:after="0" w:line="273" w:lineRule="auto"/>
        <w:tabs>
          <w:tab w:leader="none" w:pos="634"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320" w:right="460" w:hanging="315"/>
        <w:spacing w:after="0" w:line="322" w:lineRule="auto"/>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6"/>
          <w:szCs w:val="16"/>
          <w:color w:val="auto"/>
        </w:rPr>
      </w:pPr>
    </w:p>
    <w:p>
      <w:pPr>
        <w:ind w:left="640" w:right="20" w:hanging="320"/>
        <w:spacing w:after="0" w:line="289" w:lineRule="auto"/>
        <w:tabs>
          <w:tab w:leader="none" w:pos="637"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640" w:right="260" w:hanging="320"/>
        <w:spacing w:after="0" w:line="289" w:lineRule="auto"/>
        <w:tabs>
          <w:tab w:leader="none" w:pos="634"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7"/>
                <w:szCs w:val="17"/>
                <w:color w:val="auto"/>
              </w:rPr>
              <w:t>Date:   May 11, 2021</w:t>
            </w:r>
          </w:p>
        </w:tc>
        <w:tc>
          <w:tcPr>
            <w:tcW w:w="3160" w:type="dxa"/>
            <w:vAlign w:val="bottom"/>
          </w:tcPr>
          <w:p>
            <w:pPr>
              <w:ind w:left="2440"/>
              <w:spacing w:after="0"/>
              <w:rPr>
                <w:sz w:val="20"/>
                <w:szCs w:val="20"/>
                <w:color w:val="auto"/>
              </w:rPr>
            </w:pPr>
            <w:r>
              <w:rPr>
                <w:rFonts w:ascii="Arial" w:cs="Arial" w:eastAsia="Arial" w:hAnsi="Arial"/>
                <w:sz w:val="17"/>
                <w:szCs w:val="17"/>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MARCIO SOUZA</w:t>
            </w:r>
          </w:p>
        </w:tc>
      </w:tr>
      <w:tr>
        <w:trPr>
          <w:trHeight w:val="216"/>
        </w:trPr>
        <w:tc>
          <w:tcPr>
            <w:tcW w:w="4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7"/>
                <w:szCs w:val="17"/>
                <w:color w:val="auto"/>
                <w:w w:val="94"/>
              </w:rPr>
              <w:t>Marcio Souza</w:t>
            </w:r>
          </w:p>
        </w:tc>
      </w:tr>
      <w:tr>
        <w:trPr>
          <w:trHeight w:val="223"/>
        </w:trPr>
        <w:tc>
          <w:tcPr>
            <w:tcW w:w="40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7"/>
                <w:szCs w:val="17"/>
                <w:color w:val="auto"/>
                <w:w w:val="95"/>
              </w:rPr>
              <w:t>Chief Executive Officer</w:t>
            </w:r>
          </w:p>
        </w:tc>
      </w:tr>
      <w:tr>
        <w:trPr>
          <w:trHeight w:val="223"/>
        </w:trPr>
        <w:tc>
          <w:tcPr>
            <w:tcW w:w="40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7"/>
                <w:szCs w:val="17"/>
                <w:color w:val="auto"/>
                <w:w w:val="96"/>
              </w:rPr>
              <w:t>(Principal Executive Officer)</w:t>
            </w:r>
          </w:p>
        </w:tc>
      </w:tr>
    </w:tbl>
    <w:p>
      <w:pPr>
        <w:sectPr>
          <w:pgSz w:w="11900" w:h="16838" w:orient="portrait"/>
          <w:cols w:equalWidth="0" w:num="1">
            <w:col w:w="11240"/>
          </w:cols>
          <w:pgMar w:left="320" w:top="869"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7"/>
          <w:szCs w:val="17"/>
          <w:b w:val="1"/>
          <w:bCs w:val="1"/>
          <w:color w:val="auto"/>
        </w:rPr>
        <w:t>Exhibit 31.2</w:t>
      </w:r>
    </w:p>
    <w:p>
      <w:pPr>
        <w:spacing w:after="0" w:line="224" w:lineRule="exact"/>
        <w:rPr>
          <w:sz w:val="20"/>
          <w:szCs w:val="20"/>
          <w:color w:val="auto"/>
        </w:rPr>
      </w:pPr>
    </w:p>
    <w:p>
      <w:pPr>
        <w:jc w:val="center"/>
        <w:spacing w:after="0" w:line="277" w:lineRule="auto"/>
        <w:rPr>
          <w:sz w:val="20"/>
          <w:szCs w:val="20"/>
          <w:color w:val="auto"/>
        </w:rPr>
      </w:pPr>
      <w:r>
        <w:rPr>
          <w:rFonts w:ascii="Arial" w:cs="Arial" w:eastAsia="Arial" w:hAnsi="Arial"/>
          <w:sz w:val="17"/>
          <w:szCs w:val="17"/>
          <w:b w:val="1"/>
          <w:bCs w:val="1"/>
          <w:color w:val="auto"/>
        </w:rPr>
        <w:t>CERTIFICATION OF PRINCIPAL FINANCIAL OFFICER PURSUANT TO RULES 13a-14(a) AND 15d-14(a) UNDER THE SECURITIES EXCHANGE ACT OF 1934, AS ADOPTED PURSUANT TO SECTION 302 OF THE SARBANES-OXLEY ACT OF 2002</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I, Lauren Mastrocola, certify that:</w:t>
      </w:r>
    </w:p>
    <w:p>
      <w:pPr>
        <w:spacing w:after="0" w:line="250" w:lineRule="exact"/>
        <w:rPr>
          <w:sz w:val="20"/>
          <w:szCs w:val="20"/>
          <w:color w:val="auto"/>
        </w:rPr>
      </w:pPr>
    </w:p>
    <w:p>
      <w:pPr>
        <w:ind w:left="320" w:hanging="315"/>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Praxis Precision Medicines, Inc.;</w:t>
      </w:r>
    </w:p>
    <w:p>
      <w:pPr>
        <w:spacing w:after="0" w:line="250" w:lineRule="exact"/>
        <w:rPr>
          <w:rFonts w:ascii="Arial" w:cs="Arial" w:eastAsia="Arial" w:hAnsi="Arial"/>
          <w:sz w:val="17"/>
          <w:szCs w:val="17"/>
          <w:color w:val="auto"/>
        </w:rPr>
      </w:pPr>
    </w:p>
    <w:p>
      <w:pPr>
        <w:ind w:left="320" w:right="260" w:hanging="315"/>
        <w:spacing w:after="0" w:line="360" w:lineRule="auto"/>
        <w:tabs>
          <w:tab w:leader="none" w:pos="3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5"/>
          <w:szCs w:val="15"/>
          <w:color w:val="auto"/>
        </w:rPr>
      </w:pPr>
    </w:p>
    <w:p>
      <w:pPr>
        <w:ind w:left="320" w:right="60" w:hanging="315"/>
        <w:spacing w:after="0" w:line="289"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320" w:right="20" w:hanging="315"/>
        <w:spacing w:after="0" w:line="289"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84" w:lineRule="exact"/>
        <w:rPr>
          <w:rFonts w:ascii="Arial" w:cs="Arial" w:eastAsia="Arial" w:hAnsi="Arial"/>
          <w:sz w:val="17"/>
          <w:szCs w:val="17"/>
          <w:color w:val="auto"/>
        </w:rPr>
      </w:pPr>
    </w:p>
    <w:p>
      <w:pPr>
        <w:ind w:left="640" w:right="200" w:hanging="320"/>
        <w:spacing w:after="0" w:line="273" w:lineRule="auto"/>
        <w:tabs>
          <w:tab w:leader="none" w:pos="637"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7"/>
          <w:szCs w:val="17"/>
          <w:color w:val="auto"/>
        </w:rPr>
      </w:pPr>
    </w:p>
    <w:p>
      <w:pPr>
        <w:ind w:left="620" w:hanging="300"/>
        <w:spacing w:after="0"/>
        <w:tabs>
          <w:tab w:leader="none" w:pos="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(Paragraph omitted pursuant to SEC Release Nos. 33-8238/34-47986 and 33-8392/34-49313);</w:t>
      </w:r>
    </w:p>
    <w:p>
      <w:pPr>
        <w:spacing w:after="0" w:line="250" w:lineRule="exact"/>
        <w:rPr>
          <w:rFonts w:ascii="Arial" w:cs="Arial" w:eastAsia="Arial" w:hAnsi="Arial"/>
          <w:sz w:val="17"/>
          <w:szCs w:val="17"/>
          <w:color w:val="auto"/>
        </w:rPr>
      </w:pPr>
    </w:p>
    <w:p>
      <w:pPr>
        <w:ind w:left="640" w:right="40" w:hanging="320"/>
        <w:spacing w:after="0" w:line="289" w:lineRule="auto"/>
        <w:tabs>
          <w:tab w:leader="none" w:pos="637"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7"/>
          <w:szCs w:val="17"/>
          <w:color w:val="auto"/>
        </w:rPr>
      </w:pPr>
    </w:p>
    <w:p>
      <w:pPr>
        <w:ind w:left="640" w:right="100" w:hanging="320"/>
        <w:spacing w:after="0" w:line="273" w:lineRule="auto"/>
        <w:tabs>
          <w:tab w:leader="none" w:pos="634"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320" w:right="460" w:hanging="315"/>
        <w:spacing w:after="0" w:line="322"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6"/>
          <w:szCs w:val="16"/>
          <w:color w:val="auto"/>
        </w:rPr>
      </w:pPr>
    </w:p>
    <w:p>
      <w:pPr>
        <w:ind w:left="640" w:right="20" w:hanging="320"/>
        <w:spacing w:after="0" w:line="289" w:lineRule="auto"/>
        <w:tabs>
          <w:tab w:leader="none" w:pos="637"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640" w:right="260" w:hanging="320"/>
        <w:spacing w:after="0" w:line="289" w:lineRule="auto"/>
        <w:tabs>
          <w:tab w:leader="none" w:pos="634"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7"/>
                <w:szCs w:val="17"/>
                <w:color w:val="auto"/>
              </w:rPr>
              <w:t>Date:   May 11, 2021</w:t>
            </w:r>
          </w:p>
        </w:tc>
        <w:tc>
          <w:tcPr>
            <w:tcW w:w="3180" w:type="dxa"/>
            <w:vAlign w:val="bottom"/>
          </w:tcPr>
          <w:p>
            <w:pPr>
              <w:ind w:left="2460"/>
              <w:spacing w:after="0"/>
              <w:rPr>
                <w:sz w:val="20"/>
                <w:szCs w:val="20"/>
                <w:color w:val="auto"/>
              </w:rPr>
            </w:pPr>
            <w:r>
              <w:rPr>
                <w:rFonts w:ascii="Arial" w:cs="Arial" w:eastAsia="Arial" w:hAnsi="Arial"/>
                <w:sz w:val="17"/>
                <w:szCs w:val="17"/>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LAUREN MASTROCOLA</w:t>
            </w:r>
          </w:p>
        </w:tc>
      </w:tr>
      <w:tr>
        <w:trPr>
          <w:trHeight w:val="216"/>
        </w:trPr>
        <w:tc>
          <w:tcPr>
            <w:tcW w:w="40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7"/>
                <w:szCs w:val="17"/>
                <w:color w:val="auto"/>
                <w:w w:val="93"/>
              </w:rPr>
              <w:t>Lauren Mastrocola</w:t>
            </w:r>
          </w:p>
        </w:tc>
      </w:tr>
      <w:tr>
        <w:trPr>
          <w:trHeight w:val="172"/>
        </w:trPr>
        <w:tc>
          <w:tcPr>
            <w:tcW w:w="40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20" w:type="dxa"/>
            <w:vAlign w:val="bottom"/>
          </w:tcPr>
          <w:p>
            <w:pPr>
              <w:jc w:val="center"/>
              <w:spacing w:after="0" w:line="172" w:lineRule="exact"/>
              <w:rPr>
                <w:sz w:val="20"/>
                <w:szCs w:val="20"/>
                <w:color w:val="auto"/>
              </w:rPr>
            </w:pPr>
            <w:r>
              <w:rPr>
                <w:rFonts w:ascii="Arial" w:cs="Arial" w:eastAsia="Arial" w:hAnsi="Arial"/>
                <w:sz w:val="17"/>
                <w:szCs w:val="17"/>
                <w:color w:val="auto"/>
                <w:w w:val="96"/>
              </w:rPr>
              <w:t>Principal Accounting Officer and Interim Principal</w:t>
            </w:r>
          </w:p>
        </w:tc>
      </w:tr>
      <w:tr>
        <w:trPr>
          <w:trHeight w:val="222"/>
        </w:trPr>
        <w:tc>
          <w:tcPr>
            <w:tcW w:w="40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7"/>
                <w:szCs w:val="17"/>
                <w:color w:val="auto"/>
                <w:w w:val="97"/>
              </w:rPr>
              <w:t>Financial Officer</w:t>
            </w:r>
          </w:p>
        </w:tc>
      </w:tr>
    </w:tbl>
    <w:p>
      <w:pPr>
        <w:sectPr>
          <w:pgSz w:w="11900" w:h="16838" w:orient="portrait"/>
          <w:cols w:equalWidth="0" w:num="1">
            <w:col w:w="11240"/>
          </w:cols>
          <w:pgMar w:left="320" w:top="869"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OF PRINCIPAL EXECUTIVE OFFICER AND PRINCIPAL FINANCIAL OFFICER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2"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In connection with the Quarterly Report on Form 10-Q of Praxis Precision Medicines, Inc. (the “Company”) for the quarter ended March 31, 2021 as filed with the Securities and Exchange Commission on the date hereof (the “Report”), the undersigned hereby certify, pursuant to 18 U.S.C. Section 1350, as adopted pursuant to § 906 of the Sarbanes-Oxley Act of 2002, that, to the best of their knowledge:</w:t>
      </w:r>
    </w:p>
    <w:p>
      <w:pPr>
        <w:spacing w:after="0" w:line="80" w:lineRule="exact"/>
        <w:rPr>
          <w:sz w:val="20"/>
          <w:szCs w:val="20"/>
          <w:color w:val="auto"/>
        </w:rPr>
      </w:pPr>
    </w:p>
    <w:p>
      <w:pPr>
        <w:ind w:left="700" w:hanging="302"/>
        <w:spacing w:after="0"/>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6" w:lineRule="exact"/>
        <w:rPr>
          <w:rFonts w:ascii="Arial" w:cs="Arial" w:eastAsia="Arial" w:hAnsi="Arial"/>
          <w:sz w:val="17"/>
          <w:szCs w:val="17"/>
          <w:color w:val="auto"/>
        </w:rPr>
      </w:pPr>
    </w:p>
    <w:p>
      <w:pPr>
        <w:ind w:left="700" w:hanging="302"/>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7"/>
                <w:szCs w:val="17"/>
                <w:color w:val="auto"/>
              </w:rPr>
              <w:t>Date:</w:t>
            </w:r>
          </w:p>
        </w:tc>
        <w:tc>
          <w:tcPr>
            <w:tcW w:w="3520" w:type="dxa"/>
            <w:vAlign w:val="bottom"/>
          </w:tcPr>
          <w:p>
            <w:pPr>
              <w:ind w:left="120"/>
              <w:spacing w:after="0"/>
              <w:rPr>
                <w:sz w:val="20"/>
                <w:szCs w:val="20"/>
                <w:color w:val="auto"/>
              </w:rPr>
            </w:pPr>
            <w:r>
              <w:rPr>
                <w:rFonts w:ascii="Arial" w:cs="Arial" w:eastAsia="Arial" w:hAnsi="Arial"/>
                <w:sz w:val="17"/>
                <w:szCs w:val="17"/>
                <w:color w:val="auto"/>
              </w:rPr>
              <w:t>May 11, 2021</w:t>
            </w:r>
          </w:p>
        </w:tc>
        <w:tc>
          <w:tcPr>
            <w:tcW w:w="3180" w:type="dxa"/>
            <w:vAlign w:val="bottom"/>
          </w:tcPr>
          <w:p>
            <w:pPr>
              <w:ind w:left="2460"/>
              <w:spacing w:after="0"/>
              <w:rPr>
                <w:sz w:val="20"/>
                <w:szCs w:val="20"/>
                <w:color w:val="auto"/>
              </w:rPr>
            </w:pPr>
            <w:r>
              <w:rPr>
                <w:rFonts w:ascii="Arial" w:cs="Arial" w:eastAsia="Arial" w:hAnsi="Arial"/>
                <w:sz w:val="17"/>
                <w:szCs w:val="17"/>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MARCIO SOUZA</w:t>
            </w:r>
          </w:p>
        </w:tc>
      </w:tr>
      <w:tr>
        <w:trPr>
          <w:trHeight w:val="216"/>
        </w:trPr>
        <w:tc>
          <w:tcPr>
            <w:tcW w:w="4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7"/>
                <w:szCs w:val="17"/>
                <w:color w:val="auto"/>
                <w:w w:val="94"/>
              </w:rPr>
              <w:t>Marcio Souza</w:t>
            </w:r>
          </w:p>
        </w:tc>
      </w:tr>
      <w:tr>
        <w:trPr>
          <w:trHeight w:val="223"/>
        </w:trPr>
        <w:tc>
          <w:tcPr>
            <w:tcW w:w="4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7"/>
                <w:szCs w:val="17"/>
                <w:color w:val="auto"/>
                <w:w w:val="97"/>
              </w:rPr>
              <w:t>Chief Executive Officer</w:t>
            </w:r>
          </w:p>
        </w:tc>
      </w:tr>
      <w:tr>
        <w:trPr>
          <w:trHeight w:val="223"/>
        </w:trPr>
        <w:tc>
          <w:tcPr>
            <w:tcW w:w="4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7"/>
                <w:szCs w:val="17"/>
                <w:color w:val="auto"/>
                <w:w w:val="97"/>
              </w:rPr>
              <w:t>(Principal Executive Officer)</w:t>
            </w:r>
          </w:p>
        </w:tc>
      </w:tr>
      <w:tr>
        <w:trPr>
          <w:trHeight w:val="485"/>
        </w:trPr>
        <w:tc>
          <w:tcPr>
            <w:tcW w:w="480" w:type="dxa"/>
            <w:vAlign w:val="bottom"/>
          </w:tcPr>
          <w:p>
            <w:pPr>
              <w:spacing w:after="0"/>
              <w:rPr>
                <w:sz w:val="20"/>
                <w:szCs w:val="20"/>
                <w:color w:val="auto"/>
              </w:rPr>
            </w:pPr>
            <w:r>
              <w:rPr>
                <w:rFonts w:ascii="Arial" w:cs="Arial" w:eastAsia="Arial" w:hAnsi="Arial"/>
                <w:sz w:val="17"/>
                <w:szCs w:val="17"/>
                <w:color w:val="auto"/>
              </w:rPr>
              <w:t>Date:</w:t>
            </w:r>
          </w:p>
        </w:tc>
        <w:tc>
          <w:tcPr>
            <w:tcW w:w="3520" w:type="dxa"/>
            <w:vAlign w:val="bottom"/>
          </w:tcPr>
          <w:p>
            <w:pPr>
              <w:ind w:left="120"/>
              <w:spacing w:after="0"/>
              <w:rPr>
                <w:sz w:val="20"/>
                <w:szCs w:val="20"/>
                <w:color w:val="auto"/>
              </w:rPr>
            </w:pPr>
            <w:r>
              <w:rPr>
                <w:rFonts w:ascii="Arial" w:cs="Arial" w:eastAsia="Arial" w:hAnsi="Arial"/>
                <w:sz w:val="17"/>
                <w:szCs w:val="17"/>
                <w:color w:val="auto"/>
              </w:rPr>
              <w:t>May 11, 2021</w:t>
            </w:r>
          </w:p>
        </w:tc>
        <w:tc>
          <w:tcPr>
            <w:tcW w:w="3180" w:type="dxa"/>
            <w:vAlign w:val="bottom"/>
          </w:tcPr>
          <w:p>
            <w:pPr>
              <w:ind w:left="2460"/>
              <w:spacing w:after="0"/>
              <w:rPr>
                <w:sz w:val="20"/>
                <w:szCs w:val="20"/>
                <w:color w:val="auto"/>
              </w:rPr>
            </w:pPr>
            <w:r>
              <w:rPr>
                <w:rFonts w:ascii="Arial" w:cs="Arial" w:eastAsia="Arial" w:hAnsi="Arial"/>
                <w:sz w:val="17"/>
                <w:szCs w:val="17"/>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LAUREN MASTROCOLA</w:t>
            </w:r>
          </w:p>
        </w:tc>
      </w:tr>
      <w:tr>
        <w:trPr>
          <w:trHeight w:val="216"/>
        </w:trPr>
        <w:tc>
          <w:tcPr>
            <w:tcW w:w="4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7"/>
                <w:szCs w:val="17"/>
                <w:color w:val="auto"/>
                <w:w w:val="93"/>
              </w:rPr>
              <w:t>Lauren Mastrocola</w:t>
            </w:r>
          </w:p>
        </w:tc>
      </w:tr>
    </w:tbl>
    <w:p>
      <w:pPr>
        <w:jc w:val="center"/>
        <w:ind w:left="7140"/>
        <w:spacing w:after="0" w:line="227" w:lineRule="auto"/>
        <w:rPr>
          <w:sz w:val="20"/>
          <w:szCs w:val="20"/>
          <w:color w:val="auto"/>
        </w:rPr>
      </w:pPr>
      <w:r>
        <w:rPr>
          <w:rFonts w:ascii="Arial" w:cs="Arial" w:eastAsia="Arial" w:hAnsi="Arial"/>
          <w:sz w:val="17"/>
          <w:szCs w:val="17"/>
          <w:color w:val="auto"/>
        </w:rPr>
        <w:t>Principal Accounting Officer and Interim Principal</w:t>
      </w:r>
    </w:p>
    <w:p>
      <w:pPr>
        <w:spacing w:after="0" w:line="1" w:lineRule="exact"/>
        <w:rPr>
          <w:sz w:val="20"/>
          <w:szCs w:val="20"/>
          <w:color w:val="auto"/>
        </w:rPr>
      </w:pPr>
    </w:p>
    <w:p>
      <w:pPr>
        <w:jc w:val="center"/>
        <w:ind w:left="7140"/>
        <w:spacing w:after="0"/>
        <w:rPr>
          <w:sz w:val="20"/>
          <w:szCs w:val="20"/>
          <w:color w:val="auto"/>
        </w:rPr>
      </w:pPr>
      <w:r>
        <w:rPr>
          <w:rFonts w:ascii="Arial" w:cs="Arial" w:eastAsia="Arial" w:hAnsi="Arial"/>
          <w:sz w:val="17"/>
          <w:szCs w:val="17"/>
          <w:color w:val="auto"/>
        </w:rPr>
        <w:t>Financial Officer</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7"/>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2021-05-11T07:20:32Z</dcterms:created>
  <dcterms:modified xsi:type="dcterms:W3CDTF">2021-05-11T07:20:32Z</dcterms:modified>
</cp:coreProperties>
</file>