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214630</wp:posOffset>
            </wp:positionH>
            <wp:positionV relativeFrom="page">
              <wp:posOffset>355600</wp:posOffset>
            </wp:positionV>
            <wp:extent cx="7127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321945</wp:posOffset>
            </wp:positionV>
            <wp:extent cx="7127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126365</wp:posOffset>
            </wp:positionV>
            <wp:extent cx="1182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144145</wp:posOffset>
            </wp:positionV>
            <wp:extent cx="1182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4" w:lineRule="exact"/>
        <w:rPr>
          <w:sz w:val="24"/>
          <w:szCs w:val="24"/>
          <w:color w:val="auto"/>
        </w:rPr>
      </w:pPr>
    </w:p>
    <w:p>
      <w:pPr>
        <w:ind w:left="320" w:hanging="298"/>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2020</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98" w:lineRule="exact"/>
        <w:rPr>
          <w:sz w:val="24"/>
          <w:szCs w:val="24"/>
          <w:color w:val="auto"/>
        </w:rPr>
      </w:pPr>
    </w:p>
    <w:p>
      <w:pPr>
        <w:ind w:left="3460" w:right="1920" w:hanging="3438"/>
        <w:spacing w:after="0" w:line="473" w:lineRule="auto"/>
        <w:tabs>
          <w:tab w:leader="none" w:pos="334"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 to_________</w:t>
      </w:r>
    </w:p>
    <w:p>
      <w:pPr>
        <w:spacing w:after="0" w:line="1" w:lineRule="exact"/>
        <w:rPr>
          <w:rFonts w:ascii="MS PGothic" w:cs="MS PGothic" w:eastAsia="MS PGothic" w:hAnsi="MS PGothic"/>
          <w:sz w:val="21"/>
          <w:szCs w:val="21"/>
          <w:color w:val="auto"/>
        </w:rPr>
      </w:pPr>
    </w:p>
    <w:p>
      <w:pPr>
        <w:ind w:left="410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207010</wp:posOffset>
            </wp:positionV>
            <wp:extent cx="118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181610</wp:posOffset>
            </wp:positionV>
            <wp:extent cx="1182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Delaware</w:t>
            </w:r>
          </w:p>
        </w:tc>
        <w:tc>
          <w:tcPr>
            <w:tcW w:w="2780" w:type="dxa"/>
            <w:vAlign w:val="bottom"/>
          </w:tcPr>
          <w:p>
            <w:pPr>
              <w:jc w:val="right"/>
              <w:ind w:right="833"/>
              <w:spacing w:after="0"/>
              <w:rPr>
                <w:sz w:val="20"/>
                <w:szCs w:val="20"/>
                <w:color w:val="auto"/>
              </w:rPr>
            </w:pPr>
            <w:r>
              <w:rPr>
                <w:rFonts w:ascii="Arial" w:cs="Arial" w:eastAsia="Arial" w:hAnsi="Arial"/>
                <w:sz w:val="17"/>
                <w:szCs w:val="17"/>
                <w:b w:val="1"/>
                <w:bCs w:val="1"/>
                <w:color w:val="auto"/>
              </w:rPr>
              <w:t>47-5195942</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3"/>
              <w:spacing w:after="0" w:line="176" w:lineRule="exact"/>
              <w:rPr>
                <w:sz w:val="20"/>
                <w:szCs w:val="20"/>
                <w:color w:val="auto"/>
              </w:rPr>
            </w:pPr>
            <w:r>
              <w:rPr>
                <w:rFonts w:ascii="Arial" w:cs="Arial" w:eastAsia="Arial" w:hAnsi="Arial"/>
                <w:sz w:val="17"/>
                <w:szCs w:val="17"/>
                <w:b w:val="1"/>
                <w:bCs w:val="1"/>
                <w:color w:val="auto"/>
                <w:w w:val="93"/>
              </w:rPr>
              <w:t>(State or other jurisdiction of incorporation or</w:t>
            </w:r>
          </w:p>
        </w:tc>
        <w:tc>
          <w:tcPr>
            <w:tcW w:w="2780" w:type="dxa"/>
            <w:vAlign w:val="bottom"/>
            <w:vMerge w:val="restart"/>
          </w:tcPr>
          <w:p>
            <w:pPr>
              <w:jc w:val="center"/>
              <w:ind w:left="13"/>
              <w:spacing w:after="0"/>
              <w:rPr>
                <w:sz w:val="20"/>
                <w:szCs w:val="20"/>
                <w:color w:val="auto"/>
              </w:rPr>
            </w:pPr>
            <w:r>
              <w:rPr>
                <w:rFonts w:ascii="Arial" w:cs="Arial" w:eastAsia="Arial" w:hAnsi="Arial"/>
                <w:sz w:val="17"/>
                <w:szCs w:val="17"/>
                <w:b w:val="1"/>
                <w:bCs w:val="1"/>
                <w:color w:val="auto"/>
                <w:w w:val="96"/>
              </w:rPr>
              <w:t>(I.R.S. Employer Identification No.)</w:t>
            </w:r>
          </w:p>
        </w:tc>
        <w:tc>
          <w:tcPr>
            <w:tcW w:w="0" w:type="dxa"/>
            <w:vAlign w:val="bottom"/>
          </w:tcPr>
          <w:p>
            <w:pPr>
              <w:spacing w:after="0"/>
              <w:rPr>
                <w:sz w:val="1"/>
                <w:szCs w:val="1"/>
                <w:color w:val="auto"/>
              </w:rPr>
            </w:pPr>
          </w:p>
        </w:tc>
      </w:tr>
      <w:tr>
        <w:trPr>
          <w:trHeight w:val="228"/>
        </w:trPr>
        <w:tc>
          <w:tcPr>
            <w:tcW w:w="3560" w:type="dxa"/>
            <w:vAlign w:val="bottom"/>
          </w:tcPr>
          <w:p>
            <w:pPr>
              <w:jc w:val="center"/>
              <w:ind w:right="33"/>
              <w:spacing w:after="0"/>
              <w:rPr>
                <w:sz w:val="20"/>
                <w:szCs w:val="20"/>
                <w:color w:val="auto"/>
              </w:rPr>
            </w:pPr>
            <w:r>
              <w:rPr>
                <w:rFonts w:ascii="Arial" w:cs="Arial" w:eastAsia="Arial" w:hAnsi="Arial"/>
                <w:sz w:val="17"/>
                <w:szCs w:val="17"/>
                <w:b w:val="1"/>
                <w:bCs w:val="1"/>
                <w:color w:val="auto"/>
                <w:w w:val="93"/>
              </w:rPr>
              <w:t>organization)</w:t>
            </w:r>
          </w:p>
        </w:tc>
        <w:tc>
          <w:tcPr>
            <w:tcW w:w="2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One Broadway, 16th Floor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7"/>
              </w:rPr>
              <w:t>Cambridge, MA</w:t>
            </w:r>
          </w:p>
        </w:tc>
        <w:tc>
          <w:tcPr>
            <w:tcW w:w="2780" w:type="dxa"/>
            <w:vAlign w:val="bottom"/>
          </w:tcPr>
          <w:p>
            <w:pPr>
              <w:jc w:val="right"/>
              <w:ind w:right="1033"/>
              <w:spacing w:after="0"/>
              <w:rPr>
                <w:sz w:val="20"/>
                <w:szCs w:val="20"/>
                <w:color w:val="auto"/>
              </w:rPr>
            </w:pPr>
            <w:r>
              <w:rPr>
                <w:rFonts w:ascii="Arial" w:cs="Arial" w:eastAsia="Arial" w:hAnsi="Arial"/>
                <w:sz w:val="17"/>
                <w:szCs w:val="17"/>
                <w:b w:val="1"/>
                <w:bCs w:val="1"/>
                <w:color w:val="auto"/>
              </w:rPr>
              <w:t>02142</w:t>
            </w:r>
          </w:p>
        </w:tc>
        <w:tc>
          <w:tcPr>
            <w:tcW w:w="0" w:type="dxa"/>
            <w:vAlign w:val="bottom"/>
          </w:tcPr>
          <w:p>
            <w:pPr>
              <w:spacing w:after="0"/>
              <w:rPr>
                <w:sz w:val="1"/>
                <w:szCs w:val="1"/>
                <w:color w:val="auto"/>
              </w:rPr>
            </w:pPr>
          </w:p>
        </w:tc>
      </w:tr>
      <w:tr>
        <w:trPr>
          <w:trHeight w:val="228"/>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1"/>
              </w:rPr>
              <w:t>(Address of principal executive offices)</w:t>
            </w:r>
          </w:p>
        </w:tc>
        <w:tc>
          <w:tcPr>
            <w:tcW w:w="2780" w:type="dxa"/>
            <w:vAlign w:val="bottom"/>
          </w:tcPr>
          <w:p>
            <w:pPr>
              <w:jc w:val="center"/>
              <w:ind w:left="13"/>
              <w:spacing w:after="0"/>
              <w:rPr>
                <w:sz w:val="20"/>
                <w:szCs w:val="20"/>
                <w:color w:val="auto"/>
              </w:rPr>
            </w:pPr>
            <w:r>
              <w:rPr>
                <w:rFonts w:ascii="Arial" w:cs="Arial" w:eastAsia="Arial" w:hAnsi="Arial"/>
                <w:sz w:val="17"/>
                <w:szCs w:val="17"/>
                <w:b w:val="1"/>
                <w:bCs w:val="1"/>
                <w:color w:val="auto"/>
                <w:w w:val="95"/>
              </w:rPr>
              <w:t>(Zip Code)</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127635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0"/>
              </w:rPr>
              <w:t>Title of each class</w:t>
            </w:r>
          </w:p>
        </w:tc>
        <w:tc>
          <w:tcPr>
            <w:tcW w:w="410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2"/>
              </w:rPr>
              <w:t>Trading Symbol(s)</w:t>
            </w:r>
          </w:p>
        </w:tc>
        <w:tc>
          <w:tcPr>
            <w:tcW w:w="3120" w:type="dxa"/>
            <w:vAlign w:val="bottom"/>
          </w:tcPr>
          <w:p>
            <w:pPr>
              <w:jc w:val="center"/>
              <w:spacing w:after="0"/>
              <w:rPr>
                <w:sz w:val="20"/>
                <w:szCs w:val="20"/>
                <w:color w:val="auto"/>
              </w:rPr>
            </w:pPr>
            <w:r>
              <w:rPr>
                <w:rFonts w:ascii="Arial" w:cs="Arial" w:eastAsia="Arial" w:hAnsi="Arial"/>
                <w:sz w:val="17"/>
                <w:szCs w:val="17"/>
                <w:b w:val="1"/>
                <w:bCs w:val="1"/>
                <w:color w:val="auto"/>
                <w:w w:val="90"/>
              </w:rPr>
              <w:t>Name of each exchange on which</w:t>
            </w:r>
          </w:p>
        </w:tc>
        <w:tc>
          <w:tcPr>
            <w:tcW w:w="0" w:type="dxa"/>
            <w:vAlign w:val="bottom"/>
          </w:tcPr>
          <w:p>
            <w:pPr>
              <w:spacing w:after="0"/>
              <w:rPr>
                <w:sz w:val="1"/>
                <w:szCs w:val="1"/>
                <w:color w:val="auto"/>
              </w:rPr>
            </w:pPr>
          </w:p>
        </w:tc>
      </w:tr>
      <w:tr>
        <w:trPr>
          <w:trHeight w:val="223"/>
        </w:trPr>
        <w:tc>
          <w:tcPr>
            <w:tcW w:w="4000" w:type="dxa"/>
            <w:vAlign w:val="bottom"/>
            <w:gridSpan w:val="2"/>
            <w:vMerge w:val="continue"/>
          </w:tcPr>
          <w:p>
            <w:pPr>
              <w:spacing w:after="0"/>
              <w:rPr>
                <w:sz w:val="19"/>
                <w:szCs w:val="19"/>
                <w:color w:val="auto"/>
              </w:rPr>
            </w:pPr>
          </w:p>
        </w:tc>
        <w:tc>
          <w:tcPr>
            <w:tcW w:w="4100" w:type="dxa"/>
            <w:vAlign w:val="bottom"/>
            <w:gridSpan w:val="2"/>
            <w:vMerge w:val="continue"/>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7"/>
                <w:szCs w:val="17"/>
                <w:b w:val="1"/>
                <w:bCs w:val="1"/>
                <w:color w:val="auto"/>
                <w:w w:val="89"/>
              </w:rPr>
              <w:t>registered</w:t>
            </w:r>
          </w:p>
        </w:tc>
        <w:tc>
          <w:tcPr>
            <w:tcW w:w="0" w:type="dxa"/>
            <w:vAlign w:val="bottom"/>
          </w:tcPr>
          <w:p>
            <w:pPr>
              <w:spacing w:after="0"/>
              <w:rPr>
                <w:sz w:val="1"/>
                <w:szCs w:val="1"/>
                <w:color w:val="auto"/>
              </w:rPr>
            </w:pPr>
          </w:p>
        </w:tc>
      </w:tr>
      <w:tr>
        <w:trPr>
          <w:trHeight w:val="221"/>
        </w:trPr>
        <w:tc>
          <w:tcPr>
            <w:tcW w:w="39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PRAX</w:t>
            </w:r>
          </w:p>
        </w:tc>
        <w:tc>
          <w:tcPr>
            <w:tcW w:w="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3"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4"/>
          <w:szCs w:val="24"/>
          <w:color w:val="auto"/>
        </w:rPr>
      </w:pPr>
    </w:p>
    <w:p>
      <w:pPr>
        <w:ind w:right="4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ind w:right="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ind w:right="320" w:firstLine="315"/>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7" w:lineRule="exact"/>
        <w:rPr>
          <w:sz w:val="20"/>
          <w:szCs w:val="20"/>
          <w:color w:val="auto"/>
        </w:rPr>
      </w:pPr>
    </w:p>
    <w:p>
      <w:pPr>
        <w:ind w:right="100" w:firstLine="315"/>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0"/>
          <w:szCs w:val="20"/>
          <w:color w:val="auto"/>
        </w:rPr>
      </w:pPr>
    </w:p>
    <w:p>
      <w:pPr>
        <w:ind w:right="20" w:firstLine="315"/>
        <w:spacing w:after="0" w:line="18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4"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0"/>
          <w:szCs w:val="20"/>
          <w:color w:val="auto"/>
        </w:rPr>
      </w:pPr>
    </w:p>
    <w:p>
      <w:pPr>
        <w:ind w:firstLine="315"/>
        <w:spacing w:after="0"/>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October 16, 2020 as reported by the Nasdaq Global Select Market on such date was approximately $731.4 million. The registrant has elected to use October 16, 2020, which was the initial trading date on the Nasdaq Global Select Market, as the calculation date because on June 30, 2020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1, 2021, the registrant had 38,579,115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706120</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198120</wp:posOffset>
            </wp:positionV>
            <wp:extent cx="7127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165100</wp:posOffset>
            </wp:positionV>
            <wp:extent cx="7127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ectPr>
          <w:pgSz w:w="11900" w:h="16838" w:orient="portrait"/>
          <w:cols w:equalWidth="0" w:num="1">
            <w:col w:w="11200"/>
          </w:cols>
          <w:pgMar w:left="320" w:top="377" w:right="3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160" w:type="dxa"/>
            <w:vAlign w:val="bottom"/>
          </w:tcPr>
          <w:p>
            <w:pPr>
              <w:ind w:left="4680"/>
              <w:spacing w:after="0"/>
              <w:rPr>
                <w:sz w:val="20"/>
                <w:szCs w:val="20"/>
                <w:color w:val="auto"/>
              </w:rPr>
            </w:pPr>
            <w:r>
              <w:rPr>
                <w:rFonts w:ascii="Arial" w:cs="Arial" w:eastAsia="Arial" w:hAnsi="Arial"/>
                <w:sz w:val="17"/>
                <w:szCs w:val="17"/>
                <w:b w:val="1"/>
                <w:bCs w:val="1"/>
                <w:color w:val="auto"/>
              </w:rPr>
              <w:t>TABLE OF CONTENTS</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08"/>
        </w:trPr>
        <w:tc>
          <w:tcPr>
            <w:tcW w:w="10160" w:type="dxa"/>
            <w:vAlign w:val="bottom"/>
          </w:tcPr>
          <w:p>
            <w:pPr>
              <w:ind w:left="2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Part I</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Item 1. Business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7</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Item 1A. Risk Factors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67</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21">
              <w:r>
                <w:rPr>
                  <w:rFonts w:ascii="Arial" w:cs="Arial" w:eastAsia="Arial" w:hAnsi="Arial"/>
                  <w:sz w:val="17"/>
                  <w:szCs w:val="17"/>
                  <w:u w:val="single" w:color="auto"/>
                  <w:color w:val="0000FF"/>
                </w:rPr>
                <w:t>Item 1B. Unresolved Staff Comments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21">
              <w:r>
                <w:rPr>
                  <w:rFonts w:ascii="Arial" w:cs="Arial" w:eastAsia="Arial" w:hAnsi="Arial"/>
                  <w:sz w:val="17"/>
                  <w:szCs w:val="17"/>
                  <w:u w:val="single" w:color="auto"/>
                  <w:color w:val="0000FF"/>
                </w:rPr>
                <w:t>121</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21">
              <w:r>
                <w:rPr>
                  <w:rFonts w:ascii="Arial" w:cs="Arial" w:eastAsia="Arial" w:hAnsi="Arial"/>
                  <w:sz w:val="17"/>
                  <w:szCs w:val="17"/>
                  <w:u w:val="single" w:color="auto"/>
                  <w:color w:val="0000FF"/>
                </w:rPr>
                <w:t>Item 2. Properties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21">
              <w:r>
                <w:rPr>
                  <w:rFonts w:ascii="Arial" w:cs="Arial" w:eastAsia="Arial" w:hAnsi="Arial"/>
                  <w:sz w:val="17"/>
                  <w:szCs w:val="17"/>
                  <w:u w:val="single" w:color="auto"/>
                  <w:color w:val="0000FF"/>
                </w:rPr>
                <w:t>122</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22">
              <w:r>
                <w:rPr>
                  <w:rFonts w:ascii="Arial" w:cs="Arial" w:eastAsia="Arial" w:hAnsi="Arial"/>
                  <w:sz w:val="17"/>
                  <w:szCs w:val="17"/>
                  <w:u w:val="single" w:color="auto"/>
                  <w:color w:val="0000FF"/>
                </w:rPr>
                <w:t>Item 3. Legal Proceedings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22">
              <w:r>
                <w:rPr>
                  <w:rFonts w:ascii="Arial" w:cs="Arial" w:eastAsia="Arial" w:hAnsi="Arial"/>
                  <w:sz w:val="17"/>
                  <w:szCs w:val="17"/>
                  <w:u w:val="single" w:color="auto"/>
                  <w:color w:val="0000FF"/>
                </w:rPr>
                <w:t>122</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22">
              <w:r>
                <w:rPr>
                  <w:rFonts w:ascii="Arial" w:cs="Arial" w:eastAsia="Arial" w:hAnsi="Arial"/>
                  <w:sz w:val="17"/>
                  <w:szCs w:val="17"/>
                  <w:u w:val="single" w:color="auto"/>
                  <w:color w:val="0000FF"/>
                </w:rPr>
                <w:t>Item 4. Mine Safety Disclosures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22">
              <w:r>
                <w:rPr>
                  <w:rFonts w:ascii="Arial" w:cs="Arial" w:eastAsia="Arial" w:hAnsi="Arial"/>
                  <w:sz w:val="17"/>
                  <w:szCs w:val="17"/>
                  <w:u w:val="single" w:color="auto"/>
                  <w:color w:val="0000FF"/>
                </w:rPr>
                <w:t>122</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0"/>
              <w:spacing w:after="0"/>
              <w:rPr>
                <w:rFonts w:ascii="Arial" w:cs="Arial" w:eastAsia="Arial" w:hAnsi="Arial"/>
                <w:sz w:val="17"/>
                <w:szCs w:val="17"/>
                <w:u w:val="single" w:color="auto"/>
                <w:color w:val="0000FF"/>
              </w:rPr>
            </w:pPr>
            <w:hyperlink w:anchor="page122">
              <w:r>
                <w:rPr>
                  <w:rFonts w:ascii="Arial" w:cs="Arial" w:eastAsia="Arial" w:hAnsi="Arial"/>
                  <w:sz w:val="17"/>
                  <w:szCs w:val="17"/>
                  <w:u w:val="single" w:color="auto"/>
                  <w:color w:val="0000FF"/>
                </w:rPr>
                <w:t>Part II</w:t>
              </w:r>
            </w:hyperlink>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23">
              <w:r>
                <w:rPr>
                  <w:rFonts w:ascii="Arial" w:cs="Arial" w:eastAsia="Arial" w:hAnsi="Arial"/>
                  <w:sz w:val="17"/>
                  <w:szCs w:val="17"/>
                  <w:u w:val="single" w:color="auto"/>
                  <w:color w:val="0000FF"/>
                </w:rPr>
                <w:t>Item 5. Market for Registrant's Common Equity, Related Stockholder Matters and Issuer Purchases of Equity Securities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23">
              <w:r>
                <w:rPr>
                  <w:rFonts w:ascii="Arial" w:cs="Arial" w:eastAsia="Arial" w:hAnsi="Arial"/>
                  <w:sz w:val="17"/>
                  <w:szCs w:val="17"/>
                  <w:u w:val="single" w:color="auto"/>
                  <w:color w:val="0000FF"/>
                </w:rPr>
                <w:t>123</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24">
              <w:r>
                <w:rPr>
                  <w:rFonts w:ascii="Arial" w:cs="Arial" w:eastAsia="Arial" w:hAnsi="Arial"/>
                  <w:sz w:val="17"/>
                  <w:szCs w:val="17"/>
                  <w:u w:val="single" w:color="auto"/>
                  <w:color w:val="0000FF"/>
                </w:rPr>
                <w:t>Item 6. Selected Financial Data</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24">
              <w:r>
                <w:rPr>
                  <w:rFonts w:ascii="Arial" w:cs="Arial" w:eastAsia="Arial" w:hAnsi="Arial"/>
                  <w:sz w:val="17"/>
                  <w:szCs w:val="17"/>
                  <w:u w:val="single" w:color="auto"/>
                  <w:color w:val="0000FF"/>
                </w:rPr>
                <w:t>124</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Item 7. Management's Discussion and Analysis of Financial Condition and results of Operations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138</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Item 7A. Quantitative and Qualitative Disclosures About Market Risk</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138</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Item 8. Financial Statements and Supplementary Data</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139</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70">
              <w:r>
                <w:rPr>
                  <w:rFonts w:ascii="Arial" w:cs="Arial" w:eastAsia="Arial" w:hAnsi="Arial"/>
                  <w:sz w:val="17"/>
                  <w:szCs w:val="17"/>
                  <w:u w:val="single" w:color="auto"/>
                  <w:color w:val="0000FF"/>
                </w:rPr>
                <w:t>Item 9. Changes in and Disagreements with Accountants on Accounting and Financial Disclosure</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70">
              <w:r>
                <w:rPr>
                  <w:rFonts w:ascii="Arial" w:cs="Arial" w:eastAsia="Arial" w:hAnsi="Arial"/>
                  <w:sz w:val="17"/>
                  <w:szCs w:val="17"/>
                  <w:u w:val="single" w:color="auto"/>
                  <w:color w:val="0000FF"/>
                </w:rPr>
                <w:t>171</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71">
              <w:r>
                <w:rPr>
                  <w:rFonts w:ascii="Arial" w:cs="Arial" w:eastAsia="Arial" w:hAnsi="Arial"/>
                  <w:sz w:val="17"/>
                  <w:szCs w:val="17"/>
                  <w:u w:val="single" w:color="auto"/>
                  <w:color w:val="0000FF"/>
                </w:rPr>
                <w:t>Item 9A. Controls and Procedures</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71">
              <w:r>
                <w:rPr>
                  <w:rFonts w:ascii="Arial" w:cs="Arial" w:eastAsia="Arial" w:hAnsi="Arial"/>
                  <w:sz w:val="17"/>
                  <w:szCs w:val="17"/>
                  <w:u w:val="single" w:color="auto"/>
                  <w:color w:val="0000FF"/>
                </w:rPr>
                <w:t>171</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71">
              <w:r>
                <w:rPr>
                  <w:rFonts w:ascii="Arial" w:cs="Arial" w:eastAsia="Arial" w:hAnsi="Arial"/>
                  <w:sz w:val="17"/>
                  <w:szCs w:val="17"/>
                  <w:u w:val="single" w:color="auto"/>
                  <w:color w:val="0000FF"/>
                </w:rPr>
                <w:t>Item 9B. Other Information</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71">
              <w:r>
                <w:rPr>
                  <w:rFonts w:ascii="Arial" w:cs="Arial" w:eastAsia="Arial" w:hAnsi="Arial"/>
                  <w:sz w:val="17"/>
                  <w:szCs w:val="17"/>
                  <w:u w:val="single" w:color="auto"/>
                  <w:color w:val="0000FF"/>
                </w:rPr>
                <w:t>171</w:t>
              </w:r>
            </w:hyperlink>
          </w:p>
        </w:tc>
        <w:tc>
          <w:tcPr>
            <w:tcW w:w="20" w:type="dxa"/>
            <w:vAlign w:val="bottom"/>
          </w:tcPr>
          <w:p>
            <w:pPr>
              <w:spacing w:after="0"/>
              <w:rPr>
                <w:sz w:val="19"/>
                <w:szCs w:val="19"/>
                <w:color w:val="auto"/>
              </w:rPr>
            </w:pPr>
          </w:p>
        </w:tc>
      </w:tr>
      <w:tr>
        <w:trPr>
          <w:trHeight w:val="223"/>
        </w:trPr>
        <w:tc>
          <w:tcPr>
            <w:tcW w:w="10160" w:type="dxa"/>
            <w:vAlign w:val="bottom"/>
          </w:tcPr>
          <w:p>
            <w:pPr>
              <w:ind w:left="20"/>
              <w:spacing w:after="0"/>
              <w:rPr>
                <w:rFonts w:ascii="Arial" w:cs="Arial" w:eastAsia="Arial" w:hAnsi="Arial"/>
                <w:sz w:val="17"/>
                <w:szCs w:val="17"/>
                <w:u w:val="single" w:color="auto"/>
                <w:color w:val="0000FF"/>
              </w:rPr>
            </w:pPr>
            <w:hyperlink w:anchor="page171">
              <w:r>
                <w:rPr>
                  <w:rFonts w:ascii="Arial" w:cs="Arial" w:eastAsia="Arial" w:hAnsi="Arial"/>
                  <w:sz w:val="17"/>
                  <w:szCs w:val="17"/>
                  <w:u w:val="single" w:color="auto"/>
                  <w:color w:val="0000FF"/>
                </w:rPr>
                <w:t>Part III</w:t>
              </w:r>
            </w:hyperlink>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72">
              <w:r>
                <w:rPr>
                  <w:rFonts w:ascii="Arial" w:cs="Arial" w:eastAsia="Arial" w:hAnsi="Arial"/>
                  <w:sz w:val="17"/>
                  <w:szCs w:val="17"/>
                  <w:u w:val="single" w:color="auto"/>
                  <w:color w:val="0000FF"/>
                </w:rPr>
                <w:t>Item 10. Directors, Executive Officers and Corporate Governance</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72">
              <w:r>
                <w:rPr>
                  <w:rFonts w:ascii="Arial" w:cs="Arial" w:eastAsia="Arial" w:hAnsi="Arial"/>
                  <w:sz w:val="17"/>
                  <w:szCs w:val="17"/>
                  <w:u w:val="single" w:color="auto"/>
                  <w:color w:val="0000FF"/>
                </w:rPr>
                <w:t>172</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77">
              <w:r>
                <w:rPr>
                  <w:rFonts w:ascii="Arial" w:cs="Arial" w:eastAsia="Arial" w:hAnsi="Arial"/>
                  <w:sz w:val="17"/>
                  <w:szCs w:val="17"/>
                  <w:u w:val="single" w:color="auto"/>
                  <w:color w:val="0000FF"/>
                </w:rPr>
                <w:t>Item 11. Executive Compensation</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77">
              <w:r>
                <w:rPr>
                  <w:rFonts w:ascii="Arial" w:cs="Arial" w:eastAsia="Arial" w:hAnsi="Arial"/>
                  <w:sz w:val="17"/>
                  <w:szCs w:val="17"/>
                  <w:u w:val="single" w:color="auto"/>
                  <w:color w:val="0000FF"/>
                </w:rPr>
                <w:t>177</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Item 12. Security Ownership of Certain Beneficial Owners and Management and Related Stockholder Matters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88">
              <w:r>
                <w:rPr>
                  <w:rFonts w:ascii="Arial" w:cs="Arial" w:eastAsia="Arial" w:hAnsi="Arial"/>
                  <w:sz w:val="17"/>
                  <w:szCs w:val="17"/>
                  <w:u w:val="single" w:color="auto"/>
                  <w:color w:val="0000FF"/>
                </w:rPr>
                <w:t>188</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91">
              <w:r>
                <w:rPr>
                  <w:rFonts w:ascii="Arial" w:cs="Arial" w:eastAsia="Arial" w:hAnsi="Arial"/>
                  <w:sz w:val="17"/>
                  <w:szCs w:val="17"/>
                  <w:u w:val="single" w:color="auto"/>
                  <w:color w:val="0000FF"/>
                </w:rPr>
                <w:t>Item 13. Certain Relationships and Related Transactions, and Director Independence</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91">
              <w:r>
                <w:rPr>
                  <w:rFonts w:ascii="Arial" w:cs="Arial" w:eastAsia="Arial" w:hAnsi="Arial"/>
                  <w:sz w:val="17"/>
                  <w:szCs w:val="17"/>
                  <w:u w:val="single" w:color="auto"/>
                  <w:color w:val="0000FF"/>
                </w:rPr>
                <w:t>191</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96">
              <w:r>
                <w:rPr>
                  <w:rFonts w:ascii="Arial" w:cs="Arial" w:eastAsia="Arial" w:hAnsi="Arial"/>
                  <w:sz w:val="17"/>
                  <w:szCs w:val="17"/>
                  <w:u w:val="single" w:color="auto"/>
                  <w:color w:val="0000FF"/>
                </w:rPr>
                <w:t>Item 14. Principal Accounting Fees and Services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96">
              <w:r>
                <w:rPr>
                  <w:rFonts w:ascii="Arial" w:cs="Arial" w:eastAsia="Arial" w:hAnsi="Arial"/>
                  <w:sz w:val="17"/>
                  <w:szCs w:val="17"/>
                  <w:u w:val="single" w:color="auto"/>
                  <w:color w:val="0000FF"/>
                </w:rPr>
                <w:t>196</w:t>
              </w:r>
            </w:hyperlink>
          </w:p>
        </w:tc>
        <w:tc>
          <w:tcPr>
            <w:tcW w:w="20" w:type="dxa"/>
            <w:vAlign w:val="bottom"/>
          </w:tcPr>
          <w:p>
            <w:pPr>
              <w:spacing w:after="0"/>
              <w:rPr>
                <w:sz w:val="19"/>
                <w:szCs w:val="19"/>
                <w:color w:val="auto"/>
              </w:rPr>
            </w:pPr>
          </w:p>
        </w:tc>
      </w:tr>
      <w:tr>
        <w:trPr>
          <w:trHeight w:val="223"/>
        </w:trPr>
        <w:tc>
          <w:tcPr>
            <w:tcW w:w="10160" w:type="dxa"/>
            <w:vAlign w:val="bottom"/>
          </w:tcPr>
          <w:p>
            <w:pPr>
              <w:ind w:left="20"/>
              <w:spacing w:after="0"/>
              <w:rPr>
                <w:rFonts w:ascii="Arial" w:cs="Arial" w:eastAsia="Arial" w:hAnsi="Arial"/>
                <w:sz w:val="17"/>
                <w:szCs w:val="17"/>
                <w:u w:val="single" w:color="auto"/>
                <w:color w:val="0000FF"/>
              </w:rPr>
            </w:pPr>
            <w:hyperlink w:anchor="page197">
              <w:r>
                <w:rPr>
                  <w:rFonts w:ascii="Arial" w:cs="Arial" w:eastAsia="Arial" w:hAnsi="Arial"/>
                  <w:sz w:val="17"/>
                  <w:szCs w:val="17"/>
                  <w:u w:val="single" w:color="auto"/>
                  <w:color w:val="0000FF"/>
                </w:rPr>
                <w:t>Part IV</w:t>
              </w:r>
            </w:hyperlink>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20"/>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Item 15. Exhibits, Financial Statement Schedules</w:t>
              </w:r>
            </w:hyperlink>
          </w:p>
        </w:tc>
        <w:tc>
          <w:tcPr>
            <w:tcW w:w="1060" w:type="dxa"/>
            <w:vAlign w:val="bottom"/>
            <w:shd w:val="clear" w:color="auto" w:fill="CCEEFF"/>
          </w:tcPr>
          <w:p>
            <w:pPr>
              <w:jc w:val="right"/>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198</w:t>
              </w:r>
            </w:hyperlink>
          </w:p>
        </w:tc>
        <w:tc>
          <w:tcPr>
            <w:tcW w:w="20" w:type="dxa"/>
            <w:vAlign w:val="bottom"/>
          </w:tcPr>
          <w:p>
            <w:pPr>
              <w:spacing w:after="0"/>
              <w:rPr>
                <w:sz w:val="19"/>
                <w:szCs w:val="19"/>
                <w:color w:val="auto"/>
              </w:rPr>
            </w:pPr>
          </w:p>
        </w:tc>
      </w:tr>
      <w:tr>
        <w:trPr>
          <w:trHeight w:val="223"/>
        </w:trPr>
        <w:tc>
          <w:tcPr>
            <w:tcW w:w="10160" w:type="dxa"/>
            <w:vAlign w:val="bottom"/>
          </w:tcPr>
          <w:p>
            <w:pPr>
              <w:ind w:left="220"/>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Item 16. Form 10-K Summary</w:t>
              </w:r>
            </w:hyperlink>
          </w:p>
        </w:tc>
        <w:tc>
          <w:tcPr>
            <w:tcW w:w="1060" w:type="dxa"/>
            <w:vAlign w:val="bottom"/>
          </w:tcPr>
          <w:p>
            <w:pPr>
              <w:jc w:val="right"/>
              <w:spacing w:after="0"/>
              <w:rPr>
                <w:rFonts w:ascii="Arial" w:cs="Arial" w:eastAsia="Arial" w:hAnsi="Arial"/>
                <w:sz w:val="17"/>
                <w:szCs w:val="17"/>
                <w:u w:val="single" w:color="auto"/>
                <w:color w:val="0000FF"/>
              </w:rPr>
            </w:pPr>
            <w:hyperlink w:anchor="page198">
              <w:r>
                <w:rPr>
                  <w:rFonts w:ascii="Arial" w:cs="Arial" w:eastAsia="Arial" w:hAnsi="Arial"/>
                  <w:sz w:val="17"/>
                  <w:szCs w:val="17"/>
                  <w:u w:val="single" w:color="auto"/>
                  <w:color w:val="0000FF"/>
                </w:rPr>
                <w:t>199</w:t>
              </w:r>
            </w:hyperlink>
          </w:p>
        </w:tc>
        <w:tc>
          <w:tcPr>
            <w:tcW w:w="20" w:type="dxa"/>
            <w:vAlign w:val="bottom"/>
          </w:tcPr>
          <w:p>
            <w:pPr>
              <w:spacing w:after="0"/>
              <w:rPr>
                <w:sz w:val="19"/>
                <w:szCs w:val="19"/>
                <w:color w:val="auto"/>
              </w:rPr>
            </w:pPr>
          </w:p>
        </w:tc>
      </w:tr>
      <w:tr>
        <w:trPr>
          <w:trHeight w:val="223"/>
        </w:trPr>
        <w:tc>
          <w:tcPr>
            <w:tcW w:w="10160" w:type="dxa"/>
            <w:vAlign w:val="bottom"/>
            <w:shd w:val="clear" w:color="auto" w:fill="CCEEFF"/>
          </w:tcPr>
          <w:p>
            <w:pPr>
              <w:ind w:left="20"/>
              <w:spacing w:after="0"/>
              <w:rPr>
                <w:rFonts w:ascii="Arial" w:cs="Arial" w:eastAsia="Arial" w:hAnsi="Arial"/>
                <w:sz w:val="17"/>
                <w:szCs w:val="17"/>
                <w:u w:val="single" w:color="auto"/>
                <w:color w:val="0000FF"/>
              </w:rPr>
            </w:pPr>
            <w:hyperlink w:anchor="page201">
              <w:r>
                <w:rPr>
                  <w:rFonts w:ascii="Arial" w:cs="Arial" w:eastAsia="Arial" w:hAnsi="Arial"/>
                  <w:sz w:val="17"/>
                  <w:szCs w:val="17"/>
                  <w:u w:val="single" w:color="auto"/>
                  <w:color w:val="0000FF"/>
                </w:rPr>
                <w:t>Signatures</w:t>
              </w:r>
            </w:hyperlink>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409"/>
        </w:trPr>
        <w:tc>
          <w:tcPr>
            <w:tcW w:w="10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AND OTHER RISKS ASSOCIATED WITH OUR BUSINESS</w:t>
      </w:r>
    </w:p>
    <w:p>
      <w:pPr>
        <w:spacing w:after="0" w:line="272" w:lineRule="exact"/>
        <w:rPr>
          <w:sz w:val="20"/>
          <w:szCs w:val="20"/>
          <w:color w:val="auto"/>
        </w:rPr>
      </w:pPr>
    </w:p>
    <w:p>
      <w:pPr>
        <w:ind w:left="640" w:right="2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we have incurred significant losses since our inception. We anticipate that we will continue to incur significant losses for the foreseeable future.</w:t>
      </w:r>
    </w:p>
    <w:p>
      <w:pPr>
        <w:spacing w:after="0" w:line="181"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07" w:lineRule="exact"/>
        <w:rPr>
          <w:rFonts w:ascii="Arial" w:cs="Arial" w:eastAsia="Arial" w:hAnsi="Arial"/>
          <w:sz w:val="17"/>
          <w:szCs w:val="17"/>
          <w:color w:val="auto"/>
        </w:rPr>
      </w:pPr>
    </w:p>
    <w:p>
      <w:pPr>
        <w:ind w:left="640" w:right="340" w:hanging="320"/>
        <w:spacing w:after="0" w:line="266"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substantially depends upon the successful development of PRAX-114, PRAX-944 and PRAX-562. If we are unable to obtain regulatory approval for, and successfully commercialize, PRAX-114, PRAX-944 or PRAX-562, our business may be materially harmed.</w:t>
      </w:r>
    </w:p>
    <w:p>
      <w:pPr>
        <w:spacing w:after="0" w:line="215" w:lineRule="exact"/>
        <w:rPr>
          <w:rFonts w:ascii="Arial" w:cs="Arial" w:eastAsia="Arial" w:hAnsi="Arial"/>
          <w:sz w:val="17"/>
          <w:szCs w:val="17"/>
          <w:color w:val="auto"/>
        </w:rPr>
      </w:pPr>
    </w:p>
    <w:p>
      <w:pPr>
        <w:ind w:left="640" w:right="140" w:hanging="320"/>
        <w:spacing w:after="0" w:line="26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 The outcome of preclinical testing and early clinical trials may not be predictive of the success of later clinical trials, and the results of our clinical trials, which to date have primarily been conducted in Australia and New Zealand, may not satisfy the requirements of the FDA or comparable foreign regulatory authorities.</w:t>
      </w:r>
    </w:p>
    <w:p>
      <w:pPr>
        <w:spacing w:after="0" w:line="218"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7"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markets for PRAX-114 for major depressive disorder and perimenopausal disorder, PRAX-944 for essential tremor, PRAX-562 for multiple rare neurological conditions and any other product candidates we may develop may be smaller than we expect.</w:t>
      </w:r>
    </w:p>
    <w:p>
      <w:pPr>
        <w:spacing w:after="0" w:line="207" w:lineRule="exact"/>
        <w:rPr>
          <w:rFonts w:ascii="Arial" w:cs="Arial" w:eastAsia="Arial" w:hAnsi="Arial"/>
          <w:sz w:val="17"/>
          <w:szCs w:val="17"/>
          <w:color w:val="auto"/>
        </w:rPr>
      </w:pPr>
    </w:p>
    <w:p>
      <w:pPr>
        <w:ind w:left="640" w:right="140" w:hanging="320"/>
        <w:spacing w:after="0" w:line="26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18"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207" w:lineRule="exact"/>
        <w:rPr>
          <w:rFonts w:ascii="Arial" w:cs="Arial" w:eastAsia="Arial" w:hAnsi="Arial"/>
          <w:sz w:val="17"/>
          <w:szCs w:val="17"/>
          <w:color w:val="auto"/>
        </w:rPr>
      </w:pPr>
    </w:p>
    <w:p>
      <w:pPr>
        <w:ind w:left="640" w:right="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and may enter into, license or other collaboration agreements that impose certain obligations on us. If we fail to comply with our obligations under such agreements with third parties, we could lose license rights that may be important to our business.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product discovery and development efforts.</w:t>
      </w:r>
    </w:p>
    <w:p>
      <w:pPr>
        <w:spacing w:after="0" w:line="250" w:lineRule="exact"/>
        <w:rPr>
          <w:rFonts w:ascii="Arial" w:cs="Arial" w:eastAsia="Arial" w:hAnsi="Arial"/>
          <w:sz w:val="17"/>
          <w:szCs w:val="17"/>
          <w:color w:val="auto"/>
        </w:rPr>
      </w:pPr>
    </w:p>
    <w:p>
      <w:pPr>
        <w:ind w:left="640" w:right="200" w:hanging="320"/>
        <w:spacing w:after="0" w:line="266"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215"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COVID-19 or a similar pandemic, epidemic or outbreak of an infectious disease in the United States or worldwide may adversely affect our business.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price of our stock may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7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93"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250" w:lineRule="exact"/>
        <w:rPr>
          <w:rFonts w:ascii="Arial" w:cs="Arial" w:eastAsia="Arial" w:hAnsi="Arial"/>
          <w:sz w:val="17"/>
          <w:szCs w:val="17"/>
          <w:color w:val="auto"/>
        </w:rPr>
      </w:pPr>
    </w:p>
    <w:p>
      <w:pPr>
        <w:ind w:left="640" w:right="28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207" w:lineRule="exact"/>
        <w:rPr>
          <w:rFonts w:ascii="Arial" w:cs="Arial" w:eastAsia="Arial" w:hAnsi="Arial"/>
          <w:sz w:val="17"/>
          <w:szCs w:val="17"/>
          <w:color w:val="auto"/>
        </w:rPr>
      </w:pPr>
    </w:p>
    <w:p>
      <w:pPr>
        <w:ind w:left="640" w:right="18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commercialize our products in light of the intellectual property rights of others;</w:t>
      </w:r>
    </w:p>
    <w:p>
      <w:pPr>
        <w:spacing w:after="0" w:line="250"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research, develop and commercialize our product candidates;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and any other approved product;</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50"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JOBS Act, enacted in April 2012, or a smaller reporting company as defined in the Securities Exchange Act of 1934, as amended;</w:t>
      </w:r>
    </w:p>
    <w:p>
      <w:pPr>
        <w:spacing w:after="0" w:line="207"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future impact of it and COVID-19 on our clinical trials, business operations and funding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02"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imbalance. Normal brain function requires a delicate balance of excitation and inhibition in neuronal circuits, which, when dysregulated, can lead to abnormal function and disease. We are applying insights from genetic epilepsies to broader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portfolio, including multiple disclosed programs across CNS disorders, including depression, epilepsy, movement disorders and pain syndromes, with three clinical-stage product candidates. We expect multiple topline clinical trial readouts from all three programs in the next year and anticipate the launch of a new clinical development program in 2021. We intend to develop differentiated therapies that can deliver long-term benefits to human health by meaningfully impacting patients and society.</w:t>
      </w:r>
    </w:p>
    <w:p>
      <w:pPr>
        <w:spacing w:after="0" w:line="198"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Our most advanced clinical program, PRAX-114, is an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preferring positive allosteric modulator, or PAM, for the treatment of patients suffering from major depressive disorder, or MDD, and perimenopausal depression, or PMD. Together, these conditions affect more than 22 million people in the United States, many of whom are not responsive to or are underserved by current treatments. PRAX-114 is under development as a potentially differentiated treatment for a broad MDD population, as both a monotherapy and adjunctive therapy for both acute and maintenance treatment. We believe that PRAX-114 has several advantages relative to currently available therapies and product candidates in the GABA</w:t>
      </w:r>
      <w:r>
        <w:rPr>
          <w:rFonts w:ascii="Arial" w:cs="Arial" w:eastAsia="Arial" w:hAnsi="Arial"/>
          <w:sz w:val="15"/>
          <w:szCs w:val="15"/>
          <w:color w:val="auto"/>
        </w:rPr>
        <w:t>A</w:t>
      </w:r>
      <w:r>
        <w:rPr>
          <w:rFonts w:ascii="Arial" w:cs="Arial" w:eastAsia="Arial" w:hAnsi="Arial"/>
          <w:sz w:val="17"/>
          <w:szCs w:val="17"/>
          <w:color w:val="auto"/>
        </w:rPr>
        <w:t xml:space="preserve"> PAM therapeutic class, including the potential for rapid and durable antidepressant effect across MDD symptoms, a wider therapeutic window, simple nightly dosing with or without a meal via tablet formulation and indication expansion opportunities. We have a multi-cohort, three-part Phase 2a clinical trial ongoing in Australia. Parts A and C of the trial are treating patients with MDD while Part B has focused on patients with PMD. For all parts of the trial, PRAX-114 was generally well-tolerated. In Parts A and C, we observed marked improvements in depression scores in MDD patients within two weeks of treatment that were maintained throughout the treatment period. We expect complete topline data from Part B of the trial in the second half of 2021. In October 2020, we submitted an Investigational New Drug application, or IND, to support the initiation of a Phase 2/3 clinical trial in the United States. At the end of the 30-day review period, the U.S. Food and Drug Administration, or the FDA, notified us that the IND was placed on full clinical hold pending the resolution of certain non-clinical pharmacology and toxicology matters. We subsequently interacted with the FDA to gain agreement on a path to initiate the clinical study, which included a proposal to submit available non-clinical data while other good laboratory practice, or GLP, reproductive toxicology studies were being completed. Based on this submission, the FDA removed the clinical hold in March 2021. We are operationally ready and intend to initiate the Phase 2/3 monotherapy MDD trial by the end of March 2021. If positive, the Phase 2/3 trial is intended to serve as one of two registrational trials required by the FDA to support clinical efficacy for monotherapy treatment of MDD, and we expect topline data in the first half of 2022. In addition to the Phase 2/3 monotherapy trial, we intend to initiate a Phase 2 dose range finding, or DRF, trial for adjunctive treatment of MDD in the third quarter of 2021 to provide controlled data to support advancing a Phase 3 adjunctive MDD trial and will further inform dose selection for the future Phase 3 monotherapy trial.</w:t>
      </w:r>
    </w:p>
    <w:p>
      <w:pPr>
        <w:spacing w:after="0" w:line="200" w:lineRule="exact"/>
        <w:rPr>
          <w:sz w:val="20"/>
          <w:szCs w:val="20"/>
          <w:color w:val="auto"/>
        </w:rPr>
      </w:pPr>
    </w:p>
    <w:p>
      <w:pPr>
        <w:spacing w:after="0" w:line="21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Our second clinical program, PRAX-944, is a potentially differentiated selective small molecule inhibitor of T-type calcium channels for the treatment of Essential Tremor, or ET. ET is a progressive and debilitating movement disorder with action tremor that significantly disrupts activities of daily living, with an estimated prevalence of up to seven million patients in the United States with only one approved pharmacotherapy that is poorly tolerated, resulting in high discontinuation rates. The condition can be debilitating enough that in severe cases, patients opt for invasive brain surgeries when pharmacotherapy fails. Successful development of T-type calcium channel modulators in ET likely requires a pharmacokinetic, or PK, profile with sustained exposure throughout the day and a blunted maximum drug concentration, or Cmax. We believe the therapeutic profile of PRAX-944 coupled with a modified release formulation allows the potential for PRAX-944 to be a differentiated therapy. We have evaluated the safety and tolerability of PRAX-944 in over 150 healthy volunteers in five separate clinical trials. We have studied the safety of PRAX-944 modified release formulation with titration up to 120mg/day and no maximum tolerated dose, or MTD, has been identified. We are currently conducting a Phase 2a proof-of-concept, open-label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trial, in ET patients. Preliminary site data from six participants in the low dose cohort showed tremor reduction, which compares favorably to the standard of care agents and historical placebo response. Based on the observed safety profile in the healthy volunteer titration study and the safety and preliminary efficacy data in ET participants administered up to 40mg daily, we have added a second cohort to the ongoing ET Phase 2a trial where patients will be titrated to a dose of up to120mg/day of PRAX-944. We have also included a randomized, double-blind, placebo-controlled withdrawal phase to this later cohort in the trial, where participants will either be maintained on their final open-label dose or switched to placebo. We plan to announce topline open-label safety, tolerability and efficacy data, for the high dose cohort, in mid-year 2021. In addition, we plan to start a Phase 1 trial to explore short titration schemes by mid-2021 and to initiate a Phase 2b randomized controlled trial in ET in late 2021.</w:t>
      </w:r>
    </w:p>
    <w:p>
      <w:pPr>
        <w:spacing w:after="0" w:line="200" w:lineRule="exact"/>
        <w:rPr>
          <w:sz w:val="20"/>
          <w:szCs w:val="20"/>
          <w:color w:val="auto"/>
        </w:rPr>
      </w:pPr>
    </w:p>
    <w:p>
      <w:pPr>
        <w:spacing w:after="0" w:line="206"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Our most advanced rare disease product candidate and third clinical program, PRAX-562, is the first selective persistent sodium current blocker in development for the treatment of a broad range of rare, devastating CNS disorders, such as severe pediatric epilepsies and rare adult cephalgias. To date, PRAX-562 has demonstrated pharmacological activity in preclinical in-vivo models at generally well-tolerated doses. We initiated a Phase 1 trial of PRAX-562 in Australia to evaluate the safety, tolerability, PK and effects on an exploratory electroencephalography, or EEG, biomarker in up to 129 adult healthy volunteers. The single ascending dose, or SAD, portion up to the maximum planned dose has been completed with no dose limiting toxicities and the study has advanced to the multiple ascending dose, or MAD, phase. We anticipate initiating the first proof-of-concept trial in patients with rare adult cephalgias, including Short-lasting Unilateral Neuralgiform headache attacks with Conjunctival injection and Tearing, or SUNCT, Short-lasting Unilateral Neuralgiform headache with Autonomic symptoms, or SUNA, and Trigeminal Neuralgia, or TN, in the second half of 2021. The scope of the initial study has been expanded to include TN in addition to SUNCT and SUNA. In January 2021, the FDA granted rare pediatric disease designation for PRAX-562 for the treatment of SCN2A and SCN8A developmental epileptic encephalopathies, or SCN2A-DEE and SCN8A-DEE, respectively.</w:t>
      </w:r>
    </w:p>
    <w:p>
      <w:pPr>
        <w:spacing w:after="0" w:line="196" w:lineRule="exact"/>
        <w:rPr>
          <w:sz w:val="20"/>
          <w:szCs w:val="20"/>
          <w:color w:val="auto"/>
        </w:rPr>
      </w:pPr>
    </w:p>
    <w:p>
      <w:pPr>
        <w:ind w:right="200" w:firstLine="433"/>
        <w:spacing w:after="0" w:line="245" w:lineRule="auto"/>
        <w:rPr>
          <w:sz w:val="20"/>
          <w:szCs w:val="20"/>
          <w:color w:val="auto"/>
        </w:rPr>
      </w:pPr>
      <w:r>
        <w:rPr>
          <w:rFonts w:ascii="Arial" w:cs="Arial" w:eastAsia="Arial" w:hAnsi="Arial"/>
          <w:sz w:val="17"/>
          <w:szCs w:val="17"/>
          <w:color w:val="auto"/>
        </w:rPr>
        <w:t>In addition to our clinical programs, our most advanced preclinical stage program is PRAX-222, an antisense oligonucleotide, or ASO, designed to decrease the expression levels of the protein encoded by the gene SCN2A in patients with gain-of-function, or GOF, mutations in epilepsy. The FDA has granted both rare pediatric disease and orphan drug designations for PRAX-222 for the treatment of SCN2A-DEE. We have one disclosed discovery program in development for KCNT1 related epilepsy and in March 2021 we have entered into an innovative research collaboration with The Florey Institute of Neuroscience and Mental Health to develop three additional novel ASOs for the treatment of patients with severe genetic epilepsies, including a novel approach targeting SCN2A loss-of-function, or LOF mutations.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our portfolio of disclosed programs, addressing either broad psychiatric and neurologic conditions or rare diseases.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We own global commercialization rights for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142875</wp:posOffset>
            </wp:positionV>
            <wp:extent cx="5695950" cy="2414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5950" cy="241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86" w:lineRule="exact"/>
        <w:rPr>
          <w:sz w:val="20"/>
          <w:szCs w:val="20"/>
          <w:color w:val="auto"/>
        </w:rPr>
      </w:pPr>
    </w:p>
    <w:p>
      <w:pPr>
        <w:ind w:right="140" w:firstLine="5"/>
        <w:spacing w:after="0" w:line="209" w:lineRule="auto"/>
        <w:tabs>
          <w:tab w:leader="none" w:pos="157" w:val="left"/>
        </w:tabs>
        <w:numPr>
          <w:ilvl w:val="0"/>
          <w:numId w:val="6"/>
        </w:numPr>
        <w:rPr>
          <w:rFonts w:ascii="Arial" w:cs="Arial" w:eastAsia="Arial" w:hAnsi="Arial"/>
          <w:sz w:val="21"/>
          <w:szCs w:val="21"/>
          <w:color w:val="auto"/>
        </w:rPr>
      </w:pPr>
      <w:r>
        <w:rPr>
          <w:rFonts w:ascii="Arial" w:cs="Arial" w:eastAsia="Arial" w:hAnsi="Arial"/>
          <w:sz w:val="14"/>
          <w:szCs w:val="14"/>
          <w:color w:val="auto"/>
        </w:rPr>
        <w:t>PRAX-222 is a collaboration with Ionis Pharmaceuticals, or Ionis, and RogCon Inc. Ionis is eligible to receive royalties as a percentage of net product sales worldwide in the low-20s.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Our company was founded by scientific innovators Kiran Reddy, M.D., David Goldstein, Ph.D. and Steven Petrou, Ph.D., who have pioneered work to identify and characterize de novo mutations in several dozen genes believed to cause a number of forms of severe pediatric epilepsies. These genes regulate key neuronal circuits in the brain which, when dysregulated, can result in severe seizure phenotypes as well as comorbid developmental delays, cognitive deficits, sensory-motor issues and often early death. Further, based on our understanding of a body of preclinical and clinical evidence, we now believe that these genes also play critical roles in the predisposition to other more prevalent neurologic and psychiatric disorders, such as mood disorders, movement disorders, pain syndromes, autism, migraine and schizophrenia, making them attractive targets for therapeutic intervention for a wide range of CNS disorders.</w:t>
      </w:r>
    </w:p>
    <w:p>
      <w:pPr>
        <w:spacing w:after="0" w:line="196"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have attracted a talented team of scientists and researchers in genetics and biology, chemistry and translational medicine as well as business leaders with established track records of successfully executing innovative drug discovery and development programs. Our Chief Executive Officer, Marcio Souza, previously served as Chief Operating Officer at PTC Therapeutics, Inc. and was instrumental in the development and commercialization of multiple approved products while at NPS Pharmaceuticals, Inc., Shire Human Genetic Therapies Inc. and Sanofi Genzyme Corporation. Our Chief Medical Officer, Bernard Ravina, M.D., previously Chief Medical Officer at Voyager Therapeutics, Inc., is a neurologist and movement disorder specialist who brings decades of neurologic drug development experience from roles at Biogen, the University of Rochester and the NIH’s Institute of Neurological Disorders and Stroke.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02"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Each of our programs is based on four key principles that we believe will both increase the probability of success and allow us to efficiently translate insights into high-impact therapies for patients and society:</w:t>
      </w:r>
    </w:p>
    <w:p>
      <w:pPr>
        <w:spacing w:after="0" w:line="188" w:lineRule="exact"/>
        <w:rPr>
          <w:sz w:val="20"/>
          <w:szCs w:val="20"/>
          <w:color w:val="auto"/>
        </w:rPr>
      </w:pPr>
    </w:p>
    <w:p>
      <w:pPr>
        <w:ind w:left="800" w:hanging="323"/>
        <w:spacing w:after="0" w:line="264" w:lineRule="auto"/>
        <w:tabs>
          <w:tab w:leader="none" w:pos="788" w:val="left"/>
        </w:tabs>
        <w:numPr>
          <w:ilvl w:val="0"/>
          <w:numId w:val="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Numerous CNS disorders are caused by an imbalance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excitation and inhibition in neuronal circuitry. By applying insights derived from the genetics of pediatric epilepsies, we have identified biological targets that we believe are implicated in determining neuronal excitability, not only in epilepsies, but also in a variety of more prevalent CNS disorders. For example, human genetics points to the relevance of the GABAergic system where mutations in GABA</w:t>
      </w:r>
      <w:r>
        <w:rPr>
          <w:rFonts w:ascii="Arial" w:cs="Arial" w:eastAsia="Arial" w:hAnsi="Arial"/>
          <w:sz w:val="15"/>
          <w:szCs w:val="15"/>
          <w:color w:val="auto"/>
        </w:rPr>
        <w:t>A</w:t>
      </w:r>
      <w:r>
        <w:rPr>
          <w:rFonts w:ascii="Arial" w:cs="Arial" w:eastAsia="Arial" w:hAnsi="Arial"/>
          <w:sz w:val="17"/>
          <w:szCs w:val="17"/>
          <w:color w:val="auto"/>
        </w:rPr>
        <w:t xml:space="preserve"> receptors are associated with a number of rare pediatric epilepsies. The GABAergic system is also implicated in MDD, where enhancing GABA</w:t>
      </w:r>
      <w:r>
        <w:rPr>
          <w:rFonts w:ascii="Arial" w:cs="Arial" w:eastAsia="Arial" w:hAnsi="Arial"/>
          <w:sz w:val="15"/>
          <w:szCs w:val="15"/>
          <w:color w:val="auto"/>
        </w:rPr>
        <w:t>A</w:t>
      </w:r>
      <w:r>
        <w:rPr>
          <w:rFonts w:ascii="Arial" w:cs="Arial" w:eastAsia="Arial" w:hAnsi="Arial"/>
          <w:sz w:val="17"/>
          <w:szCs w:val="17"/>
          <w:color w:val="auto"/>
        </w:rPr>
        <w:t xml:space="preserve"> activity is believed to be beneficial. As our understanding of the genetic underpinning of these disorders evolves, we plan to continually apply learnings to expand and advance our portfolio.</w:t>
      </w:r>
    </w:p>
    <w:p>
      <w:pPr>
        <w:spacing w:after="0" w:line="68" w:lineRule="exact"/>
        <w:rPr>
          <w:rFonts w:ascii="Arial" w:cs="Arial" w:eastAsia="Arial" w:hAnsi="Arial"/>
          <w:sz w:val="17"/>
          <w:szCs w:val="17"/>
          <w:i w:val="1"/>
          <w:iCs w:val="1"/>
          <w:color w:val="auto"/>
        </w:rPr>
      </w:pPr>
    </w:p>
    <w:p>
      <w:pPr>
        <w:ind w:left="800" w:right="40" w:hanging="323"/>
        <w:spacing w:after="0" w:line="266" w:lineRule="auto"/>
        <w:tabs>
          <w:tab w:leader="none" w:pos="788" w:val="left"/>
        </w:tabs>
        <w:numPr>
          <w:ilvl w:val="0"/>
          <w:numId w:val="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Utilize translational tools to validate the potential of our targets and product candidates. </w:t>
      </w:r>
      <w:r>
        <w:rPr>
          <w:rFonts w:ascii="Arial" w:cs="Arial" w:eastAsia="Arial" w:hAnsi="Arial"/>
          <w:sz w:val="17"/>
          <w:szCs w:val="17"/>
          <w:color w:val="auto"/>
        </w:rPr>
        <w:t>We leverage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translational tools to both confirm pharmacodynamic effects of our product candidates in the brain and establish on-mechanism effects, which we believe will result in an increased probability of success in the clinic. Our programs utilize target-specific EEG endpoints to serve as robust markers of pharmacological engagement of the drug target and novel transgenic animal models to assess the therapeutic activity of our molecules. We expect these tools, along with rigorous preclinical PK and pharmacodynamic characterization of our molecules will position us to more efficiently translate preclinical findings into clinical utility.</w:t>
      </w:r>
    </w:p>
    <w:p>
      <w:pPr>
        <w:spacing w:after="0" w:line="63" w:lineRule="exact"/>
        <w:rPr>
          <w:rFonts w:ascii="Arial" w:cs="Arial" w:eastAsia="Arial" w:hAnsi="Arial"/>
          <w:sz w:val="17"/>
          <w:szCs w:val="17"/>
          <w:i w:val="1"/>
          <w:iCs w:val="1"/>
          <w:color w:val="auto"/>
        </w:rPr>
      </w:pPr>
    </w:p>
    <w:p>
      <w:pPr>
        <w:ind w:left="800" w:right="120" w:hanging="323"/>
        <w:spacing w:after="0" w:line="264" w:lineRule="auto"/>
        <w:tabs>
          <w:tab w:leader="none" w:pos="788" w:val="left"/>
        </w:tabs>
        <w:numPr>
          <w:ilvl w:val="0"/>
          <w:numId w:val="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Pursue efficient, rigorous clinical development paths to proof-of-concept in humans</w:t>
      </w:r>
      <w:r>
        <w:rPr>
          <w:rFonts w:ascii="Arial" w:cs="Arial" w:eastAsia="Arial" w:hAnsi="Arial"/>
          <w:sz w:val="17"/>
          <w:szCs w:val="17"/>
          <w:color w:val="auto"/>
        </w:rPr>
        <w:t>. Our development strategies are focused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defining efficient paths to demonstrate the safety and therapeutic activity of our programs in humans. We select indications that we believe will enable the early demonstration of desired effect in a relatively small patient sample and we focus on clinical endpoints that both minimize inter-patient variability and offer a clear connection between pharmacodynamic effects and clinical measures that are meaningful to patients, physicians and regulatory agencies. Our global network of contract research organizations, or CROs, and scientists affords us the flexibility to conduct research and development activities in diverse geographic locations to accelerate our development timelines and limit geographic risks.</w:t>
      </w:r>
    </w:p>
    <w:p>
      <w:pPr>
        <w:spacing w:after="0" w:line="68" w:lineRule="exact"/>
        <w:rPr>
          <w:rFonts w:ascii="Arial" w:cs="Arial" w:eastAsia="Arial" w:hAnsi="Arial"/>
          <w:sz w:val="17"/>
          <w:szCs w:val="17"/>
          <w:i w:val="1"/>
          <w:iCs w:val="1"/>
          <w:color w:val="auto"/>
        </w:rPr>
      </w:pPr>
    </w:p>
    <w:p>
      <w:pPr>
        <w:ind w:left="800" w:right="440" w:hanging="323"/>
        <w:spacing w:after="0" w:line="271" w:lineRule="auto"/>
        <w:tabs>
          <w:tab w:leader="none" w:pos="788" w:val="left"/>
        </w:tabs>
        <w:numPr>
          <w:ilvl w:val="0"/>
          <w:numId w:val="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Apply patient-centric development strategies. </w:t>
      </w:r>
      <w:r>
        <w:rPr>
          <w:rFonts w:ascii="Arial" w:cs="Arial" w:eastAsia="Arial" w:hAnsi="Arial"/>
          <w:sz w:val="17"/>
          <w:szCs w:val="17"/>
          <w:color w:val="auto"/>
        </w:rPr>
        <w:t>We pursue the development of candidates that address the treatment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and the treating community, including targeting the underlying disease pathology versus just symptom management. We intend to develop therapies that provide patients long-term relief from their disorders and significantly reduce the overall burden to patients and caregivers. Our development strategies are tailored to demonstrate these benefits.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40" w:firstLine="433"/>
        <w:spacing w:after="0" w:line="275" w:lineRule="auto"/>
        <w:rPr>
          <w:sz w:val="20"/>
          <w:szCs w:val="20"/>
          <w:color w:val="auto"/>
        </w:rPr>
      </w:pPr>
      <w:r>
        <w:rPr>
          <w:rFonts w:ascii="Arial" w:cs="Arial" w:eastAsia="Arial" w:hAnsi="Arial"/>
          <w:sz w:val="17"/>
          <w:szCs w:val="17"/>
          <w:color w:val="auto"/>
        </w:rPr>
        <w:t>Our goal is to translate genetic insights into high-impact therapies for millions of people suffering from CNS disorders characterized by imbalance of neuronal excitation-inhibition. Key components of our strategy include:</w:t>
      </w:r>
    </w:p>
    <w:p>
      <w:pPr>
        <w:spacing w:after="0" w:line="159" w:lineRule="exact"/>
        <w:rPr>
          <w:sz w:val="20"/>
          <w:szCs w:val="20"/>
          <w:color w:val="auto"/>
        </w:rPr>
      </w:pPr>
    </w:p>
    <w:p>
      <w:pPr>
        <w:ind w:left="800" w:right="80" w:hanging="323"/>
        <w:spacing w:after="0" w:line="261"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Advance PRAX-114 in MDD and PMD toward regulatory approval and commercialization. </w:t>
      </w:r>
      <w:r>
        <w:rPr>
          <w:rFonts w:ascii="Arial" w:cs="Arial" w:eastAsia="Arial" w:hAnsi="Arial"/>
          <w:sz w:val="17"/>
          <w:szCs w:val="17"/>
          <w:color w:val="auto"/>
        </w:rPr>
        <w:t>PRAX-114 is a potentially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differentiated GABA</w:t>
      </w:r>
      <w:r>
        <w:rPr>
          <w:rFonts w:ascii="Arial" w:cs="Arial" w:eastAsia="Arial" w:hAnsi="Arial"/>
          <w:sz w:val="15"/>
          <w:szCs w:val="15"/>
          <w:color w:val="auto"/>
        </w:rPr>
        <w:t>A</w:t>
      </w:r>
      <w:r>
        <w:rPr>
          <w:rFonts w:ascii="Arial" w:cs="Arial" w:eastAsia="Arial" w:hAnsi="Arial"/>
          <w:sz w:val="17"/>
          <w:szCs w:val="17"/>
          <w:color w:val="auto"/>
        </w:rPr>
        <w:t xml:space="preserve"> receptor PAM currently in Phase 2a development for the treatment of MDD and PMD. We observed marked improvements in depression scores in MDD patients within two weeks of treatment that were maintained throughout the treatment period. We are operationally ready and intend to initiate a Phase 2/3 trial in the United States and Australia by the end of March 2021. If positive, the Phase 2/3 trial in monotherapy MDD is intended to serve as one of two registrational trials required by the FDA to support clinical efficacy for the treatment of MDD, and we expect topline data in the first half of 2022. In addition to the Phase 2/3 monotherapy trial, we intend to initiate a Phase 2 DRF trial for the adjunctive treatment of MDD in the third quarter of 2021 to inform dose selection for Phase 3 monotherapy and provide controlled data to support advancing a Phase 3 adjunctive MDD trial. We are currently conducting a Phase 2a trial in Australia in PMD and expect to announce topline data in the second half of 2021. We intend to develop PRAX-114 in the United States and in other countries as both a monotherapy and adjunctive therapy for MDD and PMD for both acute and maintenance treatment. For a detailed description of the risks related to the development and commercialization of our product candidates, please refer to the section entitled “Risk Factors” in this Annual Report on Form 10-K.</w:t>
      </w:r>
    </w:p>
    <w:p>
      <w:pPr>
        <w:spacing w:after="0" w:line="71" w:lineRule="exact"/>
        <w:rPr>
          <w:rFonts w:ascii="Arial" w:cs="Arial" w:eastAsia="Arial" w:hAnsi="Arial"/>
          <w:sz w:val="17"/>
          <w:szCs w:val="17"/>
          <w:color w:val="auto"/>
        </w:rPr>
      </w:pPr>
    </w:p>
    <w:p>
      <w:pPr>
        <w:ind w:left="800" w:hanging="323"/>
        <w:spacing w:after="0" w:line="245"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Advance PRAX-944 in ET toward regulatory approval and commercialization. </w:t>
      </w:r>
      <w:r>
        <w:rPr>
          <w:rFonts w:ascii="Arial" w:cs="Arial" w:eastAsia="Arial" w:hAnsi="Arial"/>
          <w:sz w:val="17"/>
          <w:szCs w:val="17"/>
          <w:color w:val="auto"/>
        </w:rPr>
        <w:t>PRAX-944 is a potentially differentiated selective</w:t>
      </w:r>
      <w:r>
        <w:rPr>
          <w:rFonts w:ascii="Arial" w:cs="Arial" w:eastAsia="Arial" w:hAnsi="Arial"/>
          <w:sz w:val="17"/>
          <w:szCs w:val="17"/>
          <w:b w:val="1"/>
          <w:bCs w:val="1"/>
          <w:color w:val="auto"/>
        </w:rPr>
        <w:t xml:space="preserve"> </w:t>
      </w:r>
      <w:r>
        <w:rPr>
          <w:rFonts w:ascii="Arial" w:cs="Arial" w:eastAsia="Arial" w:hAnsi="Arial"/>
          <w:sz w:val="17"/>
          <w:szCs w:val="17"/>
          <w:color w:val="auto"/>
        </w:rPr>
        <w:t>small molecule inhibitor of T-type calcium channels in development for ET. During clinical development of PRAX-944, we have evaluated the safety and tolerability of PRAX-944 in over 150 healthy volunteers in five separate clinical trials. We have studied the safety of the PRAX-944 modified release formulation with titration up to 120mg/day and no MTD has been identified. We are currently conducting a Phase 2a proof-of-concept trial in Australia and New Zealand in ET patients. Preliminary site data from six participants of the low dose cohort showed tremor reduction, which seems to compare favorably to the standard of care agents and historical placebo response. Based on the observed safety profile and the ET participants administered up to 40mg daily, we have amended the ongoing ET trial to include a second cohort that will titrate in an open-label fashion up to 120mg daily. We have also included a randomized, double-blind, placebo-controlled withdrawal phase to the trial, where participants will either be maintained on their final open-label dose or switched to placebo. We plan to announce topline open-label safety, tolerability and efficacy data for the high dose cohort in mid-year 2021. In addition, we plan to start a Phase 1 trial to explore short titration schemes in mid-year 2021 and to initiate a Phase 2b randomized control trial in ET in late 2021. For a detailed description of the risks related to the development and commercialization of our product candidates, please refer to the section entitled “Risk Factors” in this Annual Report on Form 10-K.</w:t>
      </w:r>
    </w:p>
    <w:p>
      <w:pPr>
        <w:spacing w:after="0" w:line="199" w:lineRule="exact"/>
        <w:rPr>
          <w:rFonts w:ascii="Arial" w:cs="Arial" w:eastAsia="Arial" w:hAnsi="Arial"/>
          <w:sz w:val="17"/>
          <w:szCs w:val="17"/>
          <w:color w:val="auto"/>
        </w:rPr>
      </w:pPr>
    </w:p>
    <w:p>
      <w:pPr>
        <w:ind w:left="800" w:right="140" w:hanging="323"/>
        <w:spacing w:after="0" w:line="244"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Build a rare disease franchise. </w:t>
      </w:r>
      <w:r>
        <w:rPr>
          <w:rFonts w:ascii="Arial" w:cs="Arial" w:eastAsia="Arial" w:hAnsi="Arial"/>
          <w:sz w:val="17"/>
          <w:szCs w:val="17"/>
          <w:color w:val="auto"/>
        </w:rPr>
        <w:t>We are advancing several programs for patients with rare diseases. We have six rare disease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our pipeline, including PRAX-562, which we believe represents the first selective persistent sodium current blocker in development for the treatment of a number of rare CNS diseases with limited or no treatment options. The current Phase 1 trial has completed the SAD portion up to maximum planned dose, with no dose limiting toxicities, and has advanced to MAD evaluation. We anticipate the initial proof of concept trial in patients to initiate in the second half of 2021. The clinical development plan for PRAX-562 encompasses exploring the broad potential for the mechanism of action in rare diseases through proof-of-concept trials in rare adult cephalgia patients and then expanding into a range of rare pediatric Developmental and Epileptic Encephalopathies, or DEEs. Given the overlapping biology, phenotypic presentation and clinical execution considerations, we believe that we can translate learnings for the treatment of DEEs across our portfolio with thorough knowledge to bring additional treatments to market. Our most advanced pre-clinical program is PRAX-222, an ASO for lowering the expression levels of the protein encoded by the gene SCN2A, in patients with GOF mutations of SCN2A epilepsy. In January 2021, the FDA granted rare pediatric disease designation for PRAX-562 for the treatment of SCN2A-DEE and SCN8A-DEE, and both rare pediatric disease and orphan drug designations for PRAX-222 for the treatment of SCN2A-DEE. Additionally, we have entered into an innovative research collaboration with The Florey Institute of Neuroscience and Mental Health to develop three novel ASOs for the treatment of rare epilepsy targets.</w:t>
      </w:r>
    </w:p>
    <w:p>
      <w:pPr>
        <w:spacing w:after="0" w:line="76" w:lineRule="exact"/>
        <w:rPr>
          <w:rFonts w:ascii="Arial" w:cs="Arial" w:eastAsia="Arial" w:hAnsi="Arial"/>
          <w:sz w:val="17"/>
          <w:szCs w:val="17"/>
          <w:color w:val="auto"/>
        </w:rPr>
      </w:pPr>
    </w:p>
    <w:p>
      <w:pPr>
        <w:ind w:left="800" w:right="100" w:hanging="323"/>
        <w:spacing w:after="0" w:line="280"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Maximize the value of our product candidates through select indication expansion. </w:t>
      </w:r>
      <w:r>
        <w:rPr>
          <w:rFonts w:ascii="Arial" w:cs="Arial" w:eastAsia="Arial" w:hAnsi="Arial"/>
          <w:sz w:val="17"/>
          <w:szCs w:val="17"/>
          <w:color w:val="auto"/>
        </w:rPr>
        <w:t>All of our clinical stage product candidates</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targets with therapeutic potential beyond their lead indications. As these programs advance through the clinic, we will pragmatically evaluate indication expansion and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0" w:right="660"/>
        <w:spacing w:after="0" w:line="275" w:lineRule="auto"/>
        <w:rPr>
          <w:sz w:val="20"/>
          <w:szCs w:val="20"/>
          <w:color w:val="auto"/>
        </w:rPr>
      </w:pPr>
      <w:r>
        <w:rPr>
          <w:rFonts w:ascii="Arial" w:cs="Arial" w:eastAsia="Arial" w:hAnsi="Arial"/>
          <w:sz w:val="17"/>
          <w:szCs w:val="17"/>
          <w:color w:val="auto"/>
        </w:rPr>
        <w:t>consider subsequent clinical development that will expand the labels of our product candidates to encompass other compelling opportunities at a time when we determine to be most efficient.</w:t>
      </w:r>
    </w:p>
    <w:p>
      <w:pPr>
        <w:spacing w:after="0" w:line="55" w:lineRule="exact"/>
        <w:rPr>
          <w:sz w:val="20"/>
          <w:szCs w:val="20"/>
          <w:color w:val="auto"/>
        </w:rPr>
      </w:pPr>
    </w:p>
    <w:p>
      <w:pPr>
        <w:ind w:left="800" w:hanging="323"/>
        <w:spacing w:after="0" w:line="268"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Advance our understanding of genetics and neuronal imbalance to maintain our leadership and continue to build our pipeline. </w:t>
      </w:r>
      <w:r>
        <w:rPr>
          <w:rFonts w:ascii="Arial" w:cs="Arial" w:eastAsia="Arial" w:hAnsi="Arial"/>
          <w:sz w:val="17"/>
          <w:szCs w:val="17"/>
          <w:color w:val="auto"/>
        </w:rPr>
        <w:t>Advances in the field of genetics continue to elucidate new insights into mutations that drive neuronal imbalance. Our team</w:t>
      </w:r>
      <w:r>
        <w:rPr>
          <w:rFonts w:ascii="Arial" w:cs="Arial" w:eastAsia="Arial" w:hAnsi="Arial"/>
          <w:sz w:val="17"/>
          <w:szCs w:val="17"/>
          <w:b w:val="1"/>
          <w:bCs w:val="1"/>
          <w:color w:val="auto"/>
        </w:rPr>
        <w:t xml:space="preserve"> </w:t>
      </w:r>
      <w:r>
        <w:rPr>
          <w:rFonts w:ascii="Arial" w:cs="Arial" w:eastAsia="Arial" w:hAnsi="Arial"/>
          <w:sz w:val="17"/>
          <w:szCs w:val="17"/>
          <w:color w:val="auto"/>
        </w:rPr>
        <w:t>is deeply engaged in these efforts, which we believe will enable us to pursue a pipeline discovery and development strategy grounded in these learnings and coupled with our drug discovery, translational and clinical experience. As our knowledge base continues to grow, we believe our potential to deliver additional differentiated medicines for patients will grow as well.</w:t>
      </w:r>
    </w:p>
    <w:p>
      <w:pPr>
        <w:spacing w:after="0" w:line="62" w:lineRule="exact"/>
        <w:rPr>
          <w:rFonts w:ascii="Arial" w:cs="Arial" w:eastAsia="Arial" w:hAnsi="Arial"/>
          <w:sz w:val="17"/>
          <w:szCs w:val="17"/>
          <w:color w:val="auto"/>
        </w:rPr>
      </w:pPr>
    </w:p>
    <w:p>
      <w:pPr>
        <w:ind w:left="800" w:right="20" w:hanging="323"/>
        <w:spacing w:after="0" w:line="272"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Commercialize our products in the United States and globally. </w:t>
      </w:r>
      <w:r>
        <w:rPr>
          <w:rFonts w:ascii="Arial" w:cs="Arial" w:eastAsia="Arial" w:hAnsi="Arial"/>
          <w:sz w:val="17"/>
          <w:szCs w:val="17"/>
          <w:color w:val="auto"/>
        </w:rPr>
        <w:t>To realize the full potential of our product candidates, we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build a sales and marketing infrastructure to reach prescribers in the United States. In order to capitalize on market opportunities outside the United States, we may pursue collaborations with reputable pharmaceutical companies that have established presences in key geographies.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BROAD PSYCHIATRY AND NEUROLOGY PROGRAMS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PRAX-114</w:t>
      </w:r>
    </w:p>
    <w:p>
      <w:pPr>
        <w:spacing w:after="0" w:line="141" w:lineRule="exact"/>
        <w:rPr>
          <w:sz w:val="20"/>
          <w:szCs w:val="20"/>
          <w:color w:val="auto"/>
        </w:rPr>
      </w:pPr>
    </w:p>
    <w:p>
      <w:pPr>
        <w:ind w:right="60" w:firstLine="433"/>
        <w:spacing w:after="0" w:line="243" w:lineRule="auto"/>
        <w:rPr>
          <w:sz w:val="20"/>
          <w:szCs w:val="20"/>
          <w:color w:val="auto"/>
        </w:rPr>
      </w:pPr>
      <w:r>
        <w:rPr>
          <w:rFonts w:ascii="Arial" w:cs="Arial" w:eastAsia="Arial" w:hAnsi="Arial"/>
          <w:sz w:val="17"/>
          <w:szCs w:val="17"/>
          <w:color w:val="auto"/>
        </w:rPr>
        <w:t>We are developing PRAX-114, an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preferring positive allosteric modulator, or PAM, for the treatment of patients suffering from MDD and PMD. PRAX-114 is a potentially differentiated treatment for a broad MDD population, as both a monotherapy and adjunctive therapy for both acute and maintenance use. We have a multi-cohort, three-part Phase 2a clinical trial ongoing in Australia. We observed marked improvements in depression scores in MDD patients in Parts A and C of this trial within two weeks of treatment that were maintained throughout the treatment period. We expect complete topline data from Part B of the trial for the treatment of patients suffering from PMD in the second half of 2021. In October 2020, we submitted an Investigational New Drug application, or IND, to support the initiation of a Phase 2/3 clinical trial in the United States. We are operationally ready and with the recent clearance of our IND we intend to initiate a Phase 2/3 monotherapy MDD trial in the United States and Australia by the end of March 2021. If positive, the Phase 2/3 trial is intended to serve as one of two registrational trials required by the FDA to support clinical efficacy for the monotherapy treatment of MDD, and we expect topline data in the first half of 2022. In addition to the Phase 2/3 monotherapy trial, we intend to initiate a Phase 2 DRF trial for the adjunctive treatment of MDD in the third quarter of 2021 to inform dose selection for a Phase 3 monotherapy trial and to provide controlled data to support advancing a Phase 3 adjunctive MDD trial.</w:t>
      </w:r>
    </w:p>
    <w:p>
      <w:pPr>
        <w:spacing w:after="0" w:line="393"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There is significant unmet medical need in MDD and PMD with over 22 million individuals suffering from depressive symptoms in the United States. Current pharmacological interventions suffer from multiple shortcomings including slow onset of efficacy, low remission rates and side effects that limit patient compliance. PRAX-114 targets an increasingly well-understood neuronal circuit in the brain that we believe, when properly modulated, can result in a robust and rapid antidepressant effect with an advantageous safety and tolerability profile.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our PRAX-114 program has several advantages as compared to currently available therapies and product candidates in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GABA</w:t>
      </w:r>
      <w:r>
        <w:rPr>
          <w:rFonts w:ascii="Arial" w:cs="Arial" w:eastAsia="Arial" w:hAnsi="Arial"/>
          <w:sz w:val="15"/>
          <w:szCs w:val="15"/>
          <w:color w:val="auto"/>
        </w:rPr>
        <w:t>A</w:t>
      </w:r>
      <w:r>
        <w:rPr>
          <w:rFonts w:ascii="Arial" w:cs="Arial" w:eastAsia="Arial" w:hAnsi="Arial"/>
          <w:sz w:val="17"/>
          <w:szCs w:val="17"/>
          <w:color w:val="auto"/>
        </w:rPr>
        <w:t xml:space="preserve"> PAM therapeutic class:</w:t>
      </w:r>
    </w:p>
    <w:p>
      <w:pPr>
        <w:spacing w:after="0" w:line="202" w:lineRule="exact"/>
        <w:rPr>
          <w:sz w:val="20"/>
          <w:szCs w:val="20"/>
          <w:color w:val="auto"/>
        </w:rPr>
      </w:pPr>
    </w:p>
    <w:p>
      <w:pPr>
        <w:ind w:left="800" w:right="20" w:hanging="323"/>
        <w:spacing w:after="0" w:line="249"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Planned Path to a Potential Broad MDD Label. </w:t>
      </w:r>
      <w:r>
        <w:rPr>
          <w:rFonts w:ascii="Arial" w:cs="Arial" w:eastAsia="Arial" w:hAnsi="Arial"/>
          <w:sz w:val="17"/>
          <w:szCs w:val="17"/>
          <w:color w:val="auto"/>
        </w:rPr>
        <w:t>We have been diligently pursuing our strategy to advance PRAX-114 towards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approval and commercialization to support a broad label in MDD that can be easily integrated into standard clinical practice. We intend to develop PRAX-114 in the United States and in other countries as both a monotherapy and adjunctive therapy for MDD for both acute and maintenance treatment. If positive, our planned Phase 2/3 trial is intended to serve as one of two registrational trials required by the FDA to support clinical efficacy for the monotherapy treatment of MDD. In addition to the Phase 2/3 monotherapy trial, we intend to initiate a dose range finding trial for the adjunctive treatment of MDD by the end of mid- 2021 to inform dose selection for Phase 3 and provide controlled data to support advancing a Phase 3 adjunctive MDD trial.</w:t>
      </w:r>
    </w:p>
    <w:p>
      <w:pPr>
        <w:spacing w:after="0" w:line="167" w:lineRule="exact"/>
        <w:rPr>
          <w:rFonts w:ascii="Arial" w:cs="Arial" w:eastAsia="Arial" w:hAnsi="Arial"/>
          <w:sz w:val="17"/>
          <w:szCs w:val="17"/>
          <w:color w:val="auto"/>
        </w:rPr>
      </w:pPr>
    </w:p>
    <w:p>
      <w:pPr>
        <w:ind w:left="800" w:right="80" w:hanging="323"/>
        <w:spacing w:after="0" w:line="256"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Wider Therapeutic Window. </w:t>
      </w:r>
      <w:r>
        <w:rPr>
          <w:rFonts w:ascii="Arial" w:cs="Arial" w:eastAsia="Arial" w:hAnsi="Arial"/>
          <w:sz w:val="17"/>
          <w:szCs w:val="17"/>
          <w:color w:val="auto"/>
        </w:rPr>
        <w:t>We have determined that PRAX-114 is approximately 10-fold more selective PAM of the extrasynaptic</w:t>
      </w:r>
      <w:r>
        <w:rPr>
          <w:rFonts w:ascii="Arial" w:cs="Arial" w:eastAsia="Arial" w:hAnsi="Arial"/>
          <w:sz w:val="17"/>
          <w:szCs w:val="17"/>
          <w:b w:val="1"/>
          <w:bCs w:val="1"/>
          <w:color w:val="auto"/>
        </w:rPr>
        <w:t xml:space="preserve"> </w:t>
      </w:r>
      <w:r>
        <w:rPr>
          <w:rFonts w:ascii="Arial" w:cs="Arial" w:eastAsia="Arial" w:hAnsi="Arial"/>
          <w:sz w:val="17"/>
          <w:szCs w:val="17"/>
          <w:color w:val="auto"/>
        </w:rPr>
        <w:t>form of GABA</w:t>
      </w:r>
      <w:r>
        <w:rPr>
          <w:rFonts w:ascii="Arial" w:cs="Arial" w:eastAsia="Arial" w:hAnsi="Arial"/>
          <w:sz w:val="15"/>
          <w:szCs w:val="15"/>
          <w:color w:val="auto"/>
        </w:rPr>
        <w:t>A</w:t>
      </w:r>
      <w:r>
        <w:rPr>
          <w:rFonts w:ascii="Arial" w:cs="Arial" w:eastAsia="Arial" w:hAnsi="Arial"/>
          <w:sz w:val="17"/>
          <w:szCs w:val="17"/>
          <w:color w:val="auto"/>
        </w:rPr>
        <w:t xml:space="preserve"> receptors compared to the synaptic form. In healthy volunteers, we have observed PRAX-114 to markedly increase quantitative electroencephalography, or qEEG, power in the alpha and beta-frequency bands—unlike GABA</w:t>
      </w:r>
      <w:r>
        <w:rPr>
          <w:rFonts w:ascii="Arial" w:cs="Arial" w:eastAsia="Arial" w:hAnsi="Arial"/>
          <w:sz w:val="15"/>
          <w:szCs w:val="15"/>
          <w:color w:val="auto"/>
        </w:rPr>
        <w:t>A</w:t>
      </w:r>
      <w:r>
        <w:rPr>
          <w:rFonts w:ascii="Arial" w:cs="Arial" w:eastAsia="Arial" w:hAnsi="Arial"/>
          <w:sz w:val="17"/>
          <w:szCs w:val="17"/>
          <w:color w:val="auto"/>
        </w:rPr>
        <w:t xml:space="preserve"> receptor PAMs that only modulate synaptic GABA</w:t>
      </w:r>
      <w:r>
        <w:rPr>
          <w:rFonts w:ascii="Arial" w:cs="Arial" w:eastAsia="Arial" w:hAnsi="Arial"/>
          <w:sz w:val="15"/>
          <w:szCs w:val="15"/>
          <w:color w:val="auto"/>
        </w:rPr>
        <w:t>A</w:t>
      </w:r>
      <w:r>
        <w:rPr>
          <w:rFonts w:ascii="Arial" w:cs="Arial" w:eastAsia="Arial" w:hAnsi="Arial"/>
          <w:sz w:val="17"/>
          <w:szCs w:val="17"/>
          <w:color w:val="auto"/>
        </w:rPr>
        <w:t xml:space="preserve"> receptors, such as benzodiazepines, or that are equipotent at synaptic and extrasynaptic</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spacing w:after="0" w:line="246" w:lineRule="auto"/>
        <w:rPr>
          <w:sz w:val="20"/>
          <w:szCs w:val="20"/>
          <w:color w:val="auto"/>
        </w:rPr>
      </w:pPr>
      <w:r>
        <w:rPr>
          <w:rFonts w:ascii="Arial" w:cs="Arial" w:eastAsia="Arial" w:hAnsi="Arial"/>
          <w:sz w:val="17"/>
          <w:szCs w:val="17"/>
          <w:color w:val="auto"/>
        </w:rPr>
        <w:t>receptors, such as allopregnanolone, which decreases power in the alpha frequency band. We believe these data suggest that PRAX-114 has a differentiated pharmacological profile to other GABA</w:t>
      </w:r>
      <w:r>
        <w:rPr>
          <w:rFonts w:ascii="Arial" w:cs="Arial" w:eastAsia="Arial" w:hAnsi="Arial"/>
          <w:sz w:val="15"/>
          <w:szCs w:val="15"/>
          <w:color w:val="auto"/>
        </w:rPr>
        <w:t>A</w:t>
      </w:r>
      <w:r>
        <w:rPr>
          <w:rFonts w:ascii="Arial" w:cs="Arial" w:eastAsia="Arial" w:hAnsi="Arial"/>
          <w:sz w:val="17"/>
          <w:szCs w:val="17"/>
          <w:color w:val="auto"/>
        </w:rPr>
        <w:t xml:space="preserve"> PAMs at therapeutic doses due to the relatively selective activation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By preferentially modulating extrasynaptic GABAA receptors, we believe PRAX-114 is able to uniquely activate the GABAergic target and has the potential to mediate antidepressant and anxiolytic activity without the significant sedation observed with less selective neuroactive steroids.</w:t>
      </w:r>
    </w:p>
    <w:p>
      <w:pPr>
        <w:spacing w:after="0" w:line="170" w:lineRule="exact"/>
        <w:rPr>
          <w:sz w:val="20"/>
          <w:szCs w:val="20"/>
          <w:color w:val="auto"/>
        </w:rPr>
      </w:pPr>
    </w:p>
    <w:p>
      <w:pPr>
        <w:ind w:left="800" w:right="20" w:hanging="323"/>
        <w:spacing w:after="0" w:line="247" w:lineRule="auto"/>
        <w:tabs>
          <w:tab w:leader="none" w:pos="79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Simple Nightly Dosing. </w:t>
      </w:r>
      <w:r>
        <w:rPr>
          <w:rFonts w:ascii="Arial" w:cs="Arial" w:eastAsia="Arial" w:hAnsi="Arial"/>
          <w:sz w:val="17"/>
          <w:szCs w:val="17"/>
          <w:color w:val="auto"/>
        </w:rPr>
        <w:t>We believe the ability to administer PRAX-114 and achieve targeted exposures, with or without food, is key</w:t>
      </w:r>
      <w:r>
        <w:rPr>
          <w:rFonts w:ascii="Arial" w:cs="Arial" w:eastAsia="Arial" w:hAnsi="Arial"/>
          <w:sz w:val="17"/>
          <w:szCs w:val="17"/>
          <w:b w:val="1"/>
          <w:bCs w:val="1"/>
          <w:color w:val="auto"/>
        </w:rPr>
        <w:t xml:space="preserve"> </w:t>
      </w:r>
      <w:r>
        <w:rPr>
          <w:rFonts w:ascii="Arial" w:cs="Arial" w:eastAsia="Arial" w:hAnsi="Arial"/>
          <w:sz w:val="17"/>
          <w:szCs w:val="17"/>
          <w:color w:val="auto"/>
        </w:rPr>
        <w:t>for clinical and commercial success in MDD. This is also critical for a patient-centric therapy because many patients with depression suffer from appetite disturbances. We have observed fast absorption of PRAX-114 within one to three hours of dosing and a predictable PK profile across multiple trials. Based on clinical findings to date, PRAX-114 achieves reproducible overall exposure (</w:t>
      </w:r>
      <w:r>
        <w:rPr>
          <w:rFonts w:ascii="Arial" w:cs="Arial" w:eastAsia="Arial" w:hAnsi="Arial"/>
          <w:sz w:val="17"/>
          <w:szCs w:val="17"/>
          <w:i w:val="1"/>
          <w:iCs w:val="1"/>
          <w:color w:val="auto"/>
        </w:rPr>
        <w:t>i.e.</w:t>
      </w:r>
      <w:r>
        <w:rPr>
          <w:rFonts w:ascii="Arial" w:cs="Arial" w:eastAsia="Arial" w:hAnsi="Arial"/>
          <w:sz w:val="17"/>
          <w:szCs w:val="17"/>
          <w:color w:val="auto"/>
        </w:rPr>
        <w:t>, area under the concentration curve, or AUC) across a wide range of administration conditions, demonstrating consistent exposure when administered with or without food and at different times of day, whereas other GABA</w:t>
      </w:r>
      <w:r>
        <w:rPr>
          <w:rFonts w:ascii="Arial" w:cs="Arial" w:eastAsia="Arial" w:hAnsi="Arial"/>
          <w:sz w:val="15"/>
          <w:szCs w:val="15"/>
          <w:color w:val="auto"/>
        </w:rPr>
        <w:t>A</w:t>
      </w:r>
      <w:r>
        <w:rPr>
          <w:rFonts w:ascii="Arial" w:cs="Arial" w:eastAsia="Arial" w:hAnsi="Arial"/>
          <w:sz w:val="17"/>
          <w:szCs w:val="17"/>
          <w:color w:val="auto"/>
        </w:rPr>
        <w:t xml:space="preserve"> PAM neuroactive steroids may require food to achieve therapeutic levels. While AUC is unaffected by administration conditions, nightly dosing has been demonstrated to reduce Cmax thereby enhancing the potential for improved tolerability.</w:t>
      </w:r>
    </w:p>
    <w:p>
      <w:pPr>
        <w:spacing w:after="0" w:line="69" w:lineRule="exact"/>
        <w:rPr>
          <w:rFonts w:ascii="Arial" w:cs="Arial" w:eastAsia="Arial" w:hAnsi="Arial"/>
          <w:sz w:val="17"/>
          <w:szCs w:val="17"/>
          <w:color w:val="auto"/>
        </w:rPr>
      </w:pPr>
    </w:p>
    <w:p>
      <w:pPr>
        <w:ind w:left="800" w:right="80" w:hanging="323"/>
        <w:spacing w:after="0" w:line="268" w:lineRule="auto"/>
        <w:tabs>
          <w:tab w:leader="none" w:pos="79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Sustained Administration</w:t>
      </w:r>
      <w:r>
        <w:rPr>
          <w:rFonts w:ascii="Arial" w:cs="Arial" w:eastAsia="Arial" w:hAnsi="Arial"/>
          <w:sz w:val="17"/>
          <w:szCs w:val="17"/>
          <w:color w:val="auto"/>
        </w:rPr>
        <w:t>. After consultation with the FDA and other stakeholders in MDD and PMD therapy, we designed our</w:t>
      </w:r>
      <w:r>
        <w:rPr>
          <w:rFonts w:ascii="Arial" w:cs="Arial" w:eastAsia="Arial" w:hAnsi="Arial"/>
          <w:sz w:val="17"/>
          <w:szCs w:val="17"/>
          <w:b w:val="1"/>
          <w:bCs w:val="1"/>
          <w:color w:val="auto"/>
        </w:rPr>
        <w:t xml:space="preserve"> </w:t>
      </w:r>
      <w:r>
        <w:rPr>
          <w:rFonts w:ascii="Arial" w:cs="Arial" w:eastAsia="Arial" w:hAnsi="Arial"/>
          <w:sz w:val="17"/>
          <w:szCs w:val="17"/>
          <w:color w:val="auto"/>
        </w:rPr>
        <w:t>Phase 2/3 trial of PRAX-114 to include 28-day nightly dosing to evaluate patients at 14 days to assess the rapidity and robustness of response and 28 days to measure initial of effect. We believe that having a dosing paradigm consistent with the duration of depressive episodes and easily integrated into standard clinical practice will provide the most substantial benefit to patients in controlling their disease, further differentiating PRAX-114 from other GABA</w:t>
      </w:r>
      <w:r>
        <w:rPr>
          <w:rFonts w:ascii="Arial" w:cs="Arial" w:eastAsia="Arial" w:hAnsi="Arial"/>
          <w:sz w:val="15"/>
          <w:szCs w:val="15"/>
          <w:color w:val="auto"/>
        </w:rPr>
        <w:t>A</w:t>
      </w:r>
      <w:r>
        <w:rPr>
          <w:rFonts w:ascii="Arial" w:cs="Arial" w:eastAsia="Arial" w:hAnsi="Arial"/>
          <w:sz w:val="17"/>
          <w:szCs w:val="17"/>
          <w:color w:val="auto"/>
        </w:rPr>
        <w:t xml:space="preserve"> PAMs.</w:t>
      </w:r>
    </w:p>
    <w:p>
      <w:pPr>
        <w:spacing w:after="0" w:line="62" w:lineRule="exact"/>
        <w:rPr>
          <w:rFonts w:ascii="Arial" w:cs="Arial" w:eastAsia="Arial" w:hAnsi="Arial"/>
          <w:sz w:val="17"/>
          <w:szCs w:val="17"/>
          <w:color w:val="auto"/>
        </w:rPr>
      </w:pPr>
    </w:p>
    <w:p>
      <w:pPr>
        <w:ind w:left="800" w:right="40" w:hanging="323"/>
        <w:spacing w:after="0" w:line="272" w:lineRule="auto"/>
        <w:tabs>
          <w:tab w:leader="none" w:pos="79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Indication Expansion. </w:t>
      </w:r>
      <w:r>
        <w:rPr>
          <w:rFonts w:ascii="Arial" w:cs="Arial" w:eastAsia="Arial" w:hAnsi="Arial"/>
          <w:sz w:val="17"/>
          <w:szCs w:val="17"/>
          <w:color w:val="auto"/>
        </w:rPr>
        <w:t>Based on the novel pharmacology of PRAX-114 and its generally well-tolerated profile in clinical trials to date</w:t>
      </w:r>
      <w:r>
        <w:rPr>
          <w:rFonts w:ascii="Arial" w:cs="Arial" w:eastAsia="Arial" w:hAnsi="Arial"/>
          <w:sz w:val="17"/>
          <w:szCs w:val="17"/>
          <w:b w:val="1"/>
          <w:bCs w:val="1"/>
          <w:color w:val="auto"/>
        </w:rPr>
        <w:t xml:space="preserve"> </w:t>
      </w:r>
      <w:r>
        <w:rPr>
          <w:rFonts w:ascii="Arial" w:cs="Arial" w:eastAsia="Arial" w:hAnsi="Arial"/>
          <w:sz w:val="17"/>
          <w:szCs w:val="17"/>
          <w:color w:val="auto"/>
        </w:rPr>
        <w:t>and our knowledge of disorders related to MDD that may be treatable through the GABA</w:t>
      </w:r>
      <w:r>
        <w:rPr>
          <w:rFonts w:ascii="Arial" w:cs="Arial" w:eastAsia="Arial" w:hAnsi="Arial"/>
          <w:sz w:val="15"/>
          <w:szCs w:val="15"/>
          <w:color w:val="auto"/>
        </w:rPr>
        <w:t>A</w:t>
      </w:r>
      <w:r>
        <w:rPr>
          <w:rFonts w:ascii="Arial" w:cs="Arial" w:eastAsia="Arial" w:hAnsi="Arial"/>
          <w:sz w:val="17"/>
          <w:szCs w:val="17"/>
          <w:color w:val="auto"/>
        </w:rPr>
        <w:t xml:space="preserve"> PAM mechanism, we believe PRAX-114 is suitable for potential development across a wide-range of indications in psychiatry and neurology, providing for potentially sizable expansion opportunities to explore in addition to MDD.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Major Depressive Disorder</w:t>
      </w:r>
    </w:p>
    <w:p>
      <w:pPr>
        <w:spacing w:after="0" w:line="10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Major Depressive Disorder, or MDD, is a chronic psychiatric condition causing severe impairments that interfere with the ability to carry out life activities. An MDD episode is characterized by a period of at least two weeks of persistent depressed mood and/or the loss of interest or pleasure in activities, accompanied by sleep and appetite disturbance, fatigue, concentration difficulty, cognitive impairment, feelings of guilt, psychomotor retardation or agitation and suicidal ideation. MDD is one of the most prevalent psychiatric disorders. In the United States, approximately 19 million adults, or 7% of the adult population suffer from MDD, with episodes lasting on average six to eight months. It is estimated that MDD affects more than 300 million people worldwide. Moreover, the prevalence of depression has increased during the COVID-19 pandemic in the US and globally. In the United States, depression symptoms have increased by more than 3-fold overall during the COVID-19 pandemic. The most dramatic increases are reported in moderate, moderately severe and severe depression symptoms, with a 2.6-fold, 3.7-fold, and 7.5-fold rise, respectively, relative to a pre-COVID-19 pandemic period.</w:t>
      </w:r>
    </w:p>
    <w:p>
      <w:pPr>
        <w:spacing w:after="0" w:line="200" w:lineRule="exact"/>
        <w:rPr>
          <w:sz w:val="20"/>
          <w:szCs w:val="20"/>
          <w:color w:val="auto"/>
        </w:rPr>
      </w:pPr>
    </w:p>
    <w:p>
      <w:pPr>
        <w:ind w:right="120" w:firstLine="433"/>
        <w:spacing w:after="0" w:line="244" w:lineRule="auto"/>
        <w:rPr>
          <w:sz w:val="20"/>
          <w:szCs w:val="20"/>
          <w:color w:val="auto"/>
        </w:rPr>
      </w:pPr>
      <w:r>
        <w:rPr>
          <w:rFonts w:ascii="Arial" w:cs="Arial" w:eastAsia="Arial" w:hAnsi="Arial"/>
          <w:sz w:val="17"/>
          <w:szCs w:val="17"/>
          <w:color w:val="auto"/>
        </w:rPr>
        <w:t>MDD is a recurrent psychiatric condition that frequently requires long-term treatment, with the ultimate goal of achieving remission. MDD is associated with an elevated risk of suicide, underscoring the need for rapid and effective treatment. The most explored pharmacological mechanisms for treating MDD target monoamine neurotransmitters. Drugs in this class include selective serotonin reuptake inhibitors, or SSRIs, serotonin and norepinephrine reuptake inhibitors, or SNRIs, bupropion and atypical antipsychotic medications. SSRIs and SNRIs are associated with significant side effects, including weight gain, sexual dysfunction, drowsiness, nausea, insomnia and discontinuation syndrome. Atypical antipsychotics indicated for adjunctive treatment of insufficient clinical response are associated with weight gain, sexual dysfunction, metabolic syndrome and movement disorders. The side effect profile of current antidepressant standard of care negatively impacts treatment outcomes, quality of life and adherence in MDD patients.</w:t>
      </w:r>
    </w:p>
    <w:p>
      <w:pPr>
        <w:spacing w:after="0" w:line="194"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Approximately seventy percent of MDD patients fail to achieve remission with first line treatment. Further, those patients that are responsive typically require approximately six to eight weeks of treatment to show a clinically meaningful response. Slow onset of action is a substantial unmet need in MDD, with some of the most commonly prescribed antidepressants showing a reduction in the Hamilton Depression Scale, or HAM-D, of approximately 6- to 8-points and a difference from placebo of approximately 1-2 points at Week 2 (Figure 1). Moreover, approximately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40% of patients on therapy discontinue treatment due to either a loss of response or adverse side effects. Finally, 33% of patients fail to respond after treatment with three or more different standard of care therapies.</w:t>
      </w:r>
    </w:p>
    <w:p>
      <w:pPr>
        <w:spacing w:after="0" w:line="181"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Among the MDD patients who experience a response to treatment, the majority do not achieve remission. Even for patients deemed responsive, disease burden often persists through the presence of residual depression symptoms that lead to an ongoing negative impact on home, interpersonal and occupational functioning, as well as a significantly increased risk of relapse of the full depressive syndrome and worse comorbid outcomes, including suicide.</w:t>
      </w:r>
    </w:p>
    <w:p>
      <w:pPr>
        <w:spacing w:after="0" w:line="192"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Despite the numerous and long-standing antidepressant treatment options, there continues to be an unmet need for antidepressants that provide rapid onset of effect, higher remission rates, efficacy throughout the depressive episode and an improved tolerability profile that is aligned with the clinical care and the course of MDD and its accompanying comorbid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145415</wp:posOffset>
            </wp:positionV>
            <wp:extent cx="2814320" cy="1765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14320" cy="176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Figure 1. Reduction of HAM-D from baseline of commonly prescribed antidepressants and placebo at Week 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Perimenopausal depression</w:t>
      </w:r>
    </w:p>
    <w:p>
      <w:pPr>
        <w:spacing w:after="0" w:line="100"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Perimenopause is the transition between the onset of hormonal and clinical features of menopause and the one-year period after the final menses. Perimenopause can last up to 10 years. Women with no lifetime history of major depression who have entered the perimenopause period are found to be twice as likely to develop significant depressive symptoms as women who have not entered the perimenopause period. Notably, the increased risk for depression during the perimenopausal transition has been observed to decline substantially after the final menstrual period.</w:t>
      </w:r>
    </w:p>
    <w:p>
      <w:pPr>
        <w:spacing w:after="0" w:line="200" w:lineRule="exact"/>
        <w:rPr>
          <w:sz w:val="20"/>
          <w:szCs w:val="20"/>
          <w:color w:val="auto"/>
        </w:rPr>
      </w:pPr>
    </w:p>
    <w:p>
      <w:pPr>
        <w:spacing w:after="0" w:line="20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There are over 30 million women in the United States between the ages of 45 and 59 years who are at risk of developing perimenopause symptoms, with an estimated three million developing mood symptoms such as depression, anxiety, irritability and suicidal ideation and behavior and an estimated 20 million women developing associated vasomotor symptoms or hot flushes. Notably, suicide rates are the highest among women 45 to 59 years of age and have increased by approximately 42% in recent decades.</w:t>
      </w:r>
    </w:p>
    <w:p>
      <w:pPr>
        <w:spacing w:after="0" w:line="192"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Although primarily viewed as a reproductive transition, the symptoms of perimenopause are largely neuropsychiatric in nature. Neurological symptoms that emerge during perimenopause are indicative of disruption in multiple estrogen and progesterone-regulated systems such as thermoregulation, sleep, circadian rhythms and sensory processing and affect multiple domains of cognitive function. Perimenopausal depression also appears to impact the clinical symptomatology of menopause, with the presence of depression being associated with a greater degree of menopausal hot flushes than in women without perimenopausal depression.</w:t>
      </w:r>
    </w:p>
    <w:p>
      <w:pPr>
        <w:spacing w:after="0" w:line="192"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There is substantial evidence that fluctuations in estrogen and progesterone, the precursor of the endogenous neuroactive steroid allopregnanolone, a GABA</w:t>
      </w:r>
      <w:r>
        <w:rPr>
          <w:rFonts w:ascii="Arial" w:cs="Arial" w:eastAsia="Arial" w:hAnsi="Arial"/>
          <w:sz w:val="15"/>
          <w:szCs w:val="15"/>
          <w:color w:val="auto"/>
        </w:rPr>
        <w:t>A</w:t>
      </w:r>
      <w:r>
        <w:rPr>
          <w:rFonts w:ascii="Arial" w:cs="Arial" w:eastAsia="Arial" w:hAnsi="Arial"/>
          <w:sz w:val="17"/>
          <w:szCs w:val="17"/>
          <w:color w:val="auto"/>
        </w:rPr>
        <w:t xml:space="preserve"> receptor PAM, are in part responsible for the mood changes, hot flushes and other neurologic symptoms of perimenopause. Similar to MDD, SSRIs and SNRIs have shown limited efficacy in treating perimenopausal depression. There remains an unmet medical need for effective treatment of core depression symptoms and associated physical symptoms of menopause.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A GABA</w:t>
      </w:r>
      <w:r>
        <w:rPr>
          <w:rFonts w:ascii="Arial" w:cs="Arial" w:eastAsia="Arial" w:hAnsi="Arial"/>
          <w:sz w:val="15"/>
          <w:szCs w:val="15"/>
          <w:color w:val="auto"/>
        </w:rPr>
        <w:t>A</w:t>
      </w:r>
      <w:r>
        <w:rPr>
          <w:rFonts w:ascii="Arial" w:cs="Arial" w:eastAsia="Arial" w:hAnsi="Arial"/>
          <w:sz w:val="17"/>
          <w:szCs w:val="17"/>
          <w:color w:val="auto"/>
        </w:rPr>
        <w:t xml:space="preserve"> receptor PAM, like PRAX-114, that potentiates the activity of endogenous neuroactive steroids on GABA</w:t>
      </w:r>
      <w:r>
        <w:rPr>
          <w:rFonts w:ascii="Arial" w:cs="Arial" w:eastAsia="Arial" w:hAnsi="Arial"/>
          <w:sz w:val="15"/>
          <w:szCs w:val="15"/>
          <w:color w:val="auto"/>
        </w:rPr>
        <w:t>A</w:t>
      </w:r>
      <w:r>
        <w:rPr>
          <w:rFonts w:ascii="Arial" w:cs="Arial" w:eastAsia="Arial" w:hAnsi="Arial"/>
          <w:sz w:val="17"/>
          <w:szCs w:val="17"/>
          <w:color w:val="auto"/>
        </w:rPr>
        <w:t xml:space="preserve"> receptors, may offer broader therapeutic benefit compared to current standard of care antidepressants.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in depression</w:t>
      </w:r>
    </w:p>
    <w:p>
      <w:pPr>
        <w:spacing w:after="0" w:line="100"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Gamma-aminobutyric acid, or GABA, is the principal neurotransmitter mediating neuronal inhibition in the brain. Neurons that produce GABA, known as GABAergic neurons, are present throughout the brain, representing between 20 percent and 40 percent of all neurons depending on the region. Their primary role is to balance and fine tune excitatory neurotransmission of various neuronal circuits. Whole-exome sequencing has identified GABA</w:t>
      </w:r>
      <w:r>
        <w:rPr>
          <w:rFonts w:ascii="Arial" w:cs="Arial" w:eastAsia="Arial" w:hAnsi="Arial"/>
          <w:sz w:val="15"/>
          <w:szCs w:val="15"/>
          <w:color w:val="auto"/>
        </w:rPr>
        <w:t>A</w:t>
      </w:r>
      <w:r>
        <w:rPr>
          <w:rFonts w:ascii="Arial" w:cs="Arial" w:eastAsia="Arial" w:hAnsi="Arial"/>
          <w:sz w:val="17"/>
          <w:szCs w:val="17"/>
          <w:color w:val="auto"/>
        </w:rPr>
        <w:t xml:space="preserve"> receptor mutations as an important cause in a range of neurological conditions, underscoring their importance as central regulators of excitatory and inhibitory balance in the brain.</w:t>
      </w:r>
    </w:p>
    <w:p>
      <w:pPr>
        <w:spacing w:after="0" w:line="19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It is well established that GABAergic signaling is impaired in patients with MDD and other stress-related mood disorders. GABA levels, levels of the GABA synthesizing enzyme GAD67, as well as GABA</w:t>
      </w:r>
      <w:r>
        <w:rPr>
          <w:rFonts w:ascii="Arial" w:cs="Arial" w:eastAsia="Arial" w:hAnsi="Arial"/>
          <w:sz w:val="15"/>
          <w:szCs w:val="15"/>
          <w:color w:val="auto"/>
        </w:rPr>
        <w:t>A</w:t>
      </w:r>
      <w:r>
        <w:rPr>
          <w:rFonts w:ascii="Arial" w:cs="Arial" w:eastAsia="Arial" w:hAnsi="Arial"/>
          <w:sz w:val="17"/>
          <w:szCs w:val="17"/>
          <w:color w:val="auto"/>
        </w:rPr>
        <w:t xml:space="preserve"> receptor levels, have been shown to be reduced in brains of patients with MDD. In addition, decreased GABAergic neuron function, most notably in the prefrontal cortex, has been documented in MDD patients and in preclinical animal models of depression. Endogenous neuroactive steroids, such as allopregnanolone and pregnanolone or synthetic derivatives thereof, such as PRAX-114, are known to potentiate the activity of GABA</w:t>
      </w:r>
      <w:r>
        <w:rPr>
          <w:rFonts w:ascii="Arial" w:cs="Arial" w:eastAsia="Arial" w:hAnsi="Arial"/>
          <w:sz w:val="15"/>
          <w:szCs w:val="15"/>
          <w:color w:val="auto"/>
        </w:rPr>
        <w:t>A</w:t>
      </w:r>
      <w:r>
        <w:rPr>
          <w:rFonts w:ascii="Arial" w:cs="Arial" w:eastAsia="Arial" w:hAnsi="Arial"/>
          <w:sz w:val="17"/>
          <w:szCs w:val="17"/>
          <w:color w:val="auto"/>
        </w:rPr>
        <w:t xml:space="preserve"> receptors. Both human and animal data reveal an important role for neuroactive steroids in these GABAergic deficits and levels of endogenous neuroactive steroids are decreased in individuals with MDD and PMD.</w:t>
      </w:r>
    </w:p>
    <w:p>
      <w:pPr>
        <w:spacing w:after="0" w:line="193"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Of particular relevance to the PRAX-114 program is the more recently established link between GABAergic signaling, neuroactive steroid levels and stress—a well-established risk factor for MDD and other mood disorders. In preclinical models, exposure to chronic stress leads to reduced neuroactive steroid biosynthesis and reduced GABAergic inhibition in depression-relevant brain circuits. This ultimately results in increased anxiety and depression-like behaviors. In particular, it has been shown that stress causes long-lasting loss of GABAergic inhibition in the amygdala, a brain region central to the stress response involved in controlling emotions. This reduced inhibition causes increased activity of the amygdala and is associated with an exaggerated stress hormone response.</w:t>
      </w:r>
    </w:p>
    <w:p>
      <w:pPr>
        <w:spacing w:after="0" w:line="193" w:lineRule="exact"/>
        <w:rPr>
          <w:sz w:val="20"/>
          <w:szCs w:val="20"/>
          <w:color w:val="auto"/>
        </w:rPr>
      </w:pPr>
    </w:p>
    <w:p>
      <w:pPr>
        <w:ind w:right="480" w:firstLine="433"/>
        <w:spacing w:after="0" w:line="275" w:lineRule="auto"/>
        <w:rPr>
          <w:sz w:val="20"/>
          <w:szCs w:val="20"/>
          <w:color w:val="auto"/>
        </w:rPr>
      </w:pPr>
      <w:r>
        <w:rPr>
          <w:rFonts w:ascii="Arial" w:cs="Arial" w:eastAsia="Arial" w:hAnsi="Arial"/>
          <w:sz w:val="17"/>
          <w:szCs w:val="17"/>
          <w:color w:val="auto"/>
        </w:rPr>
        <w:t>We believe that enhancing modulation of GABA</w:t>
      </w:r>
      <w:r>
        <w:rPr>
          <w:rFonts w:ascii="Arial" w:cs="Arial" w:eastAsia="Arial" w:hAnsi="Arial"/>
          <w:sz w:val="15"/>
          <w:szCs w:val="15"/>
          <w:color w:val="auto"/>
        </w:rPr>
        <w:t>A</w:t>
      </w:r>
      <w:r>
        <w:rPr>
          <w:rFonts w:ascii="Arial" w:cs="Arial" w:eastAsia="Arial" w:hAnsi="Arial"/>
          <w:sz w:val="17"/>
          <w:szCs w:val="17"/>
          <w:color w:val="auto"/>
        </w:rPr>
        <w:t xml:space="preserve"> receptors in patients with depression and anxiety has the potential to restore normal function in these circuits, leading to broad applications in mood and anxiety disorders.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receptors: The target of PRAX-114</w:t>
      </w:r>
    </w:p>
    <w:p>
      <w:pPr>
        <w:spacing w:after="0" w:line="113" w:lineRule="exact"/>
        <w:rPr>
          <w:sz w:val="20"/>
          <w:szCs w:val="20"/>
          <w:color w:val="auto"/>
        </w:rPr>
      </w:pPr>
    </w:p>
    <w:p>
      <w:pPr>
        <w:ind w:right="140" w:firstLine="433"/>
        <w:spacing w:after="0" w:line="260" w:lineRule="auto"/>
        <w:rPr>
          <w:sz w:val="20"/>
          <w:szCs w:val="20"/>
          <w:color w:val="auto"/>
        </w:rPr>
      </w:pPr>
      <w:r>
        <w:rPr>
          <w:rFonts w:ascii="Arial" w:cs="Arial" w:eastAsia="Arial" w:hAnsi="Arial"/>
          <w:sz w:val="17"/>
          <w:szCs w:val="17"/>
          <w:color w:val="auto"/>
        </w:rPr>
        <w:t>PRAX-114 is a small molecule neuroactive steroid that acts as a positive allosteric modulator of GABA</w:t>
      </w:r>
      <w:r>
        <w:rPr>
          <w:rFonts w:ascii="Arial" w:cs="Arial" w:eastAsia="Arial" w:hAnsi="Arial"/>
          <w:sz w:val="15"/>
          <w:szCs w:val="15"/>
          <w:color w:val="auto"/>
        </w:rPr>
        <w:t>A</w:t>
      </w:r>
      <w:r>
        <w:rPr>
          <w:rFonts w:ascii="Arial" w:cs="Arial" w:eastAsia="Arial" w:hAnsi="Arial"/>
          <w:sz w:val="17"/>
          <w:szCs w:val="17"/>
          <w:color w:val="auto"/>
        </w:rPr>
        <w:t xml:space="preserve"> receptors. Positive allosteric modulators, or PAMs, are substances that bind to a receptor, such as GABA</w:t>
      </w:r>
      <w:r>
        <w:rPr>
          <w:rFonts w:ascii="Arial" w:cs="Arial" w:eastAsia="Arial" w:hAnsi="Arial"/>
          <w:sz w:val="15"/>
          <w:szCs w:val="15"/>
          <w:color w:val="auto"/>
        </w:rPr>
        <w:t>A</w:t>
      </w:r>
      <w:r>
        <w:rPr>
          <w:rFonts w:ascii="Arial" w:cs="Arial" w:eastAsia="Arial" w:hAnsi="Arial"/>
          <w:sz w:val="17"/>
          <w:szCs w:val="17"/>
          <w:color w:val="auto"/>
        </w:rPr>
        <w:t>, to enhance that receptor’s response to its endogenous ligand (or endogenous agonist). GABA</w:t>
      </w:r>
      <w:r>
        <w:rPr>
          <w:rFonts w:ascii="Arial" w:cs="Arial" w:eastAsia="Arial" w:hAnsi="Arial"/>
          <w:sz w:val="15"/>
          <w:szCs w:val="15"/>
          <w:color w:val="auto"/>
        </w:rPr>
        <w:t>A</w:t>
      </w:r>
      <w:r>
        <w:rPr>
          <w:rFonts w:ascii="Arial" w:cs="Arial" w:eastAsia="Arial" w:hAnsi="Arial"/>
          <w:sz w:val="17"/>
          <w:szCs w:val="17"/>
          <w:color w:val="auto"/>
        </w:rPr>
        <w:t xml:space="preserve"> PAMs bind to a distinct site from endogenous GABA, an allosteric binding site, and do not activate the receptor in the absence of the GABA. Allosteric modulators are believed to have improved safety profiles and are less likely to result in tachyphylaxis, or decreasing drug response, as compared to agonists. GABA exerts its effects through binding to two types of GABA</w:t>
      </w:r>
      <w:r>
        <w:rPr>
          <w:rFonts w:ascii="Arial" w:cs="Arial" w:eastAsia="Arial" w:hAnsi="Arial"/>
          <w:sz w:val="15"/>
          <w:szCs w:val="15"/>
          <w:color w:val="auto"/>
        </w:rPr>
        <w:t>A</w:t>
      </w:r>
      <w:r>
        <w:rPr>
          <w:rFonts w:ascii="Arial" w:cs="Arial" w:eastAsia="Arial" w:hAnsi="Arial"/>
          <w:sz w:val="17"/>
          <w:szCs w:val="17"/>
          <w:color w:val="auto"/>
        </w:rPr>
        <w:t xml:space="preserve"> receptors, synaptic and extrasynaptic receptors, which differ in their protein subunit composition, physical location on the cell surface and functional role in modulating neuronal circuits.</w:t>
      </w:r>
    </w:p>
    <w:p>
      <w:pPr>
        <w:spacing w:after="0" w:line="196" w:lineRule="exact"/>
        <w:rPr>
          <w:sz w:val="20"/>
          <w:szCs w:val="20"/>
          <w:color w:val="auto"/>
        </w:rPr>
      </w:pPr>
    </w:p>
    <w:p>
      <w:pPr>
        <w:ind w:right="240" w:firstLine="433"/>
        <w:spacing w:after="0" w:line="260" w:lineRule="auto"/>
        <w:rPr>
          <w:sz w:val="20"/>
          <w:szCs w:val="20"/>
          <w:color w:val="auto"/>
        </w:rPr>
      </w:pPr>
      <w:r>
        <w:rPr>
          <w:rFonts w:ascii="Arial" w:cs="Arial" w:eastAsia="Arial" w:hAnsi="Arial"/>
          <w:sz w:val="17"/>
          <w:szCs w:val="17"/>
          <w:color w:val="auto"/>
        </w:rPr>
        <w:t>GABA</w:t>
      </w:r>
      <w:r>
        <w:rPr>
          <w:rFonts w:ascii="Arial" w:cs="Arial" w:eastAsia="Arial" w:hAnsi="Arial"/>
          <w:sz w:val="15"/>
          <w:szCs w:val="15"/>
          <w:color w:val="auto"/>
        </w:rPr>
        <w:t>A</w:t>
      </w:r>
      <w:r>
        <w:rPr>
          <w:rFonts w:ascii="Arial" w:cs="Arial" w:eastAsia="Arial" w:hAnsi="Arial"/>
          <w:sz w:val="17"/>
          <w:szCs w:val="17"/>
          <w:color w:val="auto"/>
        </w:rPr>
        <w:t xml:space="preserve"> receptors are composed of five subunits which include two alpha, two beta and a fifth subunit (either gamma or delta) that is dependent on the type of receptor. 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are located in the synapse of neurons, contain a gamma subunit while GABA</w:t>
      </w:r>
      <w:r>
        <w:rPr>
          <w:rFonts w:ascii="Arial" w:cs="Arial" w:eastAsia="Arial" w:hAnsi="Arial"/>
          <w:sz w:val="15"/>
          <w:szCs w:val="15"/>
          <w:color w:val="auto"/>
        </w:rPr>
        <w:t>A</w:t>
      </w:r>
      <w:r>
        <w:rPr>
          <w:rFonts w:ascii="Arial" w:cs="Arial" w:eastAsia="Arial" w:hAnsi="Arial"/>
          <w:sz w:val="17"/>
          <w:szCs w:val="17"/>
          <w:color w:val="auto"/>
        </w:rPr>
        <w:t xml:space="preserve"> receptors located outside of the synapse, referred to as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contain a delta subunit. Molecules that act as PAMs of only the synaptic GABA</w:t>
      </w:r>
      <w:r>
        <w:rPr>
          <w:rFonts w:ascii="Arial" w:cs="Arial" w:eastAsia="Arial" w:hAnsi="Arial"/>
          <w:sz w:val="15"/>
          <w:szCs w:val="15"/>
          <w:color w:val="auto"/>
        </w:rPr>
        <w:t>A</w:t>
      </w:r>
      <w:r>
        <w:rPr>
          <w:rFonts w:ascii="Arial" w:cs="Arial" w:eastAsia="Arial" w:hAnsi="Arial"/>
          <w:sz w:val="17"/>
          <w:szCs w:val="17"/>
          <w:color w:val="auto"/>
        </w:rPr>
        <w:t xml:space="preserve"> receptor, such as benzodiazepines, bind to sites situated at the interface between the alpha and gamma subunits. Molecules that act as PAMs of both 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such as the neuroactive steroids allopregnanolone and PRAX-114, bind to sites situated at the interface between the alpha and beta subunits present in both types of receptors. The figure below displays the synaptic binding site for drugs such as benzodiazepines, and the distinct extrasynaptic and synaptic binding sites for neuroactive steroids, such as allopregnanolone and PRAX-114.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386080</wp:posOffset>
            </wp:positionV>
            <wp:extent cx="5029200" cy="2847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29200" cy="284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2.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synaptic and extrasynaptic receptors differ in structure and function.</w:t>
      </w:r>
    </w:p>
    <w:p>
      <w:pPr>
        <w:spacing w:after="0" w:line="246"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have distinct functions. Synaptic GABA</w:t>
      </w:r>
      <w:r>
        <w:rPr>
          <w:rFonts w:ascii="Arial" w:cs="Arial" w:eastAsia="Arial" w:hAnsi="Arial"/>
          <w:sz w:val="15"/>
          <w:szCs w:val="15"/>
          <w:color w:val="auto"/>
        </w:rPr>
        <w:t>A</w:t>
      </w:r>
      <w:r>
        <w:rPr>
          <w:rFonts w:ascii="Arial" w:cs="Arial" w:eastAsia="Arial" w:hAnsi="Arial"/>
          <w:sz w:val="17"/>
          <w:szCs w:val="17"/>
          <w:color w:val="auto"/>
        </w:rPr>
        <w:t xml:space="preserve"> receptors are responsible for short-lasting, or phasic, inhibition of neurons in response to GABA release at the synapse. By contrast,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drive continuous, or tonic, low-level inhibition of neurons in response to lower ambient levels of GABA outside of the synapse. While synaptic receptors can respond quickly to stimulation and network demand, extrasynaptic receptors have a broader modulatory role, serving to continuously modulate the overall excitability of neurons.</w:t>
      </w:r>
    </w:p>
    <w:p>
      <w:pPr>
        <w:spacing w:after="0" w:line="192" w:lineRule="exact"/>
        <w:rPr>
          <w:sz w:val="20"/>
          <w:szCs w:val="20"/>
          <w:color w:val="auto"/>
        </w:rPr>
      </w:pPr>
    </w:p>
    <w:p>
      <w:pPr>
        <w:jc w:val="both"/>
        <w:ind w:right="160" w:firstLine="433"/>
        <w:spacing w:after="0" w:line="266" w:lineRule="auto"/>
        <w:rPr>
          <w:sz w:val="20"/>
          <w:szCs w:val="20"/>
          <w:color w:val="auto"/>
        </w:rPr>
      </w:pPr>
      <w:r>
        <w:rPr>
          <w:rFonts w:ascii="Arial" w:cs="Arial" w:eastAsia="Arial" w:hAnsi="Arial"/>
          <w:sz w:val="17"/>
          <w:szCs w:val="17"/>
          <w:color w:val="auto"/>
        </w:rPr>
        <w:t>Molecules that act as PAMs of only the synaptic GABA</w:t>
      </w:r>
      <w:r>
        <w:rPr>
          <w:rFonts w:ascii="Arial" w:cs="Arial" w:eastAsia="Arial" w:hAnsi="Arial"/>
          <w:sz w:val="15"/>
          <w:szCs w:val="15"/>
          <w:color w:val="auto"/>
        </w:rPr>
        <w:t>A</w:t>
      </w:r>
      <w:r>
        <w:rPr>
          <w:rFonts w:ascii="Arial" w:cs="Arial" w:eastAsia="Arial" w:hAnsi="Arial"/>
          <w:sz w:val="17"/>
          <w:szCs w:val="17"/>
          <w:color w:val="auto"/>
        </w:rPr>
        <w:t xml:space="preserve"> receptor, such as benzodiazepines and barbiturates, are used for sedation, sleep induction and anxiolysis, and have anticonvulsant and muscle relaxant properties. These drugs have potent and rapid onset of activity but have not demonstrated antidepressant effects.</w:t>
      </w:r>
    </w:p>
    <w:p>
      <w:pPr>
        <w:spacing w:after="0" w:line="189"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Allopregnanolone is an endogenous neuroactive steroid and a PAM of both the extrasynaptic and 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has been associated with antidepressant activity. However, allopregnanolone also has shown significant dose-limiting sedative activity, which we believe is likely mediated at least partially by its effects on synaptic GABA</w:t>
      </w:r>
      <w:r>
        <w:rPr>
          <w:rFonts w:ascii="Arial" w:cs="Arial" w:eastAsia="Arial" w:hAnsi="Arial"/>
          <w:sz w:val="15"/>
          <w:szCs w:val="15"/>
          <w:color w:val="auto"/>
        </w:rPr>
        <w:t>A</w:t>
      </w:r>
      <w:r>
        <w:rPr>
          <w:rFonts w:ascii="Arial" w:cs="Arial" w:eastAsia="Arial" w:hAnsi="Arial"/>
          <w:sz w:val="17"/>
          <w:szCs w:val="17"/>
          <w:color w:val="auto"/>
        </w:rPr>
        <w:t xml:space="preserve"> receptors. Despite this limitation, a formulation of allopregnanolone has been approved and is marketed as Zulresso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to treat post-partum depression.</w:t>
      </w:r>
    </w:p>
    <w:p>
      <w:pPr>
        <w:spacing w:after="0" w:line="119"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distinct effects mediated by these classes of GABA</w:t>
      </w:r>
      <w:r>
        <w:rPr>
          <w:rFonts w:ascii="Arial" w:cs="Arial" w:eastAsia="Arial" w:hAnsi="Arial"/>
          <w:sz w:val="15"/>
          <w:szCs w:val="15"/>
          <w:color w:val="auto"/>
        </w:rPr>
        <w:t>A</w:t>
      </w:r>
      <w:r>
        <w:rPr>
          <w:rFonts w:ascii="Arial" w:cs="Arial" w:eastAsia="Arial" w:hAnsi="Arial"/>
          <w:sz w:val="17"/>
          <w:szCs w:val="17"/>
          <w:color w:val="auto"/>
        </w:rPr>
        <w:t xml:space="preserve"> PAMs suggest that modulation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is responsible for the antidepressant effects demonstrated by allopregnanolone. One of the goals for a next generation neuroactive steroid, such as PRAX-114, is to preferentially modulate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while minimizing the sedative impact from modulation of synaptic GABA</w:t>
      </w:r>
      <w:r>
        <w:rPr>
          <w:rFonts w:ascii="Arial" w:cs="Arial" w:eastAsia="Arial" w:hAnsi="Arial"/>
          <w:sz w:val="15"/>
          <w:szCs w:val="15"/>
          <w:color w:val="auto"/>
        </w:rPr>
        <w:t>A</w:t>
      </w:r>
      <w:r>
        <w:rPr>
          <w:rFonts w:ascii="Arial" w:cs="Arial" w:eastAsia="Arial" w:hAnsi="Arial"/>
          <w:sz w:val="17"/>
          <w:szCs w:val="17"/>
          <w:color w:val="auto"/>
        </w:rPr>
        <w:t xml:space="preserve"> receptors.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PRAX-114 preference for extrasynaptic 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receptors</w:t>
      </w:r>
    </w:p>
    <w:p>
      <w:pPr>
        <w:spacing w:after="0" w:line="8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 xml:space="preserve">To assess the relative potency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of PRAX-114-mediated GABA</w:t>
      </w:r>
      <w:r>
        <w:rPr>
          <w:rFonts w:ascii="Arial" w:cs="Arial" w:eastAsia="Arial" w:hAnsi="Arial"/>
          <w:sz w:val="15"/>
          <w:szCs w:val="15"/>
          <w:color w:val="auto"/>
        </w:rPr>
        <w:t>A</w:t>
      </w:r>
      <w:r>
        <w:rPr>
          <w:rFonts w:ascii="Arial" w:cs="Arial" w:eastAsia="Arial" w:hAnsi="Arial"/>
          <w:sz w:val="17"/>
          <w:szCs w:val="17"/>
          <w:color w:val="auto"/>
        </w:rPr>
        <w:t xml:space="preserve"> receptor activation for synaptic and extrasynaptic receptors, we measured the peak current induced by a low concentration of GABA (2 µM) in the presence of increasing concentrations of PRAX-114 in Chinese Hamster Ovary, or CHO, cells expressing either extrasynaptic (α4ß3</w:t>
      </w:r>
      <w:r>
        <w:rPr>
          <w:rFonts w:ascii="Arial" w:cs="Arial" w:eastAsia="Arial" w:hAnsi="Arial"/>
          <w:sz w:val="17"/>
          <w:szCs w:val="17"/>
          <w:color w:val="auto"/>
        </w:rPr>
        <w:t>δ</w:t>
      </w:r>
      <w:r>
        <w:rPr>
          <w:rFonts w:ascii="Arial" w:cs="Arial" w:eastAsia="Arial" w:hAnsi="Arial"/>
          <w:sz w:val="17"/>
          <w:szCs w:val="17"/>
          <w:color w:val="auto"/>
        </w:rPr>
        <w:t>) or synaptic (α1ß2</w:t>
      </w:r>
      <w:r>
        <w:rPr>
          <w:rFonts w:ascii="Arial" w:cs="Arial" w:eastAsia="Arial" w:hAnsi="Arial"/>
          <w:sz w:val="17"/>
          <w:szCs w:val="17"/>
          <w:color w:val="auto"/>
        </w:rPr>
        <w:t>γ</w:t>
      </w:r>
      <w:r>
        <w:rPr>
          <w:rFonts w:ascii="Arial" w:cs="Arial" w:eastAsia="Arial" w:hAnsi="Arial"/>
          <w:sz w:val="17"/>
          <w:szCs w:val="17"/>
          <w:color w:val="auto"/>
        </w:rPr>
        <w:t>2) human GABA</w:t>
      </w:r>
      <w:r>
        <w:rPr>
          <w:rFonts w:ascii="Arial" w:cs="Arial" w:eastAsia="Arial" w:hAnsi="Arial"/>
          <w:sz w:val="15"/>
          <w:szCs w:val="15"/>
          <w:color w:val="auto"/>
        </w:rPr>
        <w:t>A</w:t>
      </w:r>
      <w:r>
        <w:rPr>
          <w:rFonts w:ascii="Arial" w:cs="Arial" w:eastAsia="Arial" w:hAnsi="Arial"/>
          <w:sz w:val="17"/>
          <w:szCs w:val="17"/>
          <w:color w:val="auto"/>
        </w:rPr>
        <w:t xml:space="preserve"> receptors. In this model, PRAX-114 potentiates the GABA-activated current of both extrasynaptic and synaptic GABA</w:t>
      </w:r>
      <w:r>
        <w:rPr>
          <w:rFonts w:ascii="Arial" w:cs="Arial" w:eastAsia="Arial" w:hAnsi="Arial"/>
          <w:sz w:val="15"/>
          <w:szCs w:val="15"/>
          <w:color w:val="auto"/>
        </w:rPr>
        <w:t>A</w:t>
      </w:r>
      <w:r>
        <w:rPr>
          <w:rFonts w:ascii="Arial" w:cs="Arial" w:eastAsia="Arial" w:hAnsi="Arial"/>
          <w:sz w:val="17"/>
          <w:szCs w:val="17"/>
          <w:color w:val="auto"/>
        </w:rPr>
        <w:t xml:space="preserve"> receptors, but was approximately 6.4-fold more potent in potentiating the extrasynaptic form of the receptor than the synaptic form based on the concentration that gives half-maximal response, or EC</w:t>
      </w:r>
      <w:r>
        <w:rPr>
          <w:rFonts w:ascii="Arial" w:cs="Arial" w:eastAsia="Arial" w:hAnsi="Arial"/>
          <w:sz w:val="15"/>
          <w:szCs w:val="15"/>
          <w:color w:val="auto"/>
        </w:rPr>
        <w:t>50</w:t>
      </w:r>
      <w:r>
        <w:rPr>
          <w:rFonts w:ascii="Arial" w:cs="Arial" w:eastAsia="Arial" w:hAnsi="Arial"/>
          <w:sz w:val="17"/>
          <w:szCs w:val="17"/>
          <w:color w:val="auto"/>
        </w:rPr>
        <w:t>. At a concentration that activates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to the equivalent of full activation by the endogenous ligand GABA (~260 nM, 300% potentiation of 2µM GABA), PRAX-114 led to 10.5-fold greater potentiation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than synaptic GABA</w:t>
      </w:r>
      <w:r>
        <w:rPr>
          <w:rFonts w:ascii="Arial" w:cs="Arial" w:eastAsia="Arial" w:hAnsi="Arial"/>
          <w:sz w:val="15"/>
          <w:szCs w:val="15"/>
          <w:color w:val="auto"/>
        </w:rPr>
        <w:t>A</w:t>
      </w:r>
      <w:r>
        <w:rPr>
          <w:rFonts w:ascii="Arial" w:cs="Arial" w:eastAsia="Arial" w:hAnsi="Arial"/>
          <w:sz w:val="17"/>
          <w:szCs w:val="17"/>
          <w:color w:val="auto"/>
        </w:rPr>
        <w:t xml:space="preserve"> receptors (29%) (Figure 3, Table 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535940</wp:posOffset>
            </wp:positionV>
            <wp:extent cx="2797810" cy="2048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781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100"/>
        <w:spacing w:after="0" w:line="302" w:lineRule="auto"/>
        <w:rPr>
          <w:sz w:val="20"/>
          <w:szCs w:val="20"/>
          <w:color w:val="auto"/>
        </w:rPr>
      </w:pPr>
      <w:r>
        <w:rPr>
          <w:rFonts w:ascii="Arial" w:cs="Arial" w:eastAsia="Arial" w:hAnsi="Arial"/>
          <w:sz w:val="17"/>
          <w:szCs w:val="17"/>
          <w:b w:val="1"/>
          <w:bCs w:val="1"/>
          <w:color w:val="auto"/>
        </w:rPr>
        <w:t>Figure 3. At 300% extrasynaptic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potentiation (equivalent to ~100% activation by endogenous agonist GABA), PRAX-114 led to 10.5-fold greater potentiation of extrasynaptic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receptors than synaptic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receptors (29%).</w:t>
      </w:r>
    </w:p>
    <w:p>
      <w:pPr>
        <w:spacing w:after="0" w:line="160" w:lineRule="exact"/>
        <w:rPr>
          <w:sz w:val="20"/>
          <w:szCs w:val="20"/>
          <w:color w:val="auto"/>
        </w:rPr>
      </w:pPr>
    </w:p>
    <w:p>
      <w:pPr>
        <w:ind w:right="420" w:firstLine="433"/>
        <w:spacing w:after="0" w:line="262" w:lineRule="auto"/>
        <w:rPr>
          <w:sz w:val="20"/>
          <w:szCs w:val="20"/>
          <w:color w:val="auto"/>
        </w:rPr>
      </w:pPr>
      <w:r>
        <w:rPr>
          <w:rFonts w:ascii="Arial" w:cs="Arial" w:eastAsia="Arial" w:hAnsi="Arial"/>
          <w:sz w:val="17"/>
          <w:szCs w:val="17"/>
          <w:color w:val="auto"/>
        </w:rPr>
        <w:t>In the same assay, at the same level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potentiation (300%), other GABA</w:t>
      </w:r>
      <w:r>
        <w:rPr>
          <w:rFonts w:ascii="Arial" w:cs="Arial" w:eastAsia="Arial" w:hAnsi="Arial"/>
          <w:sz w:val="15"/>
          <w:szCs w:val="15"/>
          <w:color w:val="auto"/>
        </w:rPr>
        <w:t>A</w:t>
      </w:r>
      <w:r>
        <w:rPr>
          <w:rFonts w:ascii="Arial" w:cs="Arial" w:eastAsia="Arial" w:hAnsi="Arial"/>
          <w:sz w:val="17"/>
          <w:szCs w:val="17"/>
          <w:color w:val="auto"/>
        </w:rPr>
        <w:t xml:space="preserve"> receptor PAM neuroactive steroids in development, or on the market, demonstrated only 0.4 to 2.6 fold greater potentiation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compares unfavorably to the 10.5 fold observed for PRAX-114 (Table 4). Based on these assay conditions, we believe that the differentiated preference at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by PRAX-114 will allow it to achieve high levels of extrasynaptic GABAergic activation with improved tolerability.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jc w:val="center"/>
              <w:ind w:left="436"/>
              <w:spacing w:after="0"/>
              <w:rPr>
                <w:sz w:val="20"/>
                <w:szCs w:val="20"/>
                <w:color w:val="auto"/>
              </w:rPr>
            </w:pPr>
            <w:r>
              <w:rPr>
                <w:rFonts w:ascii="Arial" w:cs="Arial" w:eastAsia="Arial" w:hAnsi="Arial"/>
                <w:sz w:val="16"/>
                <w:szCs w:val="16"/>
                <w:color w:val="auto"/>
                <w:w w:val="99"/>
              </w:rPr>
              <w:t>α</w:t>
            </w:r>
            <w:r>
              <w:rPr>
                <w:rFonts w:ascii="Arial" w:cs="Arial" w:eastAsia="Arial" w:hAnsi="Arial"/>
                <w:sz w:val="16"/>
                <w:szCs w:val="16"/>
                <w:b w:val="1"/>
                <w:bCs w:val="1"/>
                <w:color w:val="auto"/>
                <w:w w:val="99"/>
              </w:rPr>
              <w:t>4</w:t>
            </w:r>
            <w:r>
              <w:rPr>
                <w:rFonts w:ascii="Arial" w:cs="Arial" w:eastAsia="Arial" w:hAnsi="Arial"/>
                <w:sz w:val="16"/>
                <w:szCs w:val="16"/>
                <w:color w:val="auto"/>
                <w:w w:val="99"/>
              </w:rPr>
              <w:t>β</w:t>
            </w:r>
            <w:r>
              <w:rPr>
                <w:rFonts w:ascii="Arial" w:cs="Arial" w:eastAsia="Arial" w:hAnsi="Arial"/>
                <w:sz w:val="16"/>
                <w:szCs w:val="16"/>
                <w:b w:val="1"/>
                <w:bCs w:val="1"/>
                <w:color w:val="auto"/>
                <w:w w:val="99"/>
              </w:rPr>
              <w:t>3</w:t>
            </w:r>
            <w:r>
              <w:rPr>
                <w:rFonts w:ascii="Arial" w:cs="Arial" w:eastAsia="Arial" w:hAnsi="Arial"/>
                <w:sz w:val="16"/>
                <w:szCs w:val="16"/>
                <w:color w:val="auto"/>
                <w:w w:val="99"/>
              </w:rPr>
              <w:t xml:space="preserve">δ </w:t>
            </w:r>
            <w:r>
              <w:rPr>
                <w:rFonts w:ascii="Arial" w:cs="Arial" w:eastAsia="Arial" w:hAnsi="Arial"/>
                <w:sz w:val="17"/>
                <w:szCs w:val="17"/>
                <w:b w:val="1"/>
                <w:bCs w:val="1"/>
                <w:color w:val="auto"/>
                <w:w w:val="99"/>
              </w:rPr>
              <w:t>% potentiation</w:t>
            </w:r>
          </w:p>
        </w:tc>
        <w:tc>
          <w:tcPr>
            <w:tcW w:w="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Fold potentiation</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2120" w:type="dxa"/>
            <w:vAlign w:val="bottom"/>
            <w:vMerge w:val="restart"/>
          </w:tcPr>
          <w:p>
            <w:pPr>
              <w:ind w:left="920"/>
              <w:spacing w:after="0"/>
              <w:rPr>
                <w:sz w:val="20"/>
                <w:szCs w:val="20"/>
                <w:color w:val="auto"/>
              </w:rPr>
            </w:pPr>
            <w:r>
              <w:rPr>
                <w:rFonts w:ascii="Arial" w:cs="Arial" w:eastAsia="Arial" w:hAnsi="Arial"/>
                <w:sz w:val="17"/>
                <w:szCs w:val="17"/>
                <w:b w:val="1"/>
                <w:bCs w:val="1"/>
                <w:color w:val="auto"/>
              </w:rPr>
              <w:t>Dosing</w:t>
            </w:r>
          </w:p>
        </w:tc>
        <w:tc>
          <w:tcPr>
            <w:tcW w:w="2340" w:type="dxa"/>
            <w:vAlign w:val="bottom"/>
          </w:tcPr>
          <w:p>
            <w:pPr>
              <w:jc w:val="center"/>
              <w:ind w:left="436"/>
              <w:spacing w:after="0" w:line="171" w:lineRule="exact"/>
              <w:rPr>
                <w:sz w:val="20"/>
                <w:szCs w:val="20"/>
                <w:color w:val="auto"/>
              </w:rPr>
            </w:pPr>
            <w:r>
              <w:rPr>
                <w:rFonts w:ascii="Arial" w:cs="Arial" w:eastAsia="Arial" w:hAnsi="Arial"/>
                <w:sz w:val="17"/>
                <w:szCs w:val="17"/>
                <w:b w:val="1"/>
                <w:bCs w:val="1"/>
                <w:color w:val="auto"/>
              </w:rPr>
              <w:t>(Equivalent of full</w:t>
            </w:r>
          </w:p>
        </w:tc>
        <w:tc>
          <w:tcPr>
            <w:tcW w:w="580" w:type="dxa"/>
            <w:vAlign w:val="bottom"/>
          </w:tcPr>
          <w:p>
            <w:pPr>
              <w:spacing w:after="0"/>
              <w:rPr>
                <w:sz w:val="14"/>
                <w:szCs w:val="14"/>
                <w:color w:val="auto"/>
              </w:rPr>
            </w:pPr>
          </w:p>
        </w:tc>
        <w:tc>
          <w:tcPr>
            <w:tcW w:w="2000" w:type="dxa"/>
            <w:vAlign w:val="bottom"/>
            <w:vMerge w:val="restart"/>
          </w:tcPr>
          <w:p>
            <w:pPr>
              <w:jc w:val="right"/>
              <w:ind w:right="94"/>
              <w:spacing w:after="0"/>
              <w:rPr>
                <w:sz w:val="20"/>
                <w:szCs w:val="20"/>
                <w:color w:val="auto"/>
              </w:rPr>
            </w:pPr>
            <w:r>
              <w:rPr>
                <w:rFonts w:ascii="Arial" w:cs="Arial" w:eastAsia="Arial" w:hAnsi="Arial"/>
                <w:sz w:val="16"/>
                <w:szCs w:val="16"/>
                <w:color w:val="auto"/>
              </w:rPr>
              <w:t>α</w:t>
            </w:r>
            <w:r>
              <w:rPr>
                <w:rFonts w:ascii="Arial" w:cs="Arial" w:eastAsia="Arial" w:hAnsi="Arial"/>
                <w:sz w:val="16"/>
                <w:szCs w:val="16"/>
                <w:b w:val="1"/>
                <w:bCs w:val="1"/>
                <w:color w:val="auto"/>
              </w:rPr>
              <w:t>1</w:t>
            </w:r>
            <w:r>
              <w:rPr>
                <w:rFonts w:ascii="Arial" w:cs="Arial" w:eastAsia="Arial" w:hAnsi="Arial"/>
                <w:sz w:val="16"/>
                <w:szCs w:val="16"/>
                <w:color w:val="auto"/>
              </w:rPr>
              <w:t>β</w:t>
            </w:r>
            <w:r>
              <w:rPr>
                <w:rFonts w:ascii="Arial" w:cs="Arial" w:eastAsia="Arial" w:hAnsi="Arial"/>
                <w:sz w:val="16"/>
                <w:szCs w:val="16"/>
                <w:b w:val="1"/>
                <w:bCs w:val="1"/>
                <w:color w:val="auto"/>
              </w:rPr>
              <w:t>2</w:t>
            </w:r>
            <w:r>
              <w:rPr>
                <w:rFonts w:ascii="Arial" w:cs="Arial" w:eastAsia="Arial" w:hAnsi="Arial"/>
                <w:sz w:val="16"/>
                <w:szCs w:val="16"/>
                <w:color w:val="auto"/>
              </w:rPr>
              <w:t>γ</w:t>
            </w:r>
            <w:r>
              <w:rPr>
                <w:rFonts w:ascii="Arial" w:cs="Arial" w:eastAsia="Arial" w:hAnsi="Arial"/>
                <w:sz w:val="16"/>
                <w:szCs w:val="16"/>
                <w:b w:val="1"/>
                <w:bCs w:val="1"/>
                <w:color w:val="auto"/>
              </w:rPr>
              <w:t>2</w:t>
            </w:r>
            <w:r>
              <w:rPr>
                <w:rFonts w:ascii="Arial" w:cs="Arial" w:eastAsia="Arial" w:hAnsi="Arial"/>
                <w:sz w:val="16"/>
                <w:szCs w:val="16"/>
                <w:color w:val="auto"/>
              </w:rPr>
              <w:t xml:space="preserve"> </w:t>
            </w:r>
            <w:r>
              <w:rPr>
                <w:rFonts w:ascii="Arial" w:cs="Arial" w:eastAsia="Arial" w:hAnsi="Arial"/>
                <w:sz w:val="17"/>
                <w:szCs w:val="17"/>
                <w:b w:val="1"/>
                <w:bCs w:val="1"/>
                <w:color w:val="auto"/>
              </w:rPr>
              <w:t>% potentiation</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b w:val="1"/>
                <w:bCs w:val="1"/>
                <w:color w:val="auto"/>
              </w:rPr>
              <w:t>activation by GABA)</w:t>
            </w:r>
          </w:p>
        </w:tc>
        <w:tc>
          <w:tcPr>
            <w:tcW w:w="5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color w:val="auto"/>
              </w:rPr>
              <w:t>α</w:t>
            </w:r>
            <w:r>
              <w:rPr>
                <w:rFonts w:ascii="Arial" w:cs="Arial" w:eastAsia="Arial" w:hAnsi="Arial"/>
                <w:sz w:val="16"/>
                <w:szCs w:val="16"/>
                <w:b w:val="1"/>
                <w:bCs w:val="1"/>
                <w:color w:val="auto"/>
              </w:rPr>
              <w:t>4</w:t>
            </w:r>
            <w:r>
              <w:rPr>
                <w:rFonts w:ascii="Arial" w:cs="Arial" w:eastAsia="Arial" w:hAnsi="Arial"/>
                <w:sz w:val="16"/>
                <w:szCs w:val="16"/>
                <w:color w:val="auto"/>
              </w:rPr>
              <w:t xml:space="preserve">β </w:t>
            </w:r>
            <w:r>
              <w:rPr>
                <w:rFonts w:ascii="Arial" w:cs="Arial" w:eastAsia="Arial" w:hAnsi="Arial"/>
                <w:sz w:val="16"/>
                <w:szCs w:val="16"/>
                <w:b w:val="1"/>
                <w:bCs w:val="1"/>
                <w:color w:val="auto"/>
              </w:rPr>
              <w:t>3</w:t>
            </w:r>
            <w:r>
              <w:rPr>
                <w:rFonts w:ascii="Arial" w:cs="Arial" w:eastAsia="Arial" w:hAnsi="Arial"/>
                <w:sz w:val="16"/>
                <w:szCs w:val="16"/>
                <w:color w:val="auto"/>
              </w:rPr>
              <w:t>δ</w:t>
            </w:r>
            <w:r>
              <w:rPr>
                <w:rFonts w:ascii="Arial" w:cs="Arial" w:eastAsia="Arial" w:hAnsi="Arial"/>
                <w:sz w:val="17"/>
                <w:szCs w:val="17"/>
                <w:b w:val="1"/>
                <w:bCs w:val="1"/>
                <w:color w:val="auto"/>
              </w:rPr>
              <w:t>/</w:t>
            </w:r>
            <w:r>
              <w:rPr>
                <w:rFonts w:ascii="Arial" w:cs="Arial" w:eastAsia="Arial" w:hAnsi="Arial"/>
                <w:sz w:val="16"/>
                <w:szCs w:val="16"/>
                <w:color w:val="auto"/>
              </w:rPr>
              <w:t>α</w:t>
            </w:r>
            <w:r>
              <w:rPr>
                <w:rFonts w:ascii="Arial" w:cs="Arial" w:eastAsia="Arial" w:hAnsi="Arial"/>
                <w:sz w:val="16"/>
                <w:szCs w:val="16"/>
                <w:b w:val="1"/>
                <w:bCs w:val="1"/>
                <w:color w:val="auto"/>
              </w:rPr>
              <w:t>1</w:t>
            </w:r>
            <w:r>
              <w:rPr>
                <w:rFonts w:ascii="Arial" w:cs="Arial" w:eastAsia="Arial" w:hAnsi="Arial"/>
                <w:sz w:val="16"/>
                <w:szCs w:val="16"/>
                <w:color w:val="auto"/>
              </w:rPr>
              <w:t>β</w:t>
            </w:r>
            <w:r>
              <w:rPr>
                <w:rFonts w:ascii="Arial" w:cs="Arial" w:eastAsia="Arial" w:hAnsi="Arial"/>
                <w:sz w:val="16"/>
                <w:szCs w:val="16"/>
                <w:b w:val="1"/>
                <w:bCs w:val="1"/>
                <w:color w:val="auto"/>
              </w:rPr>
              <w:t>2</w:t>
            </w:r>
            <w:r>
              <w:rPr>
                <w:rFonts w:ascii="Arial" w:cs="Arial" w:eastAsia="Arial" w:hAnsi="Arial"/>
                <w:sz w:val="16"/>
                <w:szCs w:val="16"/>
                <w:color w:val="auto"/>
              </w:rPr>
              <w:t>γ</w:t>
            </w: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7"/>
                <w:szCs w:val="17"/>
                <w:b w:val="1"/>
                <w:bCs w:val="1"/>
                <w:color w:val="auto"/>
              </w:rPr>
              <w:t>PRAX-114</w:t>
            </w:r>
          </w:p>
        </w:tc>
        <w:tc>
          <w:tcPr>
            <w:tcW w:w="2120" w:type="dxa"/>
            <w:vAlign w:val="bottom"/>
          </w:tcPr>
          <w:p>
            <w:pPr>
              <w:ind w:left="400"/>
              <w:spacing w:after="0"/>
              <w:rPr>
                <w:sz w:val="20"/>
                <w:szCs w:val="20"/>
                <w:color w:val="auto"/>
              </w:rPr>
            </w:pPr>
            <w:r>
              <w:rPr>
                <w:rFonts w:ascii="Arial" w:cs="Arial" w:eastAsia="Arial" w:hAnsi="Arial"/>
                <w:sz w:val="17"/>
                <w:szCs w:val="17"/>
                <w:b w:val="1"/>
                <w:bCs w:val="1"/>
                <w:color w:val="auto"/>
              </w:rPr>
              <w:t>Oral</w:t>
            </w:r>
          </w:p>
        </w:tc>
        <w:tc>
          <w:tcPr>
            <w:tcW w:w="2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300 %</w:t>
            </w:r>
          </w:p>
        </w:tc>
        <w:tc>
          <w:tcPr>
            <w:tcW w:w="2000" w:type="dxa"/>
            <w:vAlign w:val="bottom"/>
          </w:tcPr>
          <w:p>
            <w:pPr>
              <w:jc w:val="right"/>
              <w:ind w:right="54"/>
              <w:spacing w:after="0"/>
              <w:rPr>
                <w:sz w:val="20"/>
                <w:szCs w:val="20"/>
                <w:color w:val="auto"/>
              </w:rPr>
            </w:pPr>
            <w:r>
              <w:rPr>
                <w:rFonts w:ascii="Arial" w:cs="Arial" w:eastAsia="Arial" w:hAnsi="Arial"/>
                <w:sz w:val="17"/>
                <w:szCs w:val="17"/>
                <w:b w:val="1"/>
                <w:bCs w:val="1"/>
                <w:color w:val="auto"/>
              </w:rPr>
              <w:t>29 %</w:t>
            </w:r>
          </w:p>
        </w:tc>
        <w:tc>
          <w:tcPr>
            <w:tcW w:w="182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7"/>
                <w:szCs w:val="17"/>
                <w:color w:val="auto"/>
              </w:rPr>
              <w:t>Zuranolone</w:t>
            </w:r>
          </w:p>
        </w:tc>
        <w:tc>
          <w:tcPr>
            <w:tcW w:w="2120" w:type="dxa"/>
            <w:vAlign w:val="bottom"/>
          </w:tcPr>
          <w:p>
            <w:pPr>
              <w:ind w:left="400"/>
              <w:spacing w:after="0"/>
              <w:rPr>
                <w:sz w:val="20"/>
                <w:szCs w:val="20"/>
                <w:color w:val="auto"/>
              </w:rPr>
            </w:pPr>
            <w:r>
              <w:rPr>
                <w:rFonts w:ascii="Arial" w:cs="Arial" w:eastAsia="Arial" w:hAnsi="Arial"/>
                <w:sz w:val="17"/>
                <w:szCs w:val="17"/>
                <w:color w:val="auto"/>
              </w:rPr>
              <w:t>Oral</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300 %</w:t>
            </w:r>
          </w:p>
        </w:tc>
        <w:tc>
          <w:tcPr>
            <w:tcW w:w="2000" w:type="dxa"/>
            <w:vAlign w:val="bottom"/>
          </w:tcPr>
          <w:p>
            <w:pPr>
              <w:jc w:val="right"/>
              <w:ind w:right="54"/>
              <w:spacing w:after="0"/>
              <w:rPr>
                <w:sz w:val="20"/>
                <w:szCs w:val="20"/>
                <w:color w:val="auto"/>
              </w:rPr>
            </w:pPr>
            <w:r>
              <w:rPr>
                <w:rFonts w:ascii="Arial" w:cs="Arial" w:eastAsia="Arial" w:hAnsi="Arial"/>
                <w:sz w:val="17"/>
                <w:szCs w:val="17"/>
                <w:color w:val="auto"/>
              </w:rPr>
              <w:t>117 %</w:t>
            </w:r>
          </w:p>
        </w:tc>
        <w:tc>
          <w:tcPr>
            <w:tcW w:w="182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Ganaxolone</w:t>
            </w:r>
          </w:p>
        </w:tc>
        <w:tc>
          <w:tcPr>
            <w:tcW w:w="2120" w:type="dxa"/>
            <w:vAlign w:val="bottom"/>
          </w:tcPr>
          <w:p>
            <w:pPr>
              <w:ind w:left="400"/>
              <w:spacing w:after="0"/>
              <w:rPr>
                <w:sz w:val="20"/>
                <w:szCs w:val="20"/>
                <w:color w:val="auto"/>
              </w:rPr>
            </w:pPr>
            <w:r>
              <w:rPr>
                <w:rFonts w:ascii="Arial" w:cs="Arial" w:eastAsia="Arial" w:hAnsi="Arial"/>
                <w:sz w:val="17"/>
                <w:szCs w:val="17"/>
                <w:color w:val="auto"/>
              </w:rPr>
              <w:t>IV, Oral</w:t>
            </w:r>
          </w:p>
        </w:tc>
        <w:tc>
          <w:tcPr>
            <w:tcW w:w="2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300 %</w:t>
            </w:r>
          </w:p>
        </w:tc>
        <w:tc>
          <w:tcPr>
            <w:tcW w:w="2000" w:type="dxa"/>
            <w:vAlign w:val="bottom"/>
          </w:tcPr>
          <w:p>
            <w:pPr>
              <w:jc w:val="right"/>
              <w:ind w:right="54"/>
              <w:spacing w:after="0"/>
              <w:rPr>
                <w:sz w:val="20"/>
                <w:szCs w:val="20"/>
                <w:color w:val="auto"/>
              </w:rPr>
            </w:pPr>
            <w:r>
              <w:rPr>
                <w:rFonts w:ascii="Arial" w:cs="Arial" w:eastAsia="Arial" w:hAnsi="Arial"/>
                <w:sz w:val="17"/>
                <w:szCs w:val="17"/>
                <w:color w:val="auto"/>
              </w:rPr>
              <w:t>794 %</w:t>
            </w:r>
          </w:p>
        </w:tc>
        <w:tc>
          <w:tcPr>
            <w:tcW w:w="182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307"/>
        </w:trPr>
        <w:tc>
          <w:tcPr>
            <w:tcW w:w="2380" w:type="dxa"/>
            <w:vAlign w:val="bottom"/>
          </w:tcPr>
          <w:p>
            <w:pPr>
              <w:ind w:left="20"/>
              <w:spacing w:after="0"/>
              <w:rPr>
                <w:sz w:val="20"/>
                <w:szCs w:val="20"/>
                <w:color w:val="auto"/>
              </w:rPr>
            </w:pPr>
            <w:r>
              <w:rPr>
                <w:rFonts w:ascii="Arial" w:cs="Arial" w:eastAsia="Arial" w:hAnsi="Arial"/>
                <w:sz w:val="17"/>
                <w:szCs w:val="17"/>
                <w:color w:val="auto"/>
              </w:rPr>
              <w:t>Zulresso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(brexanolone)</w:t>
            </w:r>
          </w:p>
        </w:tc>
        <w:tc>
          <w:tcPr>
            <w:tcW w:w="2120" w:type="dxa"/>
            <w:vAlign w:val="bottom"/>
          </w:tcPr>
          <w:p>
            <w:pPr>
              <w:ind w:left="400"/>
              <w:spacing w:after="0"/>
              <w:rPr>
                <w:sz w:val="20"/>
                <w:szCs w:val="20"/>
                <w:color w:val="auto"/>
              </w:rPr>
            </w:pPr>
            <w:r>
              <w:rPr>
                <w:rFonts w:ascii="Arial" w:cs="Arial" w:eastAsia="Arial" w:hAnsi="Arial"/>
                <w:sz w:val="17"/>
                <w:szCs w:val="17"/>
                <w:color w:val="auto"/>
              </w:rPr>
              <w:t>IV</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300 %</w:t>
            </w:r>
          </w:p>
        </w:tc>
        <w:tc>
          <w:tcPr>
            <w:tcW w:w="2000" w:type="dxa"/>
            <w:vAlign w:val="bottom"/>
          </w:tcPr>
          <w:p>
            <w:pPr>
              <w:jc w:val="right"/>
              <w:ind w:right="54"/>
              <w:spacing w:after="0"/>
              <w:rPr>
                <w:sz w:val="20"/>
                <w:szCs w:val="20"/>
                <w:color w:val="auto"/>
              </w:rPr>
            </w:pPr>
            <w:r>
              <w:rPr>
                <w:rFonts w:ascii="Arial" w:cs="Arial" w:eastAsia="Arial" w:hAnsi="Arial"/>
                <w:sz w:val="17"/>
                <w:szCs w:val="17"/>
                <w:color w:val="auto"/>
              </w:rPr>
              <w:t>306 %</w:t>
            </w:r>
          </w:p>
        </w:tc>
        <w:tc>
          <w:tcPr>
            <w:tcW w:w="18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left="340" w:right="300"/>
        <w:spacing w:after="0" w:line="302" w:lineRule="auto"/>
        <w:rPr>
          <w:sz w:val="20"/>
          <w:szCs w:val="20"/>
          <w:color w:val="auto"/>
        </w:rPr>
      </w:pPr>
      <w:r>
        <w:rPr>
          <w:rFonts w:ascii="Arial" w:cs="Arial" w:eastAsia="Arial" w:hAnsi="Arial"/>
          <w:sz w:val="17"/>
          <w:szCs w:val="17"/>
          <w:b w:val="1"/>
          <w:bCs w:val="1"/>
          <w:color w:val="auto"/>
        </w:rPr>
        <w:t xml:space="preserve">Table 4. Comparison of the degree of </w:t>
      </w:r>
      <w:r>
        <w:rPr>
          <w:rFonts w:ascii="Arial" w:cs="Arial" w:eastAsia="Arial" w:hAnsi="Arial"/>
          <w:sz w:val="17"/>
          <w:szCs w:val="17"/>
          <w:b w:val="1"/>
          <w:bCs w:val="1"/>
          <w:i w:val="1"/>
          <w:iCs w:val="1"/>
          <w:color w:val="auto"/>
        </w:rPr>
        <w:t>in-vitro</w:t>
      </w:r>
      <w:r>
        <w:rPr>
          <w:rFonts w:ascii="Arial" w:cs="Arial" w:eastAsia="Arial" w:hAnsi="Arial"/>
          <w:sz w:val="17"/>
          <w:szCs w:val="17"/>
          <w:b w:val="1"/>
          <w:bCs w:val="1"/>
          <w:color w:val="auto"/>
        </w:rPr>
        <w:t xml:space="preserve">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potentiation achieved by PRAX-114 and other neuroactive steroid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PAMs. </w:t>
      </w:r>
      <w:r>
        <w:rPr>
          <w:rFonts w:ascii="Arial" w:cs="Arial" w:eastAsia="Arial" w:hAnsi="Arial"/>
          <w:sz w:val="15"/>
          <w:szCs w:val="15"/>
          <w:color w:val="auto"/>
        </w:rPr>
        <w:t>α</w:t>
      </w:r>
      <w:r>
        <w:rPr>
          <w:rFonts w:ascii="Arial" w:cs="Arial" w:eastAsia="Arial" w:hAnsi="Arial"/>
          <w:sz w:val="15"/>
          <w:szCs w:val="15"/>
          <w:b w:val="1"/>
          <w:bCs w:val="1"/>
          <w:color w:val="auto"/>
        </w:rPr>
        <w:t>4</w:t>
      </w:r>
      <w:r>
        <w:rPr>
          <w:rFonts w:ascii="Arial" w:cs="Arial" w:eastAsia="Arial" w:hAnsi="Arial"/>
          <w:sz w:val="15"/>
          <w:szCs w:val="15"/>
          <w:color w:val="auto"/>
        </w:rPr>
        <w:t>β</w:t>
      </w:r>
      <w:r>
        <w:rPr>
          <w:rFonts w:ascii="Arial" w:cs="Arial" w:eastAsia="Arial" w:hAnsi="Arial"/>
          <w:sz w:val="15"/>
          <w:szCs w:val="15"/>
          <w:b w:val="1"/>
          <w:bCs w:val="1"/>
          <w:color w:val="auto"/>
        </w:rPr>
        <w:t>3</w:t>
      </w:r>
      <w:r>
        <w:rPr>
          <w:rFonts w:ascii="Arial" w:cs="Arial" w:eastAsia="Arial" w:hAnsi="Arial"/>
          <w:sz w:val="15"/>
          <w:szCs w:val="15"/>
          <w:color w:val="auto"/>
        </w:rPr>
        <w:t>δ</w:t>
      </w:r>
      <w:r>
        <w:rPr>
          <w:rFonts w:ascii="Arial" w:cs="Arial" w:eastAsia="Arial" w:hAnsi="Arial"/>
          <w:sz w:val="17"/>
          <w:szCs w:val="17"/>
          <w:b w:val="1"/>
          <w:bCs w:val="1"/>
          <w:color w:val="auto"/>
        </w:rPr>
        <w:t xml:space="preserve"> : extrasynaptic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receptors, </w:t>
      </w:r>
      <w:r>
        <w:rPr>
          <w:rFonts w:ascii="Arial" w:cs="Arial" w:eastAsia="Arial" w:hAnsi="Arial"/>
          <w:sz w:val="15"/>
          <w:szCs w:val="15"/>
          <w:color w:val="auto"/>
        </w:rPr>
        <w:t>α</w:t>
      </w:r>
      <w:r>
        <w:rPr>
          <w:rFonts w:ascii="Arial" w:cs="Arial" w:eastAsia="Arial" w:hAnsi="Arial"/>
          <w:sz w:val="15"/>
          <w:szCs w:val="15"/>
          <w:b w:val="1"/>
          <w:bCs w:val="1"/>
          <w:color w:val="auto"/>
        </w:rPr>
        <w:t>1</w:t>
      </w:r>
      <w:r>
        <w:rPr>
          <w:rFonts w:ascii="Arial" w:cs="Arial" w:eastAsia="Arial" w:hAnsi="Arial"/>
          <w:sz w:val="15"/>
          <w:szCs w:val="15"/>
          <w:color w:val="auto"/>
        </w:rPr>
        <w:t>β</w:t>
      </w:r>
      <w:r>
        <w:rPr>
          <w:rFonts w:ascii="Arial" w:cs="Arial" w:eastAsia="Arial" w:hAnsi="Arial"/>
          <w:sz w:val="15"/>
          <w:szCs w:val="15"/>
          <w:b w:val="1"/>
          <w:bCs w:val="1"/>
          <w:color w:val="auto"/>
        </w:rPr>
        <w:t>2</w:t>
      </w:r>
      <w:r>
        <w:rPr>
          <w:rFonts w:ascii="Arial" w:cs="Arial" w:eastAsia="Arial" w:hAnsi="Arial"/>
          <w:sz w:val="15"/>
          <w:szCs w:val="15"/>
          <w:color w:val="auto"/>
        </w:rPr>
        <w:t>γ</w:t>
      </w:r>
      <w:r>
        <w:rPr>
          <w:rFonts w:ascii="Arial" w:cs="Arial" w:eastAsia="Arial" w:hAnsi="Arial"/>
          <w:sz w:val="17"/>
          <w:szCs w:val="17"/>
          <w:b w:val="1"/>
          <w:bCs w:val="1"/>
          <w:color w:val="auto"/>
        </w:rPr>
        <w:t xml:space="preserve"> 2: synaptic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PRAX-114 clinical development in depression</w:t>
      </w:r>
    </w:p>
    <w:p>
      <w:pPr>
        <w:spacing w:after="0" w:line="244" w:lineRule="exact"/>
        <w:rPr>
          <w:sz w:val="20"/>
          <w:szCs w:val="20"/>
          <w:color w:val="auto"/>
        </w:rPr>
      </w:pPr>
    </w:p>
    <w:p>
      <w:pPr>
        <w:ind w:right="100" w:firstLine="433"/>
        <w:spacing w:after="0" w:line="243" w:lineRule="auto"/>
        <w:rPr>
          <w:sz w:val="20"/>
          <w:szCs w:val="20"/>
          <w:color w:val="auto"/>
        </w:rPr>
      </w:pPr>
      <w:r>
        <w:rPr>
          <w:rFonts w:ascii="Arial" w:cs="Arial" w:eastAsia="Arial" w:hAnsi="Arial"/>
          <w:sz w:val="17"/>
          <w:szCs w:val="17"/>
          <w:color w:val="auto"/>
        </w:rPr>
        <w:t>We have initiated clinical development for PRAX-114 in mood disorders. To date, two Phase 1 clinical trials of PRAX-114 have been completed in healthy volunteers. These studies in 82 healthy volunteers showed PRAX-114 to be generally well-tolerated, with dose-dependent pharmacodynamic activities. In our ongoing Phase 2a clinical trial in Australia, we observed marked improvements in depression scores in MDD patients within two weeks of treatment that was maintained throughout the treatment period. We have also conducted a pharmacokinetics bridging study in healthy volunteers that confirmed our generally well-tolerated profile and consistency in exposure across a wide range of administration conditions including fed versus fasted and morning versus evening dosing. We are operationally ready and intend to initiate a Phase 2/3 trial in the United States and Australia by the end of March 2021. If positive, the Phase 2/3 trial is intended to serve as one of two registrational trials required by the FDA to support clinical efficacy for monotherapy treatment of MDD, and we expect topline data in the first half of 2022. In addition to the Phase 2/3 monotherapy trial, we intend to initiate a Phase 2 DRF trial for adjunctive treatment of MDD by mid-2021 to inform dose selection for the Phase 3 monotherapy trial and provide controlled data to support advancing a Phase 3 adjunctive MDD trial.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SAD and MAD trials in healthy volunteers</w:t>
      </w:r>
    </w:p>
    <w:p>
      <w:pPr>
        <w:spacing w:after="0" w:line="98"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We conducted a Phase 1 randomized, double-blind, placebo-controlled single ascending dose, or SAD, trial of PRAX-114 in healthy volunteers to evaluate safety and tolerability of PRAX-114. This trial enrolled 36 volunteers who were randomized into cohorts dosed with 1mg, 3mg, 10mg, 30mg or 60mg of PRAX-114 or placebo. PRAX-114 was generally well-tolerated and no serious adverse events, or SAEs, were reported in this trial.</w:t>
      </w:r>
    </w:p>
    <w:p>
      <w:pPr>
        <w:spacing w:after="0" w:line="19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subsequently conducted a Phase 1 randomized, double-blind, placebo-controlled MAD trial in healthy volunteers in Australia to evaluate the safety, tolerability and pharmacokinetics of PRAX-114 and to assess the effect of food on drug exposure. Thirty-six volunteers were randomized to receive daily doses of 15mg, 30mg or 60mg of PRAX-114 or placebo for 14 days. Ten additional volunteers in a food effect cohort received 30mg doses of PRAX-114 when they were in a fasted state or with a high-fat meal.</w:t>
      </w:r>
    </w:p>
    <w:p>
      <w:pPr>
        <w:spacing w:after="0" w:line="192"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As part of our MAD trial, we measured the effect of PRAX-114 on the quantitative EEG, or qEEG, to understand the pharmacodynamic effect of PRAX-114 on GABA</w:t>
      </w:r>
      <w:r>
        <w:rPr>
          <w:rFonts w:ascii="Arial" w:cs="Arial" w:eastAsia="Arial" w:hAnsi="Arial"/>
          <w:sz w:val="15"/>
          <w:szCs w:val="15"/>
          <w:color w:val="auto"/>
        </w:rPr>
        <w:t>A</w:t>
      </w:r>
      <w:r>
        <w:rPr>
          <w:rFonts w:ascii="Arial" w:cs="Arial" w:eastAsia="Arial" w:hAnsi="Arial"/>
          <w:sz w:val="17"/>
          <w:szCs w:val="17"/>
          <w:color w:val="auto"/>
        </w:rPr>
        <w:t xml:space="preserve"> receptor activation. An EEG is a real-time non-invasive measure of electrical activity of neurons in the brain. The frequency and amplitude of the detected electrical signals provide insights into brain function and brain state (e.g., awake, deep sleep, etc). qEEG, also called pharmaco-EEG, is a quantitative measure of the changes in brain activity in specific EEG frequency bands in response to treatment with a brain-active compound. Changes in power in the beta frequency band, specifically, are used as a pharmacodynamic biomarker of GABA</w:t>
      </w:r>
      <w:r>
        <w:rPr>
          <w:rFonts w:ascii="Arial" w:cs="Arial" w:eastAsia="Arial" w:hAnsi="Arial"/>
          <w:sz w:val="15"/>
          <w:szCs w:val="15"/>
          <w:color w:val="auto"/>
        </w:rPr>
        <w:t>A</w:t>
      </w:r>
      <w:r>
        <w:rPr>
          <w:rFonts w:ascii="Arial" w:cs="Arial" w:eastAsia="Arial" w:hAnsi="Arial"/>
          <w:sz w:val="17"/>
          <w:szCs w:val="17"/>
          <w:color w:val="auto"/>
        </w:rPr>
        <w:t xml:space="preserve"> receptor activation in response to a brain active compound.</w:t>
      </w:r>
    </w:p>
    <w:p>
      <w:pPr>
        <w:spacing w:after="0" w:line="193" w:lineRule="exact"/>
        <w:rPr>
          <w:sz w:val="20"/>
          <w:szCs w:val="20"/>
          <w:color w:val="auto"/>
        </w:rPr>
      </w:pPr>
    </w:p>
    <w:p>
      <w:pPr>
        <w:jc w:val="both"/>
        <w:ind w:right="80" w:firstLine="433"/>
        <w:spacing w:after="0" w:line="263" w:lineRule="auto"/>
        <w:rPr>
          <w:sz w:val="20"/>
          <w:szCs w:val="20"/>
          <w:color w:val="auto"/>
        </w:rPr>
      </w:pPr>
      <w:r>
        <w:rPr>
          <w:rFonts w:ascii="Arial" w:cs="Arial" w:eastAsia="Arial" w:hAnsi="Arial"/>
          <w:sz w:val="17"/>
          <w:szCs w:val="17"/>
          <w:color w:val="auto"/>
        </w:rPr>
        <w:t>In both the Phase 1 SAD and MAD trials, we observed fast absorption of PRAX-114 within one to three hours of dosing and approximately dose-proportional increases in peak concentration and total drug exposure. In the MAD trial, the half-life of the drug was between 12.2 and 14.8 hours, consistent with a once-daily dosing paradigm. Little or no accumulation of the drug was observed in the multiple dose trial over the ranges of doses tested.</w:t>
      </w:r>
    </w:p>
    <w:p>
      <w:pPr>
        <w:spacing w:after="0" w:line="192" w:lineRule="exact"/>
        <w:rPr>
          <w:sz w:val="20"/>
          <w:szCs w:val="20"/>
          <w:color w:val="auto"/>
        </w:rPr>
      </w:pPr>
    </w:p>
    <w:p>
      <w:pPr>
        <w:ind w:right="220" w:firstLine="433"/>
        <w:spacing w:after="0" w:line="259" w:lineRule="auto"/>
        <w:rPr>
          <w:sz w:val="20"/>
          <w:szCs w:val="20"/>
          <w:color w:val="auto"/>
        </w:rPr>
      </w:pPr>
      <w:r>
        <w:rPr>
          <w:rFonts w:ascii="Arial" w:cs="Arial" w:eastAsia="Arial" w:hAnsi="Arial"/>
          <w:sz w:val="17"/>
          <w:szCs w:val="17"/>
          <w:color w:val="auto"/>
        </w:rPr>
        <w:t>We believe that the simple nightly administration of PRAX-114 with or without food is key for clinical and commercial success in MDD, as many patients struggle with adherence to medication and forcing a dietary regimen would impose further complications in this vulnerable population. In the food effect cohort of the MAD trial, overall drug exposure as measured by area under the concentration curve, or AUC, of PRAX-114 increased by only 1.17-fold in the fed state versus in the fasted state. The primary effect of food was observed in the Cmax, which was 0.64-fold of that observed under fed conditions. These findings indicate that PRAX-114 does not need to be taken with food to achieve therapeutic exposures. According to results presented in a published patent application, zuranolone, a GABA</w:t>
      </w:r>
      <w:r>
        <w:rPr>
          <w:rFonts w:ascii="Arial" w:cs="Arial" w:eastAsia="Arial" w:hAnsi="Arial"/>
          <w:sz w:val="15"/>
          <w:szCs w:val="15"/>
          <w:color w:val="auto"/>
        </w:rPr>
        <w:t>A</w:t>
      </w:r>
      <w:r>
        <w:rPr>
          <w:rFonts w:ascii="Arial" w:cs="Arial" w:eastAsia="Arial" w:hAnsi="Arial"/>
          <w:sz w:val="17"/>
          <w:szCs w:val="17"/>
          <w:color w:val="auto"/>
        </w:rPr>
        <w:t xml:space="preserve"> PAM neuroactive steroid in development for treatment of MDD, exhibited a food effect that resulted in increases in Cmax of approximately 2.88-fold and in AUC of approximately 1.58-fold in the fed versus the fasted conditions (Table 5). We believe this food effect has led to the development of zuranolone requiring administration with a high-fat meal for the compound reliably achieve target exposures. We believe that the absence of a requirement that PRAX-114 be taken with food creates a potential competitive advantage over drugs that may require administration with food to achieve consistent target exposures, and should allow flexibility to adjust to the comorbid changes in appetite and preferences of MDD patients.</w:t>
      </w:r>
    </w:p>
    <w:p>
      <w:pPr>
        <w:sectPr>
          <w:pgSz w:w="11900" w:h="16838" w:orient="portrait"/>
          <w:cols w:equalWidth="0" w:num="1">
            <w:col w:w="11240"/>
          </w:cols>
          <w:pgMar w:left="320" w:top="118" w:right="3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Statistical Analysis of the Effect of High-fat Meal</w:t>
      </w:r>
    </w:p>
    <w:p>
      <w:pPr>
        <w:jc w:val="center"/>
        <w:spacing w:after="0"/>
        <w:rPr>
          <w:sz w:val="20"/>
          <w:szCs w:val="20"/>
          <w:color w:val="auto"/>
        </w:rPr>
      </w:pPr>
      <w:r>
        <w:rPr>
          <w:rFonts w:ascii="Arial" w:cs="Arial" w:eastAsia="Arial" w:hAnsi="Arial"/>
          <w:sz w:val="17"/>
          <w:szCs w:val="17"/>
          <w:b w:val="1"/>
          <w:bCs w:val="1"/>
          <w:color w:val="auto"/>
        </w:rPr>
        <w:t>for PRAX-114 suspension (30mg)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34226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Pr>
          <w:p>
            <w:pPr>
              <w:ind w:left="20"/>
              <w:spacing w:after="0"/>
              <w:rPr>
                <w:sz w:val="20"/>
                <w:szCs w:val="20"/>
                <w:color w:val="auto"/>
              </w:rPr>
            </w:pPr>
            <w:r>
              <w:rPr>
                <w:rFonts w:ascii="Arial" w:cs="Arial" w:eastAsia="Arial" w:hAnsi="Arial"/>
                <w:sz w:val="17"/>
                <w:szCs w:val="17"/>
                <w:b w:val="1"/>
                <w:bCs w:val="1"/>
                <w:color w:val="auto"/>
              </w:rPr>
              <w:t>PK</w:t>
            </w:r>
          </w:p>
        </w:tc>
        <w:tc>
          <w:tcPr>
            <w:tcW w:w="1900" w:type="dxa"/>
            <w:vAlign w:val="bottom"/>
          </w:tcPr>
          <w:p>
            <w:pPr>
              <w:jc w:val="center"/>
              <w:ind w:left="213"/>
              <w:spacing w:after="0"/>
              <w:rPr>
                <w:sz w:val="20"/>
                <w:szCs w:val="20"/>
                <w:color w:val="auto"/>
              </w:rPr>
            </w:pPr>
            <w:r>
              <w:rPr>
                <w:rFonts w:ascii="Arial" w:cs="Arial" w:eastAsia="Arial" w:hAnsi="Arial"/>
                <w:sz w:val="17"/>
                <w:szCs w:val="17"/>
                <w:b w:val="1"/>
                <w:bCs w:val="1"/>
                <w:color w:val="auto"/>
              </w:rPr>
              <w:t>Fed/Fasted</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rPr>
              <w:t>90% Confidence</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Parameter</w:t>
            </w:r>
          </w:p>
        </w:tc>
        <w:tc>
          <w:tcPr>
            <w:tcW w:w="1900" w:type="dxa"/>
            <w:vAlign w:val="bottom"/>
            <w:tcBorders>
              <w:bottom w:val="single" w:sz="8" w:color="auto"/>
            </w:tcBorders>
          </w:tcPr>
          <w:p>
            <w:pPr>
              <w:jc w:val="center"/>
              <w:ind w:left="213"/>
              <w:spacing w:after="0"/>
              <w:rPr>
                <w:sz w:val="20"/>
                <w:szCs w:val="20"/>
                <w:color w:val="auto"/>
              </w:rPr>
            </w:pPr>
            <w:r>
              <w:rPr>
                <w:rFonts w:ascii="Arial" w:cs="Arial" w:eastAsia="Arial" w:hAnsi="Arial"/>
                <w:sz w:val="17"/>
                <w:szCs w:val="17"/>
                <w:b w:val="1"/>
                <w:bCs w:val="1"/>
                <w:color w:val="auto"/>
              </w:rPr>
              <w:t>Ratio</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Interval</w:t>
            </w:r>
          </w:p>
        </w:tc>
        <w:tc>
          <w:tcPr>
            <w:tcW w:w="0" w:type="dxa"/>
            <w:vAlign w:val="bottom"/>
          </w:tcPr>
          <w:p>
            <w:pPr>
              <w:spacing w:after="0"/>
              <w:rPr>
                <w:sz w:val="1"/>
                <w:szCs w:val="1"/>
                <w:color w:val="auto"/>
              </w:rPr>
            </w:pPr>
          </w:p>
        </w:tc>
      </w:tr>
      <w:tr>
        <w:trPr>
          <w:trHeight w:val="308"/>
        </w:trPr>
        <w:tc>
          <w:tcPr>
            <w:tcW w:w="1520" w:type="dxa"/>
            <w:vAlign w:val="bottom"/>
          </w:tcPr>
          <w:p>
            <w:pPr>
              <w:ind w:left="20"/>
              <w:spacing w:after="0"/>
              <w:rPr>
                <w:sz w:val="20"/>
                <w:szCs w:val="20"/>
                <w:color w:val="auto"/>
              </w:rPr>
            </w:pPr>
            <w:r>
              <w:rPr>
                <w:rFonts w:ascii="Arial" w:cs="Arial" w:eastAsia="Arial" w:hAnsi="Arial"/>
                <w:sz w:val="17"/>
                <w:szCs w:val="17"/>
                <w:b w:val="1"/>
                <w:bCs w:val="1"/>
                <w:color w:val="auto"/>
              </w:rPr>
              <w:t>Cmax</w:t>
            </w:r>
          </w:p>
        </w:tc>
        <w:tc>
          <w:tcPr>
            <w:tcW w:w="190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(0.46, 0.88)</w:t>
            </w:r>
          </w:p>
        </w:tc>
        <w:tc>
          <w:tcPr>
            <w:tcW w:w="0" w:type="dxa"/>
            <w:vAlign w:val="bottom"/>
          </w:tcPr>
          <w:p>
            <w:pPr>
              <w:spacing w:after="0"/>
              <w:rPr>
                <w:sz w:val="1"/>
                <w:szCs w:val="1"/>
                <w:color w:val="auto"/>
              </w:rPr>
            </w:pPr>
          </w:p>
        </w:tc>
      </w:tr>
      <w:tr>
        <w:trPr>
          <w:trHeight w:val="131"/>
        </w:trPr>
        <w:tc>
          <w:tcPr>
            <w:tcW w:w="1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(ng/mL)</w:t>
            </w:r>
          </w:p>
        </w:tc>
        <w:tc>
          <w:tcPr>
            <w:tcW w:w="190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520" w:type="dxa"/>
            <w:vAlign w:val="bottom"/>
          </w:tcPr>
          <w:p>
            <w:pPr>
              <w:ind w:left="20"/>
              <w:spacing w:after="0"/>
              <w:rPr>
                <w:sz w:val="20"/>
                <w:szCs w:val="20"/>
                <w:color w:val="auto"/>
              </w:rPr>
            </w:pPr>
            <w:r>
              <w:rPr>
                <w:rFonts w:ascii="Arial" w:cs="Arial" w:eastAsia="Arial" w:hAnsi="Arial"/>
                <w:sz w:val="17"/>
                <w:szCs w:val="17"/>
                <w:b w:val="1"/>
                <w:bCs w:val="1"/>
                <w:color w:val="auto"/>
              </w:rPr>
              <w:t>AUC0-t</w:t>
            </w:r>
          </w:p>
        </w:tc>
        <w:tc>
          <w:tcPr>
            <w:tcW w:w="190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(0.91, 1.49)</w:t>
            </w:r>
          </w:p>
        </w:tc>
        <w:tc>
          <w:tcPr>
            <w:tcW w:w="0" w:type="dxa"/>
            <w:vAlign w:val="bottom"/>
          </w:tcPr>
          <w:p>
            <w:pPr>
              <w:spacing w:after="0"/>
              <w:rPr>
                <w:sz w:val="1"/>
                <w:szCs w:val="1"/>
                <w:color w:val="auto"/>
              </w:rPr>
            </w:pPr>
          </w:p>
        </w:tc>
      </w:tr>
      <w:tr>
        <w:trPr>
          <w:trHeight w:val="131"/>
        </w:trPr>
        <w:tc>
          <w:tcPr>
            <w:tcW w:w="1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(h*ng/mL)</w:t>
            </w:r>
          </w:p>
        </w:tc>
        <w:tc>
          <w:tcPr>
            <w:tcW w:w="190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-330200</wp:posOffset>
            </wp:positionV>
            <wp:extent cx="283210" cy="274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3210" cy="274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Statistical Analysis of the Effect of High-fat Meal</w:t>
      </w:r>
    </w:p>
    <w:p>
      <w:pPr>
        <w:jc w:val="center"/>
        <w:ind w:right="20"/>
        <w:spacing w:after="0"/>
        <w:rPr>
          <w:sz w:val="20"/>
          <w:szCs w:val="20"/>
          <w:color w:val="auto"/>
        </w:rPr>
      </w:pPr>
      <w:r>
        <w:rPr>
          <w:rFonts w:ascii="Arial" w:cs="Arial" w:eastAsia="Arial" w:hAnsi="Arial"/>
          <w:sz w:val="17"/>
          <w:szCs w:val="17"/>
          <w:b w:val="1"/>
          <w:bCs w:val="1"/>
          <w:color w:val="auto"/>
        </w:rPr>
        <w:t>for Zuranolone capsules (30mg)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3463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6392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ind w:left="20"/>
              <w:spacing w:after="0"/>
              <w:rPr>
                <w:sz w:val="20"/>
                <w:szCs w:val="20"/>
                <w:color w:val="auto"/>
              </w:rPr>
            </w:pPr>
            <w:r>
              <w:rPr>
                <w:rFonts w:ascii="Arial" w:cs="Arial" w:eastAsia="Arial" w:hAnsi="Arial"/>
                <w:sz w:val="17"/>
                <w:szCs w:val="17"/>
                <w:b w:val="1"/>
                <w:bCs w:val="1"/>
                <w:color w:val="auto"/>
              </w:rPr>
              <w:t>PK</w:t>
            </w:r>
          </w:p>
        </w:tc>
        <w:tc>
          <w:tcPr>
            <w:tcW w:w="1700" w:type="dxa"/>
            <w:vAlign w:val="bottom"/>
          </w:tcPr>
          <w:p>
            <w:pPr>
              <w:jc w:val="center"/>
              <w:ind w:left="473"/>
              <w:spacing w:after="0"/>
              <w:rPr>
                <w:sz w:val="20"/>
                <w:szCs w:val="20"/>
                <w:color w:val="auto"/>
              </w:rPr>
            </w:pPr>
            <w:r>
              <w:rPr>
                <w:rFonts w:ascii="Arial" w:cs="Arial" w:eastAsia="Arial" w:hAnsi="Arial"/>
                <w:sz w:val="17"/>
                <w:szCs w:val="17"/>
                <w:b w:val="1"/>
                <w:bCs w:val="1"/>
                <w:color w:val="auto"/>
              </w:rPr>
              <w:t>Fed/Fasted</w:t>
            </w:r>
          </w:p>
        </w:tc>
        <w:tc>
          <w:tcPr>
            <w:tcW w:w="2200" w:type="dxa"/>
            <w:vAlign w:val="bottom"/>
          </w:tcPr>
          <w:p>
            <w:pPr>
              <w:jc w:val="center"/>
              <w:ind w:left="173"/>
              <w:spacing w:after="0"/>
              <w:rPr>
                <w:sz w:val="20"/>
                <w:szCs w:val="20"/>
                <w:color w:val="auto"/>
              </w:rPr>
            </w:pPr>
            <w:r>
              <w:rPr>
                <w:rFonts w:ascii="Arial" w:cs="Arial" w:eastAsia="Arial" w:hAnsi="Arial"/>
                <w:sz w:val="17"/>
                <w:szCs w:val="17"/>
                <w:b w:val="1"/>
                <w:bCs w:val="1"/>
                <w:color w:val="auto"/>
              </w:rPr>
              <w:t>90% Confidence</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Parameter</w:t>
            </w:r>
          </w:p>
        </w:tc>
        <w:tc>
          <w:tcPr>
            <w:tcW w:w="1700" w:type="dxa"/>
            <w:vAlign w:val="bottom"/>
            <w:tcBorders>
              <w:bottom w:val="single" w:sz="8" w:color="auto"/>
            </w:tcBorders>
          </w:tcPr>
          <w:p>
            <w:pPr>
              <w:jc w:val="center"/>
              <w:ind w:left="473"/>
              <w:spacing w:after="0"/>
              <w:rPr>
                <w:sz w:val="20"/>
                <w:szCs w:val="20"/>
                <w:color w:val="auto"/>
              </w:rPr>
            </w:pPr>
            <w:r>
              <w:rPr>
                <w:rFonts w:ascii="Arial" w:cs="Arial" w:eastAsia="Arial" w:hAnsi="Arial"/>
                <w:sz w:val="17"/>
                <w:szCs w:val="17"/>
                <w:b w:val="1"/>
                <w:bCs w:val="1"/>
                <w:color w:val="auto"/>
                <w:w w:val="98"/>
              </w:rPr>
              <w:t>Ratio</w:t>
            </w:r>
          </w:p>
        </w:tc>
        <w:tc>
          <w:tcPr>
            <w:tcW w:w="2200" w:type="dxa"/>
            <w:vAlign w:val="bottom"/>
            <w:tcBorders>
              <w:bottom w:val="single" w:sz="8" w:color="auto"/>
            </w:tcBorders>
          </w:tcPr>
          <w:p>
            <w:pPr>
              <w:jc w:val="center"/>
              <w:ind w:left="173"/>
              <w:spacing w:after="0"/>
              <w:rPr>
                <w:sz w:val="20"/>
                <w:szCs w:val="20"/>
                <w:color w:val="auto"/>
              </w:rPr>
            </w:pPr>
            <w:r>
              <w:rPr>
                <w:rFonts w:ascii="Arial" w:cs="Arial" w:eastAsia="Arial" w:hAnsi="Arial"/>
                <w:sz w:val="17"/>
                <w:szCs w:val="17"/>
                <w:b w:val="1"/>
                <w:bCs w:val="1"/>
                <w:color w:val="auto"/>
              </w:rPr>
              <w:t>Interval</w:t>
            </w:r>
          </w:p>
        </w:tc>
        <w:tc>
          <w:tcPr>
            <w:tcW w:w="0" w:type="dxa"/>
            <w:vAlign w:val="bottom"/>
          </w:tcPr>
          <w:p>
            <w:pPr>
              <w:spacing w:after="0"/>
              <w:rPr>
                <w:sz w:val="1"/>
                <w:szCs w:val="1"/>
                <w:color w:val="auto"/>
              </w:rPr>
            </w:pPr>
          </w:p>
        </w:tc>
      </w:tr>
      <w:tr>
        <w:trPr>
          <w:trHeight w:val="308"/>
        </w:trPr>
        <w:tc>
          <w:tcPr>
            <w:tcW w:w="1560" w:type="dxa"/>
            <w:vAlign w:val="bottom"/>
          </w:tcPr>
          <w:p>
            <w:pPr>
              <w:ind w:left="20"/>
              <w:spacing w:after="0"/>
              <w:rPr>
                <w:sz w:val="20"/>
                <w:szCs w:val="20"/>
                <w:color w:val="auto"/>
              </w:rPr>
            </w:pPr>
            <w:r>
              <w:rPr>
                <w:rFonts w:ascii="Arial" w:cs="Arial" w:eastAsia="Arial" w:hAnsi="Arial"/>
                <w:sz w:val="17"/>
                <w:szCs w:val="17"/>
                <w:b w:val="1"/>
                <w:bCs w:val="1"/>
                <w:color w:val="auto"/>
              </w:rPr>
              <w:t>Cmax</w:t>
            </w:r>
          </w:p>
        </w:tc>
        <w:tc>
          <w:tcPr>
            <w:tcW w:w="1700" w:type="dxa"/>
            <w:vAlign w:val="bottom"/>
          </w:tcPr>
          <w:p>
            <w:pPr>
              <w:spacing w:after="0"/>
              <w:rPr>
                <w:sz w:val="24"/>
                <w:szCs w:val="24"/>
                <w:color w:val="auto"/>
              </w:rPr>
            </w:pPr>
          </w:p>
        </w:tc>
        <w:tc>
          <w:tcPr>
            <w:tcW w:w="2200" w:type="dxa"/>
            <w:vAlign w:val="bottom"/>
            <w:vMerge w:val="restart"/>
          </w:tcPr>
          <w:p>
            <w:pPr>
              <w:jc w:val="center"/>
              <w:ind w:left="173"/>
              <w:spacing w:after="0"/>
              <w:rPr>
                <w:sz w:val="20"/>
                <w:szCs w:val="20"/>
                <w:color w:val="auto"/>
              </w:rPr>
            </w:pPr>
            <w:r>
              <w:rPr>
                <w:rFonts w:ascii="Arial" w:cs="Arial" w:eastAsia="Arial" w:hAnsi="Arial"/>
                <w:sz w:val="17"/>
                <w:szCs w:val="17"/>
                <w:b w:val="1"/>
                <w:bCs w:val="1"/>
                <w:color w:val="auto"/>
              </w:rPr>
              <w:t>(2.56, 3.28)</w:t>
            </w:r>
          </w:p>
        </w:tc>
        <w:tc>
          <w:tcPr>
            <w:tcW w:w="0" w:type="dxa"/>
            <w:vAlign w:val="bottom"/>
          </w:tcPr>
          <w:p>
            <w:pPr>
              <w:spacing w:after="0"/>
              <w:rPr>
                <w:sz w:val="1"/>
                <w:szCs w:val="1"/>
                <w:color w:val="auto"/>
              </w:rPr>
            </w:pPr>
          </w:p>
        </w:tc>
      </w:tr>
      <w:tr>
        <w:trPr>
          <w:trHeight w:val="131"/>
        </w:trPr>
        <w:tc>
          <w:tcPr>
            <w:tcW w:w="1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(ng/mL)</w:t>
            </w:r>
          </w:p>
        </w:tc>
        <w:tc>
          <w:tcPr>
            <w:tcW w:w="170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6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560" w:type="dxa"/>
            <w:vAlign w:val="bottom"/>
          </w:tcPr>
          <w:p>
            <w:pPr>
              <w:ind w:left="20"/>
              <w:spacing w:after="0"/>
              <w:rPr>
                <w:sz w:val="20"/>
                <w:szCs w:val="20"/>
                <w:color w:val="auto"/>
              </w:rPr>
            </w:pPr>
            <w:r>
              <w:rPr>
                <w:rFonts w:ascii="Arial" w:cs="Arial" w:eastAsia="Arial" w:hAnsi="Arial"/>
                <w:sz w:val="17"/>
                <w:szCs w:val="17"/>
                <w:b w:val="1"/>
                <w:bCs w:val="1"/>
                <w:color w:val="auto"/>
              </w:rPr>
              <w:t>AUC0-t</w:t>
            </w:r>
          </w:p>
        </w:tc>
        <w:tc>
          <w:tcPr>
            <w:tcW w:w="1700" w:type="dxa"/>
            <w:vAlign w:val="bottom"/>
          </w:tcPr>
          <w:p>
            <w:pPr>
              <w:spacing w:after="0"/>
              <w:rPr>
                <w:sz w:val="24"/>
                <w:szCs w:val="24"/>
                <w:color w:val="auto"/>
              </w:rPr>
            </w:pPr>
          </w:p>
        </w:tc>
        <w:tc>
          <w:tcPr>
            <w:tcW w:w="2200" w:type="dxa"/>
            <w:vAlign w:val="bottom"/>
            <w:vMerge w:val="restart"/>
          </w:tcPr>
          <w:p>
            <w:pPr>
              <w:jc w:val="center"/>
              <w:ind w:left="173"/>
              <w:spacing w:after="0"/>
              <w:rPr>
                <w:sz w:val="20"/>
                <w:szCs w:val="20"/>
                <w:color w:val="auto"/>
              </w:rPr>
            </w:pPr>
            <w:r>
              <w:rPr>
                <w:rFonts w:ascii="Arial" w:cs="Arial" w:eastAsia="Arial" w:hAnsi="Arial"/>
                <w:sz w:val="17"/>
                <w:szCs w:val="17"/>
                <w:b w:val="1"/>
                <w:bCs w:val="1"/>
                <w:color w:val="auto"/>
              </w:rPr>
              <w:t>(1.45, 1.69)</w:t>
            </w:r>
          </w:p>
        </w:tc>
        <w:tc>
          <w:tcPr>
            <w:tcW w:w="0" w:type="dxa"/>
            <w:vAlign w:val="bottom"/>
          </w:tcPr>
          <w:p>
            <w:pPr>
              <w:spacing w:after="0"/>
              <w:rPr>
                <w:sz w:val="1"/>
                <w:szCs w:val="1"/>
                <w:color w:val="auto"/>
              </w:rPr>
            </w:pPr>
          </w:p>
        </w:tc>
      </w:tr>
      <w:tr>
        <w:trPr>
          <w:trHeight w:val="131"/>
        </w:trPr>
        <w:tc>
          <w:tcPr>
            <w:tcW w:w="1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(h*ng/mL)</w:t>
            </w:r>
          </w:p>
        </w:tc>
        <w:tc>
          <w:tcPr>
            <w:tcW w:w="170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6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5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0" w:type="dxa"/>
            <w:vAlign w:val="bottom"/>
          </w:tcPr>
          <w:p>
            <w:pPr>
              <w:ind w:left="100"/>
              <w:spacing w:after="0"/>
              <w:rPr>
                <w:sz w:val="20"/>
                <w:szCs w:val="20"/>
                <w:color w:val="auto"/>
              </w:rPr>
            </w:pPr>
            <w:r>
              <w:rPr>
                <w:rFonts w:ascii="Arial" w:cs="Arial" w:eastAsia="Arial" w:hAnsi="Arial"/>
                <w:sz w:val="17"/>
                <w:szCs w:val="17"/>
                <w:i w:val="1"/>
                <w:iCs w:val="1"/>
                <w:color w:val="auto"/>
              </w:rPr>
              <w:t>WO2019/051264 Al Patent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-140335</wp:posOffset>
            </wp:positionV>
            <wp:extent cx="7111365"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1365" cy="14160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-882015</wp:posOffset>
            </wp:positionV>
            <wp:extent cx="7111365" cy="666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1365" cy="66611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-882015</wp:posOffset>
            </wp:positionV>
            <wp:extent cx="7111365" cy="666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1365" cy="666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500"/>
          </w:cols>
          <w:pgMar w:left="320" w:top="118" w:right="339" w:bottom="1440" w:gutter="0" w:footer="0" w:header="0"/>
          <w:type w:val="continuous"/>
        </w:sectPr>
      </w:pPr>
    </w:p>
    <w:p>
      <w:pPr>
        <w:spacing w:after="0" w:line="79" w:lineRule="exact"/>
        <w:rPr>
          <w:sz w:val="20"/>
          <w:szCs w:val="20"/>
          <w:color w:val="auto"/>
        </w:rPr>
      </w:pPr>
    </w:p>
    <w:p>
      <w:pPr>
        <w:jc w:val="center"/>
        <w:ind w:left="80" w:right="80"/>
        <w:spacing w:after="0" w:line="302" w:lineRule="auto"/>
        <w:rPr>
          <w:sz w:val="20"/>
          <w:szCs w:val="20"/>
          <w:color w:val="auto"/>
        </w:rPr>
      </w:pPr>
      <w:r>
        <w:rPr>
          <w:rFonts w:ascii="Arial" w:cs="Arial" w:eastAsia="Arial" w:hAnsi="Arial"/>
          <w:sz w:val="17"/>
          <w:szCs w:val="17"/>
          <w:b w:val="1"/>
          <w:bCs w:val="1"/>
          <w:color w:val="auto"/>
        </w:rPr>
        <w:t>Table 5. Food effect clinical studies of PRAX-114 and Zuranolone (WO2019/051264 A1). Subjects were administered a high-fat meal 30 minutes prior to administration of the compound in both studies.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In the MAD trial, PRAX-114 was generally well-tolerated, with no SAEs reported. The reported treatment-emergent adverse events, or TEAEs, were mild to moderate and were consistent with those expected for the mechanism of action. The most common adverse event was somnolence, which is characterized by sleepiness or drowsiness, and was reported by 78% (7/9) of those subjects receiving the 60mg dose; all events of somnolence were mild in severity. Increases in sleepiness as measured by the Stanford Sleepiness Scale occurred between one- and three-hours post-dosing, consistent with the period of peak drug concentrations; sleepiness ratings at the 60mg dose were similar to placebo within 4 hours post-dose. We did not observe a maximally tolerated dose, or MTD.</w:t>
      </w:r>
    </w:p>
    <w:p>
      <w:pPr>
        <w:spacing w:after="0" w:line="193"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In our Phase 1 multiple ascending dose trial of PRAX-114 in healthy volunteers in Australia, we also observed the following TEAEs, all of which were mild to moderate in severity:</w:t>
      </w:r>
    </w:p>
    <w:p>
      <w:pPr>
        <w:spacing w:after="0" w:line="181" w:lineRule="exact"/>
        <w:rPr>
          <w:sz w:val="20"/>
          <w:szCs w:val="20"/>
          <w:color w:val="auto"/>
        </w:rPr>
      </w:pPr>
    </w:p>
    <w:p>
      <w:pPr>
        <w:ind w:left="800" w:right="200" w:hanging="323"/>
        <w:spacing w:after="0" w:line="263" w:lineRule="auto"/>
        <w:tabs>
          <w:tab w:leader="none" w:pos="7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60mg dose (n=9), we observed nervous system disorder TEAEs, of somnolence (77.8% of subjects), headache (33.3% of subjects), dizziness (55.6% of subjects) and hypoaesthesia, or diminished sense of touch (22.2% of subjects). Other TEAEs observed in more than one subject were euphoric mood (22.2% of subjects), hyperhidrosis, or excessive sweating (22.2% of subjects) and muscle twitching (22.2% of subjects).</w:t>
      </w:r>
    </w:p>
    <w:p>
      <w:pPr>
        <w:spacing w:after="0" w:line="87" w:lineRule="exact"/>
        <w:rPr>
          <w:rFonts w:ascii="Arial" w:cs="Arial" w:eastAsia="Arial" w:hAnsi="Arial"/>
          <w:sz w:val="17"/>
          <w:szCs w:val="17"/>
          <w:color w:val="auto"/>
        </w:rPr>
      </w:pPr>
    </w:p>
    <w:p>
      <w:pPr>
        <w:ind w:left="800" w:right="480" w:hanging="323"/>
        <w:spacing w:after="0" w:line="266" w:lineRule="auto"/>
        <w:tabs>
          <w:tab w:leader="none" w:pos="7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30mg dose (n=9), we observed nervous system disorder TEAEs of somnolence (44.4% of subjects) and headache (22.2% of subjects). Other TEAEs observed in more than one subject were skin irritation (55.6% of subjects) and euphoric mood (22.2% of subjects).</w:t>
      </w:r>
    </w:p>
    <w:p>
      <w:pPr>
        <w:spacing w:after="0" w:line="84" w:lineRule="exact"/>
        <w:rPr>
          <w:rFonts w:ascii="Arial" w:cs="Arial" w:eastAsia="Arial" w:hAnsi="Arial"/>
          <w:sz w:val="17"/>
          <w:szCs w:val="17"/>
          <w:color w:val="auto"/>
        </w:rPr>
      </w:pPr>
    </w:p>
    <w:p>
      <w:pPr>
        <w:ind w:left="780" w:hanging="303"/>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15mg dose (n=9), the only TEAE observed in more than one subject was fatigue (22.2% of subjects).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Placebo group (n=9), we observed fatigue (22.2% of subjects).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TEAEs appearing to be dose related were somnolence, dizziness, headache, euphoric mood and hypoaesthesia.</w:t>
      </w:r>
    </w:p>
    <w:p>
      <w:pPr>
        <w:spacing w:after="0" w:line="224" w:lineRule="exact"/>
        <w:rPr>
          <w:sz w:val="20"/>
          <w:szCs w:val="20"/>
          <w:color w:val="auto"/>
        </w:rPr>
      </w:pPr>
    </w:p>
    <w:p>
      <w:pPr>
        <w:ind w:firstLine="433"/>
        <w:spacing w:after="0" w:line="204" w:lineRule="auto"/>
        <w:rPr>
          <w:sz w:val="20"/>
          <w:szCs w:val="20"/>
          <w:color w:val="auto"/>
        </w:rPr>
      </w:pPr>
      <w:r>
        <w:rPr>
          <w:rFonts w:ascii="Arial" w:cs="Arial" w:eastAsia="Arial" w:hAnsi="Arial"/>
          <w:sz w:val="17"/>
          <w:szCs w:val="17"/>
          <w:color w:val="auto"/>
        </w:rPr>
        <w:t>We measured changes in qEEG power in our Phase 1 MAD volunteers to assess the effect of PRAX-114 on GABA</w:t>
      </w:r>
      <w:r>
        <w:rPr>
          <w:rFonts w:ascii="Arial" w:cs="Arial" w:eastAsia="Arial" w:hAnsi="Arial"/>
          <w:sz w:val="15"/>
          <w:szCs w:val="15"/>
          <w:color w:val="auto"/>
        </w:rPr>
        <w:t>A</w:t>
      </w:r>
      <w:r>
        <w:rPr>
          <w:rFonts w:ascii="Arial" w:cs="Arial" w:eastAsia="Arial" w:hAnsi="Arial"/>
          <w:sz w:val="17"/>
          <w:szCs w:val="17"/>
          <w:color w:val="auto"/>
        </w:rPr>
        <w:t xml:space="preserve"> receptors in the brain on days 1 and 14 of this trial. PRAX-114 produced marked increases in the power of the alpha and beta-frequency bands. Increases in the beta-frequency band are correlated with GABAergic activation, as previously shown by the marketed GABA</w:t>
      </w:r>
      <w:r>
        <w:rPr>
          <w:rFonts w:ascii="Arial" w:cs="Arial" w:eastAsia="Arial" w:hAnsi="Arial"/>
          <w:sz w:val="27"/>
          <w:szCs w:val="27"/>
          <w:color w:val="auto"/>
          <w:vertAlign w:val="subscript"/>
        </w:rPr>
        <w:t>A</w:t>
      </w:r>
      <w:r>
        <w:rPr>
          <w:rFonts w:ascii="Arial" w:cs="Arial" w:eastAsia="Arial" w:hAnsi="Arial"/>
          <w:sz w:val="17"/>
          <w:szCs w:val="17"/>
          <w:color w:val="auto"/>
        </w:rPr>
        <w:t xml:space="preserve"> PAMs, allopregnanolone and lorazepam. PRAX-114 distinctly increases the alpha-frequency band, unlike allopregnanolone and lorazepam, which have shown to decrease the power of the alpha-frequency (Figure 6). We believe this qEEG profile of PRAX-114 is consistent with its extrasynaptic GABA</w:t>
      </w:r>
      <w:r>
        <w:rPr>
          <w:rFonts w:ascii="Arial" w:cs="Arial" w:eastAsia="Arial" w:hAnsi="Arial"/>
          <w:sz w:val="27"/>
          <w:szCs w:val="27"/>
          <w:color w:val="auto"/>
          <w:vertAlign w:val="subscript"/>
        </w:rPr>
        <w:t>A</w:t>
      </w:r>
      <w:r>
        <w:rPr>
          <w:rFonts w:ascii="Arial" w:cs="Arial" w:eastAsia="Arial" w:hAnsi="Arial"/>
          <w:sz w:val="17"/>
          <w:szCs w:val="17"/>
          <w:color w:val="auto"/>
        </w:rPr>
        <w:t xml:space="preserve"> receptor preference and differentiated pharmacological profile relative to benzodiazepines and other GABAA PAMs in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142875</wp:posOffset>
            </wp:positionV>
            <wp:extent cx="3314065" cy="1657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4065" cy="165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00" w:right="20"/>
        <w:spacing w:after="0" w:line="286" w:lineRule="auto"/>
        <w:rPr>
          <w:sz w:val="20"/>
          <w:szCs w:val="20"/>
          <w:color w:val="auto"/>
        </w:rPr>
      </w:pPr>
      <w:r>
        <w:rPr>
          <w:rFonts w:ascii="Arial" w:cs="Arial" w:eastAsia="Arial" w:hAnsi="Arial"/>
          <w:sz w:val="17"/>
          <w:szCs w:val="17"/>
          <w:b w:val="1"/>
          <w:bCs w:val="1"/>
          <w:color w:val="auto"/>
        </w:rPr>
        <w:t>Figure 6.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PAM qEEG signal of PRAX-114, allopregnanolone, and lorazepam. (Adapted from 1. SAGE R&amp;D Day Presentation, 2. Gilles et al. 2002)</w:t>
      </w:r>
    </w:p>
    <w:p>
      <w:pPr>
        <w:spacing w:after="0" w:line="186" w:lineRule="exact"/>
        <w:rPr>
          <w:sz w:val="20"/>
          <w:szCs w:val="20"/>
          <w:color w:val="auto"/>
        </w:rPr>
      </w:pPr>
    </w:p>
    <w:p>
      <w:pPr>
        <w:ind w:right="40" w:firstLine="433"/>
        <w:spacing w:after="0" w:line="245" w:lineRule="auto"/>
        <w:rPr>
          <w:sz w:val="20"/>
          <w:szCs w:val="20"/>
          <w:color w:val="auto"/>
        </w:rPr>
      </w:pPr>
      <w:r>
        <w:rPr>
          <w:rFonts w:ascii="Arial" w:cs="Arial" w:eastAsia="Arial" w:hAnsi="Arial"/>
          <w:sz w:val="17"/>
          <w:szCs w:val="17"/>
          <w:color w:val="auto"/>
        </w:rPr>
        <w:t>Moreover, the PRAX-114 increases in alpha and beta-frequency were strongly correlated with dose and PRAX-114 levels in the blood. In these healthy volunteers at one hour post-dose on Day 1, PRAX-114 30mg resulted in an average increase in qEEG alpha and beta power of approximately 1.5-fold and 1.6-fold compared to baseline, and 60mg resulted in an increase in this measure of 2.6-fold and 2.8-fold compared to baseline, respectively (Figure 7). The effects on the qEEG alpha and beta power were sustained at Day 14. These data show that PRAX-114 engaged GABA</w:t>
      </w:r>
      <w:r>
        <w:rPr>
          <w:rFonts w:ascii="Arial" w:cs="Arial" w:eastAsia="Arial" w:hAnsi="Arial"/>
          <w:sz w:val="15"/>
          <w:szCs w:val="15"/>
          <w:color w:val="auto"/>
        </w:rPr>
        <w:t>A</w:t>
      </w:r>
      <w:r>
        <w:rPr>
          <w:rFonts w:ascii="Arial" w:cs="Arial" w:eastAsia="Arial" w:hAnsi="Arial"/>
          <w:sz w:val="17"/>
          <w:szCs w:val="17"/>
          <w:color w:val="auto"/>
        </w:rPr>
        <w:t xml:space="preserve"> receptors in the brain and produced consistent effects on qEEG within the first hour after dosing with similar effects on Days 1 and 14. This finding also supports comparison and translation of the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pharmacologic activity and qEEG data from the pre-clinical studies, where a 1.6-fold increase in beta power was associated with robust activity in animal models of anxiety and depression and was used to inform dose selection in subsequent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132080</wp:posOffset>
            </wp:positionV>
            <wp:extent cx="4163695" cy="2872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6369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60" w:right="60"/>
        <w:spacing w:after="0" w:line="302" w:lineRule="auto"/>
        <w:rPr>
          <w:sz w:val="20"/>
          <w:szCs w:val="20"/>
          <w:color w:val="auto"/>
        </w:rPr>
      </w:pPr>
      <w:r>
        <w:rPr>
          <w:rFonts w:ascii="Arial" w:cs="Arial" w:eastAsia="Arial" w:hAnsi="Arial"/>
          <w:sz w:val="17"/>
          <w:szCs w:val="17"/>
          <w:b w:val="1"/>
          <w:bCs w:val="1"/>
          <w:color w:val="auto"/>
        </w:rPr>
        <w:t>Figure 7. PRAX-114 (30mg and 60mg) showed a robust dose-dependent qEEG signal and target activation that was sustained over 14 days of dosing.</w:t>
      </w:r>
    </w:p>
    <w:p>
      <w:pPr>
        <w:spacing w:after="0" w:line="160"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Notably, in the MAD study, PRAX-114 showed increases in beta power up to 2.8-fold without achieving a MTD or demonstrating any SAEs, and a higher dose of 80mg dosed as a single dose in healthy participants for 14 days was also generally well-tolerated in a subsequent clinical trial in MDD, summarized below. In a separate study, another molecule in development in the class resulted in degrees of sedation that were not tolerated at doses that resulted in increases in beta power by approximately 1.7-fold compared to baseline. We believe this highlights the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preference and unique pharmacological profile of PRAX-114 and its ability to achieve high levels of GABAergic activation with improved tolerability.</w:t>
      </w:r>
    </w:p>
    <w:p>
      <w:pPr>
        <w:spacing w:after="0" w:line="193"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This improved tolerability profile of PRAX-114 offers the potential for a wider therapeutic window, increased adherence and a wider dose range for MDD patients.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2a trial in patients with depression</w:t>
      </w:r>
    </w:p>
    <w:p>
      <w:pPr>
        <w:spacing w:after="0" w:line="98"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Based on the observed pharmacology in the Phase 1 trials, we are currently conducting a three-part, open-label, Phase 2a trial in Australia to assess the safety and efficacy of PRAX-114 in patients with moderate to severe MDD or PMD. We have completed Parts A and C of this Phase 2a trial and Part B is ongoing.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Part A results</w:t>
      </w:r>
    </w:p>
    <w:p>
      <w:pPr>
        <w:spacing w:after="0" w:line="9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Part A of the open-label trial included two weeks of treatment and was designed to evaluate the timing and magnitude of the antidepressant effects of PRAX-114 across a range of doses in patients with MDD. Patients were required to be between the ages of 18 and 65 and to have moderate to severe MDD for at least one month as defined by the Hamilton Depression Rating Scale, or HAM-D, score of 22 or higher. The HAM-D, one of the most widely-used clinical rating scales for depression, was the main assessment used to quantify levels of depression in these patients. The 17 items used for scoring this scale cover a wide range of symptoms typically found with depression including mood, suicidal thoughts, insomnia, anxiety, loss of appetite and weight loss. Patients with more severe depression have higher scores. The effect of PRAX-114 was measured by the change in the HAM-D score relative to baseline. Patients who had previously failed to respond to a standard of care antidepressant in their current episode were eligible for inclusion. In addition to HAM-D, other scales used included the Montgomery–Åsberg Depression Rating Scale, or MADRS, the Hamilton Anxiety Rating Scale, or HAM-A, and the Symptoms of</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Depression Questionnaire, or SDQ. MADRS is a 10 item rating scale designed to assess the severity of symptoms in a depressive illness. HAM-A is a 14 item scale widely used to measure the severity of anxiety symptoms, including both psychic anxiety (mental agitation and psychological distress) and somatic anxiety (physical complaints related to anxiety). SDQ is a 44 item self-reported scale designed to measure the severity of symptoms across several subtypes of depression, including irritability, anger attacks and anxiety.</w:t>
      </w:r>
    </w:p>
    <w:p>
      <w:pPr>
        <w:spacing w:after="0" w:line="192"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We selected an initial target dose of 45mg daily of PRAX-114 suspension formulation that was expected to achieve exposures demonstrating full clinical improvement based on the Phase 1 data and qEEG findings. Two additional cohorts were subsequently conducted to assess higher daily doses of 60mg and 80mg PRAX-114 due to the generally well-tolerated profile at 45mg. The first week of treatment was conducted in an inpatient setting to facilitate daily efficacy and safety assessments and then patients were discharged and treated as outpatients for the second week. Patients were instructed to take PRAX-114 at 4:00 PM on Day 1 to support collection of post-dose pharmacokinetics samples and then nightly at 9:30 PM on Days 2-14. Patients were not required to take PRAX-114 with food. Compliance was carefully monitored throughout the duration of the trial, including inpatient and outpatient periods, with the AiCure smartphone adherence monitoring system.</w:t>
      </w:r>
    </w:p>
    <w:p>
      <w:pPr>
        <w:spacing w:after="0" w:line="196" w:lineRule="exact"/>
        <w:rPr>
          <w:sz w:val="20"/>
          <w:szCs w:val="20"/>
          <w:color w:val="auto"/>
        </w:rPr>
      </w:pPr>
    </w:p>
    <w:p>
      <w:pPr>
        <w:jc w:val="both"/>
        <w:ind w:right="40" w:firstLine="433"/>
        <w:spacing w:after="0" w:line="262" w:lineRule="auto"/>
        <w:rPr>
          <w:sz w:val="20"/>
          <w:szCs w:val="20"/>
          <w:color w:val="auto"/>
        </w:rPr>
      </w:pPr>
      <w:r>
        <w:rPr>
          <w:rFonts w:ascii="Arial" w:cs="Arial" w:eastAsia="Arial" w:hAnsi="Arial"/>
          <w:sz w:val="17"/>
          <w:szCs w:val="17"/>
          <w:color w:val="auto"/>
        </w:rPr>
        <w:t>Thirty-three patients were enrolled and completed Part A before the COVID-19 pandemic began impacting clinical trial conduct globally. At baseline, patients had a mean HAM-D total score of 25, ranging from 20 to 33, indicating moderate to severe MDD. Twenty-six of the thirty-three participants had previously received an antidepressant during the current depressive episode but still had moderate to severe MDD. This failure to respond to initial antidepressant treatment has been associated with more severe and refractory depression. The remaining patients were not being treated with any antidepressant for the current episode before enrolling in the trial.</w:t>
      </w:r>
    </w:p>
    <w:p>
      <w:pPr>
        <w:spacing w:after="0" w:line="192"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Dosing with PRAX-114 led to a marked improvement in the HAM-D score (Figure 8) within two weeks of treatment. After one week of treatment, least squares, or LS, mean improvements of 15 to 19 points from baseline were noted across the three dose groups. After two weeks of treatment, all 3 dose levels showed improvements from baseline of greater than 13 points with mean improvements from baseline of 14 to 16 points. Across all dose levels, two-thirds of patients were responders (defined as a &gt;=50% reduction in HAM-D) or were clinically in remission (HAM-D&lt;=7) at the end of the 14 day treatment period. Changes in other depression-related scales measured such as MADRS, HAM-A and SDQ were consistent with the changes in HAM-D. While the study was not powered to show differences between dose levels, there was no notable dose response observed, which is common amongst trials of antidepressants.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274955</wp:posOffset>
            </wp:positionV>
            <wp:extent cx="3705225" cy="2473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05225"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Figure 8. Reduction in HAM-D total score observed in MDD patients treated with PRAX-114.</w:t>
      </w:r>
    </w:p>
    <w:p>
      <w:pPr>
        <w:spacing w:after="0" w:line="141"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After 14 days of treatment, patients were monitored for an additional 14 days. During this monitoring period, the core mood symptoms measured by the HAM-D generally remained stable with a slight increase in the insomnia item scores post-treatment.</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While our Phase 2a trial is not placebo controlled, prior randomized placebo-controlled MDD trials provide important context for the interpretation of the clinical response. The marked improvements in HAM-D scores seen in MDD patients in Part A within two weeks of treatment compares favorably to published reports on changes in HAM-D scale in clinical trials of approved antidepressants such as vortioxetine and duloxetine, among others, which commonly take approximately six to eight weeks to reach a maximal efficacy and often fail to differentiate from placebo at two weeks. Moreover, mean HAM-D changes from baseline at Day 14 for the placebo group of these randomized controlled antidepressant trials are most often between 4-8 points. Even at the first post-dose assessment on Day 3, patients dosed with PRAX-114 had a mean decrease of over 11 points on the HAM-D scale, which compares favorably with the average changes reported in the placebo groups at Day 14 from randomized studies completed for recently approved antidepressants (Figure 9), and other common antidepressants after several weeks of dosing. The clinical data that we have generated to date, and that we expect to generate in the future, from our clinical studies will constitute the bulk of the data needed to support an application for marketing approval of PRAX-114. Unless we conduct head-to-head studies of PRAX-114 against other molecules as part of our future clinical trials and elect to include the resulting data in an application for regulatory approval, we would not expect to rely upon PRAX-114’s potential differentiation from any other molecules in connection with submissions to the FDA or other regulatory agencies, as applicable, for approval or otherwise. As the data presented above is based on a cross-trial comparison and not a head-to-head clinical trial, such data may not be directly comparable due to differences in study protocols, conditions and patient populations. Accordingly, cross-trial comparisons may not be reliable predictors of the relative efficacy or other benefits of PRAX-114 compared to other product candidates that may be approved or that are or were in development for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147320</wp:posOffset>
            </wp:positionV>
            <wp:extent cx="3447415" cy="2747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47415"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340" w:right="40"/>
        <w:spacing w:after="0" w:line="280" w:lineRule="auto"/>
        <w:rPr>
          <w:sz w:val="20"/>
          <w:szCs w:val="20"/>
          <w:color w:val="auto"/>
        </w:rPr>
      </w:pPr>
      <w:r>
        <w:rPr>
          <w:rFonts w:ascii="Arial" w:cs="Arial" w:eastAsia="Arial" w:hAnsi="Arial"/>
          <w:sz w:val="17"/>
          <w:szCs w:val="17"/>
          <w:b w:val="1"/>
          <w:bCs w:val="1"/>
          <w:color w:val="auto"/>
        </w:rPr>
        <w:t>Figure 9. Change from baseline to Day 14 in HAM-D total score for the Placebo arm of selected randomized placebo-controlled studies of recently approved antidepressants. Bubble size is proportional to the sample size of the placebo group in each study. Across studies, the sample size in the placebo group ranged from 89 to 277.</w:t>
      </w:r>
    </w:p>
    <w:p>
      <w:pPr>
        <w:spacing w:after="0" w:line="177"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PRAX-114 was generally well-tolerated across the dose range, including at the highest 80mg dose. This is consistent with an expected wider therapeutic window based on the preferential selectivity of PRAX-114 for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TEAEs were generally mild to moderate. Rates of somnolence, which is characterized by sleepiness or drowsiness, increased with dose, demonstrating a pharmacological effect which was somewhat mitigated by dosing at night versus the morning. With night-time dosing, 12/33 patients (36%) noted somnolence post-dosing, which was generally time-limited, not experienced during the daytime and substantially lower than the 78% reported in the Phase 1 60mg group with morning dosing. There were no SAEs or discontinuations and study drug cessation at the end of the treatment period was generally well-tolerated.</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this MDD part of the trial, we also observed the following TEAEs in at least 2 subjects per dose level: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right="80" w:hanging="323"/>
        <w:spacing w:after="0" w:line="275" w:lineRule="auto"/>
        <w:tabs>
          <w:tab w:leader="none" w:pos="7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80mg dose (n=7), headache (42.9% of subjects), somnolence (42.9% of subjects), dizziness (57.1% of subjects), feeling drunk (28.6% of subjects) and diarrhea (28.6% of subjects).</w:t>
      </w:r>
    </w:p>
    <w:p>
      <w:pPr>
        <w:spacing w:after="0" w:line="76" w:lineRule="exact"/>
        <w:rPr>
          <w:rFonts w:ascii="Arial" w:cs="Arial" w:eastAsia="Arial" w:hAnsi="Arial"/>
          <w:sz w:val="17"/>
          <w:szCs w:val="17"/>
          <w:color w:val="auto"/>
        </w:rPr>
      </w:pPr>
    </w:p>
    <w:p>
      <w:pPr>
        <w:ind w:left="800" w:right="580" w:hanging="323"/>
        <w:spacing w:after="0" w:line="275" w:lineRule="auto"/>
        <w:tabs>
          <w:tab w:leader="none" w:pos="7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60mg dose (n=13), headache (46.2% of subjects), somnolence (53.8% of subjects), dizziness (30.8% of subjects), feeling drunk (23.1% of subjects) and constipation (23.1% of subjects).</w:t>
      </w:r>
    </w:p>
    <w:p>
      <w:pPr>
        <w:spacing w:after="0" w:line="76" w:lineRule="exact"/>
        <w:rPr>
          <w:rFonts w:ascii="Arial" w:cs="Arial" w:eastAsia="Arial" w:hAnsi="Arial"/>
          <w:sz w:val="17"/>
          <w:szCs w:val="17"/>
          <w:color w:val="auto"/>
        </w:rPr>
      </w:pPr>
    </w:p>
    <w:p>
      <w:pPr>
        <w:ind w:left="800" w:right="160" w:hanging="323"/>
        <w:spacing w:after="0" w:line="266" w:lineRule="auto"/>
        <w:tabs>
          <w:tab w:leader="none" w:pos="7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45mg dose (n=13), headache (53.8% of subjects), somnolence (15.4% of subjects), fatigue (23.1% of subjects), vessel puncture site bruise from blood draws (15.4% of subjects), abdominal distension (15.4% of subjects) and upper respiratory tract infection (15.4% of subjects).</w:t>
      </w:r>
    </w:p>
    <w:p>
      <w:pPr>
        <w:spacing w:after="0" w:line="21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Across all dose levels studied, headache (48.5%), somnolence (36.4%), dizziness (24.2%), fatigue (15.2%), feeling drunk (15.2%), constipation (12.1%) and vessel site puncture bruise (12.1%) were reported in &gt;10% of subjects.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Part B ongoing</w:t>
      </w:r>
    </w:p>
    <w:p>
      <w:pPr>
        <w:spacing w:after="0" w:line="9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are currently conducting Part B of this trial in order to assess PRAX-114 in PMD patients. We are dosing up to twelve patients with PMD with 60mg of PRAX-114 nightly at 9:30PM for 14 days on an outpatient basis. The dose for this part of the trial was selected based on the data from Part A. Inclusion criteria for Part B are similar to Part A and C, except that it requires participants to be females of 40 years of age or older with irregular menses and hot flushes. Part B will help to determine if PRAX-114 has an effect on broader menopausal symptoms, like hot flushes, in addition to confirming the antidepressant effect. We anticipate topline results in the second half of 2021.</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Part C results</w:t>
      </w:r>
    </w:p>
    <w:p>
      <w:pPr>
        <w:spacing w:after="0" w:line="242"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Part C of this trial has been completed. The goal of Part C was to evaluate the safety of four-week outpatient dosing with PRAX-114, similar to the study duration of our Phase 2/3 trial, and the treatment effect profile from Day 15 to Day 28.</w:t>
      </w:r>
    </w:p>
    <w:p>
      <w:pPr>
        <w:spacing w:after="0" w:line="181"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Inclusion criteria and symptom assessments were the same as Part A. Part C, however, was conducted in Melbourne Australia from June through October 2020, a period of highly restrictive public health lockdown due to the COVID-19 pandemic with closing of non-essential businesses, limited access to healthcare facilities, nightly curfews and restriction of residents to their homes except for essential healthcare or safety reasons. Only one person per household could travel up to 5 km to purchase essential supplies once per day. While the conduct of Part C continued through this period, the public health intervention required an abrupt change to the use of telehealth administered clinical efficacy assessments, mailed self-report assessments, and courier delivery of study drug to participants. These revisions in study conduct successfully supported consistent site and participant adherence to study procedures and study drug administration through completion of Part C. The experience managing these impacts has been integrated into the design and operationalization of the planned Phase 2/3 clinical trials with PRAX-114 in MDD.</w:t>
      </w:r>
    </w:p>
    <w:p>
      <w:pPr>
        <w:spacing w:after="0" w:line="200" w:lineRule="exact"/>
        <w:rPr>
          <w:sz w:val="20"/>
          <w:szCs w:val="20"/>
          <w:color w:val="auto"/>
        </w:rPr>
      </w:pPr>
    </w:p>
    <w:p>
      <w:pPr>
        <w:spacing w:after="0" w:line="204" w:lineRule="exact"/>
        <w:rPr>
          <w:sz w:val="20"/>
          <w:szCs w:val="20"/>
          <w:color w:val="auto"/>
        </w:rPr>
      </w:pPr>
    </w:p>
    <w:p>
      <w:pPr>
        <w:ind w:right="40" w:firstLine="433"/>
        <w:spacing w:after="0" w:line="246" w:lineRule="auto"/>
        <w:rPr>
          <w:sz w:val="20"/>
          <w:szCs w:val="20"/>
          <w:color w:val="auto"/>
        </w:rPr>
      </w:pPr>
      <w:r>
        <w:rPr>
          <w:rFonts w:ascii="Arial" w:cs="Arial" w:eastAsia="Arial" w:hAnsi="Arial"/>
          <w:sz w:val="17"/>
          <w:szCs w:val="17"/>
          <w:color w:val="auto"/>
        </w:rPr>
        <w:t>A total of thirteen participants were enrolled and completed a nightly 9:30 PM dose of PRAX-114 at 60mg for four weeks. At baseline, patients had a mean HAM-D total score of 25, that ranged from 22 to 30, indicating moderate to severe MDD. Eight of the thirteen participants had previously received an antidepressant during the current depressive episode but still had moderate to severe MDD. This failure to respond to initial antidepressant treatment has been associated with more severe and refractory depression. The remaining patients were not being treated with any antidepressant for the current episode before enrolling in the trial.</w:t>
      </w:r>
    </w:p>
    <w:p>
      <w:pPr>
        <w:spacing w:after="0" w:line="192" w:lineRule="exact"/>
        <w:rPr>
          <w:sz w:val="20"/>
          <w:szCs w:val="20"/>
          <w:color w:val="auto"/>
        </w:rPr>
      </w:pPr>
    </w:p>
    <w:p>
      <w:pPr>
        <w:ind w:firstLine="481"/>
        <w:spacing w:after="0" w:line="266" w:lineRule="auto"/>
        <w:rPr>
          <w:sz w:val="20"/>
          <w:szCs w:val="20"/>
          <w:color w:val="auto"/>
        </w:rPr>
      </w:pPr>
      <w:r>
        <w:rPr>
          <w:rFonts w:ascii="Arial" w:cs="Arial" w:eastAsia="Arial" w:hAnsi="Arial"/>
          <w:sz w:val="17"/>
          <w:szCs w:val="17"/>
          <w:color w:val="auto"/>
        </w:rPr>
        <w:t>PRAX-114 was generally well-tolerated, without a change in safety profile, after four-weeks of 60mg once nightly 9:30 PM outpatient dosing in Part C. We observed no new patterns of AEs in the Day 15 to Day 28 treatment period or post-discontinuation after four-week treatment compared to Part A.</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this part of the MDD trial, we observed the following TEAEs in at least 2 subjects with 60mg PRAX-114:</w:t>
      </w:r>
    </w:p>
    <w:p>
      <w:pPr>
        <w:spacing w:after="0" w:line="224" w:lineRule="exact"/>
        <w:rPr>
          <w:sz w:val="20"/>
          <w:szCs w:val="20"/>
          <w:color w:val="auto"/>
        </w:rPr>
      </w:pPr>
    </w:p>
    <w:p>
      <w:pPr>
        <w:ind w:left="640" w:right="30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Headache (46% of subjects), somnolence (31% of subjects), feeling abnormal (15% of subjects), fatigue (15% of subjects), dry mouth (15% of subjects), nasopharyngitis (15% of subjects), weight decreased (15% of subjects) and nausea (38% of subjects).</w:t>
      </w:r>
    </w:p>
    <w:p>
      <w:pPr>
        <w:spacing w:after="0" w:line="181"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Examination of the nausea AEs, which have been infrequent in prior studies, found patterns inconsistent with direct pharmacological effects in four out of five cases (two cases with onset immediately upon drinking PRAX-114 suspension, one case with 10 min duration in the morning for 7 days, and one case preceding an AE of nasopharyngitis).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60" w:firstLine="433"/>
        <w:spacing w:after="0" w:line="259" w:lineRule="auto"/>
        <w:rPr>
          <w:sz w:val="20"/>
          <w:szCs w:val="20"/>
          <w:color w:val="auto"/>
        </w:rPr>
      </w:pPr>
      <w:r>
        <w:rPr>
          <w:rFonts w:ascii="Arial" w:cs="Arial" w:eastAsia="Arial" w:hAnsi="Arial"/>
          <w:sz w:val="17"/>
          <w:szCs w:val="17"/>
          <w:color w:val="auto"/>
        </w:rPr>
        <w:t>Dosing with PRAX-114 for four weeks led to a rapid and marked improvement in the HAM-D score (Figure 10) within two weeks of treatment, with LS Mean improvement of 11 points at Day 15 remained stable through the end of the active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115570</wp:posOffset>
            </wp:positionV>
            <wp:extent cx="4163695" cy="2339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636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10. Reduction of HAM-D total score observed in MDD patients treated with PRAX-114 in Part C.</w:t>
      </w:r>
    </w:p>
    <w:p>
      <w:pPr>
        <w:spacing w:after="0" w:line="259" w:lineRule="exact"/>
        <w:rPr>
          <w:sz w:val="20"/>
          <w:szCs w:val="20"/>
          <w:color w:val="auto"/>
        </w:rPr>
      </w:pPr>
    </w:p>
    <w:p>
      <w:pPr>
        <w:ind w:right="220" w:firstLine="433"/>
        <w:spacing w:after="0" w:line="266" w:lineRule="auto"/>
        <w:rPr>
          <w:sz w:val="20"/>
          <w:szCs w:val="20"/>
          <w:color w:val="auto"/>
        </w:rPr>
      </w:pPr>
      <w:r>
        <w:rPr>
          <w:rFonts w:ascii="Arial" w:cs="Arial" w:eastAsia="Arial" w:hAnsi="Arial"/>
          <w:sz w:val="17"/>
          <w:szCs w:val="17"/>
          <w:color w:val="auto"/>
        </w:rPr>
        <w:t>Data from Part B to date shows a safety profile similar to Parts A and C. The preliminary data show that dosing with PRAX-114 led to a marked improvement in the HAM-D score within two weeks of treatment. We expect complete topline data from Part B of the trial in the second half of 2021.</w:t>
      </w:r>
    </w:p>
    <w:p>
      <w:pPr>
        <w:spacing w:after="0" w:line="189"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More than 70% of participants from all parts of the study had previously received an antidepressant during the current depressive episode but still had moderate to severe MDD. Preliminary data show greater than 60% of patients were responders or clinically in remission at two weeks. All cohorts demonstrated good tolerability.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Pharmacokinetics bridging study</w:t>
      </w:r>
    </w:p>
    <w:p>
      <w:pPr>
        <w:spacing w:after="0" w:line="98"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To date, we have conducted all studies with PRAX-114 using a liquid, suspension formulation. For our registrational studies and subsequent potential commercial use of PRAX-114, we have developed a tablet formulation.</w:t>
      </w:r>
    </w:p>
    <w:p>
      <w:pPr>
        <w:spacing w:after="0" w:line="181" w:lineRule="exact"/>
        <w:rPr>
          <w:sz w:val="20"/>
          <w:szCs w:val="20"/>
          <w:color w:val="auto"/>
        </w:rPr>
      </w:pPr>
    </w:p>
    <w:p>
      <w:pPr>
        <w:ind w:right="80" w:firstLine="433"/>
        <w:spacing w:after="0" w:line="246" w:lineRule="auto"/>
        <w:rPr>
          <w:sz w:val="20"/>
          <w:szCs w:val="20"/>
          <w:color w:val="auto"/>
        </w:rPr>
      </w:pPr>
      <w:r>
        <w:rPr>
          <w:rFonts w:ascii="Arial" w:cs="Arial" w:eastAsia="Arial" w:hAnsi="Arial"/>
          <w:sz w:val="17"/>
          <w:szCs w:val="17"/>
          <w:color w:val="auto"/>
        </w:rPr>
        <w:t>In a clinical PK bridging study, PRAX-114 was administered as a solid dose (i.e., tablet) formulation in single ascending doses of 40mg, 60mg and 80mg and compared to PRAX-114 suspension administered at the 60mg dose. The PK of the tablet formulation was found to be comparable to the suspension formulation at the 60mg dose level (Figure 11). Administration of the 60mg tablet formulation under fasted conditions resulted in a median tmax of ~1.0 hour, Cmax of ~400ng/mL, AUCinf of ~2600 hr*ng/mL and t1/2 of ~11-12 hours, similar to the 60mg oral suspension. Exposure to PRAX-114 increased approximately proportional to dose.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386080</wp:posOffset>
            </wp:positionV>
            <wp:extent cx="5029200" cy="1973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29200" cy="197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340" w:right="240"/>
        <w:spacing w:after="0" w:line="302" w:lineRule="auto"/>
        <w:rPr>
          <w:sz w:val="20"/>
          <w:szCs w:val="20"/>
          <w:color w:val="auto"/>
        </w:rPr>
      </w:pPr>
      <w:r>
        <w:rPr>
          <w:rFonts w:ascii="Arial" w:cs="Arial" w:eastAsia="Arial" w:hAnsi="Arial"/>
          <w:sz w:val="17"/>
          <w:szCs w:val="17"/>
          <w:b w:val="1"/>
          <w:bCs w:val="1"/>
          <w:color w:val="auto"/>
        </w:rPr>
        <w:t>Figure 11. PRAX-114 dose-ranging pharmacokinetic study of tablet formulation and PRAX-114 pharmacokinetic bridging study of suspension and tablet formulations. Arithmetic means are displayed with standard deviations at each collection time point.</w:t>
      </w:r>
    </w:p>
    <w:p>
      <w:pPr>
        <w:spacing w:after="0" w:line="160"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When PRAX-114 is administered prior to bedtime on an empty stomach or with a high-fat or high- calorie meal, the rate of absorption is reduced, resulting in a delay in tmax and reduction in Cmax, while AUC is generally unchanged as compared to fasting conditions. Thus, PRAX-114 maintains consistent overall exposure across a wide range of administration conditions within the evaluated dose range, and the reduction in Cmax observed with evening dosing appears to be associated with an improved tolerability profile. Daily administration of 20, 40 and 60mg in the morning under fasted conditions for 14 days resulted in increases in exposure (Cmax and AUC0-24) from Day 1 to Day 7 and was generally comparable between Day 7 and Day 14, with Cmax accumulation ratios of approximately 1.3 consistent with the half-life of PRAX-114 and anticipated achievement of steady-state within two to three days.</w:t>
      </w:r>
    </w:p>
    <w:p>
      <w:pPr>
        <w:spacing w:after="0" w:line="196" w:lineRule="exact"/>
        <w:rPr>
          <w:sz w:val="20"/>
          <w:szCs w:val="20"/>
          <w:color w:val="auto"/>
        </w:rPr>
      </w:pPr>
    </w:p>
    <w:p>
      <w:pPr>
        <w:ind w:right="180" w:firstLine="433"/>
        <w:spacing w:after="0" w:line="250" w:lineRule="auto"/>
        <w:rPr>
          <w:sz w:val="20"/>
          <w:szCs w:val="20"/>
          <w:color w:val="auto"/>
        </w:rPr>
      </w:pPr>
      <w:r>
        <w:rPr>
          <w:rFonts w:ascii="Arial" w:cs="Arial" w:eastAsia="Arial" w:hAnsi="Arial"/>
          <w:sz w:val="17"/>
          <w:szCs w:val="17"/>
          <w:color w:val="auto"/>
        </w:rPr>
        <w:t>Overall, the PK profile of PRAX 114 has demonstrated consistent drug exposure across a wide range of administration conditions, demonstrating a consistent AUC when administered with or without food and at different times of day, and enabling once daily administration at bedtime without the need for additional patient 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PRAX-114 clinical trials</w:t>
      </w:r>
    </w:p>
    <w:p>
      <w:pPr>
        <w:spacing w:after="0" w:line="24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October 2020, we submitted an IND to support the initiation of a Phase 2/3 clinical trial in the United States and Australia in approximately 200 moderate to severe MDD patients. At the end of the 30-day review period, the FDA notified us that the IND was placed on full clinical hold pending the resolution of certain non-clinical pharmacology and toxicology matters. We subsequently interacted with FDA to gain agreement on a path to initiate the clinical study, which included a proposal to submit available non-clinical data while other GLP reproductive toxicology studies were being completed. Based on this submission the FDA removed the clinical hold in March 2021. We are operationally ready and intend to initiate the Phase 2/3 monotherapy MDD trial by the end of March 2021. If positive, the Phase 2/3 trial is intended to serve as one of two registrational trials required by the FDA to support clinical efficacy for the monotherapy treatment of MDD, and we expect topline data in the first half of 2022. In addition to the Phase 2/3 monotherapy trial, we intend to initiate a Phase 2 dose range finding, or DRF, trial for adjunctive treatment of MDD in the third quarter of 2021 to inform dose selection for Phase 3 and provide controlled data to support advancing a Phase 3 adjunctive MDD trial.</w:t>
      </w:r>
    </w:p>
    <w:p>
      <w:pPr>
        <w:spacing w:after="0" w:line="200" w:lineRule="exact"/>
        <w:rPr>
          <w:sz w:val="20"/>
          <w:szCs w:val="20"/>
          <w:color w:val="auto"/>
        </w:rPr>
      </w:pPr>
    </w:p>
    <w:p>
      <w:pPr>
        <w:spacing w:after="0" w:line="209"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Patients in the Phase 2/3 trial will be randomized 1:1 to receive nightly bedtime doses of PRAX-114 or placebo for 28 days in a fully outpatient setting, with two-weeks of additional follow up after the end of the active treatment period. Patients will be required to be between the ages of 18 and 65, have a diagnosis of MDD with a current episode of at least 8 weeks and not more than 24 months in duration, have a HAM-D total score of 23 or higher consistent with moderate to severe MDD, and have had at least one prior episode of MDD . Participants will be excluded if they are currently being treated with an antidepressant, have demonstrated an inadequate response to antidepressant treatment in the current episode or have treatment resistant depression, or if they have comorbid medical or psychiatric conditions that could interfere with the scientific objectives or safety of the trial. The primary efficacy endpoint will be change in the HAM-D total score from baseline at Day 15. A key secondary endpoint will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be change in the HAM-D score after 28 days of treatment to assess the durability of effect of PRAX-114, and we will also evaluate changes in other depression-related assessments.</w:t>
      </w:r>
    </w:p>
    <w:p>
      <w:pPr>
        <w:spacing w:after="0" w:line="181"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As previously described, the initially targeted PRAX-114 oral suspension dose of 45mg was projected to result in the targeted degree of reduction in the HAM-D in patients with MDD. This dose demonstrated rapid and robust improvement in the HAM-D in the Phase 2a MDD trial that was equivalent to the improvement observed in the higher dose groups (60 and 80mg). While all doses were generally well-tolerated and no participants from Part A discontinued from the study due to AEs, the 45 mg dose group demonstrated an optimal benefit/risk profile to guide dose selection for the Phase 2/3 MDD study. These data, in combination with the β-EEG pharmacodynamic biomarker data and the results of the PRAX-114 PK bridging study led to selection of a 40mg PRAX-114 tablet dose for the Phase 2/3 trial. Based on these data, the 40mg PRAX-114 tablet is expected to yield therapeutic exposures that result in effects consistently at or slightly higher than previously seen with the 45mg of the PRAX-114 suspension.</w:t>
      </w:r>
    </w:p>
    <w:p>
      <w:pPr>
        <w:spacing w:after="0" w:line="194" w:lineRule="exact"/>
        <w:rPr>
          <w:sz w:val="20"/>
          <w:szCs w:val="20"/>
          <w:color w:val="auto"/>
        </w:rPr>
      </w:pPr>
    </w:p>
    <w:p>
      <w:pPr>
        <w:ind w:firstLine="433"/>
        <w:spacing w:after="0" w:line="247" w:lineRule="auto"/>
        <w:rPr>
          <w:sz w:val="20"/>
          <w:szCs w:val="20"/>
          <w:color w:val="auto"/>
        </w:rPr>
      </w:pPr>
      <w:r>
        <w:rPr>
          <w:rFonts w:ascii="Arial" w:cs="Arial" w:eastAsia="Arial" w:hAnsi="Arial"/>
          <w:sz w:val="17"/>
          <w:szCs w:val="17"/>
          <w:color w:val="auto"/>
        </w:rPr>
        <w:t>We believe rigor in clinical conduct is essential for a study in MDD to appropriately mitigate historical variability in placebo effect, data reliability and the impact of current social and environmental changes caused by the COVID-19 pandemic. Our operational plan focuses on enrolling the right patients, minimizing placebo response and data variability and ensuring achievement of targeted drug exposure thorough direct verification of study drug adherence. Steps to advance these objectives include:</w:t>
      </w:r>
    </w:p>
    <w:p>
      <w:pPr>
        <w:spacing w:after="0" w:line="192" w:lineRule="exact"/>
        <w:rPr>
          <w:sz w:val="20"/>
          <w:szCs w:val="20"/>
          <w:color w:val="auto"/>
        </w:rPr>
      </w:pPr>
    </w:p>
    <w:p>
      <w:pPr>
        <w:ind w:left="640" w:right="18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Enrollment of patients with moderate to severe MDD and at least one prior episode of MDD (recurrent depression has been associated with a lower placebo response rate).</w:t>
      </w:r>
    </w:p>
    <w:p>
      <w:pPr>
        <w:spacing w:after="0" w:line="181" w:lineRule="exact"/>
        <w:rPr>
          <w:rFonts w:ascii="Arial" w:cs="Arial" w:eastAsia="Arial" w:hAnsi="Arial"/>
          <w:sz w:val="17"/>
          <w:szCs w:val="17"/>
          <w:color w:val="auto"/>
        </w:rPr>
      </w:pPr>
    </w:p>
    <w:p>
      <w:pPr>
        <w:ind w:left="640" w:right="400" w:hanging="320"/>
        <w:spacing w:after="0" w:line="26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two-level subject and data quality process that includes independent clinical interviews confirming eligibility through the SAFER process and conducting audio confirmation of HAM-D clinical assessments at key timepoints with ongoing rating assessment quality feedback.</w:t>
      </w:r>
    </w:p>
    <w:p>
      <w:pPr>
        <w:spacing w:after="0" w:line="18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Using sites with a known track-record of high quality data generation and drug-placebo separation in the conduct of MDD trials.</w:t>
      </w:r>
    </w:p>
    <w:p>
      <w:pPr>
        <w:spacing w:after="0" w:line="224"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Integration of a placebo control reminder script at every visit and screening for potential duplicate subjects via a dedicated clinical trial registry.</w:t>
      </w:r>
    </w:p>
    <w:p>
      <w:pPr>
        <w:spacing w:after="0" w:line="181" w:lineRule="exact"/>
        <w:rPr>
          <w:rFonts w:ascii="Arial" w:cs="Arial" w:eastAsia="Arial" w:hAnsi="Arial"/>
          <w:sz w:val="17"/>
          <w:szCs w:val="17"/>
          <w:color w:val="auto"/>
        </w:rPr>
      </w:pPr>
    </w:p>
    <w:p>
      <w:pPr>
        <w:ind w:left="640" w:right="80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Inclusion of the AiCure smartphone-based adherence monitoring system with structured site intervention to address participant adherence issues.</w:t>
      </w:r>
    </w:p>
    <w:p>
      <w:pPr>
        <w:spacing w:after="0" w:line="181"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In parallel with the conduct of the Phase 2/3 trial in MDD, an exploratory DRF trial is planned to evaluate additional PRAX-114 doses for inclusion in pivotal Phase 3 studies in MDD. Given that comparable improvement in the HAM-D was observed in all doses (45, 60 &amp; 80mg) examined in the Phase 2a MDD study, this trial will additionally explore the efficacy of lower doses of PRAX-114 to determine the optimal dose range to include in the Phase 3 development program. The planned population for this study is MDD participants who have demonstrated an insufficient response to standard of care antidepressant treatment, based on the following rationale: 1) The preliminary efficacy of PRAX-114 was demonstrated in a MDD population with a majority of participants having demonstrated an insufficient response to standard of care antidepressant treatment, supporting the suitability of this population for efficacy signal detection; 2) to extend these preliminary efficacy findings by generating controlled data for the efficacy of PRAX-114 in the adjunctive MDD population to inform Phase 3 study design in that population; and 3) to support concurrent conduct of the MDD development program studies while realizing data quality and operational efficiency benefits resulting from conducting the DRF study at a subset of the clinical research sites participating in the Phase 2/3 study in MDD.</w:t>
      </w:r>
    </w:p>
    <w:p>
      <w:pPr>
        <w:spacing w:after="0" w:line="198"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Patients in this study will be randomized to receive 10, 20, 40, or 60mg adjunctive PRAX-114 or placebo in a 1:1:1:1:1 ratio for 28 days, with 2 weeks of additional follow up after the end of the active treatment period. This trial will enroll approximately 125 patients between the ages of 18 and 65 who are experiencing a current major depressive episode of at least 12 weeks and not more than 24 months in duration, who are being treated with an antidepressant at a stable dose for at least 8 weeks prior to Day 1 and have demonstrated an insufficient clinical response to 1 to 2 adequate trials of antidepressant treatment in the current episode, and who have had at least one prior episode of MDD responsive to antidepressant treatment. Exclusion criteria will be similar to the Phase 2/3 study, with the exception of the insufficient response exclusion. The objective to assess the presence of a dose-response signal for adjunctive PRAX-114 in MDD will use the primary efficacy endpoint of the change from baseline in HAM-D total score at Day 15. Secondary objectives will include evaluating the efficacy for each dose of</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adjunctive PRAX-114 in MDD and the effect of adjunctive PRAX-114 on the HAM-D after 28 days of treatment and impact on other depression-related assessments. This trial will employ the full set of clinical trial quality interventions summarized above for the Phase 2/3 study, and the topline data is planned to be delivered in parallel with the Phase 2/3 monotherapy MDD study.</w:t>
      </w:r>
    </w:p>
    <w:p>
      <w:pPr>
        <w:spacing w:after="0" w:line="18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Upon completion of Part B of our Phase 2a trial, we intend to have a meeting with regulators to discuss further development of PRAX-114 in PMD.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PRAX-114 preclinical data</w:t>
      </w:r>
    </w:p>
    <w:p>
      <w:pPr>
        <w:spacing w:after="0" w:line="82" w:lineRule="exact"/>
        <w:rPr>
          <w:sz w:val="20"/>
          <w:szCs w:val="20"/>
          <w:color w:val="auto"/>
        </w:rPr>
      </w:pPr>
    </w:p>
    <w:p>
      <w:pPr>
        <w:ind w:right="820" w:firstLine="433"/>
        <w:spacing w:after="0" w:line="297" w:lineRule="auto"/>
        <w:rPr>
          <w:sz w:val="20"/>
          <w:szCs w:val="20"/>
          <w:color w:val="auto"/>
        </w:rPr>
      </w:pPr>
      <w:r>
        <w:rPr>
          <w:rFonts w:ascii="Arial" w:cs="Arial" w:eastAsia="Arial" w:hAnsi="Arial"/>
          <w:sz w:val="17"/>
          <w:szCs w:val="17"/>
          <w:color w:val="auto"/>
        </w:rPr>
        <w:t xml:space="preserve">The goal of our preclinical program was to establish the </w:t>
      </w:r>
      <w:r>
        <w:rPr>
          <w:rFonts w:ascii="Arial" w:cs="Arial" w:eastAsia="Arial" w:hAnsi="Arial"/>
          <w:sz w:val="17"/>
          <w:szCs w:val="17"/>
          <w:i w:val="1"/>
          <w:iCs w:val="1"/>
          <w:color w:val="auto"/>
        </w:rPr>
        <w:t>in-vitro and in-vivo</w:t>
      </w:r>
      <w:r>
        <w:rPr>
          <w:rFonts w:ascii="Arial" w:cs="Arial" w:eastAsia="Arial" w:hAnsi="Arial"/>
          <w:sz w:val="17"/>
          <w:szCs w:val="17"/>
          <w:color w:val="auto"/>
        </w:rPr>
        <w:t xml:space="preserve"> pharmacological profiles, antidepressant potential and tolerability of PRAX-114. In addition, we evaluated translational pharmacodynamic biomarkers to inform clinical development.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Antidepressant activity</w:t>
      </w:r>
    </w:p>
    <w:p>
      <w:pPr>
        <w:spacing w:after="0" w:line="111"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To determine the antidepressant-like activity of PRAX-114, we used the Wistar Kyoto, or WKY, rat model. The WKY rat is an inbred rat strain that has increased sensitivity to stress and displays a depressive-like phenotype that is resistant to SSRI and SNRI treatment. A common way to assess depressive-like symptoms in animals is a test known as the forced swim test, or FST. The FST is based on the natural behavior of an animal when placed in a container filled with water from which it cannot escape. The rat will first make efforts to escape by swimming or climbing, but eventually will exhibit floating behavior, which is an indication of behavioral despair and is seen as a surrogate for depression. WKY rats display longer time inactive (floating) over a given time period than normal rats as an indication of increased behavioral despair.</w:t>
      </w:r>
    </w:p>
    <w:p>
      <w:pPr>
        <w:spacing w:after="0" w:line="193"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administered oral doses of PRAX-114 or a placebo to WKY rats and evaluated performance on the FST. At all doses of PRAX-114 tested, 1mg/kg, 3mg/kg and 10mg/kg, we observed a significant reduction in immobility time compared to rats that received a placebo, which we believe reflects an anti-depressive-like reaction or activity of PRAX-114. Importantly, and as described below, at these doses, PRAX-114 did not impair or enhance overall spontaneous activity of the rats in independent assays in the same animals, which we believe indicates that PRAX-114 was generally well-tolerated at these doses.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Tolerability</w:t>
      </w:r>
    </w:p>
    <w:p>
      <w:pPr>
        <w:spacing w:after="0" w:line="98" w:lineRule="exact"/>
        <w:rPr>
          <w:sz w:val="20"/>
          <w:szCs w:val="20"/>
          <w:color w:val="auto"/>
        </w:rPr>
      </w:pPr>
    </w:p>
    <w:p>
      <w:pPr>
        <w:jc w:val="both"/>
        <w:ind w:right="220" w:firstLine="433"/>
        <w:spacing w:after="0" w:line="263" w:lineRule="auto"/>
        <w:rPr>
          <w:sz w:val="20"/>
          <w:szCs w:val="20"/>
          <w:color w:val="auto"/>
        </w:rPr>
      </w:pPr>
      <w:r>
        <w:rPr>
          <w:rFonts w:ascii="Arial" w:cs="Arial" w:eastAsia="Arial" w:hAnsi="Arial"/>
          <w:sz w:val="17"/>
          <w:szCs w:val="17"/>
          <w:color w:val="auto"/>
        </w:rPr>
        <w:t>A common model to assess sedation in rats is the measure of spontaneous locomotor activity, or sLMA. Dosing rats with sedatives dose-dependently reduces their spontaneous movement in this assay. In this model, doses of PRAX-114 up to 30mg/kg had no significant impact on spontaneous locomotion, while doses as low as 1mg/kg had significant antidepressant-like effects in the WKY rat model, demonstrating a wide therapeutic window in these models with preclinical activity at doses well below sedative doses.</w:t>
      </w:r>
    </w:p>
    <w:p>
      <w:pPr>
        <w:spacing w:after="0" w:line="174" w:lineRule="exact"/>
        <w:rPr>
          <w:sz w:val="20"/>
          <w:szCs w:val="20"/>
          <w:color w:val="auto"/>
        </w:rPr>
      </w:pPr>
    </w:p>
    <w:p>
      <w:pPr>
        <w:ind w:right="420" w:firstLine="433"/>
        <w:spacing w:after="0" w:line="297" w:lineRule="auto"/>
        <w:rPr>
          <w:sz w:val="20"/>
          <w:szCs w:val="20"/>
          <w:color w:val="auto"/>
        </w:rPr>
      </w:pPr>
      <w:r>
        <w:rPr>
          <w:rFonts w:ascii="Arial" w:cs="Arial" w:eastAsia="Arial" w:hAnsi="Arial"/>
          <w:sz w:val="17"/>
          <w:szCs w:val="17"/>
          <w:color w:val="auto"/>
        </w:rPr>
        <w:t xml:space="preserve">We believe that the therapeutic window observed in our </w:t>
      </w:r>
      <w:r>
        <w:rPr>
          <w:rFonts w:ascii="Arial" w:cs="Arial" w:eastAsia="Arial" w:hAnsi="Arial"/>
          <w:sz w:val="17"/>
          <w:szCs w:val="17"/>
          <w:i w:val="1"/>
          <w:iCs w:val="1"/>
          <w:color w:val="auto"/>
        </w:rPr>
        <w:t>in-vivo</w:t>
      </w:r>
      <w:r>
        <w:rPr>
          <w:rFonts w:ascii="Arial" w:cs="Arial" w:eastAsia="Arial" w:hAnsi="Arial"/>
          <w:sz w:val="17"/>
          <w:szCs w:val="17"/>
          <w:color w:val="auto"/>
        </w:rPr>
        <w:t xml:space="preserve"> assays is consistent with the preference of PRAX-114 for extrasynaptic GABA</w:t>
      </w:r>
      <w:r>
        <w:rPr>
          <w:rFonts w:ascii="Arial" w:cs="Arial" w:eastAsia="Arial" w:hAnsi="Arial"/>
          <w:sz w:val="15"/>
          <w:szCs w:val="15"/>
          <w:color w:val="auto"/>
        </w:rPr>
        <w:t>A</w:t>
      </w:r>
      <w:r>
        <w:rPr>
          <w:rFonts w:ascii="Arial" w:cs="Arial" w:eastAsia="Arial" w:hAnsi="Arial"/>
          <w:sz w:val="17"/>
          <w:szCs w:val="17"/>
          <w:color w:val="auto"/>
        </w:rPr>
        <w:t xml:space="preserve"> potentiation observed </w:t>
      </w:r>
      <w:r>
        <w:rPr>
          <w:rFonts w:ascii="Arial" w:cs="Arial" w:eastAsia="Arial" w:hAnsi="Arial"/>
          <w:sz w:val="17"/>
          <w:szCs w:val="17"/>
          <w:i w:val="1"/>
          <w:iCs w:val="1"/>
          <w:color w:val="auto"/>
        </w:rPr>
        <w:t>in-vitro</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EEG as a pharmacodynamic biomarker</w:t>
      </w:r>
    </w:p>
    <w:p>
      <w:pPr>
        <w:spacing w:after="0" w:line="9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our rat translational biomarker model, we administered PRAX-114 to wild-type rats at doses ranging from 1 to 20mg/kg to assess the impact on power in the beta frequency band. We found that PRAX-114 dose-dependently increased the power in the beta frequency band and these changes correlated with changes in plasma pharmacokinetics. This EEG biomarker was used to inform dose-selection for PRAX-114 clinical studies. In our Phase 1 MAD trial, healthy volunteers administered the 30mg dose of PRAX-114 displayed an approximately 1.6-fold increase in qEEG beta power compared to baseline. In our preclinical studies, doses (and plasma/brain concentrations) that induced a 1.6-fold increase in the beta frequency power in rats were associated with both robust preclinical activity in animal models of depression and anxiety and good tolerability. Specifically, the PRAX-114 dose that is estimated to induce a 1.6-fold increase in EEG beta power activity in rats was efficacious in the rat WKY model of depression and the window between that dose that increased beta power by 1.6-fold increase in EEG and the dose that caused a 50% reduction of spontaneous locomotion in the sLMA sedation assay, or ED</w:t>
      </w:r>
      <w:r>
        <w:rPr>
          <w:rFonts w:ascii="Arial" w:cs="Arial" w:eastAsia="Arial" w:hAnsi="Arial"/>
          <w:sz w:val="15"/>
          <w:szCs w:val="15"/>
          <w:color w:val="auto"/>
        </w:rPr>
        <w:t>50</w:t>
      </w:r>
      <w:r>
        <w:rPr>
          <w:rFonts w:ascii="Arial" w:cs="Arial" w:eastAsia="Arial" w:hAnsi="Arial"/>
          <w:sz w:val="17"/>
          <w:szCs w:val="17"/>
          <w:color w:val="auto"/>
        </w:rPr>
        <w:t>, was ~11-fold, based on brain concentrations. In addition, at this generally well-tolerated brain concentration, PRAX-114 was efficacious in animal models of anxiety including conditional emotional response, or CER, punished drinking, or Vogel, and elevated plus maze, or EPM (Figure 12).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In the figure below, the lower bound of the preclinical activity in animal models and EEG bars are determined by the brain exposure at the lowest dose at which significant activity was observed (p &lt; 0.05). The lower bound of the tolerability bar represents the TC</w:t>
      </w:r>
      <w:r>
        <w:rPr>
          <w:rFonts w:ascii="Arial" w:cs="Arial" w:eastAsia="Arial" w:hAnsi="Arial"/>
          <w:sz w:val="15"/>
          <w:szCs w:val="15"/>
          <w:color w:val="auto"/>
        </w:rPr>
        <w:t>50</w:t>
      </w:r>
      <w:r>
        <w:rPr>
          <w:rFonts w:ascii="Arial" w:cs="Arial" w:eastAsia="Arial" w:hAnsi="Arial"/>
          <w:sz w:val="17"/>
          <w:szCs w:val="17"/>
          <w:color w:val="auto"/>
        </w:rPr>
        <w:t xml:space="preserve"> in the brain. The upper bound represents the mean brain concentration at the highest dose tested in a given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145415</wp:posOffset>
            </wp:positionV>
            <wp:extent cx="3738880" cy="24066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38880" cy="240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Figure 12. Summary of PRAX-114 preclinical data.</w:t>
      </w:r>
    </w:p>
    <w:p>
      <w:pPr>
        <w:spacing w:after="0" w:line="246"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Based on our findings in preclinical models, we believe our initial results in humans are supportive of a wide therapeutic window which, in humans, begins at or below a daily dose of 30mg of PRAX-114 and extends to higher doses prior to the onset of potential dose-limiting somnolence or sedation. Our clinical studies to-date suggest that PRAX-114 doses up to 80mg, the highest we have tested in humans, remain generally well-tolerated. We have yet to identify the MTD.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PRAX-944</w:t>
      </w:r>
    </w:p>
    <w:p>
      <w:pPr>
        <w:spacing w:after="0" w:line="10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are developing PRAX-944, a potentially differentiated selective small molecule inhibitor of T-type calcium channels, for the treatment of ET. We have evaluated the safety and tolerability of PRAX-944 in over 150 healthy volunteers in five separate clinical trials. In these trials, we have studied the safety of PRAX-944 modified release formulation with titration up to 120mg/day and no MTD has been identified. We are currently conducting a Phase 2a proof-of-concept open-label trial in ET patients. Preliminary site data from six participants of the low dose cohort (maximum dose of 40mg daily) showed tremor reduction, which seems to compare favorably to the standard of care agents. We plan to announce topline open-label safety, tolerability and efficacy data, including a high dose cohort, in mid-year 2021.</w:t>
      </w:r>
    </w:p>
    <w:p>
      <w:pPr>
        <w:spacing w:after="0" w:line="19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There is a large body of clinical, preclinical and genetic evidence that points to the involvement of T-type calcium channels in the cerebello-thalamo-cortical, or CTC, circuit, as a main driver of ET. ET is the most common movement disorder, affecting up to seven million patients in the United States, which is seven times more individuals compared to Parkinson’s tremor. ET is a progressive and debilitating movement disorder with action tremors that significantly disrupt daily living. There is a high unmet need for ET patients given the limited treatment options, with only one approved pharmacotherapy that is poorly tolerated, resulting in high discontinuation rates and a small group of patients opting for invasive brain surgeries.</w:t>
      </w:r>
    </w:p>
    <w:p>
      <w:pPr>
        <w:spacing w:after="0" w:line="193"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Successful development of T-type calcium channel modulators in ET likely requires a PK profile with a blunted Cmax and thoughtful clinical trial design and endpoint selection. We have designed our development program to include careful selection of clinical endpoints, a modified release formulation and dose titration strategy. We believe the profile of PRAX-944 coupled with its modified release formulation positions it for development as a differentiated therapy in ET.</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433"/>
        <w:spacing w:after="0" w:line="266" w:lineRule="auto"/>
        <w:rPr>
          <w:sz w:val="20"/>
          <w:szCs w:val="20"/>
          <w:color w:val="auto"/>
        </w:rPr>
      </w:pPr>
      <w:r>
        <w:rPr>
          <w:rFonts w:ascii="Arial" w:cs="Arial" w:eastAsia="Arial" w:hAnsi="Arial"/>
          <w:sz w:val="17"/>
          <w:szCs w:val="17"/>
          <w:color w:val="auto"/>
        </w:rPr>
        <w:t>Because of the gatekeeper role of T-type calcium channels in regulating neuronal firing patterns in multiple neuronal circuits, we believe PRAX-944 is suitable for potential development across a wide-range of indications in psychiatry and neurology, providing sizable expansion opportunities in addition to 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 Tremor</w:t>
      </w:r>
    </w:p>
    <w:p>
      <w:pPr>
        <w:spacing w:after="0" w:line="100"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ET is the most common movement disorder, characterized by involuntary rhythmic movement in the upper limbs, with or without tremor in other body locations such as the head, vocal cords, or legs. ET is a day-time disease associated with debilitating tremors triggered when a patient voluntarily attempts to move. These tremors significantly disrupt daily living and are progressive in nature, with increases in tremor severity and amplitude commonly observed over the course of the disease. The upper-limb tremor can range from barely visible to greater than 20cm in amplitude.</w:t>
      </w:r>
    </w:p>
    <w:p>
      <w:pPr>
        <w:spacing w:after="0" w:line="192"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Unlike Parkinson’s disease, which is characterized by a rest tremor, the tremor of ET occurs with movement and therefore causes direct disability, as people are unable to perform basic, every-day functions such as writing, typing, drinking or feeding themselves. Given the debilitating physical challenges of the disease, ET has also been associated with high prevalence of comorbidities, including anxiety, depression and social phobia.</w:t>
      </w:r>
    </w:p>
    <w:p>
      <w:pPr>
        <w:spacing w:after="0" w:line="19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ET is a clinically well-recognized indication with defined diagnostic criteria established by The International Parkinson and Movement Disorders Society. ET affects between one and two percent of the worldwide population and approximately five percent of adults over 60 years of age. It is estimated that there are up to seven million individuals with ET in the United States, up to seven times more than the second most common movement disorder, Parkinson’s disease.</w:t>
      </w:r>
    </w:p>
    <w:p>
      <w:pPr>
        <w:spacing w:after="0" w:line="192"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Despite the prevalence and significant disease burden of ET, only a fraction of patients (an estimated one million based on claims data) are managed with pharmacological therapy, though an estimated 80% of those that are treated discontinue these medications due to limitations in efficacy and tolerability. We believe that the treated population will increase with the availability of new therapies with improved efficacy and tolerability.</w:t>
      </w:r>
    </w:p>
    <w:p>
      <w:pPr>
        <w:spacing w:after="0" w:line="192" w:lineRule="exact"/>
        <w:rPr>
          <w:sz w:val="20"/>
          <w:szCs w:val="20"/>
          <w:color w:val="auto"/>
        </w:rPr>
      </w:pPr>
    </w:p>
    <w:p>
      <w:pPr>
        <w:jc w:val="both"/>
        <w:ind w:right="60" w:firstLine="433"/>
        <w:spacing w:after="0" w:line="263" w:lineRule="auto"/>
        <w:rPr>
          <w:sz w:val="20"/>
          <w:szCs w:val="20"/>
          <w:color w:val="auto"/>
        </w:rPr>
      </w:pPr>
      <w:r>
        <w:rPr>
          <w:rFonts w:ascii="Arial" w:cs="Arial" w:eastAsia="Arial" w:hAnsi="Arial"/>
          <w:sz w:val="17"/>
          <w:szCs w:val="17"/>
          <w:color w:val="auto"/>
        </w:rPr>
        <w:t>Currently, there are only two drugs commonly used in ET. Propranolol, approved by the FDA in 1967, remains the only currently approved therapy for ET in the United States. A non-selective beta blocker, Propranolol is contraindicated for individuals with certain respiratory or cardiac issues, which are common comorbidities in the age group affected by ET. Primidone, an anticonvulsant used off-label, requires slow titration over six to eight weeks and can cause sedation and balance issue while accelerating osteoporosis with long-term use.</w:t>
      </w:r>
    </w:p>
    <w:p>
      <w:pPr>
        <w:spacing w:after="0" w:line="192" w:lineRule="exact"/>
        <w:rPr>
          <w:sz w:val="20"/>
          <w:szCs w:val="20"/>
          <w:color w:val="auto"/>
        </w:rPr>
      </w:pPr>
    </w:p>
    <w:p>
      <w:pPr>
        <w:jc w:val="both"/>
        <w:ind w:right="140" w:firstLine="433"/>
        <w:spacing w:after="0" w:line="263" w:lineRule="auto"/>
        <w:rPr>
          <w:sz w:val="20"/>
          <w:szCs w:val="20"/>
          <w:color w:val="auto"/>
        </w:rPr>
      </w:pPr>
      <w:r>
        <w:rPr>
          <w:rFonts w:ascii="Arial" w:cs="Arial" w:eastAsia="Arial" w:hAnsi="Arial"/>
          <w:sz w:val="17"/>
          <w:szCs w:val="17"/>
          <w:color w:val="auto"/>
        </w:rPr>
        <w:t>As a last line therapy, several thousand ET patients in the United States opt for invasive surgery each year. Interventions include gamma knife and focused ultrasound thalamotomy, where part of the thalamus involved in the CTC circuit is ablated, or deep brain stimulation, or DBS, where an electrode is implanted into the brain. These procedures are generally effective but are associated with significant side effects and risk. Therefore, many patients who are eligible for surgical therapies do not elect to have these procedures.</w:t>
      </w:r>
    </w:p>
    <w:p>
      <w:pPr>
        <w:spacing w:after="0" w:line="192"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 significant unmet need remains for the millions of ET patients that are not currently receiving treatment for their ET, or are underserved by existing treatment options. We believe that the relatively concentrated ET treatment setting composed of mainly neurology and movement disorder specialists would allow for the rapid adoption of a new treatment option that offered robust response rates and an improved tolerability profile.</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Genetics of Essential Tremor</w:t>
      </w:r>
    </w:p>
    <w:p>
      <w:pPr>
        <w:spacing w:after="0" w:line="113"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Our rationale for approaching ET through inhibition of T-type calcium channels is rooted in the genetics of epilepsy. CACNA1G, a gene that encodes for a particular isoform of T-type calcium channels, is one of the most significantly associated genes for generalized genetic epilepsy, or GGE. Some of these epilepsy patients also suffer from comorbid movement disorders such as tremor and ataxia. The odds of observing a T-type calcium channel mutation in the GGE population is 9 times of that of the healthy population. This supports the key role of T-type calcium channels in maintaining excitation and inhibition balance.</w:t>
      </w:r>
    </w:p>
    <w:p>
      <w:pPr>
        <w:spacing w:after="0" w:line="192" w:lineRule="exact"/>
        <w:rPr>
          <w:sz w:val="20"/>
          <w:szCs w:val="20"/>
          <w:color w:val="auto"/>
        </w:rPr>
      </w:pPr>
    </w:p>
    <w:p>
      <w:pPr>
        <w:jc w:val="both"/>
        <w:ind w:right="80" w:firstLine="433"/>
        <w:spacing w:after="0" w:line="247" w:lineRule="auto"/>
        <w:rPr>
          <w:sz w:val="20"/>
          <w:szCs w:val="20"/>
          <w:color w:val="auto"/>
        </w:rPr>
      </w:pPr>
      <w:r>
        <w:rPr>
          <w:rFonts w:ascii="Arial" w:cs="Arial" w:eastAsia="Arial" w:hAnsi="Arial"/>
          <w:sz w:val="17"/>
          <w:szCs w:val="17"/>
          <w:color w:val="auto"/>
        </w:rPr>
        <w:t>Additional human genetic data provide evidence for the role of T-type calcium channels in movement disorders. Whole exome sequencing of early-onset familial ET patients also identified mutations in CACNA1G that segregated with the tremor phenotype in multiple family pedigrees. The importance of T-type Ca++ channels to the function of the CTC circuit is highlighted by variants in the CACNA1G gene which are associated with rare cases of pediatric cerebellar atrophy. Additionally, mutations in the T-type calcium channel have also been reported as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causative of a form of spinocerebellar ataxia. We believe this genetic link, along with the preclinical and clinical evidence, help confirm the role of T-type calcium channels in the pathophysiology of ET.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T-type calcium channels in ET</w:t>
      </w:r>
    </w:p>
    <w:p>
      <w:pPr>
        <w:spacing w:after="0" w:line="100"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T-type calcium channels function as the gatekeepers of neuronal firing patterns, controlling the switch between tonic and burst firing in the CTC circuit. The CTC circuit is a series of brain nuclei or neuron clusters, including the inferior olivary nucleus, cerebellar Purkinje cells, deep cerebellar nuclei, ventral motor thalamus and motor cortex, which work together in regulating coordinated movements and when disrupted generate tremor. All nuclei in this circuit contain pacemaker cells with inherent burst firing capability and express T-type calcium channels, which are known drivers of oscillatory burst firing.</w:t>
      </w:r>
    </w:p>
    <w:p>
      <w:pPr>
        <w:spacing w:after="0" w:line="192"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T-type calcium channels are low voltage activated channels that respond to weak depolarization of neuronal membranes and are quickly inactivated (a closed state where the channel cannot be reopened for some time). The opening of T-type calcium channels leads to membrane depolarization, which activates voltage-activated sodium channels, leading to the formation of an action potential and neuronal firing. When only a small number of T-type calcium channels are activated, leading to small T-type calcium channel mediated membrane depolarizations, the neuron generally generates unitary action potentials, also called tonic firing. When the activity of T-type calcium channels is increased, either due to genetic mutations or other changes in network activity that recruit more T-type calcium channels, a longer lasting depolarization is generated, resulting in high-frequency clusters of sodium channel driven action potentials, also called burst firing,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149860</wp:posOffset>
            </wp:positionV>
            <wp:extent cx="5029200" cy="254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29200" cy="254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13. T-Type calcium channels are gatekeepers of neuronal firing patterns.</w:t>
      </w:r>
    </w:p>
    <w:p>
      <w:pPr>
        <w:spacing w:after="0" w:line="24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Neuroimaging and neurophysiology studies in ET patients has consistently demonstrated that individual nuclei along the CTC circuit oscillate at the same frequency as the tremor and with strong coherence amongst the brain regions and movement in the affected muscles. Further, intraoperative real-time single-unit recordings of action potentials of individual neurons in the ventral motor thalamus of severe ET patients receiving DBS implants, in periods with and without tremors, further substantiates the central role of the CTC circuit and T-type calcium channels in ET (Figure 14). When no tremor was observed at rest, tonic firing was recorded in neurons of the ventral motor thalamus. During tremor, the same neurons fire in rhythmic bursts that are highly coherent with tremor activity. Furthermore, the emergence of action tremors coincided with the emergence of burst firing. Lesioning or DBS of the ventral motor thalamus has been shown to silence the oscillatory burst firing activity in the CTC circuit, resulting in significant tremor reduction. The strong temporal coordination between the tremors and burst firing, a neuronal firing pattern frequently gated by T-type calcium channel activity, strongly suggest that pharmacological inhibition of these channels may represent an effective pharmacological approach in ET.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386080</wp:posOffset>
            </wp:positionV>
            <wp:extent cx="3180715" cy="1540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0715" cy="154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14. Thalamic neuron burst firing correlated with tremor activity in ET patients.</w:t>
      </w:r>
    </w:p>
    <w:p>
      <w:pPr>
        <w:spacing w:after="0" w:line="246"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The role of the CTC circuit and T-type calcium channels has been further confirmed in animal models. A known pharmacological tremor model utilizes administration of harmaline, an alkaloid toxin, to animals. Harmaline, on administration to experimental animals such as rodents, induces an acute action tremor as well as rhythmic burst-firing activity in the CTC circuit similar to that observed in ET patients. We believe this model carries clinically predictive value, as compounds that improve tremor in ET patients clinically (e.g., propranolol, primidone) have also been shown to reduce harmaline-induced tremor preclinically; in contrast compounds that worsen tremor in patients (e.g., caffeine) also worsen tremor in this model. Similar to what’s observed in ET patients, normalizing oscillatory activity in the CTC circuit, for example with DBS, reduces harmaline induced tremor in rodents. Pharmacological inhibition or genetic knockout of T-type calcium channels lead to resistance to harmaline-induced tremor.</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PRAX-944 in Essential Tremor</w:t>
      </w:r>
    </w:p>
    <w:p>
      <w:pPr>
        <w:spacing w:after="0" w:line="100"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We are advancing a modified release formulation of PRAX-944, a potent and selective small molecule inhibitor of T-type calcium channels, for the treatment of ET.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PRAX-944 Clinical Development in ET</w:t>
      </w:r>
    </w:p>
    <w:p>
      <w:pPr>
        <w:spacing w:after="0" w:line="100"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We have evaluated the safety and tolerability of PRAX-944 in over 150 healthy volunteers in five separate clinical trials. In these trials, we have studied the safety of PRAX-944 modified release formulation with titration up to 120mg/day and no MTD has been identified. We are currently conducting a Phase 2a proof-of-concept open-label trial in Australia and New Zealand in ET patients. Preliminary site data from six patients of the low dose cohort showed tremor reduction, which seems to compare favorably to the standard of care agents. We plan to announce topline open-label safety, tolerability and efficacy data, including a high dose cohort, in the first half of 2021.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trials in healthy volunteers using previous IR formulation</w:t>
      </w:r>
    </w:p>
    <w:p>
      <w:pPr>
        <w:spacing w:after="0" w:line="111"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An immediate release, or IR, formulation of PRAX-944 was used in the initial Phase 1 trials and reached maximal plasma concentrations within one to three hours of dosing. Adverse events like nausea were associated with the high peak levels. This prompted the development of a modified release, or MR, formulation for PRAX-944 that extends the absorption of the drug over a longer period. We have demonstrated that the MR formulation, which releases approximately 80% of the drug product over seven hours in vitro, reduces the maximum plasma concentration and delays the tmax without significantly impacting the overall AUC. We have also observed that this resulted in improved tolerability relative to an immediate release, or IR, formulation and the ability to sustain targeted therapeutic concentrations. The sustained exposure also enables once daily dosing (Figure 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trials in healthy volunteers using MR formulation</w:t>
      </w:r>
    </w:p>
    <w:p>
      <w:pPr>
        <w:spacing w:after="0" w:line="242"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our Phase 1 multiple dose trial of the MR formulation of PRAX-944 in England, doses of 20mg and 40mg were generally well-tolerated over 8 days. Adverse events were transient and occurred at a rate similar to placebo. We observed the following TEAEs all of which were mild to moderate:</w:t>
      </w:r>
    </w:p>
    <w:p>
      <w:pPr>
        <w:spacing w:after="0" w:line="189" w:lineRule="exact"/>
        <w:rPr>
          <w:sz w:val="20"/>
          <w:szCs w:val="20"/>
          <w:color w:val="auto"/>
        </w:rPr>
      </w:pPr>
    </w:p>
    <w:p>
      <w:pPr>
        <w:ind w:left="800" w:hanging="323"/>
        <w:spacing w:after="0" w:line="266" w:lineRule="auto"/>
        <w:tabs>
          <w:tab w:leader="none" w:pos="7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40mg dose (n=6): we observed the nervous system TEAEs of somnolence (33.3%), headache (33.3%) and dizziness (33.3%). The TEAEs also included fatigue (33.3%) and hot flash (33.3%). We observed ECG application site rash, EEG application site skin reaction, nausea, vision blurred, thermal burn (accidental) and euphoric mood in 16.7% of subject each.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0" w:hanging="323"/>
        <w:spacing w:after="0" w:line="275" w:lineRule="auto"/>
        <w:tabs>
          <w:tab w:leader="none" w:pos="7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20mg dose (n=6): we observed the nervous system disorder TEAEs of somnolence (16.7%) and headache (33.3%). We also observed nausea (33.3%), fatigue (16.7%), vomiting (16.7%) and dry throat (16.7%).</w:t>
      </w:r>
    </w:p>
    <w:p>
      <w:pPr>
        <w:spacing w:after="0" w:line="76" w:lineRule="exact"/>
        <w:rPr>
          <w:rFonts w:ascii="Arial" w:cs="Arial" w:eastAsia="Arial" w:hAnsi="Arial"/>
          <w:sz w:val="17"/>
          <w:szCs w:val="17"/>
          <w:color w:val="auto"/>
        </w:rPr>
      </w:pPr>
    </w:p>
    <w:p>
      <w:pPr>
        <w:ind w:left="800" w:right="640" w:hanging="323"/>
        <w:spacing w:after="0" w:line="275" w:lineRule="auto"/>
        <w:tabs>
          <w:tab w:leader="none" w:pos="7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Placebo (n=4): we observed the nervous system TEAEs of headache (25%), somnolence (25%) and dizziness (25%). We also observed fatigue (50%) and nausea (25%).</w:t>
      </w:r>
    </w:p>
    <w:p>
      <w:pPr>
        <w:spacing w:after="0" w:line="181" w:lineRule="exact"/>
        <w:rPr>
          <w:sz w:val="20"/>
          <w:szCs w:val="20"/>
          <w:color w:val="auto"/>
        </w:rPr>
      </w:pPr>
    </w:p>
    <w:p>
      <w:pPr>
        <w:ind w:right="200" w:firstLine="433"/>
        <w:spacing w:after="0" w:line="261" w:lineRule="auto"/>
        <w:rPr>
          <w:sz w:val="20"/>
          <w:szCs w:val="20"/>
          <w:color w:val="auto"/>
        </w:rPr>
      </w:pPr>
      <w:r>
        <w:rPr>
          <w:rFonts w:ascii="Arial" w:cs="Arial" w:eastAsia="Arial" w:hAnsi="Arial"/>
          <w:sz w:val="17"/>
          <w:szCs w:val="17"/>
          <w:color w:val="auto"/>
        </w:rPr>
        <w:t>A single dose of 60mg was not tolerated in the single dose trial due to reports of nausea in five of six subjects and vomiting in three of six subjects. In the multiple dose 20mg and 40mg groups, three subjects reported nausea with one subject also reporting vomiting; these events were mild in severity and resolved on Day 1 of dosing. No subjects reported nausea or vomiting after Day 1 of dosing. While a single dose of 60mg was not well-tolerated, the average peak drug levels (138ng/mL) observed in the 40mg group after eight days of treatment were greater than those seen with the single 60mg dose (130ng/mL) on Day 1. Improved tolerability at higher concentrations following repeated dosing suggests that titration to higher doses might be a viable strategy to further improve the tolerability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147955</wp:posOffset>
            </wp:positionV>
            <wp:extent cx="3214370" cy="16071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14370"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15. Sustained exposures were observed for the MR formulation of PRAX-944.</w:t>
      </w:r>
    </w:p>
    <w:p>
      <w:pPr>
        <w:spacing w:after="0" w:line="246" w:lineRule="exact"/>
        <w:rPr>
          <w:sz w:val="20"/>
          <w:szCs w:val="20"/>
          <w:color w:val="auto"/>
        </w:rPr>
      </w:pPr>
    </w:p>
    <w:p>
      <w:pPr>
        <w:jc w:val="both"/>
        <w:ind w:right="40" w:firstLine="433"/>
        <w:spacing w:after="0" w:line="263" w:lineRule="auto"/>
        <w:rPr>
          <w:sz w:val="20"/>
          <w:szCs w:val="20"/>
          <w:color w:val="auto"/>
        </w:rPr>
      </w:pPr>
      <w:r>
        <w:rPr>
          <w:rFonts w:ascii="Arial" w:cs="Arial" w:eastAsia="Arial" w:hAnsi="Arial"/>
          <w:sz w:val="17"/>
          <w:szCs w:val="17"/>
          <w:color w:val="auto"/>
        </w:rPr>
        <w:t>Quantitative EEG studies in healthy volunteers were used to assess the pharmacodynamic effect of PRAX-944 on T-type calcium channels in the brain. One frequency band known to be driven by T-type calcium channel activation is the sigma frequency band (11 to 15 Hz) during non-rapid eye movement sleep, or NREM sleep. T-type calcium channels expressed in thalamic neurons are critically involved in the generation and modulation of these rhythmic thalamocortical oscillations during NREM sleep.</w:t>
      </w:r>
    </w:p>
    <w:p>
      <w:pPr>
        <w:spacing w:after="0" w:line="192"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In our preclinical studies, dosing of normal rats with PRAX-944 led to robust and dose-dependent changes in EEG activity. Because similarly robust sigma frequency band changes after dosing with PRAX-944 are observed during NREM sleep in rats and humans, our hypothesis is that the inhibition of this EEG signal can be used as a pharmacodynamic biomarker. Because the doses at which EEG changes observed in rats are similar to those that demonstrated activity in a preclinical model of essential tremor, or the harmaline model, we believe that this EEG biomarker can be used to estimate the dose of PRAX-944 that will produce a therapeutic effect in ET.</w:t>
      </w:r>
    </w:p>
    <w:p>
      <w:pPr>
        <w:spacing w:after="0" w:line="192"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our Phase 1 trial, 20mg and 40mg doses of PRAX-944 administered to healthy volunteers produced changes in the qEEG recordings of the sigma frequency band during NREM sleep consistent with those observed in rats (Figure 16). This indicated that PRAX-944 reached target levels in the brain needed to inhibit T-type calcium channels. Based on the overlap of these EEG changes with drug levels showing activity in the preclinical harmaline model, we believe that 20mg and 40mg doses of PRAX-944, which were generally well-tolerated in healthy volunteers without titration, have the potential to reduce tremor in patients with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386080</wp:posOffset>
            </wp:positionV>
            <wp:extent cx="5695950" cy="2714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595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40" w:right="80"/>
        <w:spacing w:after="0" w:line="302" w:lineRule="auto"/>
        <w:rPr>
          <w:sz w:val="20"/>
          <w:szCs w:val="20"/>
          <w:color w:val="auto"/>
        </w:rPr>
      </w:pPr>
      <w:r>
        <w:rPr>
          <w:rFonts w:ascii="Arial" w:cs="Arial" w:eastAsia="Arial" w:hAnsi="Arial"/>
          <w:sz w:val="17"/>
          <w:szCs w:val="17"/>
          <w:b w:val="1"/>
          <w:bCs w:val="1"/>
          <w:color w:val="auto"/>
        </w:rPr>
        <w:t>Figure 16. Exposures of PRAX-944 that decreased sigma band activity were generally well-tolerated in healthy volunteers and were associated with harmaline tremor reduction.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Titration trial in healthy volunteers</w:t>
      </w:r>
    </w:p>
    <w:p>
      <w:pPr>
        <w:spacing w:after="0" w:line="24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Considering that improved tolerability is the key unmet need in ET and that existing data suggest that titration is a viable strategy to further improve PRAX-944’s tolerability profile, we explored titration in a two-part healthy volunteer study. In Part A, a new 5mg PRAX-944 tablet was assessed for low-dose pharmacodynamic effects at in an open-label titration paradigm from 5mg up to 20mg daily. In Part B, PRAX-944 was titrated from 20mg up to 120mg daily, to assess the safety, tolerability and pharmacodynamic activity of higher doses. Participants were randomized to PRAX-944 or placebo in a 3:1 ratio, starting at 20mg daily in the morning and titrated at 20mg increments up to 120mg daily with up to one week in between each dose increment to achieve steady-state plasma concentrations and for the collection of safety data. The total dosing duration was 31 days.</w:t>
      </w:r>
    </w:p>
    <w:p>
      <w:pPr>
        <w:spacing w:after="0" w:line="19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Dosing has completed in this study. The safety data demonstrated that with titration, PRAX-944 was generally well-tolerated up to 120mg daily. There were no SAEs and no severe AEs. The majority of AEs were mild, transient and resolved without intervention (Figure 17). There were no treatment related ECG or EEG abnormalities. Safety laboratory values have generally been within normal limits and there have been no dose dependent excursion from the normal range. Only 1 of 12 participants randomized to PRAX-944 discontinued for a treatment-related adverse event. This participant dropped out after 1 dose (20mg) due to symptoms the participant described as similar to a prior panic attack (not reported at screening). Vital signs, physical examination, clinical laboratory tests, and ECG parameters were all within normal limits. The symptoms self-resolved.</w:t>
      </w:r>
    </w:p>
    <w:p>
      <w:pPr>
        <w:spacing w:after="0" w:line="196"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Importantly, no MTD was identified. We believe this provides an advantage for PRAX-944, as it enables a wide dose range for optimizing efficacy and tolerability profile tailored to the key unmet need in ET as well as individual patient needs. Preliminary analyses confirmed the pharmacodynamic changes seen in the previous Phase 1 trial described above, and we will further assess changes across the dose range up to 120mg/day.</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519430</wp:posOffset>
            </wp:positionV>
            <wp:extent cx="5695950" cy="2872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595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auto"/>
        </w:rPr>
        <w:t>Figure 17. TEAEs Occurring in at least two participants in a dose group or overall.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2a trial in p</w:t>
      </w:r>
      <w:r>
        <w:rPr>
          <w:rFonts w:ascii="Arial" w:cs="Arial" w:eastAsia="Arial" w:hAnsi="Arial"/>
          <w:sz w:val="17"/>
          <w:szCs w:val="17"/>
          <w:color w:val="auto"/>
        </w:rPr>
        <w:t>a</w:t>
      </w:r>
      <w:r>
        <w:rPr>
          <w:rFonts w:ascii="Arial" w:cs="Arial" w:eastAsia="Arial" w:hAnsi="Arial"/>
          <w:sz w:val="17"/>
          <w:szCs w:val="17"/>
          <w:i w:val="1"/>
          <w:iCs w:val="1"/>
          <w:color w:val="auto"/>
        </w:rPr>
        <w:t>tients with ET</w:t>
      </w:r>
    </w:p>
    <w:p>
      <w:pPr>
        <w:spacing w:after="0" w:line="59" w:lineRule="exact"/>
        <w:rPr>
          <w:sz w:val="20"/>
          <w:szCs w:val="20"/>
          <w:color w:val="auto"/>
        </w:rPr>
      </w:pPr>
    </w:p>
    <w:p>
      <w:pPr>
        <w:ind w:right="260" w:firstLine="433"/>
        <w:spacing w:after="0" w:line="263" w:lineRule="auto"/>
        <w:rPr>
          <w:sz w:val="20"/>
          <w:szCs w:val="20"/>
          <w:color w:val="auto"/>
        </w:rPr>
      </w:pPr>
      <w:r>
        <w:rPr>
          <w:rFonts w:ascii="Arial" w:cs="Arial" w:eastAsia="Arial" w:hAnsi="Arial"/>
          <w:sz w:val="17"/>
          <w:szCs w:val="17"/>
          <w:color w:val="auto"/>
        </w:rPr>
        <w:t>We are currently conducting a Phase 2a proof-of-concept open-label trial in up to 12 patients per cohort with ET in Australia and New Zealand. In the first cohort, participants received 20mg daily dosing of PRAX-944 for one week followed by 40mg daily dosing for the second week, taken in the morning. Based on the data from the titration trial in healthy volunteers, we are enrolling an additional cohort of ET patients dosing up to 120mg.</w:t>
      </w:r>
    </w:p>
    <w:p>
      <w:pPr>
        <w:spacing w:after="0" w:line="192" w:lineRule="exact"/>
        <w:rPr>
          <w:sz w:val="20"/>
          <w:szCs w:val="20"/>
          <w:color w:val="auto"/>
        </w:rPr>
      </w:pPr>
    </w:p>
    <w:p>
      <w:pPr>
        <w:ind w:right="240" w:firstLine="433"/>
        <w:spacing w:after="0" w:line="262" w:lineRule="auto"/>
        <w:rPr>
          <w:sz w:val="20"/>
          <w:szCs w:val="20"/>
          <w:color w:val="auto"/>
        </w:rPr>
      </w:pPr>
      <w:r>
        <w:rPr>
          <w:rFonts w:ascii="Arial" w:cs="Arial" w:eastAsia="Arial" w:hAnsi="Arial"/>
          <w:sz w:val="17"/>
          <w:szCs w:val="17"/>
          <w:color w:val="auto"/>
        </w:rPr>
        <w:t>Studies in movement disorders require careful attention to methods for obtaining and scoring outcome measures. We are measuring changes in tremor with different, complementary approaches including components of the Essential Tremor Rating Scale, or TETRAS, Performance Scale and accelerometry. TETRAS is a widely used clinical rating scale that measures the severity of ET. It was based on similar clinical scales which have been used to support regulatory approval of neurosurgical treatments for severe ET. TETRAS has shown good measurement properties and dynamic range compared to other scales.</w:t>
      </w:r>
    </w:p>
    <w:p>
      <w:pPr>
        <w:spacing w:after="0" w:line="1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are using change from baseline in the rating of upper limb, or UL, items of the TETRAS as the primary efficacy outcome in this proof-of-concept trial because all ET patients suffer from UL tremor. As the UL items drive most of the score on the overall TETRAS and are more reliably rated than other items on the scale, they are therefore expected to have the best signal to noise ratio. UL items have also been the basis of the most recent regulatory approval of neurosurgical treatments for severe ET. We have established rigorous procedures for training and for blinded scoring of efficacy, including using centralized video assessment as an exploratory endpoint, with randomization of the videos and masking to allow for rating concordance. We have also included the overall TETRAS performance scale, or TETRAS-PS, (both site and central video rating) and Kinesia ONE accelerometer, clinical global impression of severity and improvement, or CGI-S and CGI-I, respectively, and the patient global impression of change, or PGI-C, as secondary endpoints in the current open-label study to assess consistency of response across different endpoints.</w:t>
      </w:r>
    </w:p>
    <w:p>
      <w:pPr>
        <w:spacing w:after="0" w:line="200" w:lineRule="exact"/>
        <w:rPr>
          <w:sz w:val="20"/>
          <w:szCs w:val="20"/>
          <w:color w:val="auto"/>
        </w:rPr>
      </w:pPr>
    </w:p>
    <w:p>
      <w:pPr>
        <w:spacing w:after="0" w:line="204" w:lineRule="exact"/>
        <w:rPr>
          <w:sz w:val="20"/>
          <w:szCs w:val="20"/>
          <w:color w:val="auto"/>
        </w:rPr>
      </w:pPr>
    </w:p>
    <w:p>
      <w:pPr>
        <w:ind w:right="200" w:firstLine="433"/>
        <w:spacing w:after="0" w:line="261" w:lineRule="auto"/>
        <w:rPr>
          <w:sz w:val="20"/>
          <w:szCs w:val="20"/>
          <w:color w:val="auto"/>
        </w:rPr>
      </w:pPr>
      <w:r>
        <w:rPr>
          <w:rFonts w:ascii="Arial" w:cs="Arial" w:eastAsia="Arial" w:hAnsi="Arial"/>
          <w:sz w:val="17"/>
          <w:szCs w:val="17"/>
          <w:color w:val="auto"/>
        </w:rPr>
        <w:t>In this trial, we are enrolling participants with well-established ET, as defined by the Movement Disorders Society, or MDS, Task Force for Tremor as an isolated tremor syndrome of bilateral UL action tremor with at least 3 years’ duration. Patients are required to have a combined bilateral score of ≥10 on the TETRAS UL items as confirmed by site investigator and central video review. This requirement for moderate to severe symptoms at baseline provides a clear and measurable dynamic range for detecting a treatment response. In the first cohort, tremor severity will be evaluated before drug administration, after daily morning dosing of PRAX-944 20mg for 7 days (Day 7), following daily administration of PRAX-944 40mg for seven additional days (Day 14) and one week after administration of PRAX-944 has been stopped (Day 21).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Preliminary data are available from six participants who completed the trial and received PRAX-944 doses of 20mg followed by 40mg, each for seven days (Figure 18). Preliminary site (primary endpoint measure) and central video assessments of participants TETRAS-PS in this cohort showed generally stable tremor severity between screening and baseline visits. The primary endpoint change suggests dose dependent tremor reduction on the TETRAS-UL which compares favorably to the standard of care agents, and the change was consistent with the central video assessment. Placebo effects in tremor trials are typically low. A recent trial in ET demonstrated a 0.1% effect on the clinical rating scale in the control group. Importantly, five of the six participants remained on propranolol in this study, suggesting that PRAX-944 could also be efficacious as an adjunctive treatment. Similar patterns of improvement were also observed in the full TETRAS-PS, and Kinesia ONE accelerometry scores. The site and central ratings were strongly correlated on the TETRAS-UL and TETRAS-PS with r values of 0.8 and 0.83,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-8890</wp:posOffset>
            </wp:positionV>
            <wp:extent cx="5412740" cy="5695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2740" cy="569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60"/>
        <w:spacing w:after="0" w:line="245" w:lineRule="auto"/>
        <w:rPr>
          <w:sz w:val="20"/>
          <w:szCs w:val="20"/>
          <w:color w:val="auto"/>
        </w:rPr>
      </w:pPr>
      <w:r>
        <w:rPr>
          <w:rFonts w:ascii="Arial" w:cs="Arial" w:eastAsia="Arial" w:hAnsi="Arial"/>
          <w:sz w:val="14"/>
          <w:szCs w:val="14"/>
          <w:color w:val="auto"/>
        </w:rPr>
        <w:t>*As TETRAS PS items are rated on a logarithmic scale, the Weber-Fechner law was used to calculate the percent change in tremor amplitude according to the equation presented in Elble (2018).</w:t>
      </w:r>
    </w:p>
    <w:p>
      <w:pPr>
        <w:spacing w:after="0" w:line="195" w:lineRule="exact"/>
        <w:rPr>
          <w:sz w:val="20"/>
          <w:szCs w:val="20"/>
          <w:color w:val="auto"/>
        </w:rPr>
      </w:pPr>
    </w:p>
    <w:p>
      <w:pPr>
        <w:jc w:val="center"/>
        <w:ind w:left="360"/>
        <w:spacing w:after="0" w:line="286" w:lineRule="auto"/>
        <w:rPr>
          <w:sz w:val="20"/>
          <w:szCs w:val="20"/>
          <w:color w:val="auto"/>
        </w:rPr>
      </w:pPr>
      <w:r>
        <w:rPr>
          <w:rFonts w:ascii="Arial" w:cs="Arial" w:eastAsia="Arial" w:hAnsi="Arial"/>
          <w:sz w:val="17"/>
          <w:szCs w:val="17"/>
          <w:b w:val="1"/>
          <w:bCs w:val="1"/>
          <w:color w:val="auto"/>
        </w:rPr>
        <w:t>Figure 18. Change from baseline in TETRAS scores and percent change from baseline in tremor amplitude as measured by site ratings of the TETRAS PS and Upper Limb subscale in Part A of the ET OL study (N=6).</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A total of 7 participants have completed Part A of this trial. Participants were administered 20mg PRAX-944 QAM for 7 days followed by 40mg QAM for 7 days. These dose levels have been generally well-tolerated. No SAEs and no severe AEs have been observed. The majority of AEs have been mild, transient and resolved without intervention. Six out of 7 participants completed dosing per protocol. One participant discontinued on Day 8 due to anxiety. This participant was also non-compliant with the protocol, stopping propranolol on Day 3 of dosing without</w:t>
      </w:r>
    </w:p>
    <w:p>
      <w:pPr>
        <w:spacing w:after="0" w:line="2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consulting study staff. Due to this protocol deviation which would have impacted this participant’s TETRAS scores, this participant is included in safety data but not in efficacy data. No clinically significant ECG or laboratory abnormalities have been reported.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the observed safety profile in the titration healthy volunteer trial and the safety and preliminary activity observed in Part A of the</w:t>
      </w:r>
    </w:p>
    <w:p>
      <w:pPr>
        <w:spacing w:after="0" w:line="5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ET trial, we plan to include a high dose cohort (Part B) of up to 12 participants in this on-going ET trial titrating dosing up to 120mg in an open-label fashion. We also are including a randomized, double-blind, placebo-controlled withdrawal phase to the trial, where participants will either be maintained on their final open-label dose or switched to placebo. The goals of the randomized withdrawal are to obtain blinded confirmation of effect from the open-label titration and to assess for durability of effect.</w:t>
      </w:r>
    </w:p>
    <w:p>
      <w:pPr>
        <w:spacing w:after="0" w:line="192"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We plan to announce topline open-label safety, tolerability and efficacy data, including the high dose cohort, from this Phase 2a trial in mid-year 2021.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studies planned for the PRAX-944 program</w:t>
      </w:r>
    </w:p>
    <w:p>
      <w:pPr>
        <w:spacing w:after="0" w:line="270" w:lineRule="exact"/>
        <w:rPr>
          <w:sz w:val="20"/>
          <w:szCs w:val="20"/>
          <w:color w:val="auto"/>
        </w:rPr>
      </w:pPr>
    </w:p>
    <w:p>
      <w:pPr>
        <w:ind w:right="260" w:firstLine="433"/>
        <w:spacing w:after="0" w:line="250" w:lineRule="auto"/>
        <w:rPr>
          <w:sz w:val="20"/>
          <w:szCs w:val="20"/>
          <w:color w:val="auto"/>
        </w:rPr>
      </w:pPr>
      <w:r>
        <w:rPr>
          <w:rFonts w:ascii="Arial" w:cs="Arial" w:eastAsia="Arial" w:hAnsi="Arial"/>
          <w:sz w:val="17"/>
          <w:szCs w:val="17"/>
          <w:color w:val="auto"/>
        </w:rPr>
        <w:t>We plan to initiate a Phase 1 study to explore shorter titration schemes in mid-year 2021. In addition, we plan to initiate a Phase 2b randomized, double-blind, placebo-controlled trial to evaluate the efficacy and safety of PRAX-944 in the treatment of ET patients in the fourth quarter of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support for advancing PRAX-944</w:t>
      </w:r>
    </w:p>
    <w:p>
      <w:pPr>
        <w:spacing w:after="0" w:line="10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PRAX-944 has been shown preclinically to inhibit all three human T-type calcium channel isoforms, Ca</w:t>
      </w:r>
      <w:r>
        <w:rPr>
          <w:rFonts w:ascii="Arial" w:cs="Arial" w:eastAsia="Arial" w:hAnsi="Arial"/>
          <w:sz w:val="15"/>
          <w:szCs w:val="15"/>
          <w:color w:val="auto"/>
        </w:rPr>
        <w:t>V</w:t>
      </w:r>
      <w:r>
        <w:rPr>
          <w:rFonts w:ascii="Arial" w:cs="Arial" w:eastAsia="Arial" w:hAnsi="Arial"/>
          <w:sz w:val="17"/>
          <w:szCs w:val="17"/>
          <w:color w:val="auto"/>
        </w:rPr>
        <w:t>3.1, Ca</w:t>
      </w:r>
      <w:r>
        <w:rPr>
          <w:rFonts w:ascii="Arial" w:cs="Arial" w:eastAsia="Arial" w:hAnsi="Arial"/>
          <w:sz w:val="15"/>
          <w:szCs w:val="15"/>
          <w:color w:val="auto"/>
        </w:rPr>
        <w:t>V</w:t>
      </w:r>
      <w:r>
        <w:rPr>
          <w:rFonts w:ascii="Arial" w:cs="Arial" w:eastAsia="Arial" w:hAnsi="Arial"/>
          <w:sz w:val="17"/>
          <w:szCs w:val="17"/>
          <w:color w:val="auto"/>
        </w:rPr>
        <w:t>3.2 and Ca</w:t>
      </w:r>
      <w:r>
        <w:rPr>
          <w:rFonts w:ascii="Arial" w:cs="Arial" w:eastAsia="Arial" w:hAnsi="Arial"/>
          <w:sz w:val="15"/>
          <w:szCs w:val="15"/>
          <w:color w:val="auto"/>
        </w:rPr>
        <w:t>V</w:t>
      </w:r>
      <w:r>
        <w:rPr>
          <w:rFonts w:ascii="Arial" w:cs="Arial" w:eastAsia="Arial" w:hAnsi="Arial"/>
          <w:sz w:val="17"/>
          <w:szCs w:val="17"/>
          <w:color w:val="auto"/>
        </w:rPr>
        <w:t>3.3, and has demonstrated high selectivity against L and N-type calcium channels, or Ca</w:t>
      </w:r>
      <w:r>
        <w:rPr>
          <w:rFonts w:ascii="Arial" w:cs="Arial" w:eastAsia="Arial" w:hAnsi="Arial"/>
          <w:sz w:val="15"/>
          <w:szCs w:val="15"/>
          <w:color w:val="auto"/>
        </w:rPr>
        <w:t>V</w:t>
      </w:r>
      <w:r>
        <w:rPr>
          <w:rFonts w:ascii="Arial" w:cs="Arial" w:eastAsia="Arial" w:hAnsi="Arial"/>
          <w:sz w:val="17"/>
          <w:szCs w:val="17"/>
          <w:color w:val="auto"/>
        </w:rPr>
        <w:t>1.2 and Ca</w:t>
      </w:r>
      <w:r>
        <w:rPr>
          <w:rFonts w:ascii="Arial" w:cs="Arial" w:eastAsia="Arial" w:hAnsi="Arial"/>
          <w:sz w:val="15"/>
          <w:szCs w:val="15"/>
          <w:color w:val="auto"/>
        </w:rPr>
        <w:t>V</w:t>
      </w:r>
      <w:r>
        <w:rPr>
          <w:rFonts w:ascii="Arial" w:cs="Arial" w:eastAsia="Arial" w:hAnsi="Arial"/>
          <w:sz w:val="17"/>
          <w:szCs w:val="17"/>
          <w:color w:val="auto"/>
        </w:rPr>
        <w:t>2.2, respectively, and other key ion channels important for normal physiology, such as the cardiac potassium channel human Ether-à-go-go-Related Gene, or hERG, and the voltage gated sodium channel Na</w:t>
      </w:r>
      <w:r>
        <w:rPr>
          <w:rFonts w:ascii="Arial" w:cs="Arial" w:eastAsia="Arial" w:hAnsi="Arial"/>
          <w:sz w:val="15"/>
          <w:szCs w:val="15"/>
          <w:color w:val="auto"/>
        </w:rPr>
        <w:t>V</w:t>
      </w:r>
      <w:r>
        <w:rPr>
          <w:rFonts w:ascii="Arial" w:cs="Arial" w:eastAsia="Arial" w:hAnsi="Arial"/>
          <w:sz w:val="17"/>
          <w:szCs w:val="17"/>
          <w:color w:val="auto"/>
        </w:rPr>
        <w:t>1.5. Robust selectivity and potency have been demonstrated across both exogenously expressed recombinant channels in a human cell line and naïve channels in isolated dorsal root ganglion, or DRG, neurons from rats using electrophysiological techniques.</w:t>
      </w:r>
    </w:p>
    <w:p>
      <w:pPr>
        <w:sectPr>
          <w:pgSz w:w="11900" w:h="16838" w:orient="portrait"/>
          <w:cols w:equalWidth="0" w:num="1">
            <w:col w:w="11200"/>
          </w:cols>
          <w:pgMar w:left="320" w:top="118" w:right="37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jc w:val="right"/>
              <w:ind w:right="2288"/>
              <w:spacing w:after="0"/>
              <w:rPr>
                <w:sz w:val="20"/>
                <w:szCs w:val="20"/>
                <w:color w:val="auto"/>
              </w:rPr>
            </w:pPr>
            <w:r>
              <w:rPr>
                <w:rFonts w:ascii="Arial" w:cs="Arial" w:eastAsia="Arial" w:hAnsi="Arial"/>
                <w:sz w:val="14"/>
                <w:szCs w:val="14"/>
                <w:b w:val="1"/>
                <w:bCs w:val="1"/>
                <w:color w:val="auto"/>
              </w:rPr>
              <w:t>HEK CELLS</w:t>
            </w:r>
          </w:p>
        </w:tc>
      </w:tr>
      <w:tr>
        <w:trPr>
          <w:trHeight w:val="216"/>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Channel</w:t>
            </w:r>
          </w:p>
        </w:tc>
        <w:tc>
          <w:tcPr>
            <w:tcW w:w="11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jc w:val="right"/>
              <w:ind w:right="448"/>
              <w:spacing w:after="0"/>
              <w:rPr>
                <w:sz w:val="20"/>
                <w:szCs w:val="20"/>
                <w:color w:val="auto"/>
              </w:rPr>
            </w:pPr>
            <w:r>
              <w:rPr>
                <w:rFonts w:ascii="Arial" w:cs="Arial" w:eastAsia="Arial" w:hAnsi="Arial"/>
                <w:sz w:val="17"/>
                <w:szCs w:val="17"/>
                <w:b w:val="1"/>
                <w:bCs w:val="1"/>
                <w:color w:val="auto"/>
              </w:rPr>
              <w:t>IC</w:t>
            </w:r>
            <w:r>
              <w:rPr>
                <w:rFonts w:ascii="Arial" w:cs="Arial" w:eastAsia="Arial" w:hAnsi="Arial"/>
                <w:sz w:val="15"/>
                <w:szCs w:val="15"/>
                <w:b w:val="1"/>
                <w:bCs w:val="1"/>
                <w:color w:val="auto"/>
              </w:rPr>
              <w:t>50</w:t>
            </w:r>
            <w:r>
              <w:rPr>
                <w:rFonts w:ascii="Arial" w:cs="Arial" w:eastAsia="Arial" w:hAnsi="Arial"/>
                <w:sz w:val="17"/>
                <w:szCs w:val="17"/>
                <w:b w:val="1"/>
                <w:bCs w:val="1"/>
                <w:color w:val="auto"/>
              </w:rPr>
              <w:t xml:space="preserve"> (nM)</w:t>
            </w:r>
          </w:p>
        </w:tc>
      </w:tr>
      <w:tr>
        <w:trPr>
          <w:trHeight w:val="198"/>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hCa</w:t>
            </w:r>
            <w:r>
              <w:rPr>
                <w:rFonts w:ascii="Arial" w:cs="Arial" w:eastAsia="Arial" w:hAnsi="Arial"/>
                <w:sz w:val="15"/>
                <w:szCs w:val="15"/>
                <w:b w:val="1"/>
                <w:bCs w:val="1"/>
                <w:color w:val="auto"/>
              </w:rPr>
              <w:t>V</w:t>
            </w:r>
            <w:r>
              <w:rPr>
                <w:rFonts w:ascii="Arial" w:cs="Arial" w:eastAsia="Arial" w:hAnsi="Arial"/>
                <w:sz w:val="14"/>
                <w:szCs w:val="14"/>
                <w:b w:val="1"/>
                <w:bCs w:val="1"/>
                <w:color w:val="auto"/>
              </w:rPr>
              <w:t>3.1</w:t>
            </w:r>
          </w:p>
        </w:tc>
        <w:tc>
          <w:tcPr>
            <w:tcW w:w="3760" w:type="dxa"/>
            <w:vAlign w:val="bottom"/>
          </w:tcPr>
          <w:p>
            <w:pPr>
              <w:jc w:val="right"/>
              <w:spacing w:after="0"/>
              <w:rPr>
                <w:sz w:val="20"/>
                <w:szCs w:val="20"/>
                <w:color w:val="auto"/>
              </w:rPr>
            </w:pPr>
            <w:r>
              <w:rPr>
                <w:rFonts w:ascii="Arial" w:cs="Arial" w:eastAsia="Arial" w:hAnsi="Arial"/>
                <w:sz w:val="14"/>
                <w:szCs w:val="14"/>
                <w:b w:val="1"/>
                <w:bCs w:val="1"/>
                <w:color w:val="auto"/>
              </w:rPr>
              <w:t>202</w:t>
            </w:r>
          </w:p>
        </w:tc>
      </w:tr>
      <w:tr>
        <w:trPr>
          <w:trHeight w:val="210"/>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hCa</w:t>
            </w:r>
            <w:r>
              <w:rPr>
                <w:rFonts w:ascii="Arial" w:cs="Arial" w:eastAsia="Arial" w:hAnsi="Arial"/>
                <w:sz w:val="15"/>
                <w:szCs w:val="15"/>
                <w:b w:val="1"/>
                <w:bCs w:val="1"/>
                <w:color w:val="auto"/>
              </w:rPr>
              <w:t>V</w:t>
            </w:r>
            <w:r>
              <w:rPr>
                <w:rFonts w:ascii="Arial" w:cs="Arial" w:eastAsia="Arial" w:hAnsi="Arial"/>
                <w:sz w:val="14"/>
                <w:szCs w:val="14"/>
                <w:b w:val="1"/>
                <w:bCs w:val="1"/>
                <w:color w:val="auto"/>
              </w:rPr>
              <w:t>3.2</w:t>
            </w:r>
          </w:p>
        </w:tc>
        <w:tc>
          <w:tcPr>
            <w:tcW w:w="3760" w:type="dxa"/>
            <w:vAlign w:val="bottom"/>
          </w:tcPr>
          <w:p>
            <w:pPr>
              <w:jc w:val="right"/>
              <w:spacing w:after="0"/>
              <w:rPr>
                <w:sz w:val="20"/>
                <w:szCs w:val="20"/>
                <w:color w:val="auto"/>
              </w:rPr>
            </w:pPr>
            <w:r>
              <w:rPr>
                <w:rFonts w:ascii="Arial" w:cs="Arial" w:eastAsia="Arial" w:hAnsi="Arial"/>
                <w:sz w:val="14"/>
                <w:szCs w:val="14"/>
                <w:b w:val="1"/>
                <w:bCs w:val="1"/>
                <w:color w:val="auto"/>
              </w:rPr>
              <w:t>240</w:t>
            </w:r>
          </w:p>
        </w:tc>
      </w:tr>
      <w:tr>
        <w:trPr>
          <w:trHeight w:val="218"/>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hCa</w:t>
            </w:r>
            <w:r>
              <w:rPr>
                <w:rFonts w:ascii="Arial" w:cs="Arial" w:eastAsia="Arial" w:hAnsi="Arial"/>
                <w:sz w:val="15"/>
                <w:szCs w:val="15"/>
                <w:b w:val="1"/>
                <w:bCs w:val="1"/>
                <w:color w:val="auto"/>
              </w:rPr>
              <w:t>V</w:t>
            </w:r>
            <w:r>
              <w:rPr>
                <w:rFonts w:ascii="Arial" w:cs="Arial" w:eastAsia="Arial" w:hAnsi="Arial"/>
                <w:sz w:val="14"/>
                <w:szCs w:val="14"/>
                <w:b w:val="1"/>
                <w:bCs w:val="1"/>
                <w:color w:val="auto"/>
              </w:rPr>
              <w:t>3.3</w:t>
            </w:r>
          </w:p>
        </w:tc>
        <w:tc>
          <w:tcPr>
            <w:tcW w:w="3760" w:type="dxa"/>
            <w:vAlign w:val="bottom"/>
          </w:tcPr>
          <w:p>
            <w:pPr>
              <w:jc w:val="right"/>
              <w:spacing w:after="0"/>
              <w:rPr>
                <w:sz w:val="20"/>
                <w:szCs w:val="20"/>
                <w:color w:val="auto"/>
              </w:rPr>
            </w:pPr>
            <w:r>
              <w:rPr>
                <w:rFonts w:ascii="Arial" w:cs="Arial" w:eastAsia="Arial" w:hAnsi="Arial"/>
                <w:sz w:val="14"/>
                <w:szCs w:val="14"/>
                <w:b w:val="1"/>
                <w:bCs w:val="1"/>
                <w:color w:val="auto"/>
              </w:rPr>
              <w:t>188</w:t>
            </w:r>
          </w:p>
        </w:tc>
      </w:tr>
      <w:tr>
        <w:trPr>
          <w:trHeight w:val="210"/>
        </w:trPr>
        <w:tc>
          <w:tcPr>
            <w:tcW w:w="580" w:type="dxa"/>
            <w:vAlign w:val="bottom"/>
          </w:tcPr>
          <w:p>
            <w:pPr>
              <w:ind w:left="20"/>
              <w:spacing w:after="0"/>
              <w:rPr>
                <w:sz w:val="20"/>
                <w:szCs w:val="20"/>
                <w:color w:val="auto"/>
              </w:rPr>
            </w:pPr>
            <w:r>
              <w:rPr>
                <w:rFonts w:ascii="Arial" w:cs="Arial" w:eastAsia="Arial" w:hAnsi="Arial"/>
                <w:sz w:val="14"/>
                <w:szCs w:val="14"/>
                <w:color w:val="auto"/>
              </w:rPr>
              <w:t>rCa</w:t>
            </w:r>
            <w:r>
              <w:rPr>
                <w:rFonts w:ascii="Arial" w:cs="Arial" w:eastAsia="Arial" w:hAnsi="Arial"/>
                <w:sz w:val="15"/>
                <w:szCs w:val="15"/>
                <w:color w:val="auto"/>
              </w:rPr>
              <w:t>V</w:t>
            </w:r>
            <w:r>
              <w:rPr>
                <w:rFonts w:ascii="Arial" w:cs="Arial" w:eastAsia="Arial" w:hAnsi="Arial"/>
                <w:sz w:val="14"/>
                <w:szCs w:val="14"/>
                <w:color w:val="auto"/>
              </w:rPr>
              <w:t>1.2</w:t>
            </w:r>
          </w:p>
        </w:tc>
        <w:tc>
          <w:tcPr>
            <w:tcW w:w="1160" w:type="dxa"/>
            <w:vAlign w:val="bottom"/>
          </w:tcPr>
          <w:p>
            <w:pPr>
              <w:spacing w:after="0"/>
              <w:rPr>
                <w:sz w:val="20"/>
                <w:szCs w:val="20"/>
                <w:color w:val="auto"/>
              </w:rPr>
            </w:pPr>
            <w:r>
              <w:rPr>
                <w:rFonts w:ascii="Arial" w:cs="Arial" w:eastAsia="Arial" w:hAnsi="Arial"/>
                <w:sz w:val="14"/>
                <w:szCs w:val="14"/>
                <w:color w:val="auto"/>
              </w:rPr>
              <w:t>(L-Type)</w:t>
            </w:r>
          </w:p>
        </w:tc>
        <w:tc>
          <w:tcPr>
            <w:tcW w:w="3760" w:type="dxa"/>
            <w:vAlign w:val="bottom"/>
          </w:tcPr>
          <w:p>
            <w:pPr>
              <w:jc w:val="right"/>
              <w:spacing w:after="0"/>
              <w:rPr>
                <w:sz w:val="20"/>
                <w:szCs w:val="20"/>
                <w:color w:val="auto"/>
              </w:rPr>
            </w:pPr>
            <w:r>
              <w:rPr>
                <w:rFonts w:ascii="Arial" w:cs="Arial" w:eastAsia="Arial" w:hAnsi="Arial"/>
                <w:sz w:val="14"/>
                <w:szCs w:val="14"/>
                <w:color w:val="auto"/>
              </w:rPr>
              <w:t>32,000</w:t>
            </w:r>
          </w:p>
        </w:tc>
      </w:tr>
      <w:tr>
        <w:trPr>
          <w:trHeight w:val="210"/>
        </w:trPr>
        <w:tc>
          <w:tcPr>
            <w:tcW w:w="580" w:type="dxa"/>
            <w:vAlign w:val="bottom"/>
          </w:tcPr>
          <w:p>
            <w:pPr>
              <w:ind w:left="20"/>
              <w:spacing w:after="0"/>
              <w:rPr>
                <w:sz w:val="20"/>
                <w:szCs w:val="20"/>
                <w:color w:val="auto"/>
              </w:rPr>
            </w:pPr>
            <w:r>
              <w:rPr>
                <w:rFonts w:ascii="Arial" w:cs="Arial" w:eastAsia="Arial" w:hAnsi="Arial"/>
                <w:sz w:val="14"/>
                <w:szCs w:val="14"/>
                <w:color w:val="auto"/>
              </w:rPr>
              <w:t>rCa</w:t>
            </w:r>
            <w:r>
              <w:rPr>
                <w:rFonts w:ascii="Arial" w:cs="Arial" w:eastAsia="Arial" w:hAnsi="Arial"/>
                <w:sz w:val="15"/>
                <w:szCs w:val="15"/>
                <w:color w:val="auto"/>
              </w:rPr>
              <w:t>V</w:t>
            </w:r>
            <w:r>
              <w:rPr>
                <w:rFonts w:ascii="Arial" w:cs="Arial" w:eastAsia="Arial" w:hAnsi="Arial"/>
                <w:sz w:val="14"/>
                <w:szCs w:val="14"/>
                <w:color w:val="auto"/>
              </w:rPr>
              <w:t>2.2</w:t>
            </w:r>
          </w:p>
        </w:tc>
        <w:tc>
          <w:tcPr>
            <w:tcW w:w="1160" w:type="dxa"/>
            <w:vAlign w:val="bottom"/>
          </w:tcPr>
          <w:p>
            <w:pPr>
              <w:spacing w:after="0"/>
              <w:rPr>
                <w:sz w:val="20"/>
                <w:szCs w:val="20"/>
                <w:color w:val="auto"/>
              </w:rPr>
            </w:pPr>
            <w:r>
              <w:rPr>
                <w:rFonts w:ascii="Arial" w:cs="Arial" w:eastAsia="Arial" w:hAnsi="Arial"/>
                <w:sz w:val="14"/>
                <w:szCs w:val="14"/>
                <w:color w:val="auto"/>
              </w:rPr>
              <w:t>(N-Type)</w:t>
            </w:r>
          </w:p>
        </w:tc>
        <w:tc>
          <w:tcPr>
            <w:tcW w:w="3760" w:type="dxa"/>
            <w:vAlign w:val="bottom"/>
          </w:tcPr>
          <w:p>
            <w:pPr>
              <w:jc w:val="right"/>
              <w:spacing w:after="0"/>
              <w:rPr>
                <w:sz w:val="20"/>
                <w:szCs w:val="20"/>
                <w:color w:val="auto"/>
              </w:rPr>
            </w:pPr>
            <w:r>
              <w:rPr>
                <w:rFonts w:ascii="Arial" w:cs="Arial" w:eastAsia="Arial" w:hAnsi="Arial"/>
                <w:sz w:val="14"/>
                <w:szCs w:val="14"/>
                <w:color w:val="auto"/>
              </w:rPr>
              <w:t>11,000</w:t>
            </w:r>
          </w:p>
        </w:tc>
      </w:tr>
      <w:tr>
        <w:trPr>
          <w:trHeight w:val="21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hNa</w:t>
            </w:r>
            <w:r>
              <w:rPr>
                <w:rFonts w:ascii="Arial" w:cs="Arial" w:eastAsia="Arial" w:hAnsi="Arial"/>
                <w:sz w:val="15"/>
                <w:szCs w:val="15"/>
                <w:color w:val="auto"/>
              </w:rPr>
              <w:t>V</w:t>
            </w:r>
            <w:r>
              <w:rPr>
                <w:rFonts w:ascii="Arial" w:cs="Arial" w:eastAsia="Arial" w:hAnsi="Arial"/>
                <w:sz w:val="14"/>
                <w:szCs w:val="14"/>
                <w:color w:val="auto"/>
              </w:rPr>
              <w:t>1.5</w:t>
            </w:r>
          </w:p>
        </w:tc>
        <w:tc>
          <w:tcPr>
            <w:tcW w:w="376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84"/>
        </w:trPr>
        <w:tc>
          <w:tcPr>
            <w:tcW w:w="580" w:type="dxa"/>
            <w:vAlign w:val="bottom"/>
          </w:tcPr>
          <w:p>
            <w:pPr>
              <w:ind w:left="20"/>
              <w:spacing w:after="0"/>
              <w:rPr>
                <w:sz w:val="20"/>
                <w:szCs w:val="20"/>
                <w:color w:val="auto"/>
              </w:rPr>
            </w:pPr>
            <w:r>
              <w:rPr>
                <w:rFonts w:ascii="Arial" w:cs="Arial" w:eastAsia="Arial" w:hAnsi="Arial"/>
                <w:sz w:val="14"/>
                <w:szCs w:val="14"/>
                <w:color w:val="auto"/>
              </w:rPr>
              <w:t>hERG</w:t>
            </w:r>
          </w:p>
        </w:tc>
        <w:tc>
          <w:tcPr>
            <w:tcW w:w="1160" w:type="dxa"/>
            <w:vAlign w:val="bottom"/>
          </w:tcPr>
          <w:p>
            <w:pPr>
              <w:spacing w:after="0"/>
              <w:rPr>
                <w:sz w:val="15"/>
                <w:szCs w:val="15"/>
                <w:color w:val="auto"/>
              </w:rPr>
            </w:pPr>
          </w:p>
        </w:tc>
        <w:tc>
          <w:tcPr>
            <w:tcW w:w="3760" w:type="dxa"/>
            <w:vAlign w:val="bottom"/>
          </w:tcPr>
          <w:p>
            <w:pPr>
              <w:jc w:val="right"/>
              <w:spacing w:after="0"/>
              <w:rPr>
                <w:sz w:val="20"/>
                <w:szCs w:val="20"/>
                <w:color w:val="auto"/>
              </w:rPr>
            </w:pPr>
            <w:r>
              <w:rPr>
                <w:rFonts w:ascii="Arial" w:cs="Arial" w:eastAsia="Arial" w:hAnsi="Arial"/>
                <w:sz w:val="14"/>
                <w:szCs w:val="14"/>
                <w:color w:val="auto"/>
              </w:rPr>
              <w:t>7,800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-925195</wp:posOffset>
            </wp:positionV>
            <wp:extent cx="7111365" cy="141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1365"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-650875</wp:posOffset>
            </wp:positionV>
            <wp:extent cx="7111365" cy="133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136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-384175</wp:posOffset>
            </wp:positionV>
            <wp:extent cx="7111365" cy="133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136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-117475</wp:posOffset>
            </wp:positionV>
            <wp:extent cx="7111365" cy="116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1365" cy="116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tcPr>
          <w:p>
            <w:pPr>
              <w:jc w:val="right"/>
              <w:ind w:right="1946"/>
              <w:spacing w:after="0"/>
              <w:rPr>
                <w:sz w:val="20"/>
                <w:szCs w:val="20"/>
                <w:color w:val="auto"/>
              </w:rPr>
            </w:pPr>
            <w:r>
              <w:rPr>
                <w:rFonts w:ascii="Arial" w:cs="Arial" w:eastAsia="Arial" w:hAnsi="Arial"/>
                <w:sz w:val="14"/>
                <w:szCs w:val="14"/>
                <w:b w:val="1"/>
                <w:bCs w:val="1"/>
                <w:color w:val="auto"/>
              </w:rPr>
              <w:t>RAT DRG NEURONS</w:t>
            </w:r>
          </w:p>
        </w:tc>
      </w:tr>
      <w:tr>
        <w:trPr>
          <w:trHeight w:val="21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Channel</w:t>
            </w:r>
          </w:p>
        </w:tc>
        <w:tc>
          <w:tcPr>
            <w:tcW w:w="4120" w:type="dxa"/>
            <w:vAlign w:val="bottom"/>
            <w:tcBorders>
              <w:bottom w:val="single" w:sz="8" w:color="auto"/>
            </w:tcBorders>
          </w:tcPr>
          <w:p>
            <w:pPr>
              <w:jc w:val="right"/>
              <w:ind w:right="446"/>
              <w:spacing w:after="0"/>
              <w:rPr>
                <w:sz w:val="20"/>
                <w:szCs w:val="20"/>
                <w:color w:val="auto"/>
              </w:rPr>
            </w:pPr>
            <w:r>
              <w:rPr>
                <w:rFonts w:ascii="Arial" w:cs="Arial" w:eastAsia="Arial" w:hAnsi="Arial"/>
                <w:sz w:val="17"/>
                <w:szCs w:val="17"/>
                <w:b w:val="1"/>
                <w:bCs w:val="1"/>
                <w:color w:val="auto"/>
              </w:rPr>
              <w:t>IC</w:t>
            </w:r>
            <w:r>
              <w:rPr>
                <w:rFonts w:ascii="Arial" w:cs="Arial" w:eastAsia="Arial" w:hAnsi="Arial"/>
                <w:sz w:val="15"/>
                <w:szCs w:val="15"/>
                <w:b w:val="1"/>
                <w:bCs w:val="1"/>
                <w:color w:val="auto"/>
              </w:rPr>
              <w:t>50</w:t>
            </w:r>
            <w:r>
              <w:rPr>
                <w:rFonts w:ascii="Arial" w:cs="Arial" w:eastAsia="Arial" w:hAnsi="Arial"/>
                <w:sz w:val="17"/>
                <w:szCs w:val="17"/>
                <w:b w:val="1"/>
                <w:bCs w:val="1"/>
                <w:color w:val="auto"/>
              </w:rPr>
              <w:t xml:space="preserve"> (nM)</w:t>
            </w:r>
          </w:p>
        </w:tc>
      </w:tr>
      <w:tr>
        <w:trPr>
          <w:trHeight w:val="206"/>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T-Type</w:t>
            </w:r>
          </w:p>
        </w:tc>
        <w:tc>
          <w:tcPr>
            <w:tcW w:w="412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10"/>
        </w:trPr>
        <w:tc>
          <w:tcPr>
            <w:tcW w:w="1300" w:type="dxa"/>
            <w:vAlign w:val="bottom"/>
          </w:tcPr>
          <w:p>
            <w:pPr>
              <w:ind w:left="20"/>
              <w:spacing w:after="0"/>
              <w:rPr>
                <w:sz w:val="20"/>
                <w:szCs w:val="20"/>
                <w:color w:val="auto"/>
              </w:rPr>
            </w:pPr>
            <w:r>
              <w:rPr>
                <w:rFonts w:ascii="Arial" w:cs="Arial" w:eastAsia="Arial" w:hAnsi="Arial"/>
                <w:sz w:val="14"/>
                <w:szCs w:val="14"/>
                <w:color w:val="auto"/>
              </w:rPr>
              <w:t>N-Type</w:t>
            </w:r>
          </w:p>
        </w:tc>
        <w:tc>
          <w:tcPr>
            <w:tcW w:w="4120" w:type="dxa"/>
            <w:vAlign w:val="bottom"/>
          </w:tcPr>
          <w:p>
            <w:pPr>
              <w:jc w:val="right"/>
              <w:spacing w:after="0"/>
              <w:rPr>
                <w:sz w:val="20"/>
                <w:szCs w:val="20"/>
                <w:color w:val="auto"/>
              </w:rPr>
            </w:pPr>
            <w:r>
              <w:rPr>
                <w:rFonts w:ascii="Arial" w:cs="Arial" w:eastAsia="Arial" w:hAnsi="Arial"/>
                <w:sz w:val="14"/>
                <w:szCs w:val="14"/>
                <w:color w:val="auto"/>
              </w:rPr>
              <w:t>10,000</w:t>
            </w:r>
          </w:p>
        </w:tc>
      </w:tr>
    </w:tbl>
    <w:p>
      <w:pPr>
        <w:spacing w:after="0" w:line="1222" w:lineRule="exact"/>
        <w:rPr>
          <w:sz w:val="20"/>
          <w:szCs w:val="20"/>
          <w:color w:val="auto"/>
        </w:rPr>
      </w:pPr>
    </w:p>
    <w:p>
      <w:pPr>
        <w:sectPr>
          <w:pgSz w:w="11900" w:h="16838" w:orient="portrait"/>
          <w:cols w:equalWidth="0" w:num="2">
            <w:col w:w="5500" w:space="280"/>
            <w:col w:w="5420"/>
          </w:cols>
          <w:pgMar w:left="320" w:top="118" w:right="379" w:bottom="1440" w:gutter="0" w:footer="0" w:header="0"/>
          <w:type w:val="continuous"/>
        </w:sectPr>
      </w:pP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19. PRAX-944 is a potent and selective inhibitor of T-type calcium channels.</w:t>
      </w:r>
    </w:p>
    <w:p>
      <w:pPr>
        <w:spacing w:after="0" w:line="246"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Consistent with the gatekeeper role of T-type calcium channels in neuronal firing patterns, a gain of function mutation of the T-type calcium channel Ca</w:t>
      </w:r>
      <w:r>
        <w:rPr>
          <w:rFonts w:ascii="Arial" w:cs="Arial" w:eastAsia="Arial" w:hAnsi="Arial"/>
          <w:sz w:val="15"/>
          <w:szCs w:val="15"/>
          <w:color w:val="auto"/>
        </w:rPr>
        <w:t>V</w:t>
      </w:r>
      <w:r>
        <w:rPr>
          <w:rFonts w:ascii="Arial" w:cs="Arial" w:eastAsia="Arial" w:hAnsi="Arial"/>
          <w:sz w:val="17"/>
          <w:szCs w:val="17"/>
          <w:color w:val="auto"/>
        </w:rPr>
        <w:t>3.2 leads to pathological burst firing in thalamic neurons in a rat model known as the GAERS model. Administration of PRAX-944 resulted in complete suppression of the pathological burst-firing in thalamic neurons derived from the GAERS model.</w:t>
      </w:r>
    </w:p>
    <w:p>
      <w:pPr>
        <w:spacing w:after="0" w:line="189"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We validated the therapeutic potential of PRAX-944 to treat ET using the harmaline-induced tremor model in rats. Administration of harmaline triggers ET-like tremors in experimental animals as well as pathological burst firing throughout the CTC circuit. We observed a large and dose-dependent decrease of harmaline-induced tremor in rats treated with PRAX-944 as compared to vehicle-treated animals, when measured as % increase of tremor from pre-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harmaline baseline. This result served to both demonstrate the potential of PRAX-944 in ET and as independent evidence of the critical role of T-type calcium channels in tremor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140970</wp:posOffset>
            </wp:positionV>
            <wp:extent cx="1840230" cy="1706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4023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Figure 20. PRAX-944 led to a dose-dependent inhibition of tremors in the rat harmaline model.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EEG as a pharmacodynamic biomarker for dose selection</w:t>
      </w:r>
    </w:p>
    <w:p>
      <w:pPr>
        <w:spacing w:after="0" w:line="10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PRAX-944 robustly and dose-dependently decreased EEG power in the sigma frequency band during NREM sleep in rats. The effect of PRAX-944 on the EEG observed in rats when dosed with PRAX-944 indicates its ability to mediate the blockade of T-type calcium channels in the thalamocortical circuit, suggesting that this effect is a pharmacodynamic biomarker for PRAX-944. Because the doses at which the EEG changes are observed are similar to those that demonstrate tremor reduction in the harmaline model, we believe that this biomarker can be used to estimate the dose that could be effective in treating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147320</wp:posOffset>
            </wp:positionV>
            <wp:extent cx="3214370" cy="2606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1437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Figure 21. PRAX-944 decreased EEG sigma power during NREM sleep in rats.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RARE DISEASE PORTFOLIO</w:t>
      </w:r>
    </w:p>
    <w:p>
      <w:pPr>
        <w:spacing w:after="0" w:line="102"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We are advancing several programs which we believe offer significant therapeutic benefits for rare disease populations over the current standard of care. We believe that all of the programs in our rare disease portfolio have the potential to be differentiated molecules, have foundational underpinnings in human genetics, utilize translational biomarker tools and have the potential for early clinical signal detection.</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Our most advanced rare disease candidate is PRAX-562, which is currently in a Phase 1 trial in adult healthy volunteers in Australia. Its mechanism suggests that PRAX-562 has broad potential to treat many diseases of neuronal hyperexcitability. We are pursuing development in a subset of rare devastating diseases, initially rare adult cephalgias and pediatric epilepsies.</w:t>
      </w:r>
    </w:p>
    <w:p>
      <w:pPr>
        <w:spacing w:after="0" w:line="189"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The remainder of our current rare disease portfolio consists of precision medicines approaches to address genetically defined populations suffering from Developmental and Epileptic Encephalopathies, or DEEs. DEEs are rare neurologic diseases characterized by early onset (&lt; 2 years of age), frequent seizures, abnormal epileptiform electroencephalographic activity, developmental impairment and resistance to available antiepileptic drugs. Furthermore, DEEs are associated with a high mortality rate and comorbidities such as developmental delay in addition to behavioral disorders, movement disorders, pain and sensory dysfunction and sleep disruptions.</w:t>
      </w:r>
    </w:p>
    <w:p>
      <w:pPr>
        <w:spacing w:after="0" w:line="192"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The understanding of the etiology of DEEs has been revolutionized by recent whole-exome sequencing initiatives that showed over 60 genetic causes of epilepsy. An underlying pathologic feature of many DEEs is the dysregulated neuronal activity leading to hyperexcitability, seizures and associated comorbidities. This phenomenon is observed in many pediatric DEEs with an identified genetic cause, such as SCN8A, SCN2A, KCNT1, KCNQ2, KCNQ1, STXBP1 and SYNGAP1 epilepsy, as well as epilepsies in which a genetic cause remains unclear, such as Lennox Gastaut Syndrome, or Doose Syndrome. Up to 40% of DEEs are caused by single gene mutations, enabling precision medicine approaches.</w:t>
      </w:r>
    </w:p>
    <w:p>
      <w:pPr>
        <w:spacing w:after="0" w:line="200" w:lineRule="exact"/>
        <w:rPr>
          <w:sz w:val="20"/>
          <w:szCs w:val="20"/>
          <w:color w:val="auto"/>
        </w:rPr>
      </w:pPr>
    </w:p>
    <w:p>
      <w:pPr>
        <w:spacing w:after="0" w:line="202" w:lineRule="exact"/>
        <w:rPr>
          <w:sz w:val="20"/>
          <w:szCs w:val="20"/>
          <w:color w:val="auto"/>
        </w:rPr>
      </w:pPr>
    </w:p>
    <w:p>
      <w:pPr>
        <w:ind w:right="60" w:firstLine="433"/>
        <w:spacing w:after="0" w:line="246" w:lineRule="auto"/>
        <w:rPr>
          <w:sz w:val="20"/>
          <w:szCs w:val="20"/>
          <w:color w:val="auto"/>
        </w:rPr>
      </w:pPr>
      <w:r>
        <w:rPr>
          <w:rFonts w:ascii="Arial" w:cs="Arial" w:eastAsia="Arial" w:hAnsi="Arial"/>
          <w:sz w:val="17"/>
          <w:szCs w:val="17"/>
          <w:color w:val="auto"/>
        </w:rPr>
        <w:t>Our lead precision medicine candidate is PRAX-222, an antisense oligonucleotide, or ASO, for lowering the expression levels of the protein encoded by the gene SCN2A, in patients with gain-of-function, or GOF, mutations in SCN2A, the underlying cause of SCN2A GOF DEE. We have also entered into a research collaboration with The Florey Institute of Neuroscience and Mental Health to develop three novel ASO therapies for the treatment of patients with SCN2A loss-of-function mutations and two additional rare epilepsy targets. This partnership positions us at the forefront in rare epilepsy drug development with six distinct programs for the treatment of six different rare epilepsies.</w:t>
      </w:r>
    </w:p>
    <w:p>
      <w:pPr>
        <w:spacing w:after="0" w:line="192"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Given the overlapping biology, phenotypic presentation and clinical execution considerations, we believe that developing a portfolio of drugs to treat DEEs will create a distinct body of knowledge and operational synergies across our rare disease portfolio, positioning us as a leader in developing meaningful therapies for this group of patients with devastating unmet clinical needs.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PRAX-562</w:t>
      </w:r>
    </w:p>
    <w:p>
      <w:pPr>
        <w:spacing w:after="0" w:line="102"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Standard of care sodium channel blockers, such as Tegretol (carbamazepine), Lamictal (lamotrigine), Dilantin (phenytoin) and many others are an important class of medicines in neurology and psychiatry. All standard of 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 Hence, this class is widely used for the treatment of epilepsy, pain, migraine and bipolar disorder. However, the efficacy of sodium channel blockers is generally limited by side effects, many attributable to on-target toxicological effects.</w:t>
      </w:r>
    </w:p>
    <w:p>
      <w:pPr>
        <w:spacing w:after="0" w:line="193"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PRAX-562 is designed as the first selective, persistent sodium current blocker that has the potential of reducing pathological neuronal hyperexcitability with an improved tolerability profile. PRAX-562 is in development for the treatment of a broad range of rare, devastating CNS disorders, such as severe pediatric epilepsies and adult cephalgia. We intend to pursue development in a subset of rare cephalgias, initially Short-lasting Unilateral Neuralgiform headache attacks with Conjunctival injection and Tearing, or SUNCT, Short-lasting Unilateral Neuralgiform headache with Autonomic symptoms, or SUNA, and Trigeminal Neuralgia, or TN, along with pediatric epilepsies.</w:t>
      </w:r>
    </w:p>
    <w:p>
      <w:pPr>
        <w:spacing w:after="0" w:line="174" w:lineRule="exact"/>
        <w:rPr>
          <w:sz w:val="20"/>
          <w:szCs w:val="20"/>
          <w:color w:val="auto"/>
        </w:rPr>
      </w:pPr>
    </w:p>
    <w:p>
      <w:pPr>
        <w:ind w:right="120" w:firstLine="433"/>
        <w:spacing w:after="0" w:line="270"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studies, PRAX-562 selectively blocks persistent sodium current across all subtypes of sodium channels with minimal effects on the peak sodium current that is critical for the normal physiological function of these channels. In line with this selectivity for persistent current, PRAX-562 has been shown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studies to reduce neuronal hyperexcitability without impairing normal neuronal function. This is in contrast to marketed sodium channel blockers which significantly impact normal neuronal function, leading to a narrow therapeutic index.</w:t>
      </w:r>
    </w:p>
    <w:p>
      <w:pPr>
        <w:spacing w:after="0" w:line="16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 xml:space="preserve">To date, PRAX-562 has demonstrated robust pharmacological activity in a preclinical </w:t>
      </w:r>
      <w:r>
        <w:rPr>
          <w:rFonts w:ascii="Arial" w:cs="Arial" w:eastAsia="Arial" w:hAnsi="Arial"/>
          <w:sz w:val="17"/>
          <w:szCs w:val="17"/>
          <w:i w:val="1"/>
          <w:iCs w:val="1"/>
          <w:color w:val="auto"/>
        </w:rPr>
        <w:t>in-vivo</w:t>
      </w:r>
      <w:r>
        <w:rPr>
          <w:rFonts w:ascii="Arial" w:cs="Arial" w:eastAsia="Arial" w:hAnsi="Arial"/>
          <w:sz w:val="17"/>
          <w:szCs w:val="17"/>
          <w:color w:val="auto"/>
        </w:rPr>
        <w:t xml:space="preserve"> seizure model with significantly improved tolerability compared to other sodium channel blockers, suggesting a potentially improved therapeutic index. The characteristics of PRAX-562 are expected to make it a versatile molecule that we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80"/>
        <w:spacing w:after="0" w:line="250" w:lineRule="auto"/>
        <w:rPr>
          <w:sz w:val="20"/>
          <w:szCs w:val="20"/>
          <w:color w:val="auto"/>
        </w:rPr>
      </w:pPr>
      <w:r>
        <w:rPr>
          <w:rFonts w:ascii="Arial" w:cs="Arial" w:eastAsia="Arial" w:hAnsi="Arial"/>
          <w:sz w:val="17"/>
          <w:szCs w:val="17"/>
          <w:color w:val="auto"/>
        </w:rPr>
        <w:t>believe can be broadly applied in diseases of hyperexcitability where sodium channel blockers have demonstrated efficacy but poor tolerability. Recent preclinical studies with PRAX-562 have demonstrated a dose-dependent and complete prevention of spontaneous seizures in a mouse model of SCN2A GOF DEE and evoked seizures in a human knock-in mouse model of SCN8A DEE.</w:t>
      </w:r>
    </w:p>
    <w:p>
      <w:pPr>
        <w:spacing w:after="0" w:line="189"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We have initiated a Phase 1 trial of PRAX-562 in Australia to evaluate the safety, tolerability, PK and effects on an exploratory EEG biomarker in up to 129 adult healthy volunteers. This trial has successfully completed the SAD portion up to the maximum planned dose, with no dose limiting toxicities, and has advanced to MAD cohorts. Maximum observed PRAX-562 plasma concentrations observed to date, at Cmax in the SAD study and at trough levels in the MAD study, exceed those at the effective concentration 50, or EC50, in the MES mouse model, a model with good predictive validity, without dose limiting toxicities. We are currently at the highest preplanned dose of PRAX-562 in our MAD trial and intend to escalate further if it continues to be generally well-tolerated. We anticipate the initial proof-of-concept trial in rare adult cephalgia patients to initiate in the second half of 2021.</w:t>
      </w:r>
    </w:p>
    <w:p>
      <w:pPr>
        <w:spacing w:after="0" w:line="196" w:lineRule="exact"/>
        <w:rPr>
          <w:sz w:val="20"/>
          <w:szCs w:val="20"/>
          <w:color w:val="auto"/>
        </w:rPr>
      </w:pPr>
    </w:p>
    <w:p>
      <w:pPr>
        <w:ind w:right="20" w:firstLine="433"/>
        <w:spacing w:after="0" w:line="247" w:lineRule="auto"/>
        <w:rPr>
          <w:sz w:val="20"/>
          <w:szCs w:val="20"/>
          <w:color w:val="auto"/>
        </w:rPr>
      </w:pPr>
      <w:r>
        <w:rPr>
          <w:rFonts w:ascii="Arial" w:cs="Arial" w:eastAsia="Arial" w:hAnsi="Arial"/>
          <w:sz w:val="17"/>
          <w:szCs w:val="17"/>
          <w:color w:val="auto"/>
        </w:rPr>
        <w:t>The clinical development plan for PRAX-562 encompasses exploring the broad potential for the mechanism of action in rare diseases through proof-of-concept trials in rare adult cephalgia patients and then expanding into a range of rare pediatric DEEs. The FDA has granted rare pediatric disease designation for PRAX-562 for the treatment of SCN2A and SCN8A developmental and epileptic encephalopathies, or SCN2A-DEE and SCN8A-DEE,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Voltage-gated sodium channels, persistent sodium current and neuronal excitability</w:t>
      </w:r>
    </w:p>
    <w:p>
      <w:pPr>
        <w:spacing w:after="0" w:line="10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Voltage-gated sodium channels, or VGSCs, are transmembrane proteins that are required for electrical signaling and therefore communication in neurons. VGSCs respond to changes in the membrane potential and are tightly regulated by their biophysical properties. Upon opening of VGSCs, sodium ions can move into the cell leading to a depolarization and therefore excitation of the neuron. This sodium current is the initiator and driver of neuronal action potentials, or APs, the primary means of electrical signal propagation along the neuron’s axon.</w:t>
      </w:r>
    </w:p>
    <w:p>
      <w:pPr>
        <w:spacing w:after="0" w:line="192"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 family of VGSCs consists of nine highly related isoforms (Na</w:t>
      </w:r>
      <w:r>
        <w:rPr>
          <w:rFonts w:ascii="Arial" w:cs="Arial" w:eastAsia="Arial" w:hAnsi="Arial"/>
          <w:sz w:val="15"/>
          <w:szCs w:val="15"/>
          <w:color w:val="auto"/>
        </w:rPr>
        <w:t>V</w:t>
      </w:r>
      <w:r>
        <w:rPr>
          <w:rFonts w:ascii="Arial" w:cs="Arial" w:eastAsia="Arial" w:hAnsi="Arial"/>
          <w:sz w:val="17"/>
          <w:szCs w:val="17"/>
          <w:color w:val="auto"/>
        </w:rPr>
        <w:t>1.1 – Na</w:t>
      </w:r>
      <w:r>
        <w:rPr>
          <w:rFonts w:ascii="Arial" w:cs="Arial" w:eastAsia="Arial" w:hAnsi="Arial"/>
          <w:sz w:val="15"/>
          <w:szCs w:val="15"/>
          <w:color w:val="auto"/>
        </w:rPr>
        <w:t>V</w:t>
      </w:r>
      <w:r>
        <w:rPr>
          <w:rFonts w:ascii="Arial" w:cs="Arial" w:eastAsia="Arial" w:hAnsi="Arial"/>
          <w:sz w:val="17"/>
          <w:szCs w:val="17"/>
          <w:color w:val="auto"/>
        </w:rPr>
        <w:t>1.9) with differential tissue distributions and functions. Na</w:t>
      </w:r>
      <w:r>
        <w:rPr>
          <w:rFonts w:ascii="Arial" w:cs="Arial" w:eastAsia="Arial" w:hAnsi="Arial"/>
          <w:sz w:val="15"/>
          <w:szCs w:val="15"/>
          <w:color w:val="auto"/>
        </w:rPr>
        <w:t>V</w:t>
      </w:r>
      <w:r>
        <w:rPr>
          <w:rFonts w:ascii="Arial" w:cs="Arial" w:eastAsia="Arial" w:hAnsi="Arial"/>
          <w:sz w:val="17"/>
          <w:szCs w:val="17"/>
          <w:color w:val="auto"/>
        </w:rPr>
        <w:t>1.1, 1.2 and 1.6 are the major sodium channels expressed in the central nervous system.</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Isoform</w:t>
            </w:r>
          </w:p>
        </w:tc>
        <w:tc>
          <w:tcPr>
            <w:tcW w:w="1620" w:type="dxa"/>
            <w:vAlign w:val="bottom"/>
            <w:gridSpan w:val="2"/>
          </w:tcPr>
          <w:p>
            <w:pPr>
              <w:ind w:left="580"/>
              <w:spacing w:after="0"/>
              <w:rPr>
                <w:sz w:val="20"/>
                <w:szCs w:val="20"/>
                <w:color w:val="auto"/>
              </w:rPr>
            </w:pPr>
            <w:r>
              <w:rPr>
                <w:rFonts w:ascii="Arial" w:cs="Arial" w:eastAsia="Arial" w:hAnsi="Arial"/>
                <w:sz w:val="14"/>
                <w:szCs w:val="14"/>
                <w:b w:val="1"/>
                <w:bCs w:val="1"/>
                <w:color w:val="auto"/>
              </w:rPr>
              <w:t>Gene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Expression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020" w:type="dxa"/>
            <w:vAlign w:val="bottom"/>
            <w:gridSpan w:val="2"/>
            <w:shd w:val="clear" w:color="auto" w:fill="CCEEFF"/>
          </w:tcPr>
          <w:p>
            <w:pPr>
              <w:spacing w:after="0" w:line="169" w:lineRule="exact"/>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1.1</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SCN1A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CNS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1.2</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SCN2A</w:t>
            </w:r>
          </w:p>
        </w:tc>
        <w:tc>
          <w:tcPr>
            <w:tcW w:w="1540" w:type="dxa"/>
            <w:vAlign w:val="bottom"/>
          </w:tcPr>
          <w:p>
            <w:pPr>
              <w:jc w:val="center"/>
              <w:spacing w:after="0"/>
              <w:rPr>
                <w:sz w:val="20"/>
                <w:szCs w:val="20"/>
                <w:color w:val="auto"/>
              </w:rPr>
            </w:pPr>
            <w:r>
              <w:rPr>
                <w:rFonts w:ascii="Arial" w:cs="Arial" w:eastAsia="Arial" w:hAnsi="Arial"/>
                <w:sz w:val="14"/>
                <w:szCs w:val="14"/>
                <w:color w:val="auto"/>
              </w:rPr>
              <w:t>CNS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1.3</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SCN3A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CNS/Pancreas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1.4</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SCN4A</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Muscle</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1.5</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SCN5A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Heart</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1.6</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SCN8A</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CNS/PNS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1.7</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SCN9A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PNS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1.8</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SCN10A</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PNS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1.9</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SCN11A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PNS</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CNS: Central Nervous System, PNS: Peripheral Nervous System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22. Sodium Channel Isoforms and tissue distribution.</w:t>
      </w:r>
    </w:p>
    <w:p>
      <w:pPr>
        <w:spacing w:after="0" w:line="246"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VGSCs undergo a structural change that alter their ability to conduct sodium ions (Table 22) and are triggered to open upon excitation, or depolarization, of the cell membrane allowing sodium ions to enter the neuron. Sodium influx further excites, or depolarizes, the neuron, leading to the opening of even more sodium channels. This series of events can lead to a large peak sodium current underlying the initiation and propagation of neuronal action potentials, or APs, the primary means by which neurons propagate information in the nervous system. To prevent overexcitation of neurons, or hyperexcitability in the form of excessive high frequency AP firing, the majority of sodium channels only open very briefly after activation (1-2ms), followed by a refractory period of inactivation or non-responsiveness.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60" w:firstLine="433"/>
        <w:spacing w:after="0" w:line="266" w:lineRule="auto"/>
        <w:rPr>
          <w:sz w:val="20"/>
          <w:szCs w:val="20"/>
          <w:color w:val="auto"/>
        </w:rPr>
      </w:pPr>
      <w:r>
        <w:rPr>
          <w:rFonts w:ascii="Arial" w:cs="Arial" w:eastAsia="Arial" w:hAnsi="Arial"/>
          <w:sz w:val="17"/>
          <w:szCs w:val="17"/>
          <w:color w:val="auto"/>
        </w:rPr>
        <w:t>However, at membrane potentials below the AP firing threshold, a small subset of sodium channels can remain open for hundreds of milliseconds, carrying the so-called persistent sodium current. Persistent sodium current is present under physiologic conditions where it modulates excitability of neurons and can be significantly increased in pathologic states (Figure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145415</wp:posOffset>
            </wp:positionV>
            <wp:extent cx="5029200" cy="1965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29200"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Figure 23. Impact of a pathological mutation on sodium channels.</w:t>
      </w:r>
    </w:p>
    <w:p>
      <w:pPr>
        <w:spacing w:after="0" w:line="246"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There are currently more than 15 sodium channel blockers in the market commonly used to treat diseases such as epilepsy, bipolar disorder and pain. While standard of care sodium channel blockers, such as carbamazepine, lamotrigine and phenytoin, inhibit persistent sodium current, they likely also block peak sodium current at therapeutic concentrations, which can cause significant adverse events such as ataxia, drowsiness and dizziness, and therefore have a very narrow Therapeutic Index, or TI.</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Genetics of persistent sodium current</w:t>
      </w:r>
    </w:p>
    <w:p>
      <w:pPr>
        <w:spacing w:after="0" w:line="100"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published whole-exome sequencing studies of diverse patient populations, mutations in all voltage gated sodium channel subtypes have been reported as a likely cause of disease. Furthermore, gain-of-function mutations that are associated with disease can cause an increase of persistent sodium current, raising the idea that this might be a critical driver of hyperexcitability in neurologic disorders.</w:t>
      </w:r>
    </w:p>
    <w:p>
      <w:pPr>
        <w:spacing w:after="0" w:line="18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specific disease that a patient develops depends on both the sodium channel subtype and where the affected sodium channel is expressed. Gain-of-function mutations in SCN2A, or Na</w:t>
      </w:r>
      <w:r>
        <w:rPr>
          <w:rFonts w:ascii="Arial" w:cs="Arial" w:eastAsia="Arial" w:hAnsi="Arial"/>
          <w:sz w:val="15"/>
          <w:szCs w:val="15"/>
          <w:color w:val="auto"/>
        </w:rPr>
        <w:t>V</w:t>
      </w:r>
      <w:r>
        <w:rPr>
          <w:rFonts w:ascii="Arial" w:cs="Arial" w:eastAsia="Arial" w:hAnsi="Arial"/>
          <w:sz w:val="17"/>
          <w:szCs w:val="17"/>
          <w:color w:val="auto"/>
        </w:rPr>
        <w:t>1.2, and SCN8A, or Na</w:t>
      </w:r>
      <w:r>
        <w:rPr>
          <w:rFonts w:ascii="Arial" w:cs="Arial" w:eastAsia="Arial" w:hAnsi="Arial"/>
          <w:sz w:val="15"/>
          <w:szCs w:val="15"/>
          <w:color w:val="auto"/>
        </w:rPr>
        <w:t>V</w:t>
      </w:r>
      <w:r>
        <w:rPr>
          <w:rFonts w:ascii="Arial" w:cs="Arial" w:eastAsia="Arial" w:hAnsi="Arial"/>
          <w:sz w:val="17"/>
          <w:szCs w:val="17"/>
          <w:color w:val="auto"/>
        </w:rPr>
        <w:t>1.6, two of the major sodium channels in the brain, cause early onset epileptic encephalopathies with frequent seizures and developmental delay. Gain-of-function mutations in Na</w:t>
      </w:r>
      <w:r>
        <w:rPr>
          <w:rFonts w:ascii="Arial" w:cs="Arial" w:eastAsia="Arial" w:hAnsi="Arial"/>
          <w:sz w:val="15"/>
          <w:szCs w:val="15"/>
          <w:color w:val="auto"/>
        </w:rPr>
        <w:t>V</w:t>
      </w:r>
      <w:r>
        <w:rPr>
          <w:rFonts w:ascii="Arial" w:cs="Arial" w:eastAsia="Arial" w:hAnsi="Arial"/>
          <w:sz w:val="17"/>
          <w:szCs w:val="17"/>
          <w:color w:val="auto"/>
        </w:rPr>
        <w:t>1.1, Na</w:t>
      </w:r>
      <w:r>
        <w:rPr>
          <w:rFonts w:ascii="Arial" w:cs="Arial" w:eastAsia="Arial" w:hAnsi="Arial"/>
          <w:sz w:val="15"/>
          <w:szCs w:val="15"/>
          <w:color w:val="auto"/>
        </w:rPr>
        <w:t>V</w:t>
      </w:r>
      <w:r>
        <w:rPr>
          <w:rFonts w:ascii="Arial" w:cs="Arial" w:eastAsia="Arial" w:hAnsi="Arial"/>
          <w:sz w:val="17"/>
          <w:szCs w:val="17"/>
          <w:color w:val="auto"/>
        </w:rPr>
        <w:t>1.4, Na</w:t>
      </w:r>
      <w:r>
        <w:rPr>
          <w:rFonts w:ascii="Arial" w:cs="Arial" w:eastAsia="Arial" w:hAnsi="Arial"/>
          <w:sz w:val="15"/>
          <w:szCs w:val="15"/>
          <w:color w:val="auto"/>
        </w:rPr>
        <w:t>V</w:t>
      </w:r>
      <w:r>
        <w:rPr>
          <w:rFonts w:ascii="Arial" w:cs="Arial" w:eastAsia="Arial" w:hAnsi="Arial"/>
          <w:sz w:val="17"/>
          <w:szCs w:val="17"/>
          <w:color w:val="auto"/>
        </w:rPr>
        <w:t>1.5 and Na</w:t>
      </w:r>
      <w:r>
        <w:rPr>
          <w:rFonts w:ascii="Arial" w:cs="Arial" w:eastAsia="Arial" w:hAnsi="Arial"/>
          <w:sz w:val="15"/>
          <w:szCs w:val="15"/>
          <w:color w:val="auto"/>
        </w:rPr>
        <w:t>V</w:t>
      </w:r>
      <w:r>
        <w:rPr>
          <w:rFonts w:ascii="Arial" w:cs="Arial" w:eastAsia="Arial" w:hAnsi="Arial"/>
          <w:sz w:val="17"/>
          <w:szCs w:val="17"/>
          <w:color w:val="auto"/>
        </w:rPr>
        <w:t>1.7 cause familial hemiplegic migraine, myotonia, cardiac arrythmia and severe pain disorders, based on their primary expression in the CNS, muscle, heart and pain pathways, respectively. These channelopathies demonstrate the important role persistent sodium current plays as a modulator of cellular excitability.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initial indications for PRAX-562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Developmental and Epileptic Encephalopathy</w:t>
      </w:r>
    </w:p>
    <w:p>
      <w:pPr>
        <w:spacing w:after="0" w:line="98"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Approximately 100,000 children suffer from DEEs in the United States alone, with over two hundred thousand children affected world-wide. An underlying pathologic feature of many DEEs with both known and unknown genetic causes, is the dysregulated neuronal activity leading to hyperexcitability and subsequently to seizure.</w:t>
      </w:r>
    </w:p>
    <w:p>
      <w:pPr>
        <w:spacing w:after="0" w:line="189" w:lineRule="exact"/>
        <w:rPr>
          <w:sz w:val="20"/>
          <w:szCs w:val="20"/>
          <w:color w:val="auto"/>
        </w:rPr>
      </w:pPr>
    </w:p>
    <w:p>
      <w:pPr>
        <w:ind w:right="260" w:firstLine="433"/>
        <w:spacing w:after="0" w:line="263" w:lineRule="auto"/>
        <w:rPr>
          <w:sz w:val="20"/>
          <w:szCs w:val="20"/>
          <w:color w:val="auto"/>
        </w:rPr>
      </w:pPr>
      <w:r>
        <w:rPr>
          <w:rFonts w:ascii="Arial" w:cs="Arial" w:eastAsia="Arial" w:hAnsi="Arial"/>
          <w:sz w:val="17"/>
          <w:szCs w:val="17"/>
          <w:color w:val="auto"/>
        </w:rPr>
        <w:t>Sodium channel blockers have been a critical component of the pharmacological management of seizure related conditions, including epilepsy, for decades. However, current standard of care sodium channel blockers are limited by a narrow therapeutic window and inadequate efficacy. We believe these limitations are largely due to blockage of peak sodium current and disruption of normal neuronal function at or near therapeutic doses and significant off-target activity.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Given the role of persistent current in modulating excitability, we believe that PRAX-562 has the potential to be a broadly efficacious and generally well-tolerated antiepileptic drug for the treatment of DEEs of both genetic and unknown etiology.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Cephalgia</w:t>
      </w:r>
    </w:p>
    <w:p>
      <w:pPr>
        <w:spacing w:after="0" w:line="242"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SUNCT, SUNA and TN are devastating headache disorders with limited treatment options. SUNCT and SUNA are part of a specific class of cephalgias known as Short Lasting Unilateral Neuralgiform headaches. These headaches are characterized by severe burning, stabbing and electrical unilateral head pain that is typically 9 to 10 in the Visual Analogue Scale, or VAS, for pain. These headache attacks last between one second and ten minutes in duration and can occur up to 600 times per day. SUNCT and SUNA headaches are rare diseases with a prevalence estimated to be 6.6 per 100,000 based on a recent Australian study.</w:t>
      </w:r>
    </w:p>
    <w:p>
      <w:pPr>
        <w:spacing w:after="0" w:line="192"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SUNCT and SUNA are often refractory to standard migraine and headache treatments, but are highly responsive to intravenous, or IV, infusion of the sodium channel blocker lidocaine. Response under IV lidocaine requires continuous infusion in an inpatient setting and is associated with side effects such as nausea, vomiting and cardiovascular effects, with headache attacks returning in majority of patients within days of IV lidocaine withdrawal. Preventative treatment of SUNCT and SUNA often includes oral sodium channel blocker lamotrigine, but this is limited by partial efficacy, tolerability concerns and the requirement of several weeks of dose-titration to reach therapeutic doses.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TN, also known as tic douloureux, is characterized by intense, stabbing, electric-shock pain typically in the lower face and jaw, usually on</w:t>
      </w:r>
    </w:p>
    <w:p>
      <w:pPr>
        <w:spacing w:after="0" w:line="5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one side of the face. TN is thought to be caused by irritation of the trigeminal nerve. The pain can be triggered by an action as simple as washing or touching the face smiling or talking. These attacks can progressively worsen over time, especially if left untreated. Epidemiologic data are variable across the world and depend on definitions used for diagnosis, with reported annual incidence ranges from 4.3 to 26.8 per 100,000.</w:t>
      </w:r>
    </w:p>
    <w:p>
      <w:pPr>
        <w:spacing w:after="0" w:line="189"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Anticonvulsive medications that modulate voltage-gated sodium channels, such as carbamazepine, are considered first line treatment for TN. Additional therapies used to treat TN include other medications (e.g., gabapentin, baclofen, amitriptyline, topiramate), as well as various procedures or surgical interventions (such as vascular decompression or gamma knife). These therapies are reported to all have inconsistent results in controlling the pain, with only about 50% success over time.</w:t>
      </w:r>
    </w:p>
    <w:p>
      <w:pPr>
        <w:spacing w:after="0" w:line="192" w:lineRule="exact"/>
        <w:rPr>
          <w:sz w:val="20"/>
          <w:szCs w:val="20"/>
          <w:color w:val="auto"/>
        </w:rPr>
      </w:pPr>
    </w:p>
    <w:p>
      <w:pPr>
        <w:ind w:right="520" w:firstLine="433"/>
        <w:spacing w:after="0" w:line="266" w:lineRule="auto"/>
        <w:rPr>
          <w:sz w:val="20"/>
          <w:szCs w:val="20"/>
          <w:color w:val="auto"/>
        </w:rPr>
      </w:pPr>
      <w:r>
        <w:rPr>
          <w:rFonts w:ascii="Arial" w:cs="Arial" w:eastAsia="Arial" w:hAnsi="Arial"/>
          <w:sz w:val="17"/>
          <w:szCs w:val="17"/>
          <w:color w:val="auto"/>
        </w:rPr>
        <w:t>The limited FDA-approved treatments specific to SUNA or TN, or complete absence of FDA-approved treatments specific to SUNCT, combined with high comorbidity and healthcare utilization, substantiates the need for an efficacious, generally well-tolerated and orally bioavailable sodium channel blocker to treat headache attacks in acute and preventative settings.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PRAX-562 preclinical data</w:t>
      </w:r>
    </w:p>
    <w:p>
      <w:pPr>
        <w:spacing w:after="0" w:line="100" w:lineRule="exact"/>
        <w:rPr>
          <w:sz w:val="20"/>
          <w:szCs w:val="20"/>
          <w:color w:val="auto"/>
        </w:rPr>
      </w:pPr>
    </w:p>
    <w:p>
      <w:pPr>
        <w:ind w:right="260" w:firstLine="433"/>
        <w:spacing w:after="0" w:line="263" w:lineRule="auto"/>
        <w:rPr>
          <w:sz w:val="20"/>
          <w:szCs w:val="20"/>
          <w:color w:val="auto"/>
        </w:rPr>
      </w:pPr>
      <w:r>
        <w:rPr>
          <w:rFonts w:ascii="Arial" w:cs="Arial" w:eastAsia="Arial" w:hAnsi="Arial"/>
          <w:sz w:val="17"/>
          <w:szCs w:val="17"/>
          <w:color w:val="auto"/>
        </w:rPr>
        <w:t>PRAX-562 is a highly differentiated, potent and selective inhibitor of persistent sodium current designed to overcome the limitations of currently available sodium channel blockers. PRAX-562 preclinical studies were designed to test our belief that the block of persistent sodium current is sufficient to demonstrate robust activity in animal models of hyperexcitation and that the selective block of persistent sodium current over physiological peak current leads to an improved therapeutic index.</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Selective inhibition of persistent sodium channels</w:t>
      </w:r>
    </w:p>
    <w:p>
      <w:pPr>
        <w:spacing w:after="0" w:line="11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In preclinical studies, PRAX-562 is a highly potent inhibitor of persistent sodium current as measured in cell-based assays, in which sodium channel isoforms are heterologously expressed and channel activity is measured via patch clamp electrophysiology. Using electrophysiological voltage protocols, the effect of compounds on a specific channel state (e.g., peak current vs persistent current) can be measured. When compared to other approved sodium channel inhibitors for various neurological indications, PRAX-562 was hundreds of times more potent at inhibiting persistent sodium current. PRAX-562 had an IC50 of 141 nM compared to SOC sodium channel blockers lamotrigine and carbamazepine which had an IC50 of 78,530 nM and 77,520 nM, respectively – a potency difference of over 500-fold. PRAX-562 was ~60 fold selective for inhibiting persistent current over peak current.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386080</wp:posOffset>
            </wp:positionV>
            <wp:extent cx="4979670" cy="2098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79670" cy="209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60" w:right="180"/>
        <w:spacing w:after="0" w:line="302" w:lineRule="auto"/>
        <w:rPr>
          <w:sz w:val="20"/>
          <w:szCs w:val="20"/>
          <w:color w:val="auto"/>
        </w:rPr>
      </w:pPr>
      <w:r>
        <w:rPr>
          <w:rFonts w:ascii="Arial" w:cs="Arial" w:eastAsia="Arial" w:hAnsi="Arial"/>
          <w:sz w:val="17"/>
          <w:szCs w:val="17"/>
          <w:b w:val="1"/>
          <w:bCs w:val="1"/>
          <w:color w:val="auto"/>
        </w:rPr>
        <w:t>Figure 24. PRAX-562 is approximately 150-fold more potent and two to nine-fold more selective for persistent sodium current than standard sodium channel blockers.</w:t>
      </w:r>
    </w:p>
    <w:p>
      <w:pPr>
        <w:spacing w:after="0" w:line="26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selective block of persistent sodium current reduces neuronal hyperexcitability without affecting the action potential, or AP, amplitude, which is required for normal neuron function. In mouse brain slice experiments, a hyperexcitable state can be mimicked by artificially depolarizing the neuron using the patch clamp method, which elicits high frequency AP firing. PRAX-562 reduced the neuronal AP firing frequency, an indicator of neuronal excitability, without a significant effect on AP amplitude, an indicator of normal neuronal function, suggesting reduction of hyperexcitability without impacting the ability of the neuron to respond to physiologic stimuli. In comparison, carbamazepine, a SOC sodium channel blocker, at comparable concentrations (relative to the potency in cells heterologously expressing Na</w:t>
      </w:r>
      <w:r>
        <w:rPr>
          <w:rFonts w:ascii="Arial" w:cs="Arial" w:eastAsia="Arial" w:hAnsi="Arial"/>
          <w:sz w:val="15"/>
          <w:szCs w:val="15"/>
          <w:color w:val="auto"/>
        </w:rPr>
        <w:t>V</w:t>
      </w:r>
      <w:r>
        <w:rPr>
          <w:rFonts w:ascii="Arial" w:cs="Arial" w:eastAsia="Arial" w:hAnsi="Arial"/>
          <w:sz w:val="17"/>
          <w:szCs w:val="17"/>
          <w:color w:val="auto"/>
        </w:rPr>
        <w:t>1.6), excessively decreased AP firing almost completely and reduced the amplitude of APs, indicating impairment of normal function.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80"/>
        <w:spacing w:after="0"/>
        <w:tabs>
          <w:tab w:leader="none" w:pos="6520" w:val="left"/>
        </w:tabs>
        <w:rPr>
          <w:sz w:val="20"/>
          <w:szCs w:val="20"/>
          <w:color w:val="auto"/>
        </w:rPr>
      </w:pPr>
      <w:r>
        <w:rPr>
          <w:rFonts w:ascii="Arial" w:cs="Arial" w:eastAsia="Arial" w:hAnsi="Arial"/>
          <w:sz w:val="17"/>
          <w:szCs w:val="17"/>
          <w:b w:val="1"/>
          <w:bCs w:val="1"/>
          <w:color w:val="auto"/>
        </w:rPr>
        <w:t>PRAX-562 Representative AP Traces</w:t>
      </w:r>
      <w:r>
        <w:rPr>
          <w:sz w:val="20"/>
          <w:szCs w:val="20"/>
          <w:color w:val="auto"/>
        </w:rPr>
        <w:tab/>
      </w:r>
      <w:r>
        <w:rPr>
          <w:rFonts w:ascii="Arial" w:cs="Arial" w:eastAsia="Arial" w:hAnsi="Arial"/>
          <w:sz w:val="17"/>
          <w:szCs w:val="17"/>
          <w:b w:val="1"/>
          <w:bCs w:val="1"/>
          <w:color w:val="auto"/>
        </w:rPr>
        <w:t>Carbamazepine Representative AP Traces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331470</wp:posOffset>
            </wp:positionV>
            <wp:extent cx="5787390" cy="749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87390" cy="74930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PRAX-562 Average AP Frequency</w:t>
      </w:r>
    </w:p>
    <w:p>
      <w:pPr>
        <w:ind w:left="1440"/>
        <w:spacing w:after="0"/>
        <w:rPr>
          <w:sz w:val="20"/>
          <w:szCs w:val="20"/>
          <w:color w:val="auto"/>
        </w:rPr>
      </w:pPr>
      <w:r>
        <w:rPr>
          <w:rFonts w:ascii="Arial" w:cs="Arial" w:eastAsia="Arial" w:hAnsi="Arial"/>
          <w:sz w:val="17"/>
          <w:szCs w:val="17"/>
          <w:b w:val="1"/>
          <w:bCs w:val="1"/>
          <w:color w:val="auto"/>
        </w:rPr>
        <w:t>During Increasing Current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317500</wp:posOffset>
            </wp:positionV>
            <wp:extent cx="1198880" cy="1040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98880" cy="1040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Carbamazepine Average AP Frequency</w:t>
      </w:r>
    </w:p>
    <w:p>
      <w:pPr>
        <w:jc w:val="center"/>
        <w:ind w:right="1200"/>
        <w:spacing w:after="0"/>
        <w:rPr>
          <w:sz w:val="20"/>
          <w:szCs w:val="20"/>
          <w:color w:val="auto"/>
        </w:rPr>
      </w:pPr>
      <w:r>
        <w:rPr>
          <w:rFonts w:ascii="Arial" w:cs="Arial" w:eastAsia="Arial" w:hAnsi="Arial"/>
          <w:sz w:val="17"/>
          <w:szCs w:val="17"/>
          <w:b w:val="1"/>
          <w:bCs w:val="1"/>
          <w:color w:val="auto"/>
        </w:rPr>
        <w:t>During Increase Current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317500</wp:posOffset>
            </wp:positionV>
            <wp:extent cx="1207135" cy="1040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7135" cy="1040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440"/>
          </w:cols>
          <w:pgMar w:left="320" w:top="118"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PRAX-562 Average AP Amplitude</w:t>
      </w:r>
    </w:p>
    <w:p>
      <w:pPr>
        <w:jc w:val="center"/>
        <w:ind w:right="360"/>
        <w:spacing w:after="0"/>
        <w:rPr>
          <w:sz w:val="20"/>
          <w:szCs w:val="20"/>
          <w:color w:val="auto"/>
        </w:rPr>
      </w:pPr>
      <w:r>
        <w:rPr>
          <w:rFonts w:ascii="Arial" w:cs="Arial" w:eastAsia="Arial" w:hAnsi="Arial"/>
          <w:sz w:val="17"/>
          <w:szCs w:val="17"/>
          <w:b w:val="1"/>
          <w:bCs w:val="1"/>
          <w:color w:val="auto"/>
        </w:rPr>
        <w:t>During Current Step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309245</wp:posOffset>
            </wp:positionV>
            <wp:extent cx="1273810" cy="1099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3810" cy="1099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Carbamazepine Average AP Amplitude</w:t>
      </w:r>
    </w:p>
    <w:p>
      <w:pPr>
        <w:jc w:val="center"/>
        <w:ind w:right="1220"/>
        <w:spacing w:after="0"/>
        <w:rPr>
          <w:sz w:val="20"/>
          <w:szCs w:val="20"/>
          <w:color w:val="auto"/>
        </w:rPr>
      </w:pPr>
      <w:r>
        <w:rPr>
          <w:rFonts w:ascii="Arial" w:cs="Arial" w:eastAsia="Arial" w:hAnsi="Arial"/>
          <w:sz w:val="17"/>
          <w:szCs w:val="17"/>
          <w:b w:val="1"/>
          <w:bCs w:val="1"/>
          <w:color w:val="auto"/>
        </w:rPr>
        <w:t>During Current Step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309245</wp:posOffset>
            </wp:positionV>
            <wp:extent cx="1290955" cy="1099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90955" cy="1099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420"/>
          </w:cols>
          <w:pgMar w:left="320" w:top="118"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right="140"/>
        <w:spacing w:after="0" w:line="302" w:lineRule="auto"/>
        <w:rPr>
          <w:sz w:val="20"/>
          <w:szCs w:val="20"/>
          <w:color w:val="auto"/>
        </w:rPr>
      </w:pPr>
      <w:r>
        <w:rPr>
          <w:rFonts w:ascii="Arial" w:cs="Arial" w:eastAsia="Arial" w:hAnsi="Arial"/>
          <w:sz w:val="17"/>
          <w:szCs w:val="17"/>
          <w:b w:val="1"/>
          <w:bCs w:val="1"/>
          <w:color w:val="auto"/>
        </w:rPr>
        <w:t>Figure 25. PRAX-562 reduced neuronal hyperexcitability (AP frequency) without impairing normal function (minimal effect on AP amplitude). In contrast, carbamazepine significantly reduced the AP amplitude suggesting impairment of normal function.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in vivo pharmacological activity, tolerability and EEG pharmacodynamic biomarker</w:t>
      </w:r>
    </w:p>
    <w:p>
      <w:pPr>
        <w:spacing w:after="0" w:line="11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investigated the preclinical activity of PRAX-562 in a maximal electroshock model of epilepsy, or MES model, that has shown good predictive validity for clinical anti-convulsant activity, and compared it to the effects of SOC sodium channel blockers carbamazepine and lamotrigine. To determine how well PRAX-562 is tolerated, we compared its effects on spontaneous locomotor activity, or sLMA, to the effects of carbamazepine and lamotrigine.</w:t>
      </w:r>
    </w:p>
    <w:p>
      <w:pPr>
        <w:spacing w:after="0" w:line="19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PRAX-562 was able to block seizures completely in mice at a dose that does not impair locomotor function (10mg/kg). In contrast, carbamazepine and lamotrigine only achieve full block of seizures in this model at doses that also show impairment of locomotion. PRAX-562 at a dose of 2mg/kg, inhibited the epilepsy response to half of its maximum value, or ED</w:t>
      </w:r>
      <w:r>
        <w:rPr>
          <w:rFonts w:ascii="Arial" w:cs="Arial" w:eastAsia="Arial" w:hAnsi="Arial"/>
          <w:sz w:val="15"/>
          <w:szCs w:val="15"/>
          <w:color w:val="auto"/>
        </w:rPr>
        <w:t>50</w:t>
      </w:r>
      <w:r>
        <w:rPr>
          <w:rFonts w:ascii="Arial" w:cs="Arial" w:eastAsia="Arial" w:hAnsi="Arial"/>
          <w:sz w:val="17"/>
          <w:szCs w:val="17"/>
          <w:color w:val="auto"/>
        </w:rPr>
        <w:t>. Inhibition of sLMA required an estimated dose of 44mg/kg to obtain 50 percent inhibition, or TD</w:t>
      </w:r>
      <w:r>
        <w:rPr>
          <w:rFonts w:ascii="Arial" w:cs="Arial" w:eastAsia="Arial" w:hAnsi="Arial"/>
          <w:sz w:val="15"/>
          <w:szCs w:val="15"/>
          <w:color w:val="auto"/>
        </w:rPr>
        <w:t>50</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386080</wp:posOffset>
            </wp:positionV>
            <wp:extent cx="2531110" cy="2972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31110"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302" w:lineRule="auto"/>
        <w:rPr>
          <w:sz w:val="20"/>
          <w:szCs w:val="20"/>
          <w:color w:val="auto"/>
        </w:rPr>
      </w:pPr>
      <w:r>
        <w:rPr>
          <w:rFonts w:ascii="Arial" w:cs="Arial" w:eastAsia="Arial" w:hAnsi="Arial"/>
          <w:sz w:val="17"/>
          <w:szCs w:val="17"/>
          <w:b w:val="1"/>
          <w:bCs w:val="1"/>
          <w:color w:val="auto"/>
        </w:rPr>
        <w:t>Figure 26. Doses of PRAX-562 resulting in potent anticonvulsant activity were associated with minimal effects on general locomotor activity.</w:t>
      </w:r>
    </w:p>
    <w:p>
      <w:pPr>
        <w:spacing w:after="0" w:line="16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calculated the therapeutic index, or TI, of each molecule as the preclinical tolerability/pharmacological activity ratio. This ratio is calculated by dividing the plasma and brain concentrations at the dose that reduces locomotion by 50% by the concentrations that reduce seizures by 50%. We found that PRAX-562 had a significantly improved therapeutic index of ~16 fold (based on brain concentrations) and ~17 fold (based on plasma concentrations) compared to the currently prescribed sodium channel blockers carbamazepine and lamotrigine, which had a much lower protective index of three to six-fold. Notably, standard sodium channel blockers, such as carbamazepine and phenytoin, show severe toxicity in humans at exposures that are only about 1.5 to 3 times the target therapeutic exposures, underscoring the need for modulators of sodium channels with an improved tolerability.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Molecule</w:t>
            </w:r>
          </w:p>
        </w:tc>
        <w:tc>
          <w:tcPr>
            <w:tcW w:w="5020" w:type="dxa"/>
            <w:vAlign w:val="bottom"/>
          </w:tcPr>
          <w:p>
            <w:pPr>
              <w:jc w:val="right"/>
              <w:ind w:right="493"/>
              <w:spacing w:after="0"/>
              <w:rPr>
                <w:sz w:val="20"/>
                <w:szCs w:val="20"/>
                <w:color w:val="auto"/>
              </w:rPr>
            </w:pPr>
            <w:r>
              <w:rPr>
                <w:rFonts w:ascii="Arial" w:cs="Arial" w:eastAsia="Arial" w:hAnsi="Arial"/>
                <w:sz w:val="17"/>
                <w:szCs w:val="17"/>
                <w:b w:val="1"/>
                <w:bCs w:val="1"/>
                <w:color w:val="auto"/>
              </w:rPr>
              <w:t>Plasma Therapeutic</w:t>
            </w:r>
          </w:p>
        </w:tc>
        <w:tc>
          <w:tcPr>
            <w:tcW w:w="2160" w:type="dxa"/>
            <w:vAlign w:val="bottom"/>
          </w:tcPr>
          <w:p>
            <w:pPr>
              <w:jc w:val="right"/>
              <w:ind w:right="353"/>
              <w:spacing w:after="0"/>
              <w:rPr>
                <w:sz w:val="20"/>
                <w:szCs w:val="20"/>
                <w:color w:val="auto"/>
              </w:rPr>
            </w:pPr>
            <w:r>
              <w:rPr>
                <w:rFonts w:ascii="Arial" w:cs="Arial" w:eastAsia="Arial" w:hAnsi="Arial"/>
                <w:sz w:val="17"/>
                <w:szCs w:val="17"/>
                <w:b w:val="1"/>
                <w:bCs w:val="1"/>
                <w:color w:val="auto"/>
              </w:rPr>
              <w:t>Brain Therapeutic</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vMerge w:val="continue"/>
          </w:tcPr>
          <w:p>
            <w:pPr>
              <w:spacing w:after="0"/>
              <w:rPr>
                <w:sz w:val="19"/>
                <w:szCs w:val="19"/>
                <w:color w:val="auto"/>
              </w:rPr>
            </w:pPr>
          </w:p>
        </w:tc>
        <w:tc>
          <w:tcPr>
            <w:tcW w:w="5020" w:type="dxa"/>
            <w:vAlign w:val="bottom"/>
            <w:tcBorders>
              <w:bottom w:val="single" w:sz="8" w:color="auto"/>
            </w:tcBorders>
          </w:tcPr>
          <w:p>
            <w:pPr>
              <w:jc w:val="right"/>
              <w:ind w:right="1093"/>
              <w:spacing w:after="0"/>
              <w:rPr>
                <w:sz w:val="20"/>
                <w:szCs w:val="20"/>
                <w:color w:val="auto"/>
              </w:rPr>
            </w:pPr>
            <w:r>
              <w:rPr>
                <w:rFonts w:ascii="Arial" w:cs="Arial" w:eastAsia="Arial" w:hAnsi="Arial"/>
                <w:sz w:val="17"/>
                <w:szCs w:val="17"/>
                <w:b w:val="1"/>
                <w:bCs w:val="1"/>
                <w:color w:val="auto"/>
              </w:rPr>
              <w:t>Index</w:t>
            </w:r>
          </w:p>
        </w:tc>
        <w:tc>
          <w:tcPr>
            <w:tcW w:w="216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Index</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PRAX-562</w:t>
            </w:r>
          </w:p>
        </w:tc>
        <w:tc>
          <w:tcPr>
            <w:tcW w:w="502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17.2x</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16.4x</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7"/>
                <w:szCs w:val="17"/>
                <w:color w:val="auto"/>
              </w:rPr>
              <w:t>Carbamazepine</w:t>
            </w:r>
          </w:p>
        </w:tc>
        <w:tc>
          <w:tcPr>
            <w:tcW w:w="5020" w:type="dxa"/>
            <w:vAlign w:val="bottom"/>
          </w:tcPr>
          <w:p>
            <w:pPr>
              <w:jc w:val="right"/>
              <w:ind w:right="133"/>
              <w:spacing w:after="0"/>
              <w:rPr>
                <w:sz w:val="20"/>
                <w:szCs w:val="20"/>
                <w:color w:val="auto"/>
              </w:rPr>
            </w:pPr>
            <w:r>
              <w:rPr>
                <w:rFonts w:ascii="Arial" w:cs="Arial" w:eastAsia="Arial" w:hAnsi="Arial"/>
                <w:sz w:val="17"/>
                <w:szCs w:val="17"/>
                <w:color w:val="auto"/>
              </w:rPr>
              <w:t>3.4 x</w:t>
            </w:r>
          </w:p>
        </w:tc>
        <w:tc>
          <w:tcPr>
            <w:tcW w:w="2160" w:type="dxa"/>
            <w:vAlign w:val="bottom"/>
          </w:tcPr>
          <w:p>
            <w:pPr>
              <w:jc w:val="right"/>
              <w:spacing w:after="0"/>
              <w:rPr>
                <w:sz w:val="20"/>
                <w:szCs w:val="20"/>
                <w:color w:val="auto"/>
              </w:rPr>
            </w:pPr>
            <w:r>
              <w:rPr>
                <w:rFonts w:ascii="Arial" w:cs="Arial" w:eastAsia="Arial" w:hAnsi="Arial"/>
                <w:sz w:val="17"/>
                <w:szCs w:val="17"/>
                <w:color w:val="auto"/>
              </w:rPr>
              <w:t>5.9 x</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Lamotrigine</w:t>
            </w:r>
          </w:p>
        </w:tc>
        <w:tc>
          <w:tcPr>
            <w:tcW w:w="50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6.4 x</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x</w:t>
            </w:r>
          </w:p>
        </w:tc>
        <w:tc>
          <w:tcPr>
            <w:tcW w:w="0" w:type="dxa"/>
            <w:vAlign w:val="bottom"/>
          </w:tcPr>
          <w:p>
            <w:pPr>
              <w:spacing w:after="0"/>
              <w:rPr>
                <w:sz w:val="1"/>
                <w:szCs w:val="1"/>
                <w:color w:val="auto"/>
              </w:rPr>
            </w:pPr>
          </w:p>
        </w:tc>
      </w:tr>
      <w:tr>
        <w:trPr>
          <w:trHeight w:val="228"/>
        </w:trPr>
        <w:tc>
          <w:tcPr>
            <w:tcW w:w="4060" w:type="dxa"/>
            <w:vAlign w:val="bottom"/>
          </w:tcPr>
          <w:p>
            <w:pPr>
              <w:spacing w:after="0"/>
              <w:rPr>
                <w:sz w:val="19"/>
                <w:szCs w:val="19"/>
                <w:color w:val="auto"/>
              </w:rPr>
            </w:pPr>
          </w:p>
        </w:tc>
        <w:tc>
          <w:tcPr>
            <w:tcW w:w="7180" w:type="dxa"/>
            <w:vAlign w:val="bottom"/>
            <w:gridSpan w:val="2"/>
          </w:tcPr>
          <w:p>
            <w:pPr>
              <w:jc w:val="right"/>
              <w:spacing w:after="0"/>
              <w:rPr>
                <w:sz w:val="20"/>
                <w:szCs w:val="20"/>
                <w:color w:val="auto"/>
              </w:rPr>
            </w:pPr>
            <w:r>
              <w:rPr>
                <w:rFonts w:ascii="Arial" w:cs="Arial" w:eastAsia="Arial" w:hAnsi="Arial"/>
                <w:sz w:val="17"/>
                <w:szCs w:val="17"/>
                <w:i w:val="1"/>
                <w:iCs w:val="1"/>
                <w:color w:val="auto"/>
              </w:rPr>
              <w:t>Therapeutic Index (TI) = TC</w:t>
            </w:r>
            <w:r>
              <w:rPr>
                <w:rFonts w:ascii="Arial" w:cs="Arial" w:eastAsia="Arial" w:hAnsi="Arial"/>
                <w:sz w:val="15"/>
                <w:szCs w:val="15"/>
                <w:i w:val="1"/>
                <w:iCs w:val="1"/>
                <w:color w:val="auto"/>
              </w:rPr>
              <w:t>50</w:t>
            </w:r>
            <w:r>
              <w:rPr>
                <w:rFonts w:ascii="Arial" w:cs="Arial" w:eastAsia="Arial" w:hAnsi="Arial"/>
                <w:sz w:val="17"/>
                <w:szCs w:val="17"/>
                <w:i w:val="1"/>
                <w:iCs w:val="1"/>
                <w:color w:val="auto"/>
              </w:rPr>
              <w:t>/ EC</w:t>
            </w:r>
            <w:r>
              <w:rPr>
                <w:rFonts w:ascii="Arial" w:cs="Arial" w:eastAsia="Arial" w:hAnsi="Arial"/>
                <w:sz w:val="15"/>
                <w:szCs w:val="15"/>
                <w:i w:val="1"/>
                <w:iCs w:val="1"/>
                <w:color w:val="auto"/>
              </w:rPr>
              <w:t>50</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27. Compared to lamotrigine and carbamazepine, PRAX-562 had an increased ratio between drug levels that demonstrated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preclinical pharmacological activity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versus those that caused toxicity.</w:t>
      </w:r>
    </w:p>
    <w:p>
      <w:pPr>
        <w:spacing w:after="0" w:line="224"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 auditory steady state response, or ASSR, is a non-invasive EEG measure of excitatory/inhibitory balance in the brain. This response is elicited with short lasting (2sec) auditory stimuli that lead to brain activity changes that are measured as a 40Hz EEG signature and depend on network activity between excitatory and inhibitory cortical neurons. We believe that persistent current block has the potential to lead to reduced excitability of the network and will be measurable with this endpoint.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firstLine="433"/>
        <w:spacing w:after="0" w:line="275" w:lineRule="auto"/>
        <w:rPr>
          <w:sz w:val="20"/>
          <w:szCs w:val="20"/>
          <w:color w:val="auto"/>
        </w:rPr>
      </w:pPr>
      <w:r>
        <w:rPr>
          <w:rFonts w:ascii="Arial" w:cs="Arial" w:eastAsia="Arial" w:hAnsi="Arial"/>
          <w:sz w:val="17"/>
          <w:szCs w:val="17"/>
          <w:color w:val="auto"/>
        </w:rPr>
        <w:t>Consistent with this hypothesis, dosing normal mice with PRAX-562 led to a dose-dependent decrease in the ASSR amplitude (40Hz power). This effect was maximal at doses that have robust anticonvulsant effects in the maximal electroshock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98600" cy="1931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98600" cy="193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28. PRAX-562 dose-dependently reduced the 40Hz EEG power of the auditory steady state response in mice.</w:t>
      </w:r>
    </w:p>
    <w:p>
      <w:pPr>
        <w:spacing w:after="0" w:line="246" w:lineRule="exact"/>
        <w:rPr>
          <w:sz w:val="20"/>
          <w:szCs w:val="20"/>
          <w:color w:val="auto"/>
        </w:rPr>
      </w:pPr>
    </w:p>
    <w:p>
      <w:pPr>
        <w:jc w:val="both"/>
        <w:ind w:right="20" w:firstLine="433"/>
        <w:spacing w:after="0" w:line="257" w:lineRule="auto"/>
        <w:rPr>
          <w:sz w:val="20"/>
          <w:szCs w:val="20"/>
          <w:color w:val="auto"/>
        </w:rPr>
      </w:pPr>
      <w:r>
        <w:rPr>
          <w:rFonts w:ascii="Arial" w:cs="Arial" w:eastAsia="Arial" w:hAnsi="Arial"/>
          <w:sz w:val="17"/>
          <w:szCs w:val="17"/>
          <w:color w:val="auto"/>
        </w:rPr>
        <w:t>Together, our data suggest that the selective effects of PRAX-562 on hyperexcitable states without affecting normal neuronal function led to the robust preclinical reduction of seizures and improved tolerability seen in animal models. As shown below, exposures of PRAX-562 that led to biomarker change (ASSR amplitude reduction shown in top row) also demonstrated robust anticonvulsant activity (shown in middle row).</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Moreover, PRAX-562 has a ~16.4 fold protective index based on the spontaneous locomotor activity (shown in bottom row), which is a significant improvement over reported effects of approved sodium channel blockers. In the figure below, the lower bound of the preclinical pharmacological activity range, EEG and tolerability bars is determined by the brain EC</w:t>
      </w:r>
      <w:r>
        <w:rPr>
          <w:rFonts w:ascii="Arial" w:cs="Arial" w:eastAsia="Arial" w:hAnsi="Arial"/>
          <w:sz w:val="15"/>
          <w:szCs w:val="15"/>
          <w:color w:val="auto"/>
        </w:rPr>
        <w:t>50</w:t>
      </w:r>
      <w:r>
        <w:rPr>
          <w:rFonts w:ascii="Arial" w:cs="Arial" w:eastAsia="Arial" w:hAnsi="Arial"/>
          <w:sz w:val="17"/>
          <w:szCs w:val="17"/>
          <w:color w:val="auto"/>
        </w:rPr>
        <w:t xml:space="preserve"> (preclinical seizure and ASSR assays) or TC</w:t>
      </w:r>
      <w:r>
        <w:rPr>
          <w:rFonts w:ascii="Arial" w:cs="Arial" w:eastAsia="Arial" w:hAnsi="Arial"/>
          <w:sz w:val="15"/>
          <w:szCs w:val="15"/>
          <w:color w:val="auto"/>
        </w:rPr>
        <w:t>50</w:t>
      </w:r>
      <w:r>
        <w:rPr>
          <w:rFonts w:ascii="Arial" w:cs="Arial" w:eastAsia="Arial" w:hAnsi="Arial"/>
          <w:sz w:val="17"/>
          <w:szCs w:val="17"/>
          <w:color w:val="auto"/>
        </w:rPr>
        <w:t xml:space="preserve"> (tolerability assay) in a given assay and the upper bound represents the mean brain concentration at the highest dose tested in a given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147320</wp:posOffset>
            </wp:positionV>
            <wp:extent cx="3272790" cy="2198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72790" cy="219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29. Summary of PRAX-562 preclinical data.</w:t>
      </w:r>
    </w:p>
    <w:p>
      <w:pPr>
        <w:spacing w:after="0" w:line="246" w:lineRule="exact"/>
        <w:rPr>
          <w:sz w:val="20"/>
          <w:szCs w:val="20"/>
          <w:color w:val="auto"/>
        </w:rPr>
      </w:pPr>
    </w:p>
    <w:p>
      <w:pPr>
        <w:ind w:right="300" w:firstLine="433"/>
        <w:spacing w:after="0" w:line="275" w:lineRule="auto"/>
        <w:rPr>
          <w:sz w:val="20"/>
          <w:szCs w:val="20"/>
          <w:color w:val="auto"/>
        </w:rPr>
      </w:pPr>
      <w:r>
        <w:rPr>
          <w:rFonts w:ascii="Arial" w:cs="Arial" w:eastAsia="Arial" w:hAnsi="Arial"/>
          <w:sz w:val="17"/>
          <w:szCs w:val="17"/>
          <w:color w:val="auto"/>
        </w:rPr>
        <w:t>Recent preclinical studies with PRAX-562 have demonstrated a dose-dependent and complete prevention of spontaneous seizures in a mouse model of SCN2A GOF DEE and evoked seizures in a human knock-in mouse model of SCN8A DEE.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80" w:firstLine="433"/>
        <w:spacing w:after="0" w:line="266" w:lineRule="auto"/>
        <w:rPr>
          <w:sz w:val="20"/>
          <w:szCs w:val="20"/>
          <w:color w:val="auto"/>
        </w:rPr>
      </w:pPr>
      <w:r>
        <w:rPr>
          <w:rFonts w:ascii="Arial" w:cs="Arial" w:eastAsia="Arial" w:hAnsi="Arial"/>
          <w:sz w:val="17"/>
          <w:szCs w:val="17"/>
          <w:color w:val="auto"/>
        </w:rPr>
        <w:t>We believe that the profile of PRAX-562 may translate into therapies with the potential for clinical efficacy and tolerability across several indications caused by underlying hyperexcitability where standard sodium channel blockers have shown efficacy, albeit with limited tolerability, such as rare pediatric epilepsies and cephalgia like SUNCT/SUNA and TN.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PRAX-562 clinical development in cephalgia and DEEs</w:t>
      </w:r>
    </w:p>
    <w:p>
      <w:pPr>
        <w:spacing w:after="0" w:line="244"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We have initiated a randomized, double-blinded Phase 1 trial in Australia to evaluate the safety, tolerability and pharmacokinetics of single and multiple ascending doses of PRAX-562 in up to 129 adult healthy volunteers between the ages of 18 and 55. In addition, we are using ASSR as an exploratory pharmacodynamic biomarker in this trial to determine the doses required to achieve pharmacological blockade of persistent sodium current, which we believe is a potential indicator of efficacy in patients. Preliminary analysis of the completed SAD cohorts indicate that PRAX-562 is generally well-tolerated up to the maximum planned dose. Safety data reviewed included adverse events, vital signs, ECG, C-SSRS, physical examination and safety laboratory data. There have been no reported SAEs, severe AEs or any AEs leading to study withdrawal or discontinuation as of the safety review committee meeting convened on February 18, 2021. The current trial has advanced to MAD evaluations and maximum observed plasma concentrations achieved in healthy normal subjects, at trough levels, exceed those at the effective concentration 50 (EC50), in the MES mouse model. We are currently at the highest preplanned dose of PRAX-562 in our MAD trial and intend to escalate further if it continues to be generally well-tolerated. We anticipate the initial proof-of-concept trial in SUNCT/SUNA and TN patients to initiate in the second half of 2021.</w:t>
      </w:r>
    </w:p>
    <w:p>
      <w:pPr>
        <w:spacing w:after="0" w:line="200" w:lineRule="exact"/>
        <w:rPr>
          <w:sz w:val="20"/>
          <w:szCs w:val="20"/>
          <w:color w:val="auto"/>
        </w:rPr>
      </w:pPr>
    </w:p>
    <w:p>
      <w:pPr>
        <w:spacing w:after="0" w:line="286" w:lineRule="exact"/>
        <w:rPr>
          <w:sz w:val="20"/>
          <w:szCs w:val="20"/>
          <w:color w:val="auto"/>
        </w:rPr>
      </w:pPr>
    </w:p>
    <w:p>
      <w:pPr>
        <w:ind w:right="280" w:firstLine="433"/>
        <w:spacing w:after="0" w:line="250" w:lineRule="auto"/>
        <w:rPr>
          <w:sz w:val="20"/>
          <w:szCs w:val="20"/>
          <w:color w:val="auto"/>
        </w:rPr>
      </w:pPr>
      <w:r>
        <w:rPr>
          <w:rFonts w:ascii="Arial" w:cs="Arial" w:eastAsia="Arial" w:hAnsi="Arial"/>
          <w:sz w:val="17"/>
          <w:szCs w:val="17"/>
          <w:color w:val="auto"/>
        </w:rPr>
        <w:t>The clinical development plan for PRAX-562 encompasses exploring the broad potential for the mechanism of action in rare diseases through proof-of-concept trials in rare adult cephalgia, then expanding into a range of rare pediatric DEEs. The FDA has granted rare pediatric disease designation for PRAX-562 for the treatment of SCN2A-DEE and SCN8A-DEE.</w:t>
      </w:r>
    </w:p>
    <w:p>
      <w:pPr>
        <w:spacing w:after="0" w:line="189"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Along with our PRAX-562 program, we are developing a portfolio of sodium channel blockers that we plan to advance in other rare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PRAX-222</w:t>
      </w:r>
    </w:p>
    <w:p>
      <w:pPr>
        <w:spacing w:after="0" w:line="115"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PRAX-222 is a program for developing an antisense oligonucleotide for patients with gain-of-function SCN2A epilepsy. This program is ongoing under a three-way collaboration with Ionis Pharmaceuticals, Inc., or Ionis, and RogCon Inc., or RogCon. Under the terms of the collaboration agreement, Ionis is responsible for preclinical and IND-enabling toxicology studies and we are responsible for clinical development and commercialization. The FDA has granted both rare pediatric disease and orphan drug designations for PRAX-222 for the treatment of SCN2A-DEE.</w:t>
      </w:r>
    </w:p>
    <w:p>
      <w:pPr>
        <w:spacing w:after="0" w:line="192"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SCN2A is the gene that encodes the voltage-gated sodium channel Na</w:t>
      </w:r>
      <w:r>
        <w:rPr>
          <w:rFonts w:ascii="Arial" w:cs="Arial" w:eastAsia="Arial" w:hAnsi="Arial"/>
          <w:sz w:val="15"/>
          <w:szCs w:val="15"/>
          <w:color w:val="auto"/>
        </w:rPr>
        <w:t>V</w:t>
      </w:r>
      <w:r>
        <w:rPr>
          <w:rFonts w:ascii="Arial" w:cs="Arial" w:eastAsia="Arial" w:hAnsi="Arial"/>
          <w:sz w:val="17"/>
          <w:szCs w:val="17"/>
          <w:color w:val="auto"/>
        </w:rPr>
        <w:t>1.2 that is primarily found in excitatory neurons throughout the brain and which plays a critical role in action potential generation and signaling between neurons. Individuals with gain-of-function mutations in SCN2A develop early-onset epileptic encephalopathy with severe seizures that begin within the first month of life that are often refractory to standard of care antiepileptic medications. SCN2A GOF DEE patients also suffer from significant intellectual disability, movement disorders and in some cases early death due to sudden unexpected death in epilepsy, or SUDEP. It is estimated that there are thousands of patients worldwide with gain-of-function changes in SCN2A leading to epileptic encephalopathy.</w:t>
      </w:r>
    </w:p>
    <w:p>
      <w:pPr>
        <w:spacing w:after="0" w:line="193"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Candidate ASOs under the PRAX-222 program directly target the cause of disease by down-regulating Na</w:t>
      </w:r>
      <w:r>
        <w:rPr>
          <w:rFonts w:ascii="Arial" w:cs="Arial" w:eastAsia="Arial" w:hAnsi="Arial"/>
          <w:sz w:val="15"/>
          <w:szCs w:val="15"/>
          <w:color w:val="auto"/>
        </w:rPr>
        <w:t>V</w:t>
      </w:r>
      <w:r>
        <w:rPr>
          <w:rFonts w:ascii="Arial" w:cs="Arial" w:eastAsia="Arial" w:hAnsi="Arial"/>
          <w:sz w:val="17"/>
          <w:szCs w:val="17"/>
          <w:color w:val="auto"/>
        </w:rPr>
        <w:t>1.2 expression, an effect that has demonstrated disease-modifying activity in animal models of SCN2A epileptic encephalopathy. In transgenic mice carrying a human SCN2A GOF mutation, we observed a significant, dose-dependent reduction in seizures and increased survival of mice treated with a mouse ASO that down-regulates SCN2A. The survival benefit from the ASO was maintained with repeat dosing. We also observed survival benefits following administration of a mouse ASO to a group of mice after onset of disease and around the time of onset of mortality. This observation suggests that candidate ASOs of the PRAX-222 program may have the potential to provide clinical benefits for children after disease onset. The ASO-treated disease model animals demonstrated similar behavior and locomotor activity as wild type animals, suggesting SCN2A knockdown is generally well-tolerated and that the benefits extend beyond seizure control alone.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386080</wp:posOffset>
            </wp:positionV>
            <wp:extent cx="5029200" cy="1864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29200" cy="186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30. An SCN2A ASO increased survival in a SCN2A gain-of-function mouse model.</w:t>
      </w:r>
    </w:p>
    <w:p>
      <w:pPr>
        <w:spacing w:after="0" w:line="351"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Our lead candidate is currently undergoing evaluation in IND-enabling toxicology studies, which are expected to be completed by the end of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Program</w:t>
      </w:r>
    </w:p>
    <w:p>
      <w:pPr>
        <w:spacing w:after="0" w:line="102"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We are currently identifying small molecule inhibitors of the sodium-activated potassium channel encoded by the gene KCNT1 for the treatment of KCNT1 GOF epilepsy. Potassium channels encoded by the KCNT1 gene play a key role in regulating neuronal AP firing. Gain-of-function KCNT1 mutations promote neuronal hyperexcitability, resulting in severe early onset epilepsy with continuous seizures and severe developmental delay, affecting thousands of patients worldwide. KCNT1 GOF epilepsy is often refractory to conventional treatment approaches. Anticonvulsants, such as stiripentol, benzodiazepines, levetiracetam and ketogenic diet, have all demonstrated limited efficacy.</w:t>
      </w:r>
    </w:p>
    <w:p>
      <w:pPr>
        <w:spacing w:after="0" w:line="19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 xml:space="preserve">Genetically lowering KCNT1 expression in transgenic mice carrying a KCNT1 human GOF mutation has been reported to result in disease modifying preclinical activity including seizure reduction, improved cognitive function and survival benefit. Through chemical optimization of the potency and pharmacokinetic properties of hits from a high-throughput screen, we have identified novel small molecule inhibitors of KCNT1. These inhibitors restored normal action potential firing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in KCNT1 GOF mutant neurons and reduce seizure and abnormal interictal spikes </w:t>
      </w:r>
      <w:r>
        <w:rPr>
          <w:rFonts w:ascii="Arial" w:cs="Arial" w:eastAsia="Arial" w:hAnsi="Arial"/>
          <w:sz w:val="17"/>
          <w:szCs w:val="17"/>
          <w:i w:val="1"/>
          <w:iCs w:val="1"/>
          <w:color w:val="auto"/>
        </w:rPr>
        <w:t xml:space="preserve">in-vivo </w:t>
      </w:r>
      <w:r>
        <w:rPr>
          <w:rFonts w:ascii="Arial" w:cs="Arial" w:eastAsia="Arial" w:hAnsi="Arial"/>
          <w:sz w:val="17"/>
          <w:szCs w:val="17"/>
          <w:color w:val="auto"/>
        </w:rPr>
        <w:t>in transgenic mice carrying a KCNT1 human GOF mutation, recapitulating the reported disease modifying preclinical activity demonstrated</w:t>
      </w:r>
      <w:r>
        <w:rPr>
          <w:rFonts w:ascii="Arial" w:cs="Arial" w:eastAsia="Arial" w:hAnsi="Arial"/>
          <w:sz w:val="17"/>
          <w:szCs w:val="17"/>
          <w:i w:val="1"/>
          <w:iCs w:val="1"/>
          <w:color w:val="auto"/>
        </w:rPr>
        <w:t xml:space="preserve"> </w:t>
      </w:r>
      <w:r>
        <w:rPr>
          <w:rFonts w:ascii="Arial" w:cs="Arial" w:eastAsia="Arial" w:hAnsi="Arial"/>
          <w:sz w:val="17"/>
          <w:szCs w:val="17"/>
          <w:color w:val="auto"/>
        </w:rPr>
        <w:t>by genetic tools.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386080</wp:posOffset>
            </wp:positionV>
            <wp:extent cx="5029200" cy="21316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29200"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340" w:right="200"/>
        <w:spacing w:after="0" w:line="302" w:lineRule="auto"/>
        <w:rPr>
          <w:sz w:val="20"/>
          <w:szCs w:val="20"/>
          <w:color w:val="auto"/>
        </w:rPr>
      </w:pPr>
      <w:r>
        <w:rPr>
          <w:rFonts w:ascii="Arial" w:cs="Arial" w:eastAsia="Arial" w:hAnsi="Arial"/>
          <w:sz w:val="17"/>
          <w:szCs w:val="17"/>
          <w:b w:val="1"/>
          <w:bCs w:val="1"/>
          <w:color w:val="auto"/>
        </w:rPr>
        <w:t>Figure 31. A KCNT1 inhibitor eliminated the occurrence of seizures in a KCNT1 transgenic mouse model and suppressed interictal spikes (or abnormal electrographic discharges observed between seizures) as detected by EEG</w:t>
      </w:r>
    </w:p>
    <w:p>
      <w:pPr>
        <w:spacing w:after="0" w:line="160" w:lineRule="exact"/>
        <w:rPr>
          <w:sz w:val="20"/>
          <w:szCs w:val="20"/>
          <w:color w:val="auto"/>
        </w:rPr>
      </w:pPr>
    </w:p>
    <w:p>
      <w:pPr>
        <w:ind w:right="400" w:firstLine="433"/>
        <w:spacing w:after="0" w:line="275" w:lineRule="auto"/>
        <w:rPr>
          <w:sz w:val="20"/>
          <w:szCs w:val="20"/>
          <w:color w:val="auto"/>
        </w:rPr>
      </w:pPr>
      <w:r>
        <w:rPr>
          <w:rFonts w:ascii="Arial" w:cs="Arial" w:eastAsia="Arial" w:hAnsi="Arial"/>
          <w:sz w:val="17"/>
          <w:szCs w:val="17"/>
          <w:color w:val="auto"/>
        </w:rPr>
        <w:t>We are continuing to optimize the chemical structures of our molecules targeting KCNT1 channels and expect to select a development candidate in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Novel Collaborations in Rare Epilepsies</w:t>
      </w:r>
    </w:p>
    <w:p>
      <w:pPr>
        <w:spacing w:after="0" w:line="246" w:lineRule="exact"/>
        <w:rPr>
          <w:sz w:val="20"/>
          <w:szCs w:val="20"/>
          <w:color w:val="auto"/>
        </w:rPr>
      </w:pPr>
    </w:p>
    <w:p>
      <w:pPr>
        <w:ind w:firstLine="433"/>
        <w:spacing w:after="0" w:line="247" w:lineRule="auto"/>
        <w:rPr>
          <w:sz w:val="20"/>
          <w:szCs w:val="20"/>
          <w:color w:val="auto"/>
        </w:rPr>
      </w:pPr>
      <w:r>
        <w:rPr>
          <w:rFonts w:ascii="Arial" w:cs="Arial" w:eastAsia="Arial" w:hAnsi="Arial"/>
          <w:sz w:val="17"/>
          <w:szCs w:val="17"/>
          <w:color w:val="auto"/>
        </w:rPr>
        <w:t>We have entered into a research collaboration with The Florey Institute of Neuroscience and Mental Health to develop three novel ASOs for the treatment of SCN2A loss of function mutations and two additional rare epilepsy targets. This partnership expands our rare epilepsy drug development efforts with six distinct programs for the treatment of six different rare epilepsies. This demonstrates our commitment to leading sodium channel research and particularly in the Nav1.2 channel which the SCN2A gene encodes.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 and small pharmaceutical and biotechnology companies, academic research institutions, governmental agencies and public and private institutions.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 promotional support and intellectual property protection of our products. Our competitors fall primarily into the following groups of treatment:</w:t>
      </w:r>
    </w:p>
    <w:p>
      <w:pPr>
        <w:spacing w:after="0" w:line="192" w:lineRule="exact"/>
        <w:rPr>
          <w:sz w:val="20"/>
          <w:szCs w:val="20"/>
          <w:color w:val="auto"/>
        </w:rPr>
      </w:pPr>
    </w:p>
    <w:p>
      <w:pPr>
        <w:ind w:left="800" w:right="120" w:hanging="323"/>
        <w:spacing w:after="0" w:line="275" w:lineRule="auto"/>
        <w:tabs>
          <w:tab w:leader="none" w:pos="7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GABA</w:t>
      </w:r>
      <w:r>
        <w:rPr>
          <w:rFonts w:ascii="Arial" w:cs="Arial" w:eastAsia="Arial" w:hAnsi="Arial"/>
          <w:sz w:val="15"/>
          <w:szCs w:val="15"/>
          <w:color w:val="auto"/>
        </w:rPr>
        <w:t>A</w:t>
      </w:r>
      <w:r>
        <w:rPr>
          <w:rFonts w:ascii="Arial" w:cs="Arial" w:eastAsia="Arial" w:hAnsi="Arial"/>
          <w:sz w:val="17"/>
          <w:szCs w:val="17"/>
          <w:color w:val="auto"/>
        </w:rPr>
        <w:t xml:space="preserve"> receptor modulator programs in development targeting MDD, including that of SAGE Therapeutics, as well as other programs in clinical development targeting other mechanisms of action and approved therapies such as SSRIs.</w:t>
      </w:r>
    </w:p>
    <w:p>
      <w:pPr>
        <w:spacing w:after="0" w:line="76" w:lineRule="exact"/>
        <w:rPr>
          <w:rFonts w:ascii="Arial" w:cs="Arial" w:eastAsia="Arial" w:hAnsi="Arial"/>
          <w:sz w:val="17"/>
          <w:szCs w:val="17"/>
          <w:color w:val="auto"/>
        </w:rPr>
      </w:pPr>
    </w:p>
    <w:p>
      <w:pPr>
        <w:ind w:left="800" w:right="100" w:hanging="323"/>
        <w:spacing w:after="0" w:line="266" w:lineRule="auto"/>
        <w:tabs>
          <w:tab w:leader="none" w:pos="7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T-type calcium channel inhibitor programs in development targeting ET, including that of Jazz Pharmaceuticals and Neurocrine Biosciences, as well as other programs in clinical development targeting other mechanisms of action and approved therapies, such as propranolol, and off-label therapies, such as primidone.</w:t>
      </w:r>
    </w:p>
    <w:p>
      <w:pPr>
        <w:spacing w:after="0" w:line="84" w:lineRule="exact"/>
        <w:rPr>
          <w:rFonts w:ascii="Arial" w:cs="Arial" w:eastAsia="Arial" w:hAnsi="Arial"/>
          <w:sz w:val="17"/>
          <w:szCs w:val="17"/>
          <w:color w:val="auto"/>
        </w:rPr>
      </w:pPr>
    </w:p>
    <w:p>
      <w:pPr>
        <w:ind w:left="800" w:right="60" w:hanging="323"/>
        <w:spacing w:after="0" w:line="266" w:lineRule="auto"/>
        <w:tabs>
          <w:tab w:leader="none" w:pos="7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Sodium channel blocker programs in development for DEEs, including those of SK-Pharma, Xenon Pharmaceuticals and Neurocrine Biosciences, as well as other programs in clinical development targeting other mechanisms of action and approved therapies including other existing ion channel blockers.</w:t>
      </w:r>
    </w:p>
    <w:p>
      <w:pPr>
        <w:spacing w:after="0" w:line="84" w:lineRule="exact"/>
        <w:rPr>
          <w:rFonts w:ascii="Arial" w:cs="Arial" w:eastAsia="Arial" w:hAnsi="Arial"/>
          <w:sz w:val="17"/>
          <w:szCs w:val="17"/>
          <w:color w:val="auto"/>
        </w:rPr>
      </w:pPr>
    </w:p>
    <w:p>
      <w:pPr>
        <w:ind w:left="800" w:right="100" w:hanging="323"/>
        <w:spacing w:after="0" w:line="275" w:lineRule="auto"/>
        <w:tabs>
          <w:tab w:leader="none" w:pos="7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Treatments for TN include anticonvulsive medications, such as carbamazepine as well as various procedures or surgical interventions (vascular decompression or gamma knife). We are not aware of 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0" w:right="580"/>
        <w:spacing w:after="0" w:line="275" w:lineRule="auto"/>
        <w:rPr>
          <w:sz w:val="20"/>
          <w:szCs w:val="20"/>
          <w:color w:val="auto"/>
        </w:rPr>
      </w:pPr>
      <w:r>
        <w:rPr>
          <w:rFonts w:ascii="Arial" w:cs="Arial" w:eastAsia="Arial" w:hAnsi="Arial"/>
          <w:sz w:val="17"/>
          <w:szCs w:val="17"/>
          <w:color w:val="auto"/>
        </w:rPr>
        <w:t>development programs targeting SUNCT and SUNA, but we may face competition from off-label therapies such as intravenous lidocaine.</w:t>
      </w:r>
    </w:p>
    <w:p>
      <w:pPr>
        <w:spacing w:after="0" w:line="181" w:lineRule="exact"/>
        <w:rPr>
          <w:sz w:val="20"/>
          <w:szCs w:val="20"/>
          <w:color w:val="auto"/>
        </w:rPr>
      </w:pPr>
    </w:p>
    <w:p>
      <w:pPr>
        <w:jc w:val="both"/>
        <w:ind w:right="540" w:firstLine="433"/>
        <w:spacing w:after="0" w:line="266" w:lineRule="auto"/>
        <w:rPr>
          <w:sz w:val="20"/>
          <w:szCs w:val="20"/>
          <w:color w:val="auto"/>
        </w:rPr>
      </w:pPr>
      <w:r>
        <w:rPr>
          <w:rFonts w:ascii="Arial" w:cs="Arial" w:eastAsia="Arial" w:hAnsi="Arial"/>
          <w:sz w:val="17"/>
          <w:szCs w:val="17"/>
          <w:color w:val="auto"/>
        </w:rPr>
        <w:t>Many of our competitors have substantially greater financial resources, expertise and capabilities in research and development, the regulatory approval process, manufacturing and marketing than we do. Smaller or early-stage companies may also prove to be significant competitors, particularly through M&amp;A activity and sizeable collaborative arrangements with established companies.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2"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protection afforded through data exclusivity, market exclusivity and patent term extensions, where available.</w:t>
      </w:r>
    </w:p>
    <w:p>
      <w:pPr>
        <w:spacing w:after="0" w:line="19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00"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GABA</w:t>
      </w:r>
      <w:r>
        <w:rPr>
          <w:rFonts w:ascii="Arial" w:cs="Arial" w:eastAsia="Arial" w:hAnsi="Arial"/>
          <w:sz w:val="15"/>
          <w:szCs w:val="15"/>
          <w:i w:val="1"/>
          <w:iCs w:val="1"/>
          <w:color w:val="auto"/>
        </w:rPr>
        <w:t>A</w:t>
      </w:r>
      <w:r>
        <w:rPr>
          <w:rFonts w:ascii="Arial" w:cs="Arial" w:eastAsia="Arial" w:hAnsi="Arial"/>
          <w:sz w:val="17"/>
          <w:szCs w:val="17"/>
          <w:i w:val="1"/>
          <w:iCs w:val="1"/>
          <w:color w:val="auto"/>
        </w:rPr>
        <w:t xml:space="preserve"> receptor positive allosteric modulators</w:t>
      </w:r>
    </w:p>
    <w:p>
      <w:pPr>
        <w:spacing w:after="0" w:line="242" w:lineRule="exact"/>
        <w:rPr>
          <w:sz w:val="20"/>
          <w:szCs w:val="20"/>
          <w:color w:val="auto"/>
        </w:rPr>
      </w:pPr>
    </w:p>
    <w:p>
      <w:pPr>
        <w:ind w:right="80" w:firstLine="433"/>
        <w:spacing w:after="0" w:line="243" w:lineRule="auto"/>
        <w:rPr>
          <w:sz w:val="20"/>
          <w:szCs w:val="20"/>
          <w:color w:val="auto"/>
        </w:rPr>
      </w:pPr>
      <w:r>
        <w:rPr>
          <w:rFonts w:ascii="Arial" w:cs="Arial" w:eastAsia="Arial" w:hAnsi="Arial"/>
          <w:sz w:val="17"/>
          <w:szCs w:val="17"/>
          <w:color w:val="auto"/>
        </w:rPr>
        <w:t>We own eight patent families directed to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modulators. One family discloses and claims salts and polymorphs of PRAX-114, including the lead clinical candidate citrate salt of PRAX-114. Two patents covering the clinical candidate salt have granted in the United States (U.S. 10,562,930 and U.S. 10,927,141) and applications in other potentially commercially relevant jurisdictions are pending, which expire in 2039. A second family covers various methods of use, including treatment of the current lead clinical indication, major depressive disorder, with PRAX-114. This patent family has 2 pending applications, which expire in December 2039. A third family is directed to methods of treating various perimenopausal symptoms with PRAX-114. This family has one pending application and expires in 2040. A fourth family is directed to methods of treating mood disorders (including depression) with combinations of GABA-PAMs (including PRAX-114) with NMDA antagonists, NMDA Negative Allosteric Modulators or NMDA partial agonists. This family has one application and expires in 2040. A fifth family covers deuterated forms of PRAX-114. This has one pending application and expires in February 2041. Five additional U.S. provisional applications have been filed, two covering methods of treating adjustment disorder with PRAX-114; two covering improved methods of treating depression with an evening dose of PRAX-114; and one covering a potential alternative clinical candidate salt of PRAX-114.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T-type Calcium channel blockers</w:t>
      </w:r>
    </w:p>
    <w:p>
      <w:pPr>
        <w:spacing w:after="0" w:line="242"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We own five patent families directed to T-type Calcium channel blockers. One family discloses and claims compositions of matter of certain T-type calcium channel modulators, including PRAX-944. This patent family is issued in many major pharmaceutical markets and is pending in others, and expires in 2029. A second family is directed to methods of use of certain T-type calcium channel modulators, including PRAX-944, in treating disease such as epilepsy. This patent family is pending in the United States and expires in December 2037. A third patent family is directed to certain pharmaceutical formulations of PRAX-944 and methods of use in treating disorders such as essential tremor. This patent family is pending in multiple jurisdictions of potential commercial interest. A fourth family is directed to methods of use of PRAX-944. This family is composed of three provisional applications. A fifth</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patent family is directed to certain analog compounds of PRAX-944. This patent family is composed of three provisional applications.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Persistent sodium current blockers</w:t>
      </w:r>
    </w:p>
    <w:p>
      <w:pPr>
        <w:spacing w:after="0" w:line="242"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We own sixteen patent families directed to persistent sodium current blockers including three patent families that relate to our PRAX-562 program and thirteen families related to other persistent sodium current blockers. Additionally, we have in-licensed one patent family.</w:t>
      </w:r>
    </w:p>
    <w:p>
      <w:pPr>
        <w:spacing w:after="0" w:line="18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Regarding the three families directed to our PRAX-562 program, one family discloses and claims certain persistent sodium current blockers, including PRAX-562, and methods of use in treating diseases such as pediatric epilepsy. This family is pending in multiple jurisdictions, and expires in 2039. A second family discloses other persistent sodium current blockers and generically claims PRAX-562. This family also claims methods of use of the claimed compounds in treating diseases such as pediatric epilepsy. This patent family is pending in multiple jurisdictions, and expires in 2037. A third family is directed to pharmaceutical formulations of PRAX-562, methods of use in treating diseases such as pediatric epilepsy, cephalgia, SUNCT and SUNA and methods of making PRAX-562. This family is pending. A fourth family is directed to methods of use of persistent sodium current blockers, including PRAX-562, in treating diseases such as cephalgia, SUNCT and SUNA. This family is composed of two provisional applications.</w:t>
      </w:r>
    </w:p>
    <w:p>
      <w:pPr>
        <w:spacing w:after="0" w:line="19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 remaining thirteen patent families are directed to a portfolio of sodium channel blockers that we plan to advance in other neuropsychiatric disorders. Eleven patent families disclose and claim persistent sodium current blockers of various core structures and methods of use in treating diseases such as pediatric epilepsy, which include nine families pending in the United States, expiring between 2037 and 2040, and two families pending, expiring between 2039 and 2040. Two families are directed to methods of use of certain persistent sodium current blockers in treating diseases such as cephalgia, SUNCT and SUNA. The two families are composed of four provisional applications.</w:t>
      </w:r>
    </w:p>
    <w:p>
      <w:pPr>
        <w:spacing w:after="0" w:line="192" w:lineRule="exact"/>
        <w:rPr>
          <w:sz w:val="20"/>
          <w:szCs w:val="20"/>
          <w:color w:val="auto"/>
        </w:rPr>
      </w:pPr>
    </w:p>
    <w:p>
      <w:pPr>
        <w:ind w:right="80" w:firstLine="433"/>
        <w:spacing w:after="0" w:line="250" w:lineRule="auto"/>
        <w:rPr>
          <w:sz w:val="20"/>
          <w:szCs w:val="20"/>
          <w:color w:val="auto"/>
        </w:rPr>
      </w:pPr>
      <w:r>
        <w:rPr>
          <w:rFonts w:ascii="Arial" w:cs="Arial" w:eastAsia="Arial" w:hAnsi="Arial"/>
          <w:sz w:val="17"/>
          <w:szCs w:val="17"/>
          <w:color w:val="auto"/>
        </w:rPr>
        <w:t>We have exclusively in-licensed one patent family directed to additional persistent sodium current blockers. This family is owned by Gilead. This family has claims directed to certain persistent sodium current blockers and methods of use. This patent family is issued in multiple jurisdictions of potential commercial interest and is pending in other jurisdictions of interest, and expires in 2030.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KCNT1 blockers</w:t>
      </w:r>
    </w:p>
    <w:p>
      <w:pPr>
        <w:spacing w:after="0" w:line="242" w:lineRule="exact"/>
        <w:rPr>
          <w:sz w:val="20"/>
          <w:szCs w:val="20"/>
          <w:color w:val="auto"/>
        </w:rPr>
      </w:pPr>
    </w:p>
    <w:p>
      <w:pPr>
        <w:ind w:right="400" w:firstLine="433"/>
        <w:spacing w:after="0" w:line="275" w:lineRule="auto"/>
        <w:rPr>
          <w:sz w:val="20"/>
          <w:szCs w:val="20"/>
          <w:color w:val="auto"/>
        </w:rPr>
      </w:pPr>
      <w:r>
        <w:rPr>
          <w:rFonts w:ascii="Arial" w:cs="Arial" w:eastAsia="Arial" w:hAnsi="Arial"/>
          <w:sz w:val="17"/>
          <w:szCs w:val="17"/>
          <w:color w:val="auto"/>
        </w:rPr>
        <w:t>We own ten patent families directed to KCNT1 blockers including nine families related to our KCNT1 program and one family related to antisense oligonucleotides.</w:t>
      </w:r>
    </w:p>
    <w:p>
      <w:pPr>
        <w:spacing w:after="0" w:line="181"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Nine patent families are directed to our KCNT1 program and disclose and claim small molecule KCNT1 blockers and methods of use in treating diseases such as epilepsy, including epilepsy having certain KCNT1 mutations. Three families are pending as PCTs, and expire in 2040 or 2041. Six families are provisional applications.</w:t>
      </w:r>
    </w:p>
    <w:p>
      <w:pPr>
        <w:spacing w:after="0" w:line="189" w:lineRule="exact"/>
        <w:rPr>
          <w:sz w:val="20"/>
          <w:szCs w:val="20"/>
          <w:color w:val="auto"/>
        </w:rPr>
      </w:pPr>
    </w:p>
    <w:p>
      <w:pPr>
        <w:ind w:right="320" w:firstLine="433"/>
        <w:spacing w:after="0" w:line="259" w:lineRule="auto"/>
        <w:rPr>
          <w:sz w:val="20"/>
          <w:szCs w:val="20"/>
          <w:color w:val="auto"/>
        </w:rPr>
      </w:pPr>
      <w:r>
        <w:rPr>
          <w:rFonts w:ascii="Arial" w:cs="Arial" w:eastAsia="Arial" w:hAnsi="Arial"/>
          <w:sz w:val="17"/>
          <w:szCs w:val="17"/>
          <w:color w:val="auto"/>
        </w:rPr>
        <w:t>One family is directed to certain antisense oligonucleotides and methods of use in treating diseases such as epilepsy, including epilepsy having certain KCNT1 mutations. This family is pending and expires in December 2039.</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SCN2A downregulation</w:t>
      </w:r>
    </w:p>
    <w:p>
      <w:pPr>
        <w:spacing w:after="0" w:line="242"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We have exclusively in-licensed two patent families directed to our SCN2A program. These patent families are owned by RogCon. These families disclose and claim certain antisense oligonucleotides targeting SCN2A and methods of use in treating diseases such as epilepsy, including epilepsy having certain SCN2A mutations. One family is pending in the United States and expires in August 2039. A second family is pending as a PCT in which the claims are directed to methods of treating an SCN1A encephalopathy.</w:t>
      </w:r>
    </w:p>
    <w:p>
      <w:pPr>
        <w:spacing w:after="0" w:line="192"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We own one patent family directed to our PRAX-222 program and a method of treating SCN2A gain of function neurological diseases using certain antisense oligonucelotides. This patent family is pending as a provisional application.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have an exclusive option to in-license one patent family directed to compositions of matter of PRAX-222. This patent family is owned by Ionis and pending as a provisional application.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 with RogCon</w:t>
      </w:r>
    </w:p>
    <w:p>
      <w:pPr>
        <w:spacing w:after="0" w:line="111" w:lineRule="exact"/>
        <w:rPr>
          <w:sz w:val="20"/>
          <w:szCs w:val="20"/>
          <w:color w:val="auto"/>
        </w:rPr>
      </w:pPr>
    </w:p>
    <w:p>
      <w:pPr>
        <w:ind w:right="60" w:firstLine="433"/>
        <w:spacing w:after="0" w:line="257" w:lineRule="auto"/>
        <w:rPr>
          <w:sz w:val="20"/>
          <w:szCs w:val="20"/>
          <w:color w:val="auto"/>
        </w:rPr>
      </w:pPr>
      <w:r>
        <w:rPr>
          <w:rFonts w:ascii="Arial" w:cs="Arial" w:eastAsia="Arial" w:hAnsi="Arial"/>
          <w:sz w:val="17"/>
          <w:szCs w:val="17"/>
          <w:color w:val="auto"/>
        </w:rPr>
        <w:t>In September 2019, we and RogCon entered into a Cooperation and License Agreement, or the RogCon Agreement, to collaborate to develop antisense oligonucleotides for the treatment of epilepsy caused by mutations of the SCN2A gene. RogCon had an existing collaboration arrangement with Ionis and as a result, we and Ionis negotiated a Research Collaboration, Option and License Agreement, or the Ionis Agreement, (described below) in order to complete the license agreement with RogCon. In December 2018, we entered into an agreement with RogCon to advance to them a fully refundable deposit of up to $1.0 million while the RogCon Agreement was being negotiated. Under the RogCon Agreement, RogCon granted us, subject to a concurrent license grant of certain rights to Ionis, an exclusive, worldwide license under RogCon’s intellectual property to research, develop and commercialize products for the treatment of all forms of epilepsy and/or neurodevelopmental disorders in each case caused by any mutation of the SCN2A gene. Under the RogCon Agreement, we will conduct, at our own cost and expense, the research and development activities assigned to us under the research plan set out in the Research Collaboration, Option and License Agreement with Ionis. Under the terms of the RogCon Agreement, RogCon is eligible to receive a one-time milestone payment of $3.0 million as well as profit share payments as a percentage of net profits in the mid-teens. Profit share payments will be calculated and due quarterly on any net profits generated from a product commercialized under the RogCon Agreement. The $ 3.0 million milestone payment will become due when (i) the first profit share payment has become due and payable and (ii) the Additional Milestone, the Initial Interest Amount and the Second Interest Amount (each as defined within the Ionis Agreement as described below) have all become due and payable to Ionis under our collaboration agreement with Ionis. As part of the RogCon Agreement, we agreed to provide up-front consideration of</w:t>
      </w:r>
    </w:p>
    <w:p>
      <w:pPr>
        <w:spacing w:after="0" w:line="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$2.1 million, consisting of a $1.0 million deposit, $ 0.7 million in cash reimbursements for certain historical costs previously incurred by RogCon and $0.4 million for the retirement of existing loan balances as of September 11, 2019.</w:t>
      </w:r>
    </w:p>
    <w:p>
      <w:pPr>
        <w:spacing w:after="0" w:line="181" w:lineRule="exact"/>
        <w:rPr>
          <w:sz w:val="20"/>
          <w:szCs w:val="20"/>
          <w:color w:val="auto"/>
        </w:rPr>
      </w:pPr>
    </w:p>
    <w:p>
      <w:pPr>
        <w:ind w:right="260" w:firstLine="433"/>
        <w:spacing w:after="0" w:line="266" w:lineRule="auto"/>
        <w:rPr>
          <w:sz w:val="20"/>
          <w:szCs w:val="20"/>
          <w:color w:val="auto"/>
        </w:rPr>
      </w:pPr>
      <w:r>
        <w:rPr>
          <w:rFonts w:ascii="Arial" w:cs="Arial" w:eastAsia="Arial" w:hAnsi="Arial"/>
          <w:sz w:val="17"/>
          <w:szCs w:val="17"/>
          <w:color w:val="auto"/>
        </w:rPr>
        <w:t>Subsequent to September 11, 2019, we will reimburse RogCon for its out-of-pocket costs incurred for activities performed under the RogCon Agreement. We expense these costs as incurred as research and development. Since the acquisition date, we expensed $0.2 million and $0.1 million related to the reimbursement of RogCon’s out-of-pocket costs in the years ended December 31, 2020 and 2019, respectively.</w:t>
      </w:r>
    </w:p>
    <w:p>
      <w:pPr>
        <w:spacing w:after="0" w:line="18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98" w:lineRule="exact"/>
        <w:rPr>
          <w:sz w:val="20"/>
          <w:szCs w:val="20"/>
          <w:color w:val="auto"/>
        </w:rPr>
      </w:pPr>
    </w:p>
    <w:p>
      <w:pPr>
        <w:ind w:right="220" w:firstLine="433"/>
        <w:spacing w:after="0" w:line="259" w:lineRule="auto"/>
        <w:rPr>
          <w:sz w:val="20"/>
          <w:szCs w:val="20"/>
          <w:color w:val="auto"/>
        </w:rPr>
      </w:pPr>
      <w:r>
        <w:rPr>
          <w:rFonts w:ascii="Arial" w:cs="Arial" w:eastAsia="Arial" w:hAnsi="Arial"/>
          <w:sz w:val="17"/>
          <w:szCs w:val="17"/>
          <w:color w:val="auto"/>
        </w:rPr>
        <w:t>In September 2019, we and Ionis entered into the Ionis Agreement to discover and develop antisense oligonucleotides to treat forms of epilepsy caused by mutations of the SCN2A gene. Pursuant to the Ionis Agreement, we and Ionis will each conduct certain research activities and Ionis will be responsible for identifying a development candidate and conducting an IND-enabling toxicology study. The design of the IND-enabling toxicology study will be prepared and mutually agreed to by us and Ionis. We are obligated to reimburse any out-of-pocket costs incurred by Ionis related to research activities, identification of a development candidate and conducting IND-enabling studies. We hold an exclusive option, which we may exercise following the results of the IND-enabling toxicology study, to obtain the rights and license to further develop and commercialize a development candidate in the field of epilepsy and neurodevelopmental disorders, other than Dravet Syndrome. Upon the exercise of such option, we will be required to pay Ionis a $ 2.0 million license fee. In addition, after option exercise,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200" w:lineRule="exact"/>
        <w:rPr>
          <w:sz w:val="20"/>
          <w:szCs w:val="20"/>
          <w:color w:val="auto"/>
        </w:rPr>
      </w:pPr>
    </w:p>
    <w:p>
      <w:pPr>
        <w:spacing w:after="0" w:line="208"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following (each, a Payment Trigger): (i) the first acceptance of an NDA filing for a product by the regulatory authority 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w:t>
      </w:r>
    </w:p>
    <w:p>
      <w:pPr>
        <w:spacing w:after="0" w:line="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$100.0 million has been received, (ii) a change in control event affecting Praxis occurs or (iii) the Ionis Agreement has been terminated. Upon the occurrence of one of these three payment triggers, both the Initial Interest Amount and Second Interest Amount are due and payable to Ionis.</w:t>
      </w:r>
    </w:p>
    <w:p>
      <w:pPr>
        <w:spacing w:after="0" w:line="181"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The Ionis Agreement will continue in full force and effect until the expiration of all payment obligations to Ionis, unless terminated earlier by either party. Either party may terminate the agreement upon material breach or insolvency of the other party or if Ionis is unable to identify a development candidate. Praxis is able to terminate the Ionis Agreement for convenience with prior written notice. Ionis may terminate if we fail to achieve certain performance milestones or Ionis’ failure to identify a development candidate. Upon termination by us for convenience, we will stop selling all products, subject to certain wind-down provisions and all products will revert back to Ionis.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 with Purdue</w:t>
      </w:r>
    </w:p>
    <w:p>
      <w:pPr>
        <w:spacing w:after="0" w:line="98"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December 2017, we and Purdue Neuroscience Company, or Purdue, entered into a license agreement, or the Purdue Agreement, pursuant to which we were granted exclusive rights under certain Purdue know-how to research, develop and commercialize pharmaceutical products concerning a GABA</w:t>
      </w:r>
      <w:r>
        <w:rPr>
          <w:rFonts w:ascii="Arial" w:cs="Arial" w:eastAsia="Arial" w:hAnsi="Arial"/>
          <w:sz w:val="15"/>
          <w:szCs w:val="15"/>
          <w:color w:val="auto"/>
        </w:rPr>
        <w:t>A</w:t>
      </w:r>
      <w:r>
        <w:rPr>
          <w:rFonts w:ascii="Arial" w:cs="Arial" w:eastAsia="Arial" w:hAnsi="Arial"/>
          <w:sz w:val="17"/>
          <w:szCs w:val="17"/>
          <w:color w:val="auto"/>
        </w:rPr>
        <w:t xml:space="preserve"> positive allosteric modulator. We are obligated to make future milestone payments based on the achievement of specified development and sales milestones up to $33.0 million. Additionally, under the Purdue Agreement, we were obligated to sell to Purdue $0.6 million of our Series B Preferred Stock in connection with our Series B financing. In addition, as consideration for the license obtained, we issued Purdue the anti-dilution obligation to ensure Purdue’s ownership remained at a specified percentage throughout the Series B financing. Further, we are obligated to pay to Purdue a royalty percentage in the low single-digits of net sales of each licensed product for 12 years from the date of the first commercial sale of such product.</w:t>
      </w:r>
    </w:p>
    <w:p>
      <w:pPr>
        <w:spacing w:after="0" w:line="194" w:lineRule="exact"/>
        <w:rPr>
          <w:sz w:val="20"/>
          <w:szCs w:val="20"/>
          <w:color w:val="auto"/>
        </w:rPr>
      </w:pPr>
    </w:p>
    <w:p>
      <w:pPr>
        <w:ind w:right="240" w:firstLine="433"/>
        <w:spacing w:after="0" w:line="262" w:lineRule="auto"/>
        <w:rPr>
          <w:sz w:val="20"/>
          <w:szCs w:val="20"/>
          <w:color w:val="auto"/>
        </w:rPr>
      </w:pPr>
      <w:r>
        <w:rPr>
          <w:rFonts w:ascii="Arial" w:cs="Arial" w:eastAsia="Arial" w:hAnsi="Arial"/>
          <w:sz w:val="17"/>
          <w:szCs w:val="17"/>
          <w:color w:val="auto"/>
        </w:rPr>
        <w:t>The Purdue Agreement will remain in effect until the expiration of our royalty obligation for all licensed products. Either us or Purdue may terminate the agreement in the event of a material breach by the other party and such party fails to cure such breach within a certain period of time. Either party may voluntarily terminate the agreement with prior notice. If the agreement is voluntarily terminated by Purdue, our license rights will survive such termination and such rights will become fully paid, perpetual and irrevocable. Purdue may also terminate in the event of our insolvency.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15"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18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For clinical supply, we use CDMOs who act in accordance with the FDA’s current Good Manufacturing Practices, cGMP, for the manufacture of drug substance and product. We expect to rely on third parties for our manufacturing processes and the production of all clinical supply drug substance and drug product and currently expect to 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an NDA to the FDA for any product candidates that complete clinical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2"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 storage, record keeping, approval, advertising and promotion, distribution, post-approval monitoring and reporting,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380"/>
        <w:spacing w:after="0" w:line="266" w:lineRule="auto"/>
        <w:rPr>
          <w:sz w:val="20"/>
          <w:szCs w:val="20"/>
          <w:color w:val="auto"/>
        </w:rPr>
      </w:pPr>
      <w:r>
        <w:rPr>
          <w:rFonts w:ascii="Arial" w:cs="Arial" w:eastAsia="Arial" w:hAnsi="Arial"/>
          <w:sz w:val="17"/>
          <w:szCs w:val="17"/>
          <w:color w:val="auto"/>
        </w:rPr>
        <w:t>sampling and export and import of drug products and product candidates. The process of obtaining regulatory approvals and the subsequent compliance with applicable federal, state, local and foreign statutes and regulations requires the expenditure of substantial time and financial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government regulation of drug products</w:t>
      </w:r>
    </w:p>
    <w:p>
      <w:pPr>
        <w:spacing w:after="0" w:line="11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The FDA also regulates biological products under the FDCA and the Public Health Service Act, or PHSA. If we advance clinical development of a biologic candidate in the future, these development activities will be subject to additional regulatory requirements specific to biologics.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 brought by the FDA and the Department of Justice, or DOJ, or other governmental entities.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224" w:lineRule="exact"/>
        <w:rPr>
          <w:sz w:val="20"/>
          <w:szCs w:val="20"/>
          <w:color w:val="auto"/>
        </w:rPr>
      </w:pPr>
    </w:p>
    <w:p>
      <w:pPr>
        <w:ind w:left="800" w:right="700" w:hanging="323"/>
        <w:spacing w:after="0" w:line="275" w:lineRule="auto"/>
        <w:tabs>
          <w:tab w:leader="none" w:pos="7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or GLP, regulations;</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clinical site before each trial may be initiated;</w:t>
      </w:r>
    </w:p>
    <w:p>
      <w:pPr>
        <w:spacing w:after="0" w:line="119" w:lineRule="exact"/>
        <w:rPr>
          <w:rFonts w:ascii="Arial" w:cs="Arial" w:eastAsia="Arial" w:hAnsi="Arial"/>
          <w:sz w:val="17"/>
          <w:szCs w:val="17"/>
          <w:color w:val="auto"/>
        </w:rPr>
      </w:pPr>
    </w:p>
    <w:p>
      <w:pPr>
        <w:ind w:left="800" w:right="260" w:hanging="323"/>
        <w:spacing w:after="0" w:line="275" w:lineRule="auto"/>
        <w:tabs>
          <w:tab w:leader="none" w:pos="7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requirements to establish the safety and efficacy of the proposed drug product for each indication;</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Submission to the FDA of an NDA or BLA;</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19" w:lineRule="exact"/>
        <w:rPr>
          <w:rFonts w:ascii="Arial" w:cs="Arial" w:eastAsia="Arial" w:hAnsi="Arial"/>
          <w:sz w:val="17"/>
          <w:szCs w:val="17"/>
          <w:color w:val="auto"/>
        </w:rPr>
      </w:pPr>
    </w:p>
    <w:p>
      <w:pPr>
        <w:ind w:left="800" w:hanging="323"/>
        <w:spacing w:after="0" w:line="266" w:lineRule="auto"/>
        <w:tabs>
          <w:tab w:leader="none" w:pos="7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84" w:lineRule="exact"/>
        <w:rPr>
          <w:rFonts w:ascii="Arial" w:cs="Arial" w:eastAsia="Arial" w:hAnsi="Arial"/>
          <w:sz w:val="17"/>
          <w:szCs w:val="17"/>
          <w:color w:val="auto"/>
        </w:rPr>
      </w:pPr>
    </w:p>
    <w:p>
      <w:pPr>
        <w:ind w:left="780" w:hanging="30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Satisfactory completion of FDA audits of clinical trial sites to assure compliance with GCPs and the integrity of the clinical data;</w:t>
      </w:r>
    </w:p>
    <w:p>
      <w:pPr>
        <w:spacing w:after="0" w:line="119" w:lineRule="exact"/>
        <w:rPr>
          <w:rFonts w:ascii="Arial" w:cs="Arial" w:eastAsia="Arial" w:hAnsi="Arial"/>
          <w:sz w:val="17"/>
          <w:szCs w:val="17"/>
          <w:color w:val="auto"/>
        </w:rPr>
      </w:pPr>
    </w:p>
    <w:p>
      <w:pPr>
        <w:ind w:left="800" w:right="100" w:hanging="323"/>
        <w:spacing w:after="0" w:line="275" w:lineRule="auto"/>
        <w:tabs>
          <w:tab w:leader="none" w:pos="7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of user, product and establishment fees and securing FDA approval of the NDA, including agreement to compliance with any post-approval requirements; and</w:t>
      </w:r>
    </w:p>
    <w:p>
      <w:pPr>
        <w:spacing w:after="0" w:line="76" w:lineRule="exact"/>
        <w:rPr>
          <w:rFonts w:ascii="Arial" w:cs="Arial" w:eastAsia="Arial" w:hAnsi="Arial"/>
          <w:sz w:val="17"/>
          <w:szCs w:val="17"/>
          <w:color w:val="auto"/>
        </w:rPr>
      </w:pPr>
    </w:p>
    <w:p>
      <w:pPr>
        <w:ind w:left="800" w:right="320" w:hanging="323"/>
        <w:spacing w:after="0" w:line="275" w:lineRule="auto"/>
        <w:tabs>
          <w:tab w:leader="none" w:pos="7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Risk Evaluation and Mitigation Strategy, or REMS, and the potential requirement to conduct post-approval studies.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98"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Before testing any drug or biological product candidate, including our product candidates, in humans, the product candidate must undergo rigorous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w:t>
      </w:r>
    </w:p>
    <w:p>
      <w:pPr>
        <w:spacing w:after="0" w:line="98"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 that all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w:t>
      </w:r>
    </w:p>
    <w:p>
      <w:pPr>
        <w:spacing w:after="0" w:line="189"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193"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be initiated. Additionally, FDA will review any data from clinical trials conducted outside the United States when determining whether to allow an IND to proceed in the U.S. Specifically, FDA’s acceptance of data from trials conducted outside of the U.S. is subject to certain conditions, including that the clinical trial must be well designed and conducted and performed by qualified investigators in accordance with GCPs; the data must be applicable to the U.S. population and U.S. medical practice in ways that the FDA deems clinically meaningful; and that the trials are conducted in compliance with all applicable U.S. laws and regulations. Clinical holds also may be imposed by the FDA at any time before or during studies due to safety concerns or non-compliance.</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224" w:lineRule="exact"/>
        <w:rPr>
          <w:sz w:val="20"/>
          <w:szCs w:val="20"/>
          <w:color w:val="auto"/>
        </w:rPr>
      </w:pPr>
    </w:p>
    <w:p>
      <w:pPr>
        <w:ind w:left="800" w:right="80" w:hanging="323"/>
        <w:spacing w:after="0" w:line="275" w:lineRule="auto"/>
        <w:tabs>
          <w:tab w:leader="none" w:pos="7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76" w:lineRule="exact"/>
        <w:rPr>
          <w:rFonts w:ascii="Arial" w:cs="Arial" w:eastAsia="Arial" w:hAnsi="Arial"/>
          <w:sz w:val="17"/>
          <w:szCs w:val="17"/>
          <w:color w:val="auto"/>
        </w:rPr>
      </w:pPr>
    </w:p>
    <w:p>
      <w:pPr>
        <w:ind w:left="800" w:right="260" w:hanging="323"/>
        <w:spacing w:after="0" w:line="275" w:lineRule="auto"/>
        <w:tabs>
          <w:tab w:leader="none" w:pos="7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6" w:lineRule="exact"/>
        <w:rPr>
          <w:rFonts w:ascii="Arial" w:cs="Arial" w:eastAsia="Arial" w:hAnsi="Arial"/>
          <w:sz w:val="17"/>
          <w:szCs w:val="17"/>
          <w:color w:val="auto"/>
        </w:rPr>
      </w:pPr>
    </w:p>
    <w:p>
      <w:pPr>
        <w:ind w:left="800" w:right="100" w:hanging="323"/>
        <w:spacing w:after="0" w:line="266" w:lineRule="auto"/>
        <w:tabs>
          <w:tab w:leader="none" w:pos="7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for a variety of reasons, including if the clinical trial is not being conducted in accordance with the IRB’s requirements or if the drug has been associated with unexpected serious harm to patients.</w:t>
      </w:r>
    </w:p>
    <w:p>
      <w:pPr>
        <w:spacing w:after="0" w:line="193"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particularly for long-term safety follow up. In certain instances, the FDA may mandate the performance of Phase 4 clinical trials as a condition of approval of an NDA.</w:t>
      </w:r>
    </w:p>
    <w:p>
      <w:pPr>
        <w:spacing w:after="0" w:line="18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application submission and FDA review and approval</w:t>
      </w:r>
    </w:p>
    <w:p>
      <w:pPr>
        <w:spacing w:after="0" w:line="98" w:lineRule="exact"/>
        <w:rPr>
          <w:sz w:val="20"/>
          <w:szCs w:val="20"/>
          <w:color w:val="auto"/>
        </w:rPr>
      </w:pPr>
    </w:p>
    <w:p>
      <w:pPr>
        <w:ind w:right="200" w:firstLine="433"/>
        <w:spacing w:after="0" w:line="259"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goals and policies agreed to by the FDA under the Prescription Drug User Fee Act, or PDUFA, the FDA has ten months from the date of “filing” of a standard NDA for a new molecular entity in which to complete its initial review and respond to the applicant, and six months from the filing date for priority applications. The FDA does not always meet its PDUFA goal dates, and the review process can be extended by FDA requests for additional information or clarification and a sponsor’s process to respond to such inquiries. This FDA review typically takes twelve months from the date the NDA is submitted to FDA (for a standard review) or eight months (for a priority review) because the FDA has approximately two months, or 60 days, after submission to make a “filing” decision on whether to accept an NDA for review.</w:t>
      </w:r>
    </w:p>
    <w:p>
      <w:pPr>
        <w:spacing w:after="0" w:line="200" w:lineRule="exact"/>
        <w:rPr>
          <w:sz w:val="20"/>
          <w:szCs w:val="20"/>
          <w:color w:val="auto"/>
        </w:rPr>
      </w:pPr>
    </w:p>
    <w:p>
      <w:pPr>
        <w:spacing w:after="0" w:line="209" w:lineRule="exact"/>
        <w:rPr>
          <w:sz w:val="20"/>
          <w:szCs w:val="20"/>
          <w:color w:val="auto"/>
        </w:rPr>
      </w:pPr>
    </w:p>
    <w:p>
      <w:pPr>
        <w:ind w:right="160" w:firstLine="433"/>
        <w:spacing w:after="0" w:line="260"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and informs the sponsor by the 74th day after the FDA’s receipt of the submission whether an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96"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92"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 The FDA also may require submission of a risk evaluation and mitigation strategy, or REMS, plan, if it determines that a REMS is necessary to ensure that the benefits of the drug outweigh its risks and to assure the safe use of the drug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198"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either an approval letter or a complete response letter, or CRL. An approval letter authorizes commercial marketing of the drug with specific prescribing information and for specific indications. A CRL generally outlines the deficiencies in the submission and contains a statement of specific conditions that must be met in order to secure final approval of the NDA; it may require additional clinical or preclinical testing and/or other significant and time-consuming requirements related to clinical trials, preclinical studies or manufacturing in order for FDA to reconsider the application. If a CRL is issued, the applicant may choose to either resubmit the NDA, addressing all of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deficiencies identified in the letter, or withdraw the application. If and when those deficiencies have been addressed to the FDA’s satisfaction, the FDA will issue an approval letter. The FDA has committed to reviewing such resubmissions in response to an issued CRL in either two or six months depending on the type of information included. Even with submission of this additional information, the FDA ultimately may decide that the application does not satisfy the regulatory criteria for approval.</w:t>
      </w:r>
    </w:p>
    <w:p>
      <w:pPr>
        <w:spacing w:after="0" w:line="192"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98"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9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Rare pediatric disease designation and priority review vouchers</w:t>
      </w:r>
    </w:p>
    <w:p>
      <w:pPr>
        <w:spacing w:after="0" w:line="268"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Fast track, breakthrough therapy and priority review designations</w:t>
      </w:r>
    </w:p>
    <w:p>
      <w:pPr>
        <w:spacing w:after="0" w:line="98"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9"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 track status any time before receiving NDA approval, but ideally no later than the pre-NDA meeting. Fast track designation may be withdrawn by the sponsor or rescinded by the FDA if the designation is no longer supported by data emerging in the clinical trial process.</w:t>
      </w:r>
    </w:p>
    <w:p>
      <w:pPr>
        <w:spacing w:after="0" w:line="200"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In addition, with the enactment of FDASIA in 2012, Congress created a new regulatory program for product candidates designated by FDA as “breakthrough therapies” upon a request made by IND sponsors. A breakthrough therapy is defined as a drug that is intended, alone or in combination with one or more other drugs,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 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NDA for a new molecular entity from the date of filing. If criteria are not met for priority review, the application for a new molecular entity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200" w:lineRule="exact"/>
        <w:rPr>
          <w:sz w:val="20"/>
          <w:szCs w:val="20"/>
          <w:color w:val="auto"/>
        </w:rPr>
      </w:pPr>
    </w:p>
    <w:p>
      <w:pPr>
        <w:spacing w:after="0" w:line="212"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Accelerated approval pathway</w:t>
      </w:r>
    </w:p>
    <w:p>
      <w:pPr>
        <w:spacing w:after="0" w:line="111"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products can be approved on the basis of adequate and well-controlled clinical trials establishing an effect on either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receiving accelerated approval perform adequate and well-controlled post-marketing clinical trials to verify and describe the predicted effect on IMM or other clinical endpoint. Drugs granted accelerated approval must meet the same statutory standards for safety and effectiveness as those granted traditional approval.</w:t>
      </w:r>
    </w:p>
    <w:p>
      <w:pPr>
        <w:spacing w:after="0" w:line="193"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In addition, all promotional materials for products approved under the accelerated approval program are subject to prior review by the FDA, a requirement that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marketing and data exclusivity</w:t>
      </w:r>
    </w:p>
    <w:p>
      <w:pPr>
        <w:spacing w:after="0" w:line="111"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Market exclusivity provisions under the FDCA can delay the submission or the approval of certain follow-on drug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196"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The FDCA also provides three years of data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200" w:lineRule="exact"/>
        <w:rPr>
          <w:sz w:val="20"/>
          <w:szCs w:val="20"/>
          <w:color w:val="auto"/>
        </w:rPr>
      </w:pPr>
    </w:p>
    <w:p>
      <w:pPr>
        <w:spacing w:after="0" w:line="206"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restoration</w:t>
      </w:r>
    </w:p>
    <w:p>
      <w:pPr>
        <w:spacing w:after="0" w:line="98"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Depending upon the timing, duration and specifics of FDA approval of our drug product candidates, some of our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New Drug Application, or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98"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Following approval of a new prescription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label uses and a company that is found to have improperly promoted off-label uses may be subject to significant liability. After approval, most changes to the approved product, such as adding new indications or other labeling claims or changes to the manufacturing processes or facilities,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spacing w:after="0" w:line="19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00" w:lineRule="exact"/>
        <w:rPr>
          <w:sz w:val="20"/>
          <w:szCs w:val="20"/>
          <w:color w:val="auto"/>
        </w:rPr>
      </w:pPr>
    </w:p>
    <w:p>
      <w:pPr>
        <w:spacing w:after="0" w:line="202" w:lineRule="exact"/>
        <w:rPr>
          <w:sz w:val="20"/>
          <w:szCs w:val="20"/>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Fines, warning letters or other enforcement-related letters or clinical holds on post-approval clinical trials;</w:t>
      </w:r>
    </w:p>
    <w:p>
      <w:pPr>
        <w:spacing w:after="0" w:line="119" w:lineRule="exact"/>
        <w:rPr>
          <w:rFonts w:ascii="Arial" w:cs="Arial" w:eastAsia="Arial" w:hAnsi="Arial"/>
          <w:sz w:val="17"/>
          <w:szCs w:val="17"/>
          <w:color w:val="auto"/>
        </w:rPr>
      </w:pPr>
    </w:p>
    <w:p>
      <w:pPr>
        <w:ind w:left="800" w:right="620" w:hanging="323"/>
        <w:spacing w:after="0" w:line="275"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suspension or revocation of product approvals;</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healthcare laws and regulations</w:t>
      </w:r>
    </w:p>
    <w:p>
      <w:pPr>
        <w:spacing w:after="0" w:line="11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Healthcare providers, physicians and third party payors in the United States and elsewhere will play a primary role in the recommendation and prescription of any drug products for which we obtain marketing approval. Our current and future arrangements with third party payors, customers, healthcare providers, physicians and others, in connection with the clinical research, sales, marketing and promotion of products, once approved, and related activities, may expose a pharmaceutical manufacturer to broadly applicable fraud and abuse and other healthcare laws and regulations.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applicable federal, state and foreign healthcare laws and regulations that may affect our ability to operate include, but are not limited to:</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right="80" w:hanging="323"/>
        <w:spacing w:after="0" w:line="258"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Anti-Kickback Statute, which makes it illegal for any person or entity, including a prescription drug manufacturer (or a party acting on its behalf), to knowingly and willfully solicit, receive, offer or pay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The term remuneration has been interpreted broadly to include anything of value. Further, courts have found that if “one purpose” of renumeration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205" w:lineRule="exact"/>
        <w:rPr>
          <w:rFonts w:ascii="Arial" w:cs="Arial" w:eastAsia="Arial" w:hAnsi="Arial"/>
          <w:sz w:val="17"/>
          <w:szCs w:val="17"/>
          <w:color w:val="auto"/>
        </w:rPr>
      </w:pPr>
    </w:p>
    <w:p>
      <w:pPr>
        <w:ind w:left="800" w:right="80" w:hanging="323"/>
        <w:spacing w:after="0" w:line="259"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fictitious or fraudulent; knowingly making, using, or causing to be made or used, a false record or statement material to a false, fictitious or fraudulent claim or an obligation to pay or transmit money or property to the federal government; or knowingly concealing or knowingly and improperly avoiding or decreasing or concealing such an obligation. to pay money to the federal government. Similar to the federal Anti-Kickback Statute, a person or entity does not need to have actual knowledge of these statutes or specific intent to violate them in order to have committed a violation.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800" w:hanging="323"/>
        <w:spacing w:after="0" w:line="259"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199" w:lineRule="exact"/>
        <w:rPr>
          <w:rFonts w:ascii="Arial" w:cs="Arial" w:eastAsia="Arial" w:hAnsi="Arial"/>
          <w:sz w:val="17"/>
          <w:szCs w:val="17"/>
          <w:color w:val="auto"/>
        </w:rPr>
      </w:pPr>
    </w:p>
    <w:p>
      <w:pPr>
        <w:ind w:left="800" w:right="280" w:hanging="323"/>
        <w:spacing w:after="0" w:line="260"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relating to the privacy, security and transmission of individually identifiable health information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right="80"/>
        <w:spacing w:after="0" w:line="266" w:lineRule="auto"/>
        <w:rPr>
          <w:sz w:val="20"/>
          <w:szCs w:val="20"/>
          <w:color w:val="auto"/>
        </w:rPr>
      </w:pPr>
      <w:r>
        <w:rPr>
          <w:rFonts w:ascii="Arial" w:cs="Arial" w:eastAsia="Arial" w:hAnsi="Arial"/>
          <w:sz w:val="17"/>
          <w:szCs w:val="17"/>
          <w:color w:val="auto"/>
        </w:rPr>
        <w:t>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89" w:lineRule="exact"/>
        <w:rPr>
          <w:sz w:val="20"/>
          <w:szCs w:val="20"/>
          <w:color w:val="auto"/>
        </w:rPr>
      </w:pPr>
    </w:p>
    <w:p>
      <w:pPr>
        <w:ind w:left="800" w:right="40" w:hanging="323"/>
        <w:spacing w:after="0" w:line="259"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U.S. federal Physician Payments Sunshine Act, created under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to report annually to the Centers for Medicare and Medicaid Services, or CMS, an agency within the U.S. Department of Health and Human Services, or HHS, under the Open Payments Program, information related to direct or indirect payments and other transfers of value made to physicians (defined to include doctors, dentists, optometrists, podiatrists and chiropractors) and teaching hospitals, as well as ownership and investment interests held by the physicians and their immediate family members. Effective January 1, 2022, these reporting obligations will extend to include transfers of value made during the previous year to certain non-physician providers such as physician assistants and nurse practitioners;</w:t>
      </w:r>
    </w:p>
    <w:p>
      <w:pPr>
        <w:spacing w:after="0" w:line="199" w:lineRule="exact"/>
        <w:rPr>
          <w:rFonts w:ascii="Arial" w:cs="Arial" w:eastAsia="Arial" w:hAnsi="Arial"/>
          <w:sz w:val="17"/>
          <w:szCs w:val="17"/>
          <w:color w:val="auto"/>
        </w:rPr>
      </w:pPr>
    </w:p>
    <w:p>
      <w:pPr>
        <w:ind w:left="800" w:right="340" w:hanging="323"/>
        <w:spacing w:after="0" w:line="275"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 federal and state consumer protection and unfair competition laws, which broadly regulate marketplace activities and activities that potentially harm consumers; and</w:t>
      </w:r>
    </w:p>
    <w:p>
      <w:pPr>
        <w:spacing w:after="0" w:line="181" w:lineRule="exact"/>
        <w:rPr>
          <w:rFonts w:ascii="Arial" w:cs="Arial" w:eastAsia="Arial" w:hAnsi="Arial"/>
          <w:sz w:val="17"/>
          <w:szCs w:val="17"/>
          <w:color w:val="auto"/>
        </w:rPr>
      </w:pPr>
    </w:p>
    <w:p>
      <w:pPr>
        <w:ind w:left="800" w:hanging="323"/>
        <w:spacing w:after="0" w:line="259"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other relevant compliance guidance promulgated by the federal government that otherwise restrict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some of which may be more stringent than those in the United States (such as the European Union, which adopted the General Data Protection Regulation, which became effective in May 2018) in certain circumstances, and may differ from each other in significant ways and often are not preempted by HIPAA, thus complicating compliance efforts.</w:t>
      </w:r>
    </w:p>
    <w:p>
      <w:pPr>
        <w:spacing w:after="0" w:line="222" w:lineRule="exact"/>
        <w:rPr>
          <w:sz w:val="20"/>
          <w:szCs w:val="20"/>
          <w:color w:val="auto"/>
        </w:rPr>
      </w:pPr>
    </w:p>
    <w:p>
      <w:pPr>
        <w:ind w:right="20" w:firstLine="433"/>
        <w:spacing w:after="0" w:line="250" w:lineRule="auto"/>
        <w:rPr>
          <w:sz w:val="20"/>
          <w:szCs w:val="20"/>
          <w:color w:val="auto"/>
        </w:rPr>
      </w:pPr>
      <w:r>
        <w:rPr>
          <w:rFonts w:ascii="Arial" w:cs="Arial" w:eastAsia="Arial" w:hAnsi="Arial"/>
          <w:sz w:val="17"/>
          <w:szCs w:val="17"/>
          <w:color w:val="auto"/>
        </w:rPr>
        <w:t>Additionally, on November 20, 2020, HHS finalized a regulation that, among other things, (i) removed safe harbor protection for price reductions from pharmaceutical manufacturers, and (ii) created new safe harbor for certain fixed fees. It is not clear at this time what effect, if any, these and other changes to the Anti-Kickback Safe Harbors, in effect as of January 19, 2021, will have on our business.</w:t>
      </w:r>
    </w:p>
    <w:p>
      <w:pPr>
        <w:spacing w:after="0" w:line="189"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it is possible that some of our business activities could be subject to challenge under one or more of such laws. Efforts to ensure that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its rights, those actions could have a significant impact on our business, including the imposition of significant civil, criminal and administrative penalties, damages, disgorgement, imprisonment, monetary fines, possible exclusion from participation in Medicare, Medicaid and other federal healthcare programs, reporting obligations and oversight if we become subject to integrity and oversight agreements to resolve allegations of non-compliance, contractual damages, reputational harm, diminished profits and future earnings and curtailment of operations, any of which could adversely affect our ability to operate our business and the results of operations. In addition, commercialization of any drug product outside the United States will also likely be subject to foreign equivalents of the healthcare laws mentioned above, among other foreign laws. Further, if any of the physicians or other healthcare providers or entities with whom we expect to do business with are found to be not in compliance with applicable laws, they may be subject to similar penalties.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data privacy and security laws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outside of HIPAA and its implementing regulations. For example, in June 2018, the State of California enacted the California Consumer Privacy Act of 2018, or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CCPA could mark the beginning of a trend toward more stringent state privacy legislation in the United States, which could increase our potential liability and adversely affect our business.</w:t>
      </w:r>
    </w:p>
    <w:p>
      <w:pPr>
        <w:spacing w:after="0" w:line="200" w:lineRule="exact"/>
        <w:rPr>
          <w:sz w:val="20"/>
          <w:szCs w:val="20"/>
          <w:color w:val="auto"/>
        </w:rPr>
      </w:pPr>
    </w:p>
    <w:p>
      <w:pPr>
        <w:spacing w:after="0" w:line="208"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imposed by other countries and jurisdictions. The collection, use, storage, disclosure, transfer, or other processing of personal data regarding individuals in the European Economic Area, or EEA, including personal health data, is subject to the EU General Data Protection Regulation, or GDPR, which became effective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and future healthcare reform legislation</w:t>
      </w:r>
    </w:p>
    <w:p>
      <w:pPr>
        <w:spacing w:after="0" w:line="242"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In both the United States and certain foreign jurisdictions, there have been, and likely will continue to be, a number of legislative and regulatory changes regarding the health 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96"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Since its enactment, there remain judicial, administrative, executive and legislative challenges to certain aspects of the ACA, and we expect there will be additional challenges and amendments to the ACA in the future.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Various portions of the ACA are currently undergoing legal and constitutional challenges in the United States Supreme Court;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Also, in December 2018, CMS issued a final rule permitting further collections and payments to and from certain ACA qualified health plans and health insurance issuers under the ACA risk adjustment program. Since then, the ACA risk adjustment program payment parameters have been updated annually. It is unclear whether the ACA will be overturned, repealed, replaced, or further amended.</w:t>
      </w:r>
    </w:p>
    <w:p>
      <w:pPr>
        <w:spacing w:after="0" w:line="196" w:lineRule="exact"/>
        <w:rPr>
          <w:sz w:val="20"/>
          <w:szCs w:val="20"/>
          <w:color w:val="auto"/>
        </w:rPr>
      </w:pPr>
    </w:p>
    <w:p>
      <w:pPr>
        <w:ind w:right="40" w:firstLine="433"/>
        <w:spacing w:after="0" w:line="24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up to 2% per fiscal year. These reductions went into effect on April 1, 2013, and, due to subsequent legislative amendments, will remain in effect through 2030 unless additional Congressional action is taken. However, pursuant to the Coronavirus Aid, Relief and Economic Security Act, or CARES Act and subsequent legislation, these Medicare sequester reductions under the Budget Control Act of 2011 will be suspended from May 1, 2020 through March 31, 2021 due to the COVID-19 pandemic. Proposed legislation, if passed, would extend this suspension until the end of the COVID-19 pandemic.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Additionally, the BBA, among other things, also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w:t>
      </w:r>
    </w:p>
    <w:p>
      <w:pPr>
        <w:spacing w:after="0" w:line="6"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the U.S. government’s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Moreover, the U.S. Presidential administration previously released a “Blueprint” to lower drug prices and reduce out-of-pocket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In addition, there have been several changes to the 340B drug pricing program, which imposes ceilings on prices that drug manufacturers can charge for medications sold to certain health care facilities. It is unclear how these developments could affect covered hospitals who might purchase our future products and affect the rates we may charge such facilities for our approved products in the future, if any.</w:t>
      </w:r>
    </w:p>
    <w:p>
      <w:pPr>
        <w:spacing w:after="0" w:line="200" w:lineRule="exact"/>
        <w:rPr>
          <w:sz w:val="20"/>
          <w:szCs w:val="20"/>
          <w:color w:val="auto"/>
        </w:rPr>
      </w:pPr>
    </w:p>
    <w:p>
      <w:pPr>
        <w:spacing w:after="0" w:line="24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Additionally, on July 24, 2020 and September 13, 2020, former President Trump signed a series of Executive Orders aimed at lowering drug prices and at implementing several of the administration's proposals. In response, the FDA released a final rule on September 24, 2020, which went into effect on November 30, 2020, providing guidance for states to build and submit importation plans for drugs from Canada, as further discussed below. Further, on November 20 2020 CMS issued an Interim Final Rule implementing the Most Favored Nation, or MFN,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measures may require additional authorization to become effective, and the Biden administration may reverse or otherwise change these measures, Congress has indicated that it will continue to seek new legislative and/or administrative measures to control drug costs. Any reduction in reimbursement from Medicare and other government programs may result in a similar reduction in payments from private payors.</w:t>
      </w:r>
    </w:p>
    <w:p>
      <w:pPr>
        <w:spacing w:after="0" w:line="197"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92"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In the European Union and in other foreign jurisdictions,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399"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Legislative and regulatory proposals, and enactment of laws, at the foreign, federal and state levels, directed at containing or lowering the cost of healthcare, will likely continue into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 of world regulation</w:t>
      </w:r>
    </w:p>
    <w:p>
      <w:pPr>
        <w:spacing w:after="0" w:line="98"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For other countries outside of the European Union and the United States, such as countries in Eastern Europe, Latin America or Asia, the requirements governing product development, the conduct of clinical trials, manufacturing, distribution, marketing approval, advertising and promotion,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spacing w:after="0" w:line="192" w:lineRule="exact"/>
        <w:rPr>
          <w:sz w:val="20"/>
          <w:szCs w:val="20"/>
          <w:color w:val="auto"/>
        </w:rPr>
      </w:pPr>
    </w:p>
    <w:p>
      <w:pPr>
        <w:ind w:right="700" w:firstLine="433"/>
        <w:spacing w:after="0" w:line="275"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1" w:lineRule="exact"/>
        <w:rPr>
          <w:sz w:val="20"/>
          <w:szCs w:val="20"/>
          <w:color w:val="auto"/>
        </w:rPr>
      </w:pPr>
    </w:p>
    <w:p>
      <w:pPr>
        <w:jc w:val="both"/>
        <w:ind w:right="20" w:firstLine="433"/>
        <w:spacing w:after="0" w:line="266" w:lineRule="auto"/>
        <w:rPr>
          <w:sz w:val="20"/>
          <w:szCs w:val="20"/>
          <w:color w:val="auto"/>
        </w:rPr>
      </w:pPr>
      <w:r>
        <w:rPr>
          <w:rFonts w:ascii="Arial" w:cs="Arial" w:eastAsia="Arial" w:hAnsi="Arial"/>
          <w:sz w:val="17"/>
          <w:szCs w:val="17"/>
          <w:color w:val="auto"/>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laws and regulations governing international operations</w:t>
      </w:r>
    </w:p>
    <w:p>
      <w:pPr>
        <w:spacing w:after="0" w:line="111"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192"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Coverage, pricing and reimbursement</w:t>
      </w:r>
    </w:p>
    <w:p>
      <w:pPr>
        <w:spacing w:after="0" w:line="98"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Significant uncertainty exists as to the coverage, pricing and reimbursement status of any products seeking regulatory approval. Successful commercialization of new drug products depends in part on the extent to which coverage and reimbursement for those drug products will be available from government health administration authorities, private health insurers and other organizations. The availability and extent of reimbursement depend substantially, both domestically and abroad, on the extent to which the costs of drugs products are paid for by third-party payors, such as government health care programs (e.g., Medicare, Medicaid), health maintenance organizations, managed care providers, pharmacy benefit and similar healthcare management organizations, private health coverage insurers and other third-party payors. These third-party payors decide which medications they will pay for and will establish reimbursement levels.</w:t>
      </w:r>
    </w:p>
    <w:p>
      <w:pPr>
        <w:spacing w:after="0" w:line="196"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In the United States, the principal decisions about reimbursement for new drug products are typically made by CMS. CMS decides whether and to what extent a new drug product will be covered and reimbursed under Medicare, and private payors tend to follow CMS to a substantial degree. Factors payors consider in determining reimbursement are based on whether the product is:</w:t>
      </w:r>
    </w:p>
    <w:p>
      <w:pPr>
        <w:spacing w:after="0" w:line="189" w:lineRule="exact"/>
        <w:rPr>
          <w:sz w:val="20"/>
          <w:szCs w:val="20"/>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24"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the United States, no uniform policy of coverage and reimbursement for drug products exists among third-party payors and coverage and reimbursement levels for drug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193"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Various federal laws may impact the extent of coverage and reimbursement status provided by government health care programs. For instance, 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3"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average manufacturer price, or AMP, and Medicaid rebate data, the revisions to the Medicaid rebate formula and AMP definition described above could cause the required 340B discount to increase. The American Recovery and Reinvestment Act of 2009 provides funding for the federal government to compare the effectiveness of different treatments for the same illness. The plan for the research was published in 2012 by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product candidates, if any such drug or the condition that they are intended to treat are the subject of a trial.</w:t>
      </w:r>
    </w:p>
    <w:p>
      <w:pPr>
        <w:spacing w:after="0" w:line="196"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It is also possible that comparative effectiveness research, whether conducted by government or private entities, demonstrating benefits in a competitor’s drug could adversely affect the sales of our product candidate. If third 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92"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In addition to the above-mentioned laws, increasing efforts by third 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if approved, may nonetheless not be considered medically necessary or cost-effective. If third 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 party payors in connection with the potential sale of any of our product candidates</w:t>
      </w:r>
    </w:p>
    <w:p>
      <w:pPr>
        <w:spacing w:after="0" w:line="198"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Historically, products launched in the European Union do not follow price structures of the United States and generally prices tend to be significantly lower.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02" w:lineRule="exact"/>
        <w:rPr>
          <w:sz w:val="20"/>
          <w:szCs w:val="20"/>
          <w:color w:val="auto"/>
        </w:rPr>
      </w:pPr>
    </w:p>
    <w:p>
      <w:pPr>
        <w:ind w:right="680" w:firstLine="433"/>
        <w:spacing w:after="0" w:line="275" w:lineRule="auto"/>
        <w:rPr>
          <w:sz w:val="20"/>
          <w:szCs w:val="20"/>
          <w:color w:val="auto"/>
        </w:rPr>
      </w:pPr>
      <w:r>
        <w:rPr>
          <w:rFonts w:ascii="Arial" w:cs="Arial" w:eastAsia="Arial" w:hAnsi="Arial"/>
          <w:sz w:val="17"/>
          <w:szCs w:val="17"/>
          <w:color w:val="auto"/>
        </w:rPr>
        <w:t>At Praxis, we are fiercely dedicated to our mission to translate genetic insights into the development of therapies for CNS disorders characterized by neuronal imbalance. While we strive each day to innovate and adapt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 xml:space="preserve">to deliver treatments that could potentially change the course of CNS disorders, we are also committed to developing our culture and our employees through our company core values –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Curiosity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w:t>
      </w:r>
    </w:p>
    <w:p>
      <w:pPr>
        <w:spacing w:after="0" w:line="208" w:lineRule="exact"/>
        <w:rPr>
          <w:sz w:val="20"/>
          <w:szCs w:val="20"/>
          <w:color w:val="auto"/>
        </w:rPr>
      </w:pPr>
    </w:p>
    <w:p>
      <w:pPr>
        <w:ind w:right="560" w:firstLine="433"/>
        <w:spacing w:after="0" w:line="275" w:lineRule="auto"/>
        <w:rPr>
          <w:sz w:val="20"/>
          <w:szCs w:val="20"/>
          <w:color w:val="auto"/>
        </w:rPr>
      </w:pPr>
      <w:r>
        <w:rPr>
          <w:rFonts w:ascii="Arial" w:cs="Arial" w:eastAsia="Arial" w:hAnsi="Arial"/>
          <w:sz w:val="17"/>
          <w:szCs w:val="17"/>
          <w:color w:val="auto"/>
        </w:rPr>
        <w:t>High talent density is our ultimate goal. Our culture is how we attract talent to join Praxis, which is how we were able to grow from 29 employees in three states at the end of 2019 to 67 in 12 states as of January 31, 2021.</w:t>
      </w:r>
    </w:p>
    <w:p>
      <w:pPr>
        <w:spacing w:after="0" w:line="18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each other’s judgement, which is why we do not implement excessive policies, and we value transparency among team members that leads to direct, clear, and timely feedback so we can all improve together. We commit to be one another’s checks and balances. We respect all opinions and encourage diversity. Discrimination is never tolerated. Because we trust employees to have good judgment, there is a lot of freedom built into the way we operate. As an example, we do not have prescriptive policies on vacation, sick or personal time – we encourage employees to take that time as they need it and simply align with their manager about their plans.</w:t>
      </w:r>
    </w:p>
    <w:p>
      <w:pPr>
        <w:spacing w:after="0" w:line="194"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 xml:space="preserve">Companies have learned to adapt on the fly during a global pandemic, and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is something we have been sure to emphasize during this time. We want employees to own projects and stay engaged through communication, but we also make sure employees know that Praxis is not a nine-to-five culture. We are a culture where employees have real accountability as we all work towards a greater goal. We understand the adjustment of working from home, connecting virtually instead of in person, and, for some, serving as teacher for children in virtual school. We also acknowledge the stresses of living through a pandemic. Being able to own projects, while expressing when you need a break, is something we value. Allowing employees to best structure their days to their needs is one of the most important foundations we believe is necessary for having a sturdy organization.</w:t>
      </w:r>
    </w:p>
    <w:p>
      <w:pPr>
        <w:spacing w:after="0" w:line="200"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b w:val="1"/>
          <w:bCs w:val="1"/>
          <w:i w:val="1"/>
          <w:iCs w:val="1"/>
          <w:color w:val="auto"/>
        </w:rPr>
        <w:t xml:space="preserve">Curiosity </w:t>
      </w:r>
      <w:r>
        <w:rPr>
          <w:rFonts w:ascii="Arial" w:cs="Arial" w:eastAsia="Arial" w:hAnsi="Arial"/>
          <w:sz w:val="17"/>
          <w:szCs w:val="17"/>
          <w:color w:val="auto"/>
        </w:rPr>
        <w:t>is at the center of innovation and we are always asking how we can better help our patients. We love to learn. Every first Monday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month, we commit to what we call “Curiosity Day.” We ask our employees to step away from the computer for a day to learn more about something that interests them. Whether it is diving deeper into a rare disease we do not currently support, revisiting a historical moment in time, perfecting a new skill, or even taking a day to safely enjoy the outdoors, these opportunities have made a positive impact for our employees, and they bring the new knowledge back to deliver on our mission.</w:t>
      </w:r>
    </w:p>
    <w:p>
      <w:pPr>
        <w:spacing w:after="0" w:line="194" w:lineRule="exact"/>
        <w:rPr>
          <w:sz w:val="20"/>
          <w:szCs w:val="20"/>
          <w:color w:val="auto"/>
        </w:rPr>
      </w:pPr>
    </w:p>
    <w:p>
      <w:pPr>
        <w:jc w:val="both"/>
        <w:ind w:right="620" w:firstLine="433"/>
        <w:spacing w:after="0" w:line="278" w:lineRule="auto"/>
        <w:rPr>
          <w:sz w:val="20"/>
          <w:szCs w:val="20"/>
          <w:color w:val="auto"/>
        </w:rPr>
      </w:pPr>
      <w:r>
        <w:rPr>
          <w:rFonts w:ascii="Arial" w:cs="Arial" w:eastAsia="Arial" w:hAnsi="Arial"/>
          <w:sz w:val="17"/>
          <w:szCs w:val="17"/>
          <w:color w:val="auto"/>
        </w:rPr>
        <w:t xml:space="preserve">As we pursue objectives to achieve the ultimate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we challenge ourselves daily. Through trust, ownership and curiosity, our employees are positioned to leave lasting results that reach the communities we serve. At the end of the day, the magic we witness when employees put their minds together is what our company is most proud of.</w:t>
      </w:r>
    </w:p>
    <w:p>
      <w:pPr>
        <w:spacing w:after="0" w:line="206"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To hold ourselves accountable for fulfilling our core values, we have abandoned traditional performance management systems. With our work being done by agile, self-managed teams, we have developed a unique social feedback system in which, each employee chooses approximately 10 reviewers to give feedback on the employee’s performance and Praxis values, on a regular basis. Reviewers are instructed to be candid but with positive intent, so that the feedback receiver has the opportunity to learn valuable lessons and identify development opportunities, which are crucial for our collective and individual growth. To promote a culture of openness and transparency, the feedback is not given anonymously, and each employee sees the reviewer's ratings and comments. We feel the breadth of feedback helps ensure employees best understand what they do well, what they have improved on, where improvement is still needed and ultimately results in a high-performance culture.</w:t>
      </w:r>
    </w:p>
    <w:p>
      <w:pPr>
        <w:spacing w:after="0" w:line="200" w:lineRule="exact"/>
        <w:rPr>
          <w:sz w:val="20"/>
          <w:szCs w:val="20"/>
          <w:color w:val="auto"/>
        </w:rPr>
      </w:pPr>
    </w:p>
    <w:p>
      <w:pPr>
        <w:spacing w:after="0" w:line="232" w:lineRule="exact"/>
        <w:rPr>
          <w:sz w:val="20"/>
          <w:szCs w:val="20"/>
          <w:color w:val="auto"/>
        </w:rPr>
      </w:pPr>
    </w:p>
    <w:p>
      <w:pPr>
        <w:ind w:right="540" w:firstLine="433"/>
        <w:spacing w:after="0" w:line="275" w:lineRule="auto"/>
        <w:rPr>
          <w:sz w:val="20"/>
          <w:szCs w:val="20"/>
          <w:color w:val="auto"/>
        </w:rPr>
      </w:pPr>
      <w:r>
        <w:rPr>
          <w:rFonts w:ascii="Arial" w:cs="Arial" w:eastAsia="Arial" w:hAnsi="Arial"/>
          <w:sz w:val="17"/>
          <w:szCs w:val="17"/>
          <w:color w:val="auto"/>
        </w:rPr>
        <w:t>In line with our core values, we are committed to providing a competitive total rewards package. Our compensation is a mix of salary, bonus, long-term equity and health and welfare benefits.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7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information, are made as of the date of the document in which the statement is included, and we do not assume or undertake any obligation to update any of those statements or documents unless we are required to do so by law.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64" w:lineRule="exact"/>
        <w:rPr>
          <w:sz w:val="20"/>
          <w:szCs w:val="20"/>
          <w:color w:val="auto"/>
        </w:rPr>
      </w:pPr>
    </w:p>
    <w:p>
      <w:pPr>
        <w:ind w:right="5300"/>
        <w:spacing w:after="0" w:line="387" w:lineRule="auto"/>
        <w:rPr>
          <w:sz w:val="20"/>
          <w:szCs w:val="20"/>
          <w:color w:val="auto"/>
        </w:rPr>
      </w:pPr>
      <w:r>
        <w:rPr>
          <w:rFonts w:ascii="Arial" w:cs="Arial" w:eastAsia="Arial" w:hAnsi="Arial"/>
          <w:sz w:val="17"/>
          <w:szCs w:val="17"/>
          <w:b w:val="1"/>
          <w:bCs w:val="1"/>
          <w:color w:val="auto"/>
        </w:rPr>
        <w:t xml:space="preserve">Risks Related to Our Financial Position and Need for Additional Capital </w:t>
      </w:r>
      <w:r>
        <w:rPr>
          <w:rFonts w:ascii="Arial" w:cs="Arial" w:eastAsia="Arial" w:hAnsi="Arial"/>
          <w:sz w:val="17"/>
          <w:szCs w:val="17"/>
          <w:u w:val="single" w:color="auto"/>
          <w:color w:val="auto"/>
        </w:rPr>
        <w:t>Risks Related to Past Financial Condition</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5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(deficit) equity and working capital. Our net losses were $61.8 million and $35.5 million for the years ended December 31, 2020 and 2019, respectively. As of December 31, 2020, we had an accumulated deficit of $149.6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9" w:lineRule="exact"/>
        <w:rPr>
          <w:sz w:val="20"/>
          <w:szCs w:val="20"/>
          <w:color w:val="auto"/>
        </w:rPr>
      </w:pPr>
    </w:p>
    <w:p>
      <w:pPr>
        <w:ind w:left="640" w:right="20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continue to develop and conduct clinical trials, including in expanded geographies such as the United States or Europe, for PRAX-114, PRAX-944 and PRAX-562 for our initial and potential additional indications;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preclinical, clinical, and discovery efforts for any future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19" w:lineRule="exact"/>
        <w:rPr>
          <w:rFonts w:ascii="Arial" w:cs="Arial" w:eastAsia="Arial" w:hAnsi="Arial"/>
          <w:sz w:val="17"/>
          <w:szCs w:val="17"/>
          <w:color w:val="auto"/>
        </w:rPr>
      </w:pPr>
    </w:p>
    <w:p>
      <w:pPr>
        <w:ind w:left="640" w:right="10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seek regulatory approvals for PRAX-114, PRAX-944 and PRAX-562, or any other product candidates that successfully complete clinical development;</w:t>
      </w:r>
    </w:p>
    <w:p>
      <w:pPr>
        <w:spacing w:after="0" w:line="76" w:lineRule="exact"/>
        <w:rPr>
          <w:rFonts w:ascii="Arial" w:cs="Arial" w:eastAsia="Arial" w:hAnsi="Arial"/>
          <w:sz w:val="17"/>
          <w:szCs w:val="17"/>
          <w:color w:val="auto"/>
        </w:rPr>
      </w:pPr>
    </w:p>
    <w:p>
      <w:pPr>
        <w:ind w:left="640" w:right="32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help us comply with our obligations as a public company;</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and administrative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9"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sales, marketing, distribution, manufacturing, supply chain and other commercial infrastructure in the future to commercialize various products for which we may obtain regulatory approval;</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research and development;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increased costs as a result of operating as a public company.</w:t>
      </w:r>
    </w:p>
    <w:p>
      <w:pPr>
        <w:spacing w:after="0" w:line="119" w:lineRule="exact"/>
        <w:rPr>
          <w:sz w:val="20"/>
          <w:szCs w:val="20"/>
          <w:color w:val="auto"/>
        </w:rPr>
      </w:pPr>
    </w:p>
    <w:p>
      <w:pPr>
        <w:jc w:val="both"/>
        <w:ind w:right="220" w:firstLine="433"/>
        <w:spacing w:after="0" w:line="266"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Future Financial Condition</w:t>
      </w:r>
    </w:p>
    <w:p>
      <w:pPr>
        <w:spacing w:after="0" w:line="99"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56"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product candidates that we develop, including any indication for which we are developing or may develop PRAX-114, PRAX-944 and PRAX-562,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9" w:lineRule="exact"/>
        <w:rPr>
          <w:sz w:val="20"/>
          <w:szCs w:val="20"/>
          <w:color w:val="auto"/>
        </w:rPr>
      </w:pPr>
    </w:p>
    <w:p>
      <w:pPr>
        <w:ind w:left="640" w:right="20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PRAX-114, PRAX-944 and PRAX-562 for our initial and potential additional indications, as well as other product candidates we may develop;</w:t>
      </w:r>
    </w:p>
    <w:p>
      <w:pPr>
        <w:spacing w:after="0" w:line="76"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uncertainty of, and the costs involved in, obtaining marketing approvals for PRAX-114, PRAX-944 and PRAX-562 for our initial and potential additional indications, and other product candidates we may develop and pursue;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future product candidates that we may pursue and their development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jurisdictions in which we plan to seek regulatory approvals;</w:t>
      </w:r>
    </w:p>
    <w:p>
      <w:pPr>
        <w:spacing w:after="0" w:line="119"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PRAX-114, PRAX-944 and PRAX-562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84" w:lineRule="exact"/>
        <w:rPr>
          <w:rFonts w:ascii="Arial" w:cs="Arial" w:eastAsia="Arial" w:hAnsi="Arial"/>
          <w:sz w:val="17"/>
          <w:szCs w:val="17"/>
          <w:color w:val="auto"/>
        </w:rPr>
      </w:pPr>
    </w:p>
    <w:p>
      <w:pPr>
        <w:ind w:left="640" w:right="28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PRAX-114, PRAX-944 and PRAX-562 for any approved indications or any other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9" w:lineRule="exact"/>
        <w:rPr>
          <w:rFonts w:ascii="Arial" w:cs="Arial" w:eastAsia="Arial" w:hAnsi="Arial"/>
          <w:sz w:val="17"/>
          <w:szCs w:val="17"/>
          <w:color w:val="auto"/>
        </w:rPr>
      </w:pPr>
    </w:p>
    <w:p>
      <w:pPr>
        <w:ind w:left="640" w:right="36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increase our office space, and establish a commercial infrastructure;</w:t>
      </w:r>
    </w:p>
    <w:p>
      <w:pPr>
        <w:spacing w:after="0" w:line="76"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protecting our intellectual property rights, including enforcing and defending intellectual property related claims;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ongoing costs of operating as a public company.</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87"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We believe that our cash and cash equivalents as of December 31, 2020 will enable us to fund our operating expenses and capital expenditure requirements into the fourth quarter of 2022. Our estimate may prove to be wrong, and we could use our available capital resources sooner than we currently expect. Further, changing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circumstances, some of which may be beyond our control, could cause us to consume capital significantly faster than we currently anticipate, and we may need to seek additional funds sooner than planned.</w:t>
      </w:r>
    </w:p>
    <w:p>
      <w:pPr>
        <w:spacing w:after="0" w:line="57" w:lineRule="exact"/>
        <w:rPr>
          <w:sz w:val="20"/>
          <w:szCs w:val="20"/>
          <w:color w:val="auto"/>
        </w:rPr>
      </w:pPr>
    </w:p>
    <w:p>
      <w:pPr>
        <w:ind w:right="560"/>
        <w:spacing w:after="0" w:line="30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56"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87" w:lineRule="exact"/>
        <w:rPr>
          <w:sz w:val="20"/>
          <w:szCs w:val="20"/>
          <w:color w:val="auto"/>
        </w:rPr>
      </w:pPr>
    </w:p>
    <w:p>
      <w:pPr>
        <w:ind w:right="180" w:firstLine="433"/>
        <w:spacing w:after="0" w:line="260" w:lineRule="auto"/>
        <w:rPr>
          <w:sz w:val="20"/>
          <w:szCs w:val="20"/>
          <w:color w:val="auto"/>
        </w:rPr>
      </w:pPr>
      <w:r>
        <w:rPr>
          <w:rFonts w:ascii="Arial" w:cs="Arial" w:eastAsia="Arial" w:hAnsi="Arial"/>
          <w:sz w:val="17"/>
          <w:szCs w:val="17"/>
          <w:color w:val="auto"/>
        </w:rPr>
        <w:t>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89"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7" w:lineRule="exact"/>
        <w:rPr>
          <w:sz w:val="20"/>
          <w:szCs w:val="20"/>
          <w:color w:val="auto"/>
        </w:rPr>
      </w:pPr>
    </w:p>
    <w:p>
      <w:pPr>
        <w:ind w:right="680"/>
        <w:spacing w:after="0" w:line="300" w:lineRule="auto"/>
        <w:rPr>
          <w:sz w:val="20"/>
          <w:szCs w:val="20"/>
          <w:color w:val="auto"/>
        </w:rPr>
      </w:pPr>
      <w:r>
        <w:rPr>
          <w:rFonts w:ascii="Arial" w:cs="Arial" w:eastAsia="Arial" w:hAnsi="Arial"/>
          <w:sz w:val="17"/>
          <w:szCs w:val="17"/>
          <w:b w:val="1"/>
          <w:bCs w:val="1"/>
          <w:i w:val="1"/>
          <w:iCs w:val="1"/>
          <w:color w:val="auto"/>
        </w:rPr>
        <w:t>We are in the early stages of clinical drug development and have a very limited operating history and no products approved for commercial sale, which may make it difficult to evaluate our current business and predict our future success and viability.</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are a clinical-stage biopharmaceutical company with a very limited operating history, focused on translating genetic insights into the development of high-impact therapies for people with prevalent, as well as rare, CNS disorders characterized by neuronal imbalance. We commenced operations in 2016, have no products approved for commercial sale and have not generated any revenue from product sales. Drug development is a highly uncertain undertaking and involves a substantial degree of risk. We are conducting Phase 1 or Phase 2a clinical trials for our PRAX-114, PRAX-944 and PRAX-562 programs, and have not initiated clinical trials for any of our other current product candidates. To date, our clinical trials have been conducted only in Australia, New Zealand and England, and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development is a highly uncertain undertaking and involves a substantial degree of risk.</w:t>
      </w:r>
    </w:p>
    <w:p>
      <w:pPr>
        <w:spacing w:after="0" w:line="13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87" w:lineRule="exact"/>
        <w:rPr>
          <w:sz w:val="20"/>
          <w:szCs w:val="20"/>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initiating and successfully completing research and preclinical and clinical development of our product candidates;</w:t>
      </w:r>
    </w:p>
    <w:p>
      <w:pPr>
        <w:spacing w:after="0" w:line="119" w:lineRule="exact"/>
        <w:rPr>
          <w:rFonts w:ascii="Arial" w:cs="Arial" w:eastAsia="Arial" w:hAnsi="Arial"/>
          <w:sz w:val="17"/>
          <w:szCs w:val="17"/>
          <w:color w:val="auto"/>
        </w:rPr>
      </w:pPr>
    </w:p>
    <w:p>
      <w:pPr>
        <w:ind w:left="640" w:right="840" w:hanging="320"/>
        <w:spacing w:after="0" w:line="275"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regulatory approvals and marketing authorizations for product candidates for which we successfully complete clinical development and clinical trials;</w:t>
      </w:r>
    </w:p>
    <w:p>
      <w:pPr>
        <w:spacing w:after="0" w:line="76" w:lineRule="exact"/>
        <w:rPr>
          <w:rFonts w:ascii="Arial" w:cs="Arial" w:eastAsia="Arial" w:hAnsi="Arial"/>
          <w:sz w:val="17"/>
          <w:szCs w:val="17"/>
          <w:color w:val="auto"/>
        </w:rPr>
      </w:pPr>
    </w:p>
    <w:p>
      <w:pPr>
        <w:ind w:left="640" w:right="620" w:hanging="320"/>
        <w:spacing w:after="0" w:line="275"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as well as establishing and maintaining commercially viable supply relationships with third parties that can provide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adequate products and services to support clinical activities and commercial demand of our product candidates;</w:t>
      </w:r>
    </w:p>
    <w:p>
      <w:pPr>
        <w:spacing w:after="0" w:line="119"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obtaining adequate reimbursement for our product candidates from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receiving milestone and other payments under any future collaboration arrangements;</w:t>
      </w:r>
    </w:p>
    <w:p>
      <w:pPr>
        <w:spacing w:after="0" w:line="119"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81"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currently have three product candidates in clinical trials. Together, the development of these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efficiently generate proof-of-concept data. We then intend to expand to clinical testing and seek regulatory approvals in other neurological and psychiatric disease indications based on genetic and mechanistic overlap with the primary indication. However, even if our product candidates are able to gain regulatory approval in one indication, there is no guarantee that we will be able to expand to other indications, and we may expend significant resources in seeking such approvals.</w:t>
      </w:r>
    </w:p>
    <w:p>
      <w:pPr>
        <w:spacing w:after="0" w:line="299"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In addition, we may focus resources on pursuing indications outside of neurology based on the same strategic approach (e.g.,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For example, we have prioritized developing PRAX-144 for major depressive disorder, or MDD, ahead of perimenopausal depression, or PMD.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and psychiatric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65" w:lineRule="exact"/>
        <w:rPr>
          <w:sz w:val="20"/>
          <w:szCs w:val="20"/>
          <w:color w:val="auto"/>
        </w:rPr>
      </w:pPr>
    </w:p>
    <w:p>
      <w:pPr>
        <w:ind w:right="4520"/>
        <w:spacing w:after="0" w:line="387" w:lineRule="auto"/>
        <w:rPr>
          <w:sz w:val="20"/>
          <w:szCs w:val="20"/>
          <w:color w:val="auto"/>
        </w:rPr>
      </w:pPr>
      <w:r>
        <w:rPr>
          <w:rFonts w:ascii="Arial" w:cs="Arial" w:eastAsia="Arial" w:hAnsi="Arial"/>
          <w:sz w:val="17"/>
          <w:szCs w:val="17"/>
          <w:b w:val="1"/>
          <w:bCs w:val="1"/>
          <w:color w:val="auto"/>
        </w:rPr>
        <w:t xml:space="preserve">Risks Related to Research and Development and the Biopharmaceutical Industry </w:t>
      </w:r>
      <w:r>
        <w:rPr>
          <w:rFonts w:ascii="Arial" w:cs="Arial" w:eastAsia="Arial" w:hAnsi="Arial"/>
          <w:sz w:val="17"/>
          <w:szCs w:val="17"/>
          <w:u w:val="single" w:color="auto"/>
          <w:color w:val="auto"/>
        </w:rPr>
        <w:t>Risks Related to Preclinical and Clinical Development</w:t>
      </w:r>
    </w:p>
    <w:p>
      <w:pPr>
        <w:spacing w:after="0" w:line="1"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i w:val="1"/>
          <w:iCs w:val="1"/>
          <w:color w:val="auto"/>
        </w:rPr>
        <w:t>Our business substantially depends upon the successful development of PRAX-114, PRAX-944 and PRAX-562. If we are unable to obtain regulatory approval for, and successfully commercialize, PRAX-114, PRAX-944 or PRAX-562, our business may be materially harmed.</w:t>
      </w:r>
    </w:p>
    <w:p>
      <w:pPr>
        <w:spacing w:after="0" w:line="75"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currently have no products approved for sale and are investing the majority of our efforts and financial resources in the development of our lead product candidates, PRAX-114 for the treatment of MDD and PMD and PRAX-944 for the treatment of essential tremor, or ET. We have also commenced a first-in-human trial of PRAX-562 in healthy volunteers. We plan to initiate a Phase 2 trial in patients with rare adult cephalgias, including Short-lasting Unilateral Neuralgiform headache with Conjunctival injection and Tearing, or SUNCT, Short-lasting Unilateral Neuralgiform headache attacks with Autonomic symptoms, or SUNA, and Trigeminal Neuralgia, or TN, to demonstrate clinical proof-of-concept and then subsequently expand into severe pediatric epilepsies. Successful continued development and ultimate regulatory approval of PRAX-114, PRAX-944 and PRAX-562 for our initial and potential additional indications is critical to the future success of our business. We will need to raise sufficient funds for, and successfully enroll and complete, our clinical development programs of PRAX-114 for the treatment of MDD and PMD, PRAX-944 for the treatment of ET, and possibly other diseases, and PRAX-562 for the treatment of a broad range of rare, devastating central nervous system, or CNS, disorders, such as severe pediatric epilepsies and rare adult cephalgias.</w:t>
      </w:r>
    </w:p>
    <w:p>
      <w:pPr>
        <w:spacing w:after="0" w:line="94"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Before we can generate any revenue from sales of PRAX-114, PRAX-944, PRAX-562 or any of our other product candidates, we must undergo additional preclinical and clinical development, regulatory review and approval in one or more jurisdictions. To date, our clinical trials have been conducted exclusively in Australia and, for PRAX-944, in New Zealand as well. We are planning to pursue clinical trials in the United States for all of our clinical programs. In October 2020, we submitted an Investigational New Drug Application, or IND, for PRAX-114 with the FDA to support the initiation of a Phase 2/3 clinical trial in the United States and Australia. At the end of the 30-day review period, the FDA notified us that the IND was placed on full clinical hold pending the resolution of certain non-clinical pharmacology and toxicology matters. We subsequently interacted with the FDA to gain agreement on a path to initiate the clinical study, which included a proposal to submit available non-clinical data while other GLP reproductive toxicology studies were being completed. Based on this submission, the FDA removed the clinical hold in March 2021.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 or commercialization of any products.</w:t>
      </w:r>
    </w:p>
    <w:p>
      <w:pPr>
        <w:spacing w:after="0" w:line="92" w:lineRule="exact"/>
        <w:rPr>
          <w:sz w:val="20"/>
          <w:szCs w:val="20"/>
          <w:color w:val="auto"/>
        </w:rPr>
      </w:pPr>
    </w:p>
    <w:p>
      <w:pPr>
        <w:ind w:right="160" w:firstLine="433"/>
        <w:spacing w:after="0" w:line="275" w:lineRule="auto"/>
        <w:rPr>
          <w:sz w:val="20"/>
          <w:szCs w:val="20"/>
          <w:color w:val="auto"/>
        </w:rPr>
      </w:pPr>
      <w:r>
        <w:rPr>
          <w:rFonts w:ascii="Arial" w:cs="Arial" w:eastAsia="Arial" w:hAnsi="Arial"/>
          <w:sz w:val="17"/>
          <w:szCs w:val="17"/>
          <w:color w:val="auto"/>
        </w:rPr>
        <w:t>We may experience setbacks that could delay or prevent regulatory approval of our product candidates or our ability to commercialize any products, including:</w:t>
      </w:r>
    </w:p>
    <w:p>
      <w:pPr>
        <w:spacing w:after="0" w:line="77" w:lineRule="exact"/>
        <w:rPr>
          <w:sz w:val="20"/>
          <w:szCs w:val="20"/>
          <w:color w:val="auto"/>
        </w:rPr>
      </w:pPr>
    </w:p>
    <w:p>
      <w:pPr>
        <w:ind w:left="640" w:right="120" w:hanging="320"/>
        <w:spacing w:after="0" w:line="275"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76" w:lineRule="exact"/>
        <w:rPr>
          <w:rFonts w:ascii="Arial" w:cs="Arial" w:eastAsia="Arial" w:hAnsi="Arial"/>
          <w:sz w:val="17"/>
          <w:szCs w:val="17"/>
          <w:color w:val="auto"/>
        </w:rPr>
      </w:pPr>
    </w:p>
    <w:p>
      <w:pPr>
        <w:ind w:left="640" w:right="600" w:hanging="320"/>
        <w:spacing w:after="0" w:line="275"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product-related side effects experienced by subjects in our clinical trials or by individuals using drugs or therapeutics similar to our product candidates;</w:t>
      </w:r>
    </w:p>
    <w:p>
      <w:pPr>
        <w:spacing w:after="0" w:line="76" w:lineRule="exact"/>
        <w:rPr>
          <w:rFonts w:ascii="Arial" w:cs="Arial" w:eastAsia="Arial" w:hAnsi="Arial"/>
          <w:sz w:val="17"/>
          <w:szCs w:val="17"/>
          <w:color w:val="auto"/>
        </w:rPr>
      </w:pPr>
    </w:p>
    <w:p>
      <w:pPr>
        <w:ind w:left="640" w:right="100" w:hanging="320"/>
        <w:spacing w:after="0" w:line="275"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submitting INDs in the United States or comparable foreign applications or delays or failure in obtaining the necessary approvals from regulators or institutional review boards to commence a clinical trial, or a suspension or termination of a clinical trial once commenced;</w:t>
      </w:r>
    </w:p>
    <w:p>
      <w:pPr>
        <w:spacing w:after="0" w:line="286" w:lineRule="exact"/>
        <w:rPr>
          <w:rFonts w:ascii="Arial" w:cs="Arial" w:eastAsia="Arial" w:hAnsi="Arial"/>
          <w:sz w:val="17"/>
          <w:szCs w:val="17"/>
          <w:color w:val="auto"/>
        </w:rPr>
      </w:pPr>
    </w:p>
    <w:p>
      <w:pPr>
        <w:ind w:left="640" w:hanging="320"/>
        <w:spacing w:after="0" w:line="263"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FDA or comparable foreign authorities do not accept the earlier preclinical and clinical trial work, then we may need to conduct additional preclinical or clinical trials beyond that which we currently have planned and significant preclinical or clinical trial delays also could shorten any periods during which we may have the exclusive right to commercialize our drug candidates or allow our competitors to bring products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100"/>
        <w:spacing w:after="0" w:line="275" w:lineRule="auto"/>
        <w:rPr>
          <w:sz w:val="20"/>
          <w:szCs w:val="20"/>
          <w:color w:val="auto"/>
        </w:rPr>
      </w:pPr>
      <w:r>
        <w:rPr>
          <w:rFonts w:ascii="Arial" w:cs="Arial" w:eastAsia="Arial" w:hAnsi="Arial"/>
          <w:sz w:val="17"/>
          <w:szCs w:val="17"/>
          <w:color w:val="auto"/>
        </w:rPr>
        <w:t>market before we do and impair our ability to successfully commercialize our drug candidates and may harm our business and results of operations;</w:t>
      </w:r>
    </w:p>
    <w:p>
      <w:pPr>
        <w:spacing w:after="0" w:line="77" w:lineRule="exact"/>
        <w:rPr>
          <w:sz w:val="20"/>
          <w:szCs w:val="20"/>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in contracting with clinical sites or enrolling subjects in clinical trials, including due to the COVID-19 pandemic;</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or interruptions in the supply of materials necessary for the conduct of our clinical trials;</w:t>
      </w:r>
    </w:p>
    <w:p>
      <w:pPr>
        <w:spacing w:after="0" w:line="11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76" w:lineRule="exact"/>
        <w:rPr>
          <w:rFonts w:ascii="Arial" w:cs="Arial" w:eastAsia="Arial" w:hAnsi="Arial"/>
          <w:sz w:val="17"/>
          <w:szCs w:val="17"/>
          <w:color w:val="auto"/>
        </w:rPr>
      </w:pPr>
    </w:p>
    <w:p>
      <w:pPr>
        <w:ind w:left="640" w:right="18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84" w:lineRule="exact"/>
        <w:rPr>
          <w:rFonts w:ascii="Arial" w:cs="Arial" w:eastAsia="Arial" w:hAnsi="Arial"/>
          <w:sz w:val="17"/>
          <w:szCs w:val="17"/>
          <w:color w:val="auto"/>
        </w:rPr>
      </w:pPr>
    </w:p>
    <w:p>
      <w:pPr>
        <w:ind w:left="640" w:right="22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terms with prospective trial sites and prospective contract research organizations, or CROs, which can be subject to extensive negotiation and may vary significantly among different CROs and trial sites;</w:t>
      </w:r>
    </w:p>
    <w:p>
      <w:pPr>
        <w:spacing w:after="0" w:line="76"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76"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third-party contractors for preclinical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84"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due to the impact of the COVID-19 pandemic, we may experience some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84"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greater than anticipated clinical trial costs, including as a result of delays or interruptions that could increase the overall costs to finish our clinical trials as our fixed costs are not substantially reduced during delays;</w:t>
      </w:r>
    </w:p>
    <w:p>
      <w:pPr>
        <w:spacing w:after="0" w:line="76" w:lineRule="exact"/>
        <w:rPr>
          <w:rFonts w:ascii="Arial" w:cs="Arial" w:eastAsia="Arial" w:hAnsi="Arial"/>
          <w:sz w:val="17"/>
          <w:szCs w:val="17"/>
          <w:color w:val="auto"/>
        </w:rPr>
      </w:pPr>
    </w:p>
    <w:p>
      <w:pPr>
        <w:ind w:left="640" w:right="16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4" w:lineRule="exact"/>
        <w:rPr>
          <w:rFonts w:ascii="Arial" w:cs="Arial" w:eastAsia="Arial" w:hAnsi="Arial"/>
          <w:sz w:val="17"/>
          <w:szCs w:val="17"/>
          <w:color w:val="auto"/>
        </w:rPr>
      </w:pPr>
    </w:p>
    <w:p>
      <w:pPr>
        <w:ind w:left="640" w:right="36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have the financial resources available to begin and complete the planned trials, or the cost of clinical trials of any product candidates may be greater than we anticipate;</w:t>
      </w:r>
    </w:p>
    <w:p>
      <w:pPr>
        <w:spacing w:after="0" w:line="76"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to initiate or complete a given clinical trial;</w:t>
      </w:r>
    </w:p>
    <w:p>
      <w:pPr>
        <w:spacing w:after="0" w:line="76"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require us to submit additional data such as long-term toxicology studies, or impose other requirements before permitting us to initiate a clinical trial, including because the FDA has not reviewed our preclinical or clinical data, to date, having been developed outside the United States in Australia and New Zealand;</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inability to compete with other therapies;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poor efficacy of our product candidates during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clinical trial sites or manufacturing facilities;</w:t>
      </w:r>
    </w:p>
    <w:p>
      <w:pPr>
        <w:spacing w:after="0" w:line="119" w:lineRule="exact"/>
        <w:rPr>
          <w:rFonts w:ascii="Arial" w:cs="Arial" w:eastAsia="Arial" w:hAnsi="Arial"/>
          <w:sz w:val="17"/>
          <w:szCs w:val="17"/>
          <w:color w:val="auto"/>
        </w:rPr>
      </w:pPr>
    </w:p>
    <w:p>
      <w:pPr>
        <w:ind w:left="640" w:right="14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unfavorable product labeling associated with any product approvals and any requirements for a Risk Evaluation and Mitigation Strategy, or REMS, that may be required by the FDA or comparable requirements in other jurisdictions to ensure the benefits of an individual product outweigh its risks;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unfavorable acceptance of our clinical trial data by the patient or medical communities or third-party payors;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860" w:hanging="320"/>
        <w:spacing w:after="0" w:line="275"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76"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related to the impact or the spread of COVID-19 or other pandemics, including the impact of COVID-19 on the FDA’s, or similar foreign regulatory agencies, ability to continue its normal operations;</w:t>
      </w:r>
    </w:p>
    <w:p>
      <w:pPr>
        <w:spacing w:after="0" w:line="76" w:lineRule="exact"/>
        <w:rPr>
          <w:rFonts w:ascii="Arial" w:cs="Arial" w:eastAsia="Arial" w:hAnsi="Arial"/>
          <w:sz w:val="17"/>
          <w:szCs w:val="17"/>
          <w:color w:val="auto"/>
        </w:rPr>
      </w:pPr>
    </w:p>
    <w:p>
      <w:pPr>
        <w:jc w:val="both"/>
        <w:ind w:left="640" w:right="160" w:hanging="320"/>
        <w:spacing w:after="0" w:line="266"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FDA's evolving recommendations for developers of antisense oligonucleotide drug products with single participant trials and the imposition of additional regulatory oversight around clinical testing generally or with respect to our technology in particular; or</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19"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84"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In addition, of the large number of drugs in development in the biopharmaceutical industry, only a small percentage result in the submission of a marketing application, such as a new drug application, or NDA, to the FDA, and even fewer are approved for commercialization. Furthermore, even if we do receive regulatory approval for PRAX-144, PRAX-944 or PRAX-562 for any indication, any such approval may be subject to limitations on the indications or uses or patient populations for which we may market the product. Accordingly, even if we are able to obtain the requisite financing to continue to fund our development programs, we cannot assure that we will successfully develop or commercialize PRAX-114, PRAX-944 or PRAX-562 for any indication. If we or any of our future collaborators are unable to develop, or obtain regulatory approval for, or, if approved, successfully commercialize PRAX-114, PRAX-944 or PRAX-562 for our initial or potential additional indications, we may not be able to generate sufficient revenue to continue our business. In addition, our failure to demonstrate positive results in our clinical trials in any indication for which we are developing PRAX-114, PRAX-944 and PRAX-562 could adversely affect our development efforts for PRAX-114, PRAX-944 and PRAX-562 in other indications.</w:t>
      </w:r>
    </w:p>
    <w:p>
      <w:pPr>
        <w:spacing w:after="0" w:line="7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Clinical development involves a lengthy, complex and expensive process, with an uncertain outcome. The outcome of preclinical testing and early clinical trials may not be predictive of the success of later clinical trials, and the results of our clinical trials, which to date have primarily been conducted in Australia and New Zealand, may not satisfy the requirements of the FDA or comparable foreign regulatory authorities.</w:t>
      </w:r>
    </w:p>
    <w:p>
      <w:pPr>
        <w:spacing w:after="0" w:line="81"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in the United States where we hope to advance our product development efforts in the future,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PRAX-114, PRAX-944, PRAX-562 or any of our other product candidates. Product candidates that appear promising in the early phases of development may fail to reach the market for several reasons, including:</w:t>
      </w:r>
    </w:p>
    <w:p>
      <w:pPr>
        <w:spacing w:after="0" w:line="100" w:lineRule="exact"/>
        <w:rPr>
          <w:sz w:val="20"/>
          <w:szCs w:val="20"/>
          <w:color w:val="auto"/>
        </w:rPr>
      </w:pPr>
    </w:p>
    <w:p>
      <w:pPr>
        <w:ind w:left="640" w:right="300" w:hanging="320"/>
        <w:spacing w:after="0" w:line="275"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establish clinical endpoints that applicable regulatory authorities would consider clinically meaningful;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receive the necessary regulatory approvals;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80" w:hanging="320"/>
        <w:spacing w:after="0" w:line="275"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manufacturing issues, formulation issues, pricing or reimbursement issues or other factors that make a product candidate uneconomical; and</w:t>
      </w:r>
    </w:p>
    <w:p>
      <w:pPr>
        <w:spacing w:after="0" w:line="76"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one of our product candidates from being commercialized.</w:t>
      </w:r>
    </w:p>
    <w:p>
      <w:pPr>
        <w:spacing w:after="0" w:line="77"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w:t>
      </w:r>
    </w:p>
    <w:p>
      <w:pPr>
        <w:spacing w:after="0" w:line="87"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Additionally, some of our trials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To date, we have conducted some trials as open-label trials, including with PRAX-114 and PRAX-944.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30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standards that foreign regulatory authorities and the FDA use when regulating us require judgment and can change, which makes it difficult to predict with certainty how they will be applied. Although we are initially focusing our efforts on development of small molecule drug products, we intend to develop a potential antisense oligonucleotide candidate for genetic epilepsies and may in the future pursue development of biological products, each of which could make us subject to additional regulatory requirements. Any analysis we perform of data from preclinical and clinical activities is subject to confirmation and interpretation by regulatory authorities, which could delay, limit or prevent regulatory approval. Our clinical trials have primarily been conducted in Australia and New Zealand. The FDA’s acceptance of data from clinical trials outside of the United States is subject to certain conditions, including that the clinical trial must be well designed and conducted and performed by qualified investigators in accordance with good clinical practice, that the data must be applicable to the U.S. population and U.S. medical practice in ways that the FDA deems clinically meaningful, and that the trials are conducted in compliance with all applicable U.S. laws and regulations. If the FDA or comparable foreign regulatory authorities do not accept earlier preclinical or clinical data, we may need to conduct additional preclinical studies or clinical trials.</w:t>
      </w:r>
    </w:p>
    <w:p>
      <w:pPr>
        <w:spacing w:after="0" w:line="303"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We may also encounter unexpected delays or increased costs due to new government regulations. Examples of such regulations include future legislation or administrative action, or changes in foreign regulatory authority or FDA policy during the period of product development and regulatory review. It is impossible to predict whether legislative changes will be enacted, or whether foreign or FDA regulations, guidance or interpretations will be changed, or what the impact of such changes, if any, may be. In the United States, where we plan to develop our candidates in the future, the FDA may also require a panel of experts, referred to as an Advisory Committee, to deliberate on the adequacy of the safety and efficacy data to support approval. The opinion of the Advisory Committee, although not binding on the FDA, may have a significant impact on our ability to obtain approval of any product candidates that we develop.</w:t>
      </w:r>
    </w:p>
    <w:p>
      <w:pPr>
        <w:spacing w:after="0" w:line="91"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If we seek to continue conducting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jurisdictions and may include all of the risks associated with FDA approval described above as well as risks attributable to the satisfaction of local regulations in foreign jurisdictions. Moreover, the time required to obtain approval may differ jurisdiction-to-jurisdiction from that required to obtain FDA approval. Approval by foreign regulatory authorities does not ensure approval by the FDA and, similarly, approval by the FDA does not ensure approval by regulatory authorities outside the United States.</w:t>
      </w:r>
    </w:p>
    <w:p>
      <w:pPr>
        <w:spacing w:after="0" w:line="9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Successful completion of clinical trials is a prerequisite to submitting a marketing application to foreign regulatory authorities or the FDA, for each product candidate and, consequently, the ultimate approval and commercial marketing of any product candidates. We may experience negative or inconclusive results, or regulators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may be unwilling to accept preclinical or clinical data obtained in foreign jurisdictions, which may result in our deciding, or our being required by regulators, to conduct additional clinical studies or trials or abandon some or all of our product development programs, which could have a material adverse effect on our business.</w:t>
      </w:r>
    </w:p>
    <w:p>
      <w:pPr>
        <w:spacing w:after="0" w:line="64"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56"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Undesirable side effects caused by PRAX-114, PRAX-944, PRAX-562 or any future product candidate could cause us or regulatory authorities to interrupt, delay or halt clinical trials and could result in a more restrictive label or the delay or denial of regulatory approval by the FDA or comparable foreign regulatory authorities. 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91"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If unacceptable side effects arise in the development of our product candidates, we, foreign regulatory authorities, or, in the future, the FDA, the IRBs, DSMBs or independent ethics committees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87"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87"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91" w:lineRule="exact"/>
        <w:rPr>
          <w:sz w:val="20"/>
          <w:szCs w:val="20"/>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contraindications;</w:t>
      </w:r>
    </w:p>
    <w:p>
      <w:pPr>
        <w:spacing w:after="0" w:line="119"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or change the labeling of the product candidates;</w:t>
      </w:r>
    </w:p>
    <w:p>
      <w:pPr>
        <w:spacing w:after="0" w:line="76" w:lineRule="exact"/>
        <w:rPr>
          <w:rFonts w:ascii="Arial" w:cs="Arial" w:eastAsia="Arial" w:hAnsi="Arial"/>
          <w:sz w:val="17"/>
          <w:szCs w:val="17"/>
          <w:color w:val="auto"/>
        </w:rPr>
      </w:pPr>
    </w:p>
    <w:p>
      <w:pPr>
        <w:ind w:left="640" w:right="100" w:hanging="320"/>
        <w:spacing w:after="0" w:line="266"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FDA may require a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19"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may require us to conduct additional clinical trials or costly post-marketing testing and surveillance to monitor the safety and efficacy of the product;</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9" w:lineRule="exact"/>
        <w:rPr>
          <w:sz w:val="20"/>
          <w:szCs w:val="20"/>
          <w:color w:val="auto"/>
        </w:rPr>
      </w:pPr>
    </w:p>
    <w:p>
      <w:pPr>
        <w:ind w:right="320" w:firstLine="433"/>
        <w:spacing w:after="0" w:line="266" w:lineRule="auto"/>
        <w:rPr>
          <w:sz w:val="20"/>
          <w:szCs w:val="20"/>
          <w:color w:val="auto"/>
        </w:rPr>
      </w:pPr>
      <w:r>
        <w:rPr>
          <w:rFonts w:ascii="Arial" w:cs="Arial" w:eastAsia="Arial" w:hAnsi="Arial"/>
          <w:sz w:val="17"/>
          <w:szCs w:val="17"/>
          <w:color w:val="auto"/>
        </w:rPr>
        <w:t>For example, we are developing PRAX-114, an extrasynaptic-preferring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 or PAM, for the treatment of patients suffering from MDD and PMD. There have been documented cases of approved GABA</w:t>
      </w:r>
      <w:r>
        <w:rPr>
          <w:rFonts w:ascii="Arial" w:cs="Arial" w:eastAsia="Arial" w:hAnsi="Arial"/>
          <w:sz w:val="15"/>
          <w:szCs w:val="15"/>
          <w:color w:val="auto"/>
        </w:rPr>
        <w:t>A</w:t>
      </w:r>
      <w:r>
        <w:rPr>
          <w:rFonts w:ascii="Arial" w:cs="Arial" w:eastAsia="Arial" w:hAnsi="Arial"/>
          <w:sz w:val="17"/>
          <w:szCs w:val="17"/>
          <w:color w:val="auto"/>
        </w:rPr>
        <w:t xml:space="preserve"> receptor modulators leading to addiction and having the potential for abuse. To date, there has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been no indication of this side effect for PRAX-114 in our clinical trials; however, in any such instance, we would be subject to the risks outlined above, which would impact our ability to achieve or maintain market acceptance.</w:t>
      </w:r>
    </w:p>
    <w:p>
      <w:pPr>
        <w:spacing w:after="0" w:line="77" w:lineRule="exact"/>
        <w:rPr>
          <w:sz w:val="20"/>
          <w:szCs w:val="20"/>
          <w:color w:val="auto"/>
        </w:rPr>
      </w:pPr>
    </w:p>
    <w:p>
      <w:pPr>
        <w:jc w:val="both"/>
        <w:ind w:right="600" w:firstLine="433"/>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64" w:lineRule="exact"/>
        <w:rPr>
          <w:sz w:val="20"/>
          <w:szCs w:val="20"/>
          <w:color w:val="auto"/>
        </w:rPr>
      </w:pPr>
    </w:p>
    <w:p>
      <w:pPr>
        <w:ind w:right="720"/>
        <w:spacing w:after="0" w:line="300" w:lineRule="auto"/>
        <w:rPr>
          <w:sz w:val="20"/>
          <w:szCs w:val="20"/>
          <w:color w:val="auto"/>
        </w:rPr>
      </w:pPr>
      <w:r>
        <w:rPr>
          <w:rFonts w:ascii="Arial" w:cs="Arial" w:eastAsia="Arial" w:hAnsi="Arial"/>
          <w:sz w:val="17"/>
          <w:szCs w:val="17"/>
          <w:b w:val="1"/>
          <w:bCs w:val="1"/>
          <w:i w:val="1"/>
          <w:iCs w:val="1"/>
          <w:color w:val="auto"/>
        </w:rPr>
        <w:t>If we encounter difficulties enrolling patients in our future clinical trials, our clinical development activities could be delayed or otherwise adversely affected.</w:t>
      </w:r>
    </w:p>
    <w:p>
      <w:pPr>
        <w:spacing w:after="0" w:line="5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Patient enrollment is affected by many factors, including:</w:t>
      </w:r>
    </w:p>
    <w:p>
      <w:pPr>
        <w:spacing w:after="0" w:line="119" w:lineRule="exact"/>
        <w:rPr>
          <w:sz w:val="20"/>
          <w:szCs w:val="20"/>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size of the patient population required for analysis of the trial’s primary endpoints;</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clinical trials focused on rare disease, the small size of the patient population and the potential of a patient being undiagnosed or misdiagnosed;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286"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impacts of the COVID-19 pandemic on clinical trial sites, personnel and patient travel;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87"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87" w:lineRule="exact"/>
        <w:rPr>
          <w:sz w:val="20"/>
          <w:szCs w:val="20"/>
          <w:color w:val="auto"/>
        </w:rPr>
      </w:pPr>
    </w:p>
    <w:p>
      <w:pPr>
        <w:jc w:val="both"/>
        <w:ind w:right="120" w:firstLine="433"/>
        <w:spacing w:after="0" w:line="266" w:lineRule="auto"/>
        <w:rPr>
          <w:sz w:val="20"/>
          <w:szCs w:val="20"/>
          <w:color w:val="auto"/>
        </w:rPr>
      </w:pPr>
      <w:r>
        <w:rPr>
          <w:rFonts w:ascii="Arial" w:cs="Arial" w:eastAsia="Arial" w:hAnsi="Arial"/>
          <w:sz w:val="17"/>
          <w:szCs w:val="17"/>
          <w:color w:val="auto"/>
        </w:rPr>
        <w:t>We are also required to register certain clinical trials and post the results of completed clinical trials on a government-sponsored database, such as www.ClinicalTrials.gov in the United States, within certain timeframes. Failure to do so can result in fines, adverse publicity and civil and criminal sanctions.</w:t>
      </w:r>
    </w:p>
    <w:p>
      <w:pPr>
        <w:spacing w:after="0" w:line="64"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6"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may qualify such results, once additional data have been received and fully evaluated. Topline data also remain subject to audit and verification procedures that may result in the final data being materially different from the preliminary data we previously reported.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Some of our trials may be open- label studies,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Further, additional disclosure of interim data by us or by our competitors in the future could result in volatility in the price of our common stock.</w:t>
      </w:r>
    </w:p>
    <w:p>
      <w:pPr>
        <w:spacing w:after="0" w:line="100"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75" w:lineRule="exact"/>
        <w:rPr>
          <w:sz w:val="20"/>
          <w:szCs w:val="20"/>
          <w:color w:val="auto"/>
        </w:rPr>
      </w:pPr>
    </w:p>
    <w:p>
      <w:pPr>
        <w:ind w:right="500"/>
        <w:spacing w:after="0" w:line="300" w:lineRule="auto"/>
        <w:rPr>
          <w:sz w:val="20"/>
          <w:szCs w:val="20"/>
          <w:color w:val="auto"/>
        </w:rPr>
      </w:pPr>
      <w:r>
        <w:rPr>
          <w:rFonts w:ascii="Arial" w:cs="Arial" w:eastAsia="Arial" w:hAnsi="Arial"/>
          <w:sz w:val="17"/>
          <w:szCs w:val="17"/>
          <w:b w:val="1"/>
          <w:bCs w:val="1"/>
          <w:i w:val="1"/>
          <w:iCs w:val="1"/>
          <w:color w:val="auto"/>
        </w:rPr>
        <w:t>The markets for PRAX-114 for MDD and PMD, PRAX-944 for ET, PRAX-562 for multiple rare neurological conditions and any other product candidates we may develop may be smaller than we expect.</w:t>
      </w:r>
    </w:p>
    <w:p>
      <w:pPr>
        <w:spacing w:after="0" w:line="56"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Our estimates of the potential market opportunity for PRAX-114 for the treatment of MDD and PMD, PRAX-944 for the treatment of ET, PRAX-562 for the treatment of multiple rare neurological conditions, including severe pediatric epilepsies and rare adult cephalgias, as well as any other product candidates, include several key assumptions based on our industry knowledge, industry publications and third-party research reports. There can be no assurance that any of these assumptions are, or will remain, accurate. If the actual market for PRAX-114, PRAX-944 and PRAX-562 for these or other indications, or for any other product candidate we may develop, is smaller than we expect, our revenues, if any, may be limited and it may be more difficult for us to achieve or maintain profitability.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39"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or commercialization for a number of reasons, including:</w:t>
      </w:r>
    </w:p>
    <w:p>
      <w:pPr>
        <w:spacing w:after="0" w:line="77" w:lineRule="exact"/>
        <w:rPr>
          <w:sz w:val="20"/>
          <w:szCs w:val="20"/>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or pharmacokinetic properties that we desire; or</w:t>
      </w:r>
    </w:p>
    <w:p>
      <w:pPr>
        <w:spacing w:after="0" w:line="119" w:lineRule="exact"/>
        <w:rPr>
          <w:rFonts w:ascii="Arial" w:cs="Arial" w:eastAsia="Arial" w:hAnsi="Arial"/>
          <w:sz w:val="17"/>
          <w:szCs w:val="17"/>
          <w:color w:val="auto"/>
        </w:rPr>
      </w:pPr>
    </w:p>
    <w:p>
      <w:pPr>
        <w:ind w:left="640" w:right="180" w:hanging="320"/>
        <w:spacing w:after="0" w:line="275"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77"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We may in the future conduct clinical trials for our product candidates in the United States, Europe or other jurisdictions, and the FDA, the European Medicines Agency, or EMA, and applicable foreign regulatory authorities may not accept data from trials conducted outside those respective jurisdictions.</w:t>
      </w:r>
    </w:p>
    <w:p>
      <w:pPr>
        <w:spacing w:after="0" w:line="75"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may in the future choose to conduct one or more of our clinical trials in the United States, Europe or in other foreign jurisdictions outside of Australia and New Zealand where our trials currently are being conducted for PRAX-114, PRAX-944 and PRAX-562. The acceptance of study data from preclinical studies and clinical trials conducted outside those jurisdictions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Good Clinical Practices, or GCP, regulations. Additionally, the FDA’s clinical trial requirements, including sufficient size of patient populations and statistical powering, must be met.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We have obtained orphan drug designation for PRAX-222 and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75"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In the United States,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and granted by the FDA before a new NDA is submitted. In the United States, orphan drug designation entitles a party to financial incentives such as opportunities for grant funding towards clinical trial costs, tax advantages, and user-fee waivers. After the FDA grants orphan drug designation, it will disclose publicly the generic identity of the drug and its potential orphan use. Orphan drug designation does not convey any advantage in, or shorten the duration of, the regulatory review and approval process. Such a designation may also be revoked by the FDA in certain circumstances, such as if the agency finds that the applicant’s request for designation request omitted material information required under the Orphan Drug Act and its implementing regulations. In January 2021, the FDA granted orphan drug designation to PRAX-222 for the treatment of SCN2A developmental and epileptic encephalopathy, or SCN2A-DEE.</w:t>
      </w:r>
    </w:p>
    <w:p>
      <w:pPr>
        <w:spacing w:after="0" w:line="92"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This means that the FDA may not approve any other marketing applications for the same drug and the same indication for seven years, except in limited circumstances such as a showing of clinical superiority to the product with orphan exclusivity or if FDA finds that the holder of the orphan exclusivity has not shown that it can assure the availability of sufficient quantities of the orphan product to meet the needs of patients with the disease or condition for which the drug was designated. Furthermore, the FDA can waive orphan exclusivity if the applicant is unable to manufacture sufficient supply of the product subject to a period of orphan drug marketing exclusivity. Because we are developing PRAX-562 and PRAX-222 for indications we believe to be rare, we are pursuing orphan designations for our candidates as applicable in the jurisdictions where development activities are planned.</w:t>
      </w:r>
    </w:p>
    <w:p>
      <w:pPr>
        <w:spacing w:after="0" w:line="69"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b w:val="1"/>
          <w:bCs w:val="1"/>
          <w:i w:val="1"/>
          <w:iCs w:val="1"/>
          <w:color w:val="auto"/>
        </w:rPr>
        <w:t>We have received rare pediatric disease designation for PRAX-562 and PRAX-222. However, a marketing application for these product candidates, if approved, may not meet the eligibility criteria for a rare pediatric disease priority review voucher.</w:t>
      </w:r>
    </w:p>
    <w:p>
      <w:pPr>
        <w:spacing w:after="0" w:line="187"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have received rare pediatric disease designation for PRAX-562 for the treatment of SCN2A-DEE and for the treatment of SCN8A developmental and epileptic encephalopathy, or SCN8A-DEE, and for PRAX-222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 Under the Federal Food, Drug, and Cosmetic Act, or FDCA, we will need to request a rare pediatric disease priority review voucher in our original NDA for our product candidates for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which we have received rare pediatric disease designation. The FDA may determine that a NDA for any such product candidates, if approved, do not meet the eligibility criteria for a priority review voucher.</w:t>
      </w:r>
    </w:p>
    <w:p>
      <w:pPr>
        <w:spacing w:after="0" w:line="208"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The authority for the FDA to award rare pediatric disease priority review vouchers for drug products after September 30, 2024 is currently limited to products that receive rare pediatric disease designation on or prior to September 30, 2024, and FDA may only award rare pediatric disease priority review vouchers through September 30, 2026. However, it is possible the authority for FDA to award rare pediatric disease priority review vouchers will be further extended by Congress.</w:t>
      </w:r>
    </w:p>
    <w:p>
      <w:pPr>
        <w:spacing w:after="0" w:line="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b w:val="1"/>
          <w:bCs w:val="1"/>
          <w:i w:val="1"/>
          <w:iCs w:val="1"/>
          <w:color w:val="auto"/>
        </w:rPr>
        <w:t>A Breakthrough Therapy Designation by the FDA may not lead to a faster development or regulatory review or approval process, and does not increase the likelihood that our product candidates will receive marketing approval.</w:t>
      </w:r>
    </w:p>
    <w:p>
      <w:pPr>
        <w:spacing w:after="0" w:line="56"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We do not currently have Breakthrough Therapy Designation for any of our product candidates, but we may seek Breakthrough Therapy Designation for any product candidate that we plan to develop in the United States if we believe the qualifying criteria for such a designation can be met. A Breakthrough Therapy is defined as a drug that is intended, alone or in combination with one or more other drugs, to treat a serious or life- 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29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FDA has discretion to determine whether the criteria for a Breakthrough Therapy has been met and whether to grant a Breakthrough Therapy Designation to an investigational product.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after granting Breakthrough Therapy Designation to our product candidates, the FDA may later decide that the drugs no longer meet the conditions for qualification and withdraw the designation.</w:t>
      </w:r>
    </w:p>
    <w:p>
      <w:pPr>
        <w:spacing w:after="0" w:line="71"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75"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do not currently have Fast Track Designation for any of our product candidates, but we may seek such a designation for the product candidates we plan to develop in the United States if we believe the qualifying criteria for such a designation have been met.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that the FDA would decide to grant it. Even if we do receive Fast Track Designation, we may not experience a faster development process, review or approval compared to conventional FDA procedures. The FDA may withdraw the Fast Track Designation if it believes that the designation is no longer supported by data from our clinical development program. Many drugs that have received Fast Track Designation have failed to obtain regulatory approval.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Re</w:t>
      </w:r>
      <w:r>
        <w:rPr>
          <w:rFonts w:ascii="Arial" w:cs="Arial" w:eastAsia="Arial" w:hAnsi="Arial"/>
          <w:sz w:val="17"/>
          <w:szCs w:val="17"/>
          <w:color w:val="auto"/>
        </w:rPr>
        <w:t>g</w:t>
      </w:r>
      <w:r>
        <w:rPr>
          <w:rFonts w:ascii="Arial" w:cs="Arial" w:eastAsia="Arial" w:hAnsi="Arial"/>
          <w:sz w:val="17"/>
          <w:szCs w:val="17"/>
          <w:u w:val="single" w:color="auto"/>
          <w:color w:val="auto"/>
        </w:rPr>
        <w:t>ulatory Approval</w:t>
      </w:r>
    </w:p>
    <w:p>
      <w:pPr>
        <w:spacing w:after="0" w:line="9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6"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approved for reimbursement before it can be approved for sale in that jurisdiction. In some cases, the price that we intend to charge for our products is also subject to governmental approval. Additionally, as of June 23, 2020, the FDA noted it is continuing to ensure timely reviews of applications for medical products during the COVID-19 pandemic in line with its user fee performance goals; however,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28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Any of our current and future product candidates for which we, or any future collaborators, obtain regulatory approval in the future will be subject to ongoing obligations and continued regulatory review, which may result in significant additional expense. If approved, our product candidates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8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Any of our product candidates for which we, or any future collaborators, obtain regulatory approval, as well as the manufacturing processes, post- approval studies, labeling, advertising and promotional activities for such product, among other things, will be subject to ongoing requirements of and review by the FDA, if approved in the United States, and other regulatory authorities. These requirements include submissions of safety and other post- 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in the United States and other regulatory authorities, including similar regulatory authorities in foreign jurisdictions, to monitor compliance with these requirements and the terms of any product approval we may obtain. Even if regulatory approval of a product candidate is granted, the approval may be subject to limitations on the indications or uses for which the product may be marketed or to the conditions of approval, including the potential requirement in the United States to implement a REMS.</w:t>
      </w:r>
    </w:p>
    <w:p>
      <w:pPr>
        <w:spacing w:after="0" w:line="94"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Regulatory authorities may also impose requirements for costly post-marketing studies or clinical trials and surveillance to monitor the safety or efficacy of a product. In the United States, the FDA and other agencies, including the Department of Justice, closely regulate and monitor the post- approval marketing and promotion of products to ensure that they are manufactured, marketed and distributed only for the approved indications and in accordance with the approved labeling. The FDA imposes stringent restrictions on manufacturers’ communications regarding off-label use of approved drug products. However, companies may share truthful and not misleading information that is otherwise consistent with a product’s FDA approved labeling. If we, or any future collaborators, do not market any of our product candidates for which we, or they, receive regulatory approval for only their approved indications, we, or they, may be subject to warnings or enforcement action for off-label marketing if it is alleged that we are doing so. In the United States, violation of the Federal Food, Drug and Cosmetic Act and other statutes relating to the promotion and advertising of prescription drugs may lead to investigations or allegations of violations of federal and state health care fraud and abuse laws and state consumer protection laws, including the federal False Claims Act, or the FCA.</w:t>
      </w:r>
    </w:p>
    <w:p>
      <w:pPr>
        <w:spacing w:after="0" w:line="94" w:lineRule="exact"/>
        <w:rPr>
          <w:sz w:val="20"/>
          <w:szCs w:val="20"/>
          <w:color w:val="auto"/>
        </w:rPr>
      </w:pPr>
    </w:p>
    <w:p>
      <w:pPr>
        <w:ind w:right="1000" w:firstLine="433"/>
        <w:spacing w:after="0" w:line="275" w:lineRule="auto"/>
        <w:rPr>
          <w:sz w:val="20"/>
          <w:szCs w:val="20"/>
          <w:color w:val="auto"/>
        </w:rPr>
      </w:pPr>
      <w:r>
        <w:rPr>
          <w:rFonts w:ascii="Arial" w:cs="Arial" w:eastAsia="Arial" w:hAnsi="Arial"/>
          <w:sz w:val="17"/>
          <w:szCs w:val="17"/>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77" w:lineRule="exact"/>
        <w:rPr>
          <w:sz w:val="20"/>
          <w:szCs w:val="20"/>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restrictions on the manufacturing of such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restrictions on the labeling or marketing of such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warning letters or untitled letters;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restrictions on coverage by third-party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exclusion from U.S. federal health care programs such as Medicare and Medicaid;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refusal to permit the import or export of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product seizure;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99"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b w:val="1"/>
          <w:bCs w:val="1"/>
          <w:i w:val="1"/>
          <w:iCs w:val="1"/>
          <w:color w:val="auto"/>
        </w:rPr>
        <w:t>Even if we, or any future collaborators, obtain regulatory approvals for our product candidates, the terms of approvals and ongoing regulation of our products may limit how we manufacture and market our products, which could impair our ability to generate revenue.</w:t>
      </w:r>
    </w:p>
    <w:p>
      <w:pPr>
        <w:spacing w:after="0" w:line="5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87" w:lineRule="exact"/>
        <w:rPr>
          <w:sz w:val="20"/>
          <w:szCs w:val="20"/>
          <w:color w:val="auto"/>
        </w:rPr>
      </w:pPr>
    </w:p>
    <w:p>
      <w:pPr>
        <w:ind w:right="160" w:firstLine="433"/>
        <w:spacing w:after="0" w:line="260"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regulatory requirements, including under FDA authorities ensuring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regulatory authorities to monitor and ensure compliance with cGMPs. Despite our efforts to inspect and verify regulatory compliance, one or more of our third-party manufacturing vendors may be found on regulatory inspection to be not in compliance with cGMP requirements,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299"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Accordingly, assuming we, or any future collaborators, receive regulatory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84"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If we, or any future collaborators, are not able to comply with post-approval regulatory requirements, we, or any future collaborators, could have the regulatory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67"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Changes in regulatory requirements or regulatory guidance or unanticipated events during our non-clinical studies and clinical trials of our product candidates may occur, which may result in changes to non-clinical studies and clinical trial protocols or the need for additional non-clinical studies and clinical trials, which could result in increased costs to us and could delay our development timelines.</w:t>
      </w:r>
    </w:p>
    <w:p>
      <w:pPr>
        <w:spacing w:after="0" w:line="292"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Changes in regulatory requirements or regulatory guidance or unanticipated events during our non-clinical studies and clinical trials may force us to amend non-clinical studies and clinical trial protocols or the applicable regulatory authority may impose additional non-clinical studies and clinical trial requirements. Amendments or changes to our clinical trial protocols would generally require resubmission to the applicable regulatory authority and IRBs for review and approval, which may adversely impact the cost, timing or successful completion of clinical trials. These decisions may increase costs, and cause us not to meet expected timelines and, correspondingly, our business and financial prospects could be adversely affected. Similarly, amendments to our non-clinical studies may adversely impact the cost, timing or successful completion of those non-clinical studies. If we experience delays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completing, or if we terminate, any of our non-clinical studies or clinical trials, or if we are required to conduct additional non-clinical studies or clinical trials, the development pathway, and ultimately the commercial prospects, for our product candidates may be harmed and our ability to generate product revenue from resulting products, if any, will be delayed.</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8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Regardless of the merits or eventual outcome, product liability claims may result in:</w:t>
      </w:r>
    </w:p>
    <w:p>
      <w:pPr>
        <w:spacing w:after="0" w:line="119"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decreased demand for any of our future approved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 or other claimants;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any approved drug products may be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8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81"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7" w:lineRule="exact"/>
        <w:rPr>
          <w:sz w:val="20"/>
          <w:szCs w:val="20"/>
          <w:color w:val="auto"/>
        </w:rPr>
      </w:pPr>
    </w:p>
    <w:p>
      <w:pPr>
        <w:ind w:right="140" w:firstLine="433"/>
        <w:spacing w:after="0" w:line="260" w:lineRule="auto"/>
        <w:rPr>
          <w:sz w:val="20"/>
          <w:szCs w:val="20"/>
          <w:color w:val="auto"/>
        </w:rPr>
      </w:pPr>
      <w:r>
        <w:rPr>
          <w:rFonts w:ascii="Arial" w:cs="Arial" w:eastAsia="Arial" w:hAnsi="Arial"/>
          <w:sz w:val="17"/>
          <w:szCs w:val="17"/>
          <w:color w:val="auto"/>
        </w:rPr>
        <w:t>Specifically, we face competition with GABA</w:t>
      </w:r>
      <w:r>
        <w:rPr>
          <w:rFonts w:ascii="Arial" w:cs="Arial" w:eastAsia="Arial" w:hAnsi="Arial"/>
          <w:sz w:val="15"/>
          <w:szCs w:val="15"/>
          <w:color w:val="auto"/>
        </w:rPr>
        <w:t>A</w:t>
      </w:r>
      <w:r>
        <w:rPr>
          <w:rFonts w:ascii="Arial" w:cs="Arial" w:eastAsia="Arial" w:hAnsi="Arial"/>
          <w:sz w:val="17"/>
          <w:szCs w:val="17"/>
          <w:color w:val="auto"/>
        </w:rPr>
        <w:t xml:space="preserve"> receptor modulator programs in development targeting MDD, including that of SAGE Therapeutics, as well as other programs in clinical development targeting other mechanisms of action and approved therapies such as selective serotonin reuptake inhibitors, or SSRIs; T-type calcium channel inhibitor programs in development targeting ET, including that of Jazz Pharmaceuticals and Neurocrine Biosciences, as well as other programs in clinical development targeting other mechanisms of action, and approved therapies, such as propranolol, and off-label therapies, such as primidone; and sodium channel blocker programs in development for DEE, including those of SK-Pharma, Xenon Pharmaceuticals and Neurocrine Biosciences, as well as other programs in clinical development targeting other mechanisms of action, and approved therapies including other existing ion channel blockers.</w:t>
      </w:r>
    </w:p>
    <w:p>
      <w:pPr>
        <w:spacing w:after="0" w:line="91"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Many of our current or potential competitors, either alone or with their strategic partners, have:</w:t>
      </w:r>
    </w:p>
    <w:p>
      <w:pPr>
        <w:spacing w:after="0" w:line="119" w:lineRule="exact"/>
        <w:rPr>
          <w:sz w:val="20"/>
          <w:szCs w:val="20"/>
          <w:color w:val="auto"/>
        </w:rPr>
      </w:pPr>
    </w:p>
    <w:p>
      <w:pPr>
        <w:ind w:left="640" w:right="840" w:hanging="320"/>
        <w:spacing w:after="0" w:line="275"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greater financial, technical and human resources than we have at every stage of the discovery, development, manufacture and commercialization of products;</w:t>
      </w:r>
    </w:p>
    <w:p>
      <w:pPr>
        <w:spacing w:after="0" w:line="76" w:lineRule="exact"/>
        <w:rPr>
          <w:rFonts w:ascii="Arial" w:cs="Arial" w:eastAsia="Arial" w:hAnsi="Arial"/>
          <w:sz w:val="17"/>
          <w:szCs w:val="17"/>
          <w:color w:val="auto"/>
        </w:rPr>
      </w:pPr>
    </w:p>
    <w:p>
      <w:pPr>
        <w:ind w:left="640" w:right="800" w:hanging="320"/>
        <w:spacing w:after="0" w:line="275"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more extensive experience in preclinical testing, conducting clinical trials, obtaining regulatory approvals, and in manufacturing, marketing and selling drug products;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1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90"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81"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and GCP requirements for any clinical trials that we conduct post-approval.</w:t>
      </w:r>
    </w:p>
    <w:p>
      <w:pPr>
        <w:spacing w:after="0" w:line="87" w:lineRule="exact"/>
        <w:rPr>
          <w:sz w:val="20"/>
          <w:szCs w:val="20"/>
          <w:color w:val="auto"/>
        </w:rPr>
      </w:pPr>
    </w:p>
    <w:p>
      <w:pPr>
        <w:ind w:right="320" w:firstLine="433"/>
        <w:spacing w:after="0" w:line="262" w:lineRule="auto"/>
        <w:rPr>
          <w:sz w:val="20"/>
          <w:szCs w:val="20"/>
          <w:color w:val="auto"/>
        </w:rPr>
      </w:pPr>
      <w:r>
        <w:rPr>
          <w:rFonts w:ascii="Arial" w:cs="Arial" w:eastAsia="Arial" w:hAnsi="Arial"/>
          <w:sz w:val="17"/>
          <w:szCs w:val="17"/>
          <w:color w:val="auto"/>
        </w:rPr>
        <w:t>Manufacturers and their facilities are required to comply with extensive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7"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91"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the United States, the FDA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program. Other potential consequences include, among other things:</w:t>
      </w:r>
    </w:p>
    <w:p>
      <w:pPr>
        <w:spacing w:after="0" w:line="88"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restrictions on the manufacturing of our products, the approved manufacturers or the manufacturing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withdrawal of the product from the market or voluntary product recalls;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warning or untitled letters from the FDA or comparable notice of violations from foreign regulatory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suspensions of any of our ongoing clinical trials;</w:t>
      </w:r>
    </w:p>
    <w:p>
      <w:pPr>
        <w:spacing w:after="0" w:line="119"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withdrawal of marketing approvals;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consent decrees, injunctions or the imposition of civil or criminal penalties.</w:t>
      </w:r>
    </w:p>
    <w:p>
      <w:pPr>
        <w:spacing w:after="0" w:line="11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Regulatory authorities strictly regulate marketing, labeling, advertising and promotion of products that are placed on the market. Products may be promoted only for the approved indications and in accordance with the provisions of the approved label. However, in the United States, companies may share truthful and not misleading information that is not inconsistent with the labeling. The FDA and other regulatory authorities actively enforce the laws and regulations prohibiting the promotion of off-label uses and a company that is found to have improperly promoted off-label uses may be subject to significant liability. Violations of the Federal Food, Drug, and Cosmetic Act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expend time, money and effort in all areas of regulatory compliance, including promotional and labeling compliance, manufacturing, production, product surveillance and quality control.</w:t>
      </w:r>
    </w:p>
    <w:p>
      <w:pPr>
        <w:spacing w:after="0" w:line="77"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Sales, Marketing and Competition</w:t>
      </w:r>
    </w:p>
    <w:p>
      <w:pPr>
        <w:spacing w:after="0" w:line="9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56"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19"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relative convenience and ease of administration compared to alternative treatments;</w:t>
      </w:r>
    </w:p>
    <w:p>
      <w:pPr>
        <w:spacing w:after="0" w:line="119" w:lineRule="exact"/>
        <w:rPr>
          <w:rFonts w:ascii="Arial" w:cs="Arial" w:eastAsia="Arial" w:hAnsi="Arial"/>
          <w:sz w:val="17"/>
          <w:szCs w:val="17"/>
          <w:color w:val="auto"/>
        </w:rPr>
      </w:pPr>
    </w:p>
    <w:p>
      <w:pPr>
        <w:ind w:left="640" w:right="800" w:hanging="320"/>
        <w:spacing w:after="0" w:line="275"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76" w:lineRule="exact"/>
        <w:rPr>
          <w:rFonts w:ascii="Arial" w:cs="Arial" w:eastAsia="Arial" w:hAnsi="Arial"/>
          <w:sz w:val="17"/>
          <w:szCs w:val="17"/>
          <w:color w:val="auto"/>
        </w:rPr>
      </w:pPr>
    </w:p>
    <w:p>
      <w:pPr>
        <w:ind w:left="640" w:right="460" w:hanging="320"/>
        <w:spacing w:after="0" w:line="275"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size of the market for such product candidate, based on the size of the patient subsets that we are targeting, in the territories for which we gain regulatory approval;</w:t>
      </w:r>
    </w:p>
    <w:p>
      <w:pPr>
        <w:spacing w:after="0" w:line="76"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any such marketing approval in relation to other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restrictions on concomitant use of other medications;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support from patient advocacy groups;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9"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5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94"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87"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87" w:lineRule="exact"/>
        <w:rPr>
          <w:sz w:val="20"/>
          <w:szCs w:val="20"/>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97"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91"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88"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39"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in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74" w:lineRule="exact"/>
        <w:rPr>
          <w:sz w:val="20"/>
          <w:szCs w:val="20"/>
          <w:color w:val="auto"/>
        </w:rPr>
      </w:pPr>
    </w:p>
    <w:p>
      <w:pPr>
        <w:ind w:right="900"/>
        <w:spacing w:after="0" w:line="300" w:lineRule="auto"/>
        <w:rPr>
          <w:sz w:val="20"/>
          <w:szCs w:val="20"/>
          <w:color w:val="auto"/>
        </w:rPr>
      </w:pPr>
      <w:r>
        <w:rPr>
          <w:rFonts w:ascii="Arial" w:cs="Arial" w:eastAsia="Arial" w:hAnsi="Arial"/>
          <w:sz w:val="17"/>
          <w:szCs w:val="17"/>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In order to market any products in the United States or European Union,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1"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292" w:lineRule="exact"/>
        <w:rPr>
          <w:sz w:val="20"/>
          <w:szCs w:val="20"/>
          <w:color w:val="auto"/>
        </w:rPr>
      </w:pPr>
    </w:p>
    <w:p>
      <w:pPr>
        <w:ind w:right="60" w:firstLine="433"/>
        <w:spacing w:after="0" w:line="258"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Ongoing Regulatory and Legal Compliance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Healthcare and Related Laws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5"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 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94"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77" w:lineRule="exact"/>
        <w:rPr>
          <w:sz w:val="20"/>
          <w:szCs w:val="20"/>
          <w:color w:val="auto"/>
        </w:rPr>
      </w:pPr>
    </w:p>
    <w:p>
      <w:pPr>
        <w:ind w:left="640" w:right="80" w:hanging="320"/>
        <w:spacing w:after="0" w:line="259"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renumeration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90" w:lineRule="exact"/>
        <w:rPr>
          <w:rFonts w:ascii="Arial" w:cs="Arial" w:eastAsia="Arial" w:hAnsi="Arial"/>
          <w:sz w:val="17"/>
          <w:szCs w:val="17"/>
          <w:color w:val="auto"/>
        </w:rPr>
      </w:pPr>
    </w:p>
    <w:p>
      <w:pPr>
        <w:ind w:left="640" w:right="40" w:hanging="320"/>
        <w:spacing w:after="0" w:line="259"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302" w:lineRule="exact"/>
        <w:rPr>
          <w:rFonts w:ascii="Arial" w:cs="Arial" w:eastAsia="Arial" w:hAnsi="Arial"/>
          <w:sz w:val="17"/>
          <w:szCs w:val="17"/>
          <w:color w:val="auto"/>
        </w:rPr>
      </w:pPr>
    </w:p>
    <w:p>
      <w:pPr>
        <w:ind w:left="640" w:right="180" w:hanging="320"/>
        <w:spacing w:after="0" w:line="262"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220"/>
        <w:spacing w:after="0" w:line="263" w:lineRule="auto"/>
        <w:rPr>
          <w:sz w:val="20"/>
          <w:szCs w:val="20"/>
          <w:color w:val="auto"/>
        </w:rPr>
      </w:pPr>
      <w:r>
        <w:rPr>
          <w:rFonts w:ascii="Arial" w:cs="Arial" w:eastAsia="Arial" w:hAnsi="Arial"/>
          <w:sz w:val="17"/>
          <w:szCs w:val="17"/>
          <w:color w:val="auto"/>
        </w:rPr>
        <w:t>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87" w:lineRule="exact"/>
        <w:rPr>
          <w:sz w:val="20"/>
          <w:szCs w:val="20"/>
          <w:color w:val="auto"/>
        </w:rPr>
      </w:pPr>
    </w:p>
    <w:p>
      <w:pPr>
        <w:ind w:left="640" w:hanging="320"/>
        <w:spacing w:after="0" w:line="259"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2" w:lineRule="exact"/>
        <w:rPr>
          <w:rFonts w:ascii="Arial" w:cs="Arial" w:eastAsia="Arial" w:hAnsi="Arial"/>
          <w:sz w:val="17"/>
          <w:szCs w:val="17"/>
          <w:color w:val="auto"/>
        </w:rPr>
      </w:pPr>
    </w:p>
    <w:p>
      <w:pPr>
        <w:ind w:left="640" w:hanging="320"/>
        <w:spacing w:after="0" w:line="26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federal Physician Payments Sunshine Act, created under the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by the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89" w:lineRule="exact"/>
        <w:rPr>
          <w:rFonts w:ascii="Arial" w:cs="Arial" w:eastAsia="Arial" w:hAnsi="Arial"/>
          <w:sz w:val="17"/>
          <w:szCs w:val="17"/>
          <w:color w:val="auto"/>
        </w:rPr>
      </w:pPr>
    </w:p>
    <w:p>
      <w:pPr>
        <w:ind w:left="640" w:right="40" w:hanging="320"/>
        <w:spacing w:after="0" w:line="275"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76" w:lineRule="exact"/>
        <w:rPr>
          <w:rFonts w:ascii="Arial" w:cs="Arial" w:eastAsia="Arial" w:hAnsi="Arial"/>
          <w:sz w:val="17"/>
          <w:szCs w:val="17"/>
          <w:color w:val="auto"/>
        </w:rPr>
      </w:pPr>
    </w:p>
    <w:p>
      <w:pPr>
        <w:ind w:left="640" w:right="40" w:hanging="320"/>
        <w:spacing w:after="0" w:line="259"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some of which may be more stringent than those in the United States (such as the European Union, which adopted the General Data Protection Regulation, which became effective in May 2018) in certain circumstances, and may differ from each other in significant ways and often are not preempted by HIPAA, thus complicating compliance efforts.</w:t>
      </w:r>
    </w:p>
    <w:p>
      <w:pPr>
        <w:spacing w:after="0" w:line="92" w:lineRule="exact"/>
        <w:rPr>
          <w:sz w:val="20"/>
          <w:szCs w:val="20"/>
          <w:color w:val="auto"/>
        </w:rPr>
      </w:pPr>
    </w:p>
    <w:p>
      <w:pPr>
        <w:ind w:right="120" w:firstLine="433"/>
        <w:spacing w:after="0" w:line="246" w:lineRule="auto"/>
        <w:rPr>
          <w:sz w:val="20"/>
          <w:szCs w:val="20"/>
          <w:color w:val="auto"/>
        </w:rPr>
      </w:pPr>
      <w:r>
        <w:rPr>
          <w:rFonts w:ascii="Arial" w:cs="Arial" w:eastAsia="Arial" w:hAnsi="Arial"/>
          <w:sz w:val="17"/>
          <w:szCs w:val="17"/>
          <w:color w:val="auto"/>
        </w:rPr>
        <w:t>Additionally, as further discussed below, on November 20, 2020, HHS finalized a regulation that, among other things, (i) removed safe harbor protection for price reductions from pharmaceutical manufacturers, and (ii) created new safe harbor for certain fixed fees. It is not clear at this time what effect, if any, these and other changes to the Anti-Kickback Safe Harbors, in effect as of January 19, 2021, will have on our business. Furthermore, 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87"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If the FDA or a comparable foreign regulatory authority approves any of our product candidates, we will be subject to an expanded number of these laws and regulations and will need to expend resources to develop and implement policies and processes to promote ongoing compliance. The scope and enforcement of each of these laws is uncertain and subject to rapid change in the current environment of healthcare reform, especially in light of the lack of applicable precedent and regulations. Ensuring business arrangements comply with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laws, as well as responding to possible investigations by government authorities, can be time- and resource-consuming and can divert a company’s attention from the business.</w:t>
      </w:r>
    </w:p>
    <w:p>
      <w:pPr>
        <w:spacing w:after="0" w:line="77"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8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87"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81" w:lineRule="exact"/>
        <w:rPr>
          <w:sz w:val="20"/>
          <w:szCs w:val="20"/>
          <w:color w:val="auto"/>
        </w:rPr>
      </w:pPr>
    </w:p>
    <w:p>
      <w:pPr>
        <w:ind w:right="340" w:firstLine="433"/>
        <w:spacing w:after="0" w:line="266" w:lineRule="auto"/>
        <w:rPr>
          <w:sz w:val="20"/>
          <w:szCs w:val="20"/>
          <w:color w:val="auto"/>
        </w:rPr>
      </w:pPr>
      <w:r>
        <w:rPr>
          <w:rFonts w:ascii="Arial" w:cs="Arial" w:eastAsia="Arial" w:hAnsi="Arial"/>
          <w:sz w:val="17"/>
          <w:szCs w:val="17"/>
          <w:color w:val="auto"/>
        </w:rPr>
        <w:t>In many activities, including the conduct of clinical trials, we may be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w:t>
      </w:r>
    </w:p>
    <w:p>
      <w:pPr>
        <w:spacing w:after="0" w:line="84"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87"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and may change frequently and sometimes conflict. The European Union’s omnibus data protection law, the General Data Protection Regulation, or GDPR, took effect in May 2018. The GDPR imposes numerous requirements on entities that process personal data in the context of an establishment in the European Economic Area, or EEA, or that process the personal data of data subjects who are located in the EEA. These requirements include, for example, establishing a basis for processing, providing notice to data subjects, developing procedures to vindicate expanded data subject rights, implementing appropriate technical and organizational measures to safeguard personal data and complying with restrictions on the cross-border transfer of personal data from the EEA to countries that the European Union does not consider to have in place adequate data protection legislation, such as the United States. The GDPR additionally establishes heightened obligations for entities that process “special categories” of personal data, such as health data. Nearly all clinical trials involve the processing of these “special categories” of personal data, and thus processing of personal data collected during the course of clinical trials 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subject to heightened protections under the GDPR. Violations of the GDPR can lead to penalties of up to $20 million or 4% of an entity’s annual turnover.</w:t>
      </w:r>
    </w:p>
    <w:p>
      <w:pPr>
        <w:spacing w:after="0" w:line="77"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As a means to transfer personal data from the EEA to the U.S., U.S.-based companies may certify compliance with the privacy principles of the EU-U.S. Privacy Shield, or the Privacy Shield. Certification to the Privacy Shield, however, is not mandatory. If a U.S.-based company does not certify compliance with the Privacy Shield, it may rely on other authorized mechanisms to transfer personal data. Notably, the Privacy Shield is currently subject to challenge in the EU courts, and it is possible that it will be invalidated, which was the fate of its predecessor, the EU-U.S. Safe Harbor. In the event of invalidation of the Privacy Shield, U.S. companies that currently rely on the Privacy Shield as the basis for cross-border transfer of personal data will need to establish another basis for cross-border transfer of personal data.</w:t>
      </w:r>
    </w:p>
    <w:p>
      <w:pPr>
        <w:spacing w:after="0" w:line="88"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89" w:lineRule="exact"/>
        <w:rPr>
          <w:sz w:val="20"/>
          <w:szCs w:val="20"/>
          <w:color w:val="auto"/>
        </w:rPr>
      </w:pPr>
    </w:p>
    <w:p>
      <w:pPr>
        <w:ind w:right="120" w:firstLine="433"/>
        <w:spacing w:after="0" w:line="259" w:lineRule="auto"/>
        <w:rPr>
          <w:sz w:val="20"/>
          <w:szCs w:val="20"/>
          <w:color w:val="auto"/>
        </w:rPr>
      </w:pPr>
      <w:r>
        <w:rPr>
          <w:rFonts w:ascii="Arial" w:cs="Arial" w:eastAsia="Arial" w:hAnsi="Arial"/>
          <w:sz w:val="17"/>
          <w:szCs w:val="17"/>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was effective January 1, 2020. The CCPA has been characterized as the first “GDPR-like” privacy statute to be enacted in the United States because it mirrors a number of the key provisions of the EU General Data Protection Regulation. The CCPA establishes a new privacy framework for covered businesses in the State of California, by creating an expanded definition of personal information, establishing new data privacy rights for consumers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92"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71" w:lineRule="exact"/>
        <w:rPr>
          <w:sz w:val="20"/>
          <w:szCs w:val="20"/>
          <w:color w:val="auto"/>
        </w:rPr>
      </w:pPr>
    </w:p>
    <w:p>
      <w:pPr>
        <w:ind w:right="420"/>
        <w:spacing w:after="0" w:line="300" w:lineRule="auto"/>
        <w:rPr>
          <w:sz w:val="20"/>
          <w:szCs w:val="20"/>
          <w:color w:val="auto"/>
        </w:rPr>
      </w:pPr>
      <w:r>
        <w:rPr>
          <w:rFonts w:ascii="Arial" w:cs="Arial" w:eastAsia="Arial" w:hAnsi="Arial"/>
          <w:sz w:val="17"/>
          <w:szCs w:val="17"/>
          <w:b w:val="1"/>
          <w:bCs w:val="1"/>
          <w:i w:val="1"/>
          <w:iCs w:val="1"/>
          <w:color w:val="auto"/>
        </w:rPr>
        <w:t>Ongoing healthcare legislative and regulatory reform measures may have a material adverse effect on our business and results of operations.</w:t>
      </w:r>
    </w:p>
    <w:p>
      <w:pPr>
        <w:spacing w:after="0" w:line="56" w:lineRule="exact"/>
        <w:rPr>
          <w:sz w:val="20"/>
          <w:szCs w:val="20"/>
          <w:color w:val="auto"/>
        </w:rPr>
      </w:pPr>
    </w:p>
    <w:p>
      <w:pPr>
        <w:ind w:right="300" w:firstLine="433"/>
        <w:spacing w:after="0" w:line="263" w:lineRule="auto"/>
        <w:rPr>
          <w:sz w:val="20"/>
          <w:szCs w:val="20"/>
          <w:color w:val="auto"/>
        </w:rPr>
      </w:pPr>
      <w:r>
        <w:rPr>
          <w:rFonts w:ascii="Arial" w:cs="Arial" w:eastAsia="Arial" w:hAnsi="Arial"/>
          <w:sz w:val="17"/>
          <w:szCs w:val="17"/>
          <w:color w:val="auto"/>
        </w:rPr>
        <w:t>Changes in U.S. and foreign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87"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the U.S.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9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Also, in December 2018, CMS issued a final rule permitting further collections and payments to and from certain ACA qualified health plans and health insurance issuers under the ACA risk adjustment program. Since then, the ACA risk adjustment program payment parameters have been updated annually. It is unclear whether the ACA will be overturned, repealed, replaced or further amended. We cannot predict what affect further changes to the ACA would have on our business.</w:t>
      </w:r>
    </w:p>
    <w:p>
      <w:pPr>
        <w:spacing w:after="0" w:line="305" w:lineRule="exact"/>
        <w:rPr>
          <w:sz w:val="20"/>
          <w:szCs w:val="20"/>
          <w:color w:val="auto"/>
        </w:rPr>
      </w:pPr>
    </w:p>
    <w:p>
      <w:pPr>
        <w:ind w:right="60" w:firstLine="433"/>
        <w:spacing w:after="0" w:line="24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up to 2% per fiscal year. These reductions went into effect on April 1, 2013 and, due to subsequent legislative amendments to the statute, will remain in effect through 2030, unless additional Congressional action is taken. However, pursuant to the Coronavirus Aid, Relief and Economic Security Act, or CARES Act, and subsequent legislation, these Medicare sequester reductions will be suspended from May 1, 2020 through March 31, 2021 due to the COVID-19 pandemic. Proposed legislation, if passed, would extend this suspension until the end of the COVID-19 pandemic.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Additionally, the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w:t>
      </w:r>
    </w:p>
    <w:p>
      <w:pPr>
        <w:spacing w:after="0" w:line="230"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the U.S. government’s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January 1, 2020. This final rule codified CMS’s policy change that was effective January 1, 2019. In addition, there have been several changes to the 340B drug pricing program, which imposes ceilings on prices that drug manufacturers can charge for medications sold to certain health care facilities. Some of these changes are undergoing legal challenges, and their status is currently in question. It is unclear how these developments could affect covered hospitals who might purchase our future products and affect the rates we may charge such facilities for our approved products in the future, if any.</w:t>
      </w:r>
    </w:p>
    <w:p>
      <w:pPr>
        <w:spacing w:after="0" w:line="218"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Additionally, on July 24, 2020 and September 13, 2020, former President Trump signed a series of Executive Orders aimed at lowering drug prices and at implementing several of the administration's proposals. In response, the FDA released a final rule on September 24, 2020, which went into effect on November 30, 2020, providing guidance for states to build and submit importation plans for drugs from Canada, as further</w:t>
      </w:r>
    </w:p>
    <w:p>
      <w:pPr>
        <w:spacing w:after="0" w:line="19"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discussed below. Further, on November 20 2020 CMS issued an Interim Final Rule implementing the Most Favored Nation, or MFN, Model under which Medicare Part B reimbursement rates will be calculated for certain drugs and biologicals based on the lowest price drug manufacturers</w:t>
      </w:r>
    </w:p>
    <w:p>
      <w:pPr>
        <w:spacing w:after="0" w:line="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w:t>
      </w:r>
    </w:p>
    <w:p>
      <w:pPr>
        <w:spacing w:after="0" w:line="1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January 1, 2021, and ending December 31, 2027. The Interim Final Rule has not been finalized and is subject to revision and challenge.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measures may require additional authorization to become effective, and the Biden administration may reverse or otherwise change these measures, Congress has indicated that it will continue to seek new legislative and/or administrative measures to control drug costs.</w:t>
      </w:r>
    </w:p>
    <w:p>
      <w:pPr>
        <w:spacing w:after="0" w:line="91"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89"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75"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We may face competition in the United States for our product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U.S. Department of Health &amp; Human Services, or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6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7" w:lineRule="exact"/>
        <w:rPr>
          <w:sz w:val="20"/>
          <w:szCs w:val="20"/>
          <w:color w:val="auto"/>
        </w:rPr>
      </w:pPr>
    </w:p>
    <w:p>
      <w:pPr>
        <w:ind w:right="20" w:firstLine="433"/>
        <w:spacing w:after="0" w:line="24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in response to the COVID-19 pandemic.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International Re</w:t>
      </w:r>
      <w:r>
        <w:rPr>
          <w:rFonts w:ascii="Arial" w:cs="Arial" w:eastAsia="Arial" w:hAnsi="Arial"/>
          <w:sz w:val="17"/>
          <w:szCs w:val="17"/>
          <w:color w:val="auto"/>
        </w:rPr>
        <w:t>g</w:t>
      </w:r>
      <w:r>
        <w:rPr>
          <w:rFonts w:ascii="Arial" w:cs="Arial" w:eastAsia="Arial" w:hAnsi="Arial"/>
          <w:sz w:val="17"/>
          <w:szCs w:val="17"/>
          <w:u w:val="single" w:color="auto"/>
          <w:color w:val="auto"/>
        </w:rPr>
        <w:t>ulations</w:t>
      </w:r>
    </w:p>
    <w:p>
      <w:pPr>
        <w:spacing w:after="0" w:line="99"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EU drug marketing and reimbursement regulations may materially affect our ability to market and receive coverage for our products in the European member states.</w:t>
      </w:r>
    </w:p>
    <w:p>
      <w:pPr>
        <w:spacing w:after="0" w:line="5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91"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in respect of the U.K. (which 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longer a member of the EU), the U.K. Bribery Act of 2010. Infringement of these laws could result in substantial fines and imprisonment.</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7"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In addition, in most foreign countries, including the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8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5"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the EU’s pharmaceutical law remains applicable to the U.K. and the U.K.’s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the EU laws and regulations may negatively impact foreign direct investment in the U.K., increase costs, depress economic activity and restrict access to capital.</w:t>
      </w:r>
    </w:p>
    <w:p>
      <w:pPr>
        <w:spacing w:after="0" w:line="95"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8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87"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from January 1, 2021 or more permanently.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the EU and European Economic Area, or EEA, and these operations and clinical activities could be disrupted by Brexit.</w:t>
      </w:r>
    </w:p>
    <w:p>
      <w:pPr>
        <w:spacing w:after="0" w:line="87"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39" w:lineRule="exact"/>
        <w:rPr>
          <w:sz w:val="20"/>
          <w:szCs w:val="20"/>
          <w:color w:val="auto"/>
        </w:rPr>
      </w:pPr>
    </w:p>
    <w:p>
      <w:pPr>
        <w:ind w:right="280" w:firstLine="433"/>
        <w:spacing w:after="0" w:line="260"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1"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9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w:t>
      </w:r>
    </w:p>
    <w:p>
      <w:pPr>
        <w:spacing w:after="0" w:line="84"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67"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56"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1"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8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Licensed Intellectual Property</w:t>
      </w:r>
    </w:p>
    <w:p>
      <w:pPr>
        <w:spacing w:after="0" w:line="9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89" w:lineRule="exact"/>
        <w:rPr>
          <w:sz w:val="20"/>
          <w:szCs w:val="20"/>
          <w:color w:val="auto"/>
        </w:rPr>
      </w:pPr>
    </w:p>
    <w:p>
      <w:pPr>
        <w:ind w:right="300" w:firstLine="433"/>
        <w:spacing w:after="0" w:line="26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88" w:lineRule="exact"/>
        <w:rPr>
          <w:sz w:val="20"/>
          <w:szCs w:val="20"/>
          <w:color w:val="auto"/>
        </w:rPr>
      </w:pPr>
    </w:p>
    <w:p>
      <w:pPr>
        <w:ind w:right="200" w:firstLine="433"/>
        <w:spacing w:after="0" w:line="260"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700"/>
        <w:spacing w:after="0" w:line="275"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w:t>
      </w:r>
    </w:p>
    <w:p>
      <w:pPr>
        <w:spacing w:after="0" w:line="77"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7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88"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303"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91" w:lineRule="exact"/>
        <w:rPr>
          <w:sz w:val="20"/>
          <w:szCs w:val="20"/>
          <w:color w:val="auto"/>
        </w:rPr>
      </w:pPr>
    </w:p>
    <w:p>
      <w:pPr>
        <w:ind w:right="580" w:firstLine="433"/>
        <w:spacing w:after="0" w:line="275"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7" w:lineRule="exact"/>
        <w:rPr>
          <w:sz w:val="20"/>
          <w:szCs w:val="20"/>
          <w:color w:val="auto"/>
        </w:rPr>
      </w:pPr>
    </w:p>
    <w:p>
      <w:pPr>
        <w:ind w:left="640" w:right="4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76"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120" w:hanging="320"/>
        <w:spacing w:after="0" w:line="275"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76"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9"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76" w:lineRule="exact"/>
        <w:rPr>
          <w:rFonts w:ascii="Arial" w:cs="Arial" w:eastAsia="Arial" w:hAnsi="Arial"/>
          <w:sz w:val="17"/>
          <w:szCs w:val="17"/>
          <w:color w:val="auto"/>
        </w:rPr>
      </w:pPr>
    </w:p>
    <w:p>
      <w:pPr>
        <w:ind w:left="640" w:right="300" w:hanging="320"/>
        <w:spacing w:after="0" w:line="266"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4" w:lineRule="exact"/>
        <w:rPr>
          <w:rFonts w:ascii="Arial" w:cs="Arial" w:eastAsia="Arial" w:hAnsi="Arial"/>
          <w:sz w:val="17"/>
          <w:szCs w:val="17"/>
          <w:color w:val="auto"/>
        </w:rPr>
      </w:pPr>
    </w:p>
    <w:p>
      <w:pPr>
        <w:jc w:val="both"/>
        <w:ind w:left="640" w:right="120" w:hanging="320"/>
        <w:spacing w:after="0" w:line="266"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4"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 and Collaboration A</w:t>
      </w:r>
      <w:r>
        <w:rPr>
          <w:rFonts w:ascii="Arial" w:cs="Arial" w:eastAsia="Arial" w:hAnsi="Arial"/>
          <w:sz w:val="17"/>
          <w:szCs w:val="17"/>
          <w:color w:val="auto"/>
        </w:rPr>
        <w:t>g</w:t>
      </w:r>
      <w:r>
        <w:rPr>
          <w:rFonts w:ascii="Arial" w:cs="Arial" w:eastAsia="Arial" w:hAnsi="Arial"/>
          <w:sz w:val="17"/>
          <w:szCs w:val="17"/>
          <w:u w:val="single" w:color="auto"/>
          <w:color w:val="auto"/>
        </w:rPr>
        <w:t>reements</w:t>
      </w:r>
    </w:p>
    <w:p>
      <w:pPr>
        <w:spacing w:after="0" w:line="9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We have entered into, and may enter into, license or other collaboration agreements that impose certain obligations on us. If we fail to comply with our obligations under such agreements with third parties, we could lose license rights that may be important to our business.</w:t>
      </w:r>
    </w:p>
    <w:p>
      <w:pPr>
        <w:spacing w:after="0" w:line="75"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19" w:lineRule="exact"/>
        <w:rPr>
          <w:sz w:val="20"/>
          <w:szCs w:val="20"/>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9" w:lineRule="exact"/>
        <w:rPr>
          <w:rFonts w:ascii="Arial" w:cs="Arial" w:eastAsia="Arial" w:hAnsi="Arial"/>
          <w:sz w:val="17"/>
          <w:szCs w:val="17"/>
          <w:color w:val="auto"/>
        </w:rPr>
      </w:pPr>
    </w:p>
    <w:p>
      <w:pPr>
        <w:ind w:left="640" w:right="700" w:hanging="320"/>
        <w:spacing w:after="0" w:line="275"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9" w:lineRule="exact"/>
        <w:rPr>
          <w:sz w:val="20"/>
          <w:szCs w:val="20"/>
          <w:color w:val="auto"/>
        </w:rPr>
      </w:pPr>
    </w:p>
    <w:p>
      <w:pPr>
        <w:jc w:val="both"/>
        <w:ind w:right="20" w:firstLine="433"/>
        <w:spacing w:after="0" w:line="26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4"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92"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87"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Potential Third-Party Claims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39" w:lineRule="exact"/>
        <w:rPr>
          <w:sz w:val="20"/>
          <w:szCs w:val="20"/>
          <w:color w:val="auto"/>
        </w:rPr>
      </w:pPr>
    </w:p>
    <w:p>
      <w:pPr>
        <w:ind w:right="240" w:firstLine="433"/>
        <w:spacing w:after="0" w:line="262"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91"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We also may be subject to other third 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halting the progress of our clinical development and commercialization efforts. For example, on May 20, 2020, we received a cease and desist letter from Sage Therapeutics, Inc., or Sage, in which Sage alleges a claim that we improperly accessed and benefited from Sage confidential information in connection with the in-license of our PRAX-114 development program as a result of our employment or engagement of former Sage employees and consultants. We believe that there is no merit to these claims and intend to defend our position. However, an adverse result could harm our business and result of operations.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19" w:lineRule="exact"/>
        <w:rPr>
          <w:sz w:val="20"/>
          <w:szCs w:val="20"/>
          <w:color w:val="auto"/>
        </w:rPr>
      </w:pPr>
    </w:p>
    <w:p>
      <w:pPr>
        <w:ind w:left="640" w:right="120" w:hanging="320"/>
        <w:spacing w:after="0" w:line="275"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76" w:lineRule="exact"/>
        <w:rPr>
          <w:rFonts w:ascii="Arial" w:cs="Arial" w:eastAsia="Arial" w:hAnsi="Arial"/>
          <w:sz w:val="17"/>
          <w:szCs w:val="17"/>
          <w:color w:val="auto"/>
        </w:rPr>
      </w:pPr>
    </w:p>
    <w:p>
      <w:pPr>
        <w:ind w:left="640" w:right="240" w:hanging="320"/>
        <w:spacing w:after="0" w:line="266"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84" w:lineRule="exact"/>
        <w:rPr>
          <w:rFonts w:ascii="Arial" w:cs="Arial" w:eastAsia="Arial" w:hAnsi="Arial"/>
          <w:sz w:val="17"/>
          <w:szCs w:val="17"/>
          <w:color w:val="auto"/>
        </w:rPr>
      </w:pPr>
    </w:p>
    <w:p>
      <w:pPr>
        <w:ind w:left="640" w:right="740" w:hanging="320"/>
        <w:spacing w:after="0" w:line="275"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76"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4"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77"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8"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or otherwise arising from the collaboration.</w:t>
      </w:r>
    </w:p>
    <w:p>
      <w:pPr>
        <w:spacing w:after="0" w:line="56"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in a collaborator’s study, we may be limited in our ability to capitalize on the market potential of these inventions or developments.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 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0"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5" w:lineRule="exact"/>
        <w:rPr>
          <w:sz w:val="20"/>
          <w:szCs w:val="20"/>
          <w:color w:val="auto"/>
        </w:rPr>
      </w:pPr>
    </w:p>
    <w:p>
      <w:pPr>
        <w:ind w:right="1120"/>
        <w:spacing w:after="0" w:line="30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56"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77"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9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91"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8"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5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91"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88"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8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9"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Patent Laws and Protection</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Likewise, our current licensed or owned patents are expected to expire between 2029 and 2041,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2041, without taking into account any possible patent term adjustments or extensions. However, we cannot be assured that the USPTO or relevant foreign patent offices will grant any of these patent applications.</w:t>
      </w:r>
    </w:p>
    <w:p>
      <w:pPr>
        <w:spacing w:after="0" w:line="281"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i w:val="1"/>
          <w:iCs w:val="1"/>
          <w:color w:val="auto"/>
        </w:rPr>
        <w:t>Changes in patent law in the United States and in foreign jurisdictions could diminish the value of patents in general, thereby impairing our ability to protect our products.</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92"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30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39"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7"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87" w:lineRule="exact"/>
        <w:rPr>
          <w:sz w:val="20"/>
          <w:szCs w:val="20"/>
          <w:color w:val="auto"/>
        </w:rPr>
      </w:pPr>
    </w:p>
    <w:p>
      <w:pPr>
        <w:ind w:right="180" w:firstLine="433"/>
        <w:spacing w:after="0" w:line="260" w:lineRule="auto"/>
        <w:rPr>
          <w:sz w:val="20"/>
          <w:szCs w:val="20"/>
          <w:color w:val="auto"/>
        </w:rPr>
      </w:pPr>
      <w:r>
        <w:rPr>
          <w:rFonts w:ascii="Arial" w:cs="Arial" w:eastAsia="Arial" w:hAnsi="Arial"/>
          <w:sz w:val="17"/>
          <w:szCs w:val="17"/>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3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1" w:lineRule="exact"/>
        <w:rPr>
          <w:sz w:val="20"/>
          <w:szCs w:val="20"/>
          <w:color w:val="auto"/>
        </w:rPr>
      </w:pPr>
    </w:p>
    <w:p>
      <w:pPr>
        <w:ind w:right="600"/>
        <w:spacing w:after="0" w:line="30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56"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2"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6"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 Parties Generally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75" w:lineRule="exact"/>
        <w:rPr>
          <w:sz w:val="20"/>
          <w:szCs w:val="20"/>
          <w:color w:val="auto"/>
        </w:rPr>
      </w:pPr>
    </w:p>
    <w:p>
      <w:pPr>
        <w:ind w:right="380" w:firstLine="433"/>
        <w:spacing w:after="0" w:line="261" w:lineRule="auto"/>
        <w:rPr>
          <w:sz w:val="20"/>
          <w:szCs w:val="20"/>
          <w:color w:val="auto"/>
        </w:rPr>
      </w:pPr>
      <w:r>
        <w:rPr>
          <w:rFonts w:ascii="Arial" w:cs="Arial" w:eastAsia="Arial" w:hAnsi="Arial"/>
          <w:sz w:val="17"/>
          <w:szCs w:val="17"/>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w:t>
      </w:r>
    </w:p>
    <w:p>
      <w:pPr>
        <w:spacing w:after="0" w:line="88"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9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303" w:lineRule="exact"/>
        <w:rPr>
          <w:sz w:val="20"/>
          <w:szCs w:val="20"/>
          <w:color w:val="auto"/>
        </w:rPr>
      </w:pPr>
    </w:p>
    <w:p>
      <w:pPr>
        <w:ind w:right="160" w:firstLine="433"/>
        <w:spacing w:after="0" w:line="260"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91" w:lineRule="exact"/>
        <w:rPr>
          <w:sz w:val="20"/>
          <w:szCs w:val="20"/>
          <w:color w:val="auto"/>
        </w:rPr>
      </w:pPr>
    </w:p>
    <w:p>
      <w:pPr>
        <w:ind w:right="380" w:firstLine="433"/>
        <w:spacing w:after="0" w:line="266"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84"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Furthermore, we may also engage third parties to develop companion or complementary diagnostics for use in our clinical trials, as applicable, but such third parties may not be successful in developing such companion or complementary diagnostics, furthering the difficulty in identifying patients with the targeted eligibility criteria for our clinical trials. If we are required to develop companion or complementary diagnostics and are unable to do so or unable to obtain any required regulatory clearance or approval of those diagnostics, this could compromise our ability to seek participation in the U.S. in certain of the FDA’s expedited review and development programs, including those that may accelerate clinical development and regulatory timelines, and could limit our ability to seek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Manufacturers</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The manufacture of our product candidates is complex, and we may encounter difficulties in production. We currently rely completely on third parties to formulate and manufacture our preclinical, clinical trial and commercial drug supplies. The development and commercialization of any of our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83"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The processes involved in manufacturing our drug product candidates are complex, expensive, highly-regulated and subject to multiple risks.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require the conduct of bridging studies and could cause our product candidates to perform differently and affect the results of planned clinical trials or other future clinical trials. We have limited experience in drug formulation or manufacturing. Currently, we rely on an extensive network of contract manufacturers, and in some cases sole source suppliers, for the production of our product candidates for current and planned clinical trials.</w:t>
      </w:r>
    </w:p>
    <w:p>
      <w:pPr>
        <w:spacing w:after="0" w:line="30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large quantities. Our contract development and manufacturing organizations, or CDMOs, may be unable to successfully increase the manufacturing capacity for any of our product candidates in a timely or cost-effective manner, or at all. In addition, quality issues may arise during scale-up activities. If our CDMOs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in the future decide to build internal manufacturing capacity. In addition, building internal manufacturing capacity would carry significant risks in terms of being able to plan, design and execute on a complex project to build manufacturing facilities in a timely and cost-efficient manner, and the resources associated with ensuring the ongoing regulatory compliance of such manufacturing facilities would be significant.</w:t>
      </w:r>
    </w:p>
    <w:p>
      <w:pPr>
        <w:spacing w:after="0" w:line="94" w:lineRule="exact"/>
        <w:rPr>
          <w:sz w:val="20"/>
          <w:szCs w:val="20"/>
          <w:color w:val="auto"/>
        </w:rPr>
      </w:pPr>
    </w:p>
    <w:p>
      <w:pPr>
        <w:jc w:val="both"/>
        <w:ind w:right="520" w:firstLine="433"/>
        <w:spacing w:after="0" w:line="257" w:lineRule="auto"/>
        <w:rPr>
          <w:sz w:val="20"/>
          <w:szCs w:val="20"/>
          <w:color w:val="auto"/>
        </w:rPr>
      </w:pPr>
      <w:r>
        <w:rPr>
          <w:rFonts w:ascii="Arial" w:cs="Arial" w:eastAsia="Arial" w:hAnsi="Arial"/>
          <w:sz w:val="17"/>
          <w:szCs w:val="17"/>
          <w:color w:val="auto"/>
        </w:rPr>
        <w:t>In addition, the manufacturing process for any products that we may develop is subject to FDA, EMA, and foreign regulatory authority approval processes and continuous oversight, and we will need to contract with manufacturers who can meet all applicable FDA, EMA and foreign regulatory authority requirements, including complying with current good manufacturing practices, or cGMPs, on an ongoing basis.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Although our agreements with our CDMOs require them to perform according to certain cGMP requirements such as those relating to quality control, quality assurance and qualified personnel, we cannot control the ability of our CDMOs to implement and maintain these standards.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growth prospects.</w:t>
      </w:r>
    </w:p>
    <w:p>
      <w:pPr>
        <w:spacing w:after="0" w:line="7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7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Suppliers</w:t>
      </w:r>
    </w:p>
    <w:p>
      <w:pPr>
        <w:spacing w:after="0" w:line="99" w:lineRule="exact"/>
        <w:rPr>
          <w:sz w:val="20"/>
          <w:szCs w:val="20"/>
          <w:color w:val="auto"/>
        </w:rPr>
      </w:pPr>
    </w:p>
    <w:p>
      <w:pPr>
        <w:jc w:val="both"/>
        <w:ind w:right="60"/>
        <w:spacing w:after="0" w:line="300" w:lineRule="auto"/>
        <w:rPr>
          <w:sz w:val="20"/>
          <w:szCs w:val="20"/>
          <w:color w:val="auto"/>
        </w:rPr>
      </w:pPr>
      <w:r>
        <w:rPr>
          <w:rFonts w:ascii="Arial" w:cs="Arial" w:eastAsia="Arial" w:hAnsi="Arial"/>
          <w:sz w:val="17"/>
          <w:szCs w:val="17"/>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5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89"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6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7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may seek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Collaborations involving our research programs, or any product candidates we may develop, pose the following risks to us:</w:t>
      </w:r>
    </w:p>
    <w:p>
      <w:pPr>
        <w:spacing w:after="0" w:line="119" w:lineRule="exact"/>
        <w:rPr>
          <w:sz w:val="20"/>
          <w:szCs w:val="20"/>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640" w:right="320" w:hanging="320"/>
        <w:spacing w:after="0" w:line="263"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87" w:lineRule="exact"/>
        <w:rPr>
          <w:rFonts w:ascii="Arial" w:cs="Arial" w:eastAsia="Arial" w:hAnsi="Arial"/>
          <w:sz w:val="17"/>
          <w:szCs w:val="17"/>
          <w:color w:val="auto"/>
        </w:rPr>
      </w:pPr>
    </w:p>
    <w:p>
      <w:pPr>
        <w:ind w:left="640" w:right="460" w:hanging="320"/>
        <w:spacing w:after="0" w:line="266"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84" w:lineRule="exact"/>
        <w:rPr>
          <w:rFonts w:ascii="Arial" w:cs="Arial" w:eastAsia="Arial" w:hAnsi="Arial"/>
          <w:sz w:val="17"/>
          <w:szCs w:val="17"/>
          <w:color w:val="auto"/>
        </w:rPr>
      </w:pPr>
    </w:p>
    <w:p>
      <w:pPr>
        <w:ind w:left="640" w:right="100" w:hanging="320"/>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76" w:lineRule="exact"/>
        <w:rPr>
          <w:rFonts w:ascii="Arial" w:cs="Arial" w:eastAsia="Arial" w:hAnsi="Arial"/>
          <w:sz w:val="17"/>
          <w:szCs w:val="17"/>
          <w:color w:val="auto"/>
        </w:rPr>
      </w:pPr>
    </w:p>
    <w:p>
      <w:pPr>
        <w:ind w:left="640" w:right="180" w:hanging="320"/>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control certain interactions with regulatory authorities, which may impact our ability to obtain and maintain regulatory approval of our products candidates;</w:t>
      </w:r>
    </w:p>
    <w:p>
      <w:pPr>
        <w:spacing w:after="0" w:line="76"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28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4" w:lineRule="exact"/>
        <w:rPr>
          <w:rFonts w:ascii="Arial" w:cs="Arial" w:eastAsia="Arial" w:hAnsi="Arial"/>
          <w:sz w:val="17"/>
          <w:szCs w:val="17"/>
          <w:color w:val="auto"/>
        </w:rPr>
      </w:pPr>
    </w:p>
    <w:p>
      <w:pPr>
        <w:ind w:left="640" w:right="400" w:hanging="320"/>
        <w:spacing w:after="0" w:line="275"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6" w:lineRule="exact"/>
        <w:rPr>
          <w:rFonts w:ascii="Arial" w:cs="Arial" w:eastAsia="Arial" w:hAnsi="Arial"/>
          <w:sz w:val="17"/>
          <w:szCs w:val="17"/>
          <w:color w:val="auto"/>
        </w:rPr>
      </w:pPr>
    </w:p>
    <w:p>
      <w:pPr>
        <w:ind w:left="640" w:right="28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 candidates may not commit sufficient resources to the marketing and distribution of such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76" w:lineRule="exact"/>
        <w:rPr>
          <w:rFonts w:ascii="Arial" w:cs="Arial" w:eastAsia="Arial" w:hAnsi="Arial"/>
          <w:sz w:val="17"/>
          <w:szCs w:val="17"/>
          <w:color w:val="auto"/>
        </w:rPr>
      </w:pPr>
    </w:p>
    <w:p>
      <w:pPr>
        <w:ind w:left="640" w:right="46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19" w:lineRule="exact"/>
        <w:rPr>
          <w:rFonts w:ascii="Arial" w:cs="Arial" w:eastAsia="Arial" w:hAnsi="Arial"/>
          <w:sz w:val="17"/>
          <w:szCs w:val="17"/>
          <w:color w:val="auto"/>
        </w:rPr>
      </w:pPr>
    </w:p>
    <w:p>
      <w:pPr>
        <w:ind w:left="640" w:right="560" w:hanging="320"/>
        <w:spacing w:after="0" w:line="275"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collaborations may require us to incur short and long-term expenditures, issue securities that dilute our stockholders or disrupt our management and business;</w:t>
      </w:r>
    </w:p>
    <w:p>
      <w:pPr>
        <w:spacing w:after="0" w:line="76"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our collaborators do not satisfy their obligations under our agreements with them, or if they terminate our collaborations with them, we may not be able to develop or commercialize product candidates as planned;</w:t>
      </w:r>
    </w:p>
    <w:p>
      <w:pPr>
        <w:spacing w:after="0" w:line="76" w:lineRule="exact"/>
        <w:rPr>
          <w:rFonts w:ascii="Arial" w:cs="Arial" w:eastAsia="Arial" w:hAnsi="Arial"/>
          <w:sz w:val="17"/>
          <w:szCs w:val="17"/>
          <w:color w:val="auto"/>
        </w:rPr>
      </w:pPr>
    </w:p>
    <w:p>
      <w:pPr>
        <w:jc w:val="both"/>
        <w:ind w:left="640" w:right="10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84"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84" w:lineRule="exact"/>
        <w:rPr>
          <w:rFonts w:ascii="Arial" w:cs="Arial" w:eastAsia="Arial" w:hAnsi="Arial"/>
          <w:sz w:val="17"/>
          <w:szCs w:val="17"/>
          <w:color w:val="auto"/>
        </w:rPr>
      </w:pPr>
    </w:p>
    <w:p>
      <w:pPr>
        <w:ind w:left="640" w:right="100" w:hanging="320"/>
        <w:spacing w:after="0" w:line="266"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84"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72" w:lineRule="exact"/>
        <w:rPr>
          <w:sz w:val="20"/>
          <w:szCs w:val="20"/>
          <w:color w:val="auto"/>
        </w:rPr>
      </w:pPr>
    </w:p>
    <w:p>
      <w:pPr>
        <w:ind w:right="800"/>
        <w:spacing w:after="0" w:line="300" w:lineRule="auto"/>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 or alliances.</w:t>
      </w:r>
    </w:p>
    <w:p>
      <w:pPr>
        <w:spacing w:after="0" w:line="56"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66" w:lineRule="exact"/>
        <w:rPr>
          <w:sz w:val="20"/>
          <w:szCs w:val="20"/>
          <w:color w:val="auto"/>
        </w:rPr>
      </w:pPr>
    </w:p>
    <w:p>
      <w:pPr>
        <w:ind w:right="4900"/>
        <w:spacing w:after="0" w:line="387" w:lineRule="auto"/>
        <w:rPr>
          <w:sz w:val="20"/>
          <w:szCs w:val="20"/>
          <w:color w:val="auto"/>
        </w:rPr>
      </w:pPr>
      <w:r>
        <w:rPr>
          <w:rFonts w:ascii="Arial" w:cs="Arial" w:eastAsia="Arial" w:hAnsi="Arial"/>
          <w:sz w:val="17"/>
          <w:szCs w:val="17"/>
          <w:b w:val="1"/>
          <w:bCs w:val="1"/>
          <w:color w:val="auto"/>
        </w:rPr>
        <w:t xml:space="preserve">Risks Related to Employee Matters, Managing Our Business and Operations </w:t>
      </w:r>
      <w:r>
        <w:rPr>
          <w:rFonts w:ascii="Arial" w:cs="Arial" w:eastAsia="Arial" w:hAnsi="Arial"/>
          <w:sz w:val="17"/>
          <w:szCs w:val="17"/>
          <w:u w:val="single" w:color="auto"/>
          <w:color w:val="auto"/>
        </w:rPr>
        <w:t>Risks Related to Business Operations</w:t>
      </w:r>
    </w:p>
    <w:p>
      <w:pPr>
        <w:spacing w:after="0" w:line="1" w:lineRule="exact"/>
        <w:rPr>
          <w:sz w:val="20"/>
          <w:szCs w:val="20"/>
          <w:color w:val="auto"/>
        </w:rPr>
      </w:pPr>
    </w:p>
    <w:p>
      <w:pPr>
        <w:ind w:right="400"/>
        <w:spacing w:after="0" w:line="300" w:lineRule="auto"/>
        <w:rPr>
          <w:sz w:val="20"/>
          <w:szCs w:val="20"/>
          <w:color w:val="auto"/>
        </w:rPr>
      </w:pPr>
      <w:r>
        <w:rPr>
          <w:rFonts w:ascii="Arial" w:cs="Arial" w:eastAsia="Arial" w:hAnsi="Arial"/>
          <w:sz w:val="17"/>
          <w:szCs w:val="17"/>
          <w:b w:val="1"/>
          <w:bCs w:val="1"/>
          <w:i w:val="1"/>
          <w:iCs w:val="1"/>
          <w:color w:val="auto"/>
        </w:rPr>
        <w:t>Business interruptions resulting from COVID-19 or a similar pandemic, epidemic or outbreak of an infectious disease in the United States or worldwide may adversely affect our business.</w:t>
      </w:r>
    </w:p>
    <w:p>
      <w:pPr>
        <w:spacing w:after="0" w:line="56"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In December 2019, a novel strain of coronavirus named SARS-CoV-2 was identified in Wuhan, China. This virus continues to spread globally, including in the United States and the disease it causes, COVID-19, has been declared a pandemic by the World Health Organization. The COVID-19 pandemic has impacted the global economy and may impact our operations, including the potential interruption of our clinical trial activities, regulatory reviews and our supply chain. For example, the COVID -19 pandemic may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the spread of the virus may affect the operations of key governmental agencies, such as the FDA, which may delay the development or approval process for our product candidates.</w:t>
      </w:r>
    </w:p>
    <w:p>
      <w:pPr>
        <w:spacing w:after="0" w:line="94" w:lineRule="exact"/>
        <w:rPr>
          <w:sz w:val="20"/>
          <w:szCs w:val="20"/>
          <w:color w:val="auto"/>
        </w:rPr>
      </w:pPr>
    </w:p>
    <w:p>
      <w:pPr>
        <w:ind w:firstLine="433"/>
        <w:spacing w:after="0" w:line="242" w:lineRule="auto"/>
        <w:rPr>
          <w:sz w:val="20"/>
          <w:szCs w:val="20"/>
          <w:color w:val="auto"/>
        </w:rPr>
      </w:pPr>
      <w:r>
        <w:rPr>
          <w:rFonts w:ascii="Arial" w:cs="Arial" w:eastAsia="Arial" w:hAnsi="Arial"/>
          <w:sz w:val="17"/>
          <w:szCs w:val="17"/>
          <w:color w:val="auto"/>
        </w:rPr>
        <w:t>The spread of COVID-19 may also result in the inability of our suppliers to deliver components or raw materials on a timely basis or at all.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and the actions to contain the coronavirus or treat its impact,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700"/>
        <w:spacing w:after="0" w:line="259" w:lineRule="auto"/>
        <w:rPr>
          <w:sz w:val="20"/>
          <w:szCs w:val="20"/>
          <w:color w:val="auto"/>
        </w:rPr>
      </w:pPr>
      <w:r>
        <w:rPr>
          <w:rFonts w:ascii="Arial" w:cs="Arial" w:eastAsia="Arial" w:hAnsi="Arial"/>
          <w:sz w:val="17"/>
          <w:szCs w:val="17"/>
          <w:color w:val="auto"/>
        </w:rPr>
        <w:t>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7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 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139"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77" w:lineRule="exact"/>
        <w:rPr>
          <w:sz w:val="20"/>
          <w:szCs w:val="20"/>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differing and changing regulatory requirements in non-U.S. countries;</w:t>
      </w:r>
    </w:p>
    <w:p>
      <w:pPr>
        <w:spacing w:after="0" w:line="119"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potential liability under the FCPA, U.K. Bribery Act of 2010 or comparable foreign laws;</w:t>
      </w:r>
    </w:p>
    <w:p>
      <w:pPr>
        <w:spacing w:after="0" w:line="119"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natural disasters including earthquakes, typhoons, floods and fires, or health epidemics such as COVID-19;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cyberattacks, which are growing in frequency, sophistication and intensity, and are becoming increasingly difficult to detect.</w:t>
      </w:r>
    </w:p>
    <w:p>
      <w:pPr>
        <w:spacing w:after="0" w:line="119"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profitable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Employees</w:t>
      </w:r>
    </w:p>
    <w:p>
      <w:pPr>
        <w:spacing w:after="0" w:line="99"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i w:val="1"/>
          <w:iCs w:val="1"/>
          <w:color w:val="auto"/>
        </w:rPr>
        <w:t>We depend heavily on our executive officers, principal consultants and others, and the loss of their services would materially harm our business.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Our success depends, and will likely continue to depend, upon our ability to hire, retain the services of our current executive officers, principal consultants and others, including Marcio Souza, our President and Chief Executive Officer, and Bernard Ravina, our Chief Medical Officer. We have entered into employment agreements with Mr. Souza and Dr. Ravina, but they may terminate their employment with us at any time. The loss of their services might impede the achievement of our research, development and commercialization objectives. We do not maintain “key person” insurance for any of our executives or other employees.</w:t>
      </w:r>
    </w:p>
    <w:p>
      <w:pPr>
        <w:spacing w:after="0" w:line="87"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87"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67" w:lineRule="exact"/>
        <w:rPr>
          <w:sz w:val="20"/>
          <w:szCs w:val="20"/>
          <w:color w:val="auto"/>
        </w:rPr>
      </w:pPr>
    </w:p>
    <w:p>
      <w:pPr>
        <w:ind w:right="860"/>
        <w:spacing w:after="0" w:line="300" w:lineRule="auto"/>
        <w:rPr>
          <w:sz w:val="20"/>
          <w:szCs w:val="20"/>
          <w:color w:val="auto"/>
        </w:rPr>
      </w:pPr>
      <w:r>
        <w:rPr>
          <w:rFonts w:ascii="Arial" w:cs="Arial" w:eastAsia="Arial" w:hAnsi="Arial"/>
          <w:sz w:val="17"/>
          <w:szCs w:val="17"/>
          <w:b w:val="1"/>
          <w:bCs w:val="1"/>
          <w:i w:val="1"/>
          <w:iCs w:val="1"/>
          <w:color w:val="auto"/>
        </w:rPr>
        <w:t>We only have a limited number of employees to manage and operate our business. If we are unable to hire to retain adequate personnel, then we may not be able to meet our operational goals.</w:t>
      </w:r>
    </w:p>
    <w:p>
      <w:pPr>
        <w:spacing w:after="0" w:line="56"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As of January 31, 2021, we had 67 full-time employees. Our focus on the clinical development of PRAX-114, PRAX-944 and PRAX-562 requires us to optimize cash utilization and to manage and operate our business in a highly efficient manner. We cannot ensure that we will be able to hire and/or retain adequate staffing levels to develop PRAX-114, PRAX-944 and PRAX-562 or to run our operations and/or to accomplish all of the objectives that we otherwise would seek to accomplish.</w:t>
      </w:r>
    </w:p>
    <w:p>
      <w:pPr>
        <w:spacing w:after="0" w:line="67"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7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84" w:lineRule="exact"/>
        <w:rPr>
          <w:sz w:val="20"/>
          <w:szCs w:val="20"/>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regulatory authorities, including those laws requiring the reporting of true, complete and accurate information to such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19" w:lineRule="exact"/>
        <w:rPr>
          <w:rFonts w:ascii="Arial" w:cs="Arial" w:eastAsia="Arial" w:hAnsi="Arial"/>
          <w:sz w:val="17"/>
          <w:szCs w:val="17"/>
          <w:color w:val="auto"/>
        </w:rPr>
      </w:pPr>
    </w:p>
    <w:p>
      <w:pPr>
        <w:ind w:left="640" w:right="720" w:hanging="320"/>
        <w:spacing w:after="0" w:line="275"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comparable non-U.S. regulatory authorities;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laws that require the accurate reporting of financial information or data.</w:t>
      </w:r>
    </w:p>
    <w:p>
      <w:pPr>
        <w:spacing w:after="0" w:line="119" w:lineRule="exact"/>
        <w:rPr>
          <w:sz w:val="20"/>
          <w:szCs w:val="20"/>
          <w:color w:val="auto"/>
        </w:rPr>
      </w:pPr>
    </w:p>
    <w:p>
      <w:pPr>
        <w:ind w:right="180" w:firstLine="433"/>
        <w:spacing w:after="0" w:line="259"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diminished profits and future earnings and curtailment of our operations, any of which could have a material adverse effect on our ability to operate our business and our results of operations.</w:t>
      </w:r>
    </w:p>
    <w:p>
      <w:pPr>
        <w:spacing w:after="0" w:line="57"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b w:val="1"/>
          <w:bCs w:val="1"/>
          <w:i w:val="1"/>
          <w:iCs w:val="1"/>
          <w:color w:val="auto"/>
        </w:rPr>
        <w:t>We expect to expand our organization, and as a result, we may encounter difficulties in managing our growth, which could disrupt our operations.</w:t>
      </w:r>
    </w:p>
    <w:p>
      <w:pPr>
        <w:spacing w:after="0" w:line="5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the country.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Data Privacy</w:t>
      </w:r>
    </w:p>
    <w:p>
      <w:pPr>
        <w:spacing w:after="0" w:line="99"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75"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While we have not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79"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75" w:lineRule="exact"/>
        <w:rPr>
          <w:sz w:val="20"/>
          <w:szCs w:val="20"/>
          <w:color w:val="auto"/>
        </w:rPr>
      </w:pPr>
    </w:p>
    <w:p>
      <w:pPr>
        <w:ind w:right="820" w:firstLine="433"/>
        <w:spacing w:after="0" w:line="275" w:lineRule="auto"/>
        <w:rPr>
          <w:sz w:val="20"/>
          <w:szCs w:val="20"/>
          <w:color w:val="auto"/>
        </w:rPr>
      </w:pPr>
      <w:r>
        <w:rPr>
          <w:rFonts w:ascii="Arial" w:cs="Arial" w:eastAsia="Arial" w:hAnsi="Arial"/>
          <w:sz w:val="17"/>
          <w:szCs w:val="17"/>
          <w:color w:val="auto"/>
        </w:rPr>
        <w:t>We use several distributed computing infrastructure platforms for business operations, or what is commonly referred to as “cloud” computing services and we access these services via the Internet. Any transition of the cloud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a cloud computing service may take actions beyond our control that could seriously harm our business, including:</w:t>
      </w:r>
    </w:p>
    <w:p>
      <w:pPr>
        <w:spacing w:after="0" w:line="119" w:lineRule="exact"/>
        <w:rPr>
          <w:sz w:val="20"/>
          <w:szCs w:val="20"/>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discontinuing or limiting our access to its platform;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increasing pricing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terminating or seeking to terminate our contractual relationship altogether;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modifying or interpreting its terms of service or other policies in a manner that impacts our ability to run our business and operations.</w:t>
      </w:r>
    </w:p>
    <w:p>
      <w:pPr>
        <w:spacing w:after="0" w:line="119"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7"/>
          <w:szCs w:val="17"/>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84"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298"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88" w:lineRule="exact"/>
        <w:rPr>
          <w:sz w:val="20"/>
          <w:szCs w:val="20"/>
          <w:color w:val="auto"/>
        </w:rPr>
      </w:pPr>
    </w:p>
    <w:p>
      <w:pPr>
        <w:ind w:right="280" w:firstLine="433"/>
        <w:spacing w:after="0" w:line="263" w:lineRule="auto"/>
        <w:rPr>
          <w:sz w:val="20"/>
          <w:szCs w:val="20"/>
          <w:color w:val="auto"/>
        </w:rPr>
      </w:pPr>
      <w:r>
        <w:rPr>
          <w:rFonts w:ascii="Arial" w:cs="Arial" w:eastAsia="Arial" w:hAnsi="Arial"/>
          <w:sz w:val="17"/>
          <w:szCs w:val="17"/>
          <w:color w:val="auto"/>
        </w:rPr>
        <w:t>We are also subject to many federal, state and foreign laws and regulations, including those related to privacy, rights of publicity, data protection, content regulation, intellectual property, health and safety, competition, protection of minors, consumer protection, employment and taxation. These laws and regulations are constantly evolving and may be interpreted, applied, created or amended in a manner that could seriously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Laws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or other changes in U.S. tax law could adversely affect our business and financial condition.</w:t>
      </w:r>
    </w:p>
    <w:p>
      <w:pPr>
        <w:spacing w:after="0" w:line="139" w:lineRule="exact"/>
        <w:rPr>
          <w:sz w:val="20"/>
          <w:szCs w:val="20"/>
          <w:color w:val="auto"/>
        </w:rPr>
      </w:pPr>
    </w:p>
    <w:p>
      <w:pPr>
        <w:ind w:right="320" w:firstLine="433"/>
        <w:spacing w:after="0" w:line="263"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changes have been made to applicable tax laws and changes are likely to continue to occur in the future.</w:t>
      </w:r>
    </w:p>
    <w:p>
      <w:pPr>
        <w:spacing w:after="0" w:line="87"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For example, the Tax Cuts and Jobs Act, or the TCJA,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from taxable years beginning after December 31, 2017 to 80% of current year taxable income and the elimination of net operating loss carrybacks generated in taxable years ending after December 31, 2017 (though any such net operating losses may be carried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forward indefinitely) and the modification or repeal of many business deductions and credits. In addition, on March 27, 2020, President Trump signed into law the “Coronavirus Aid, Relief, and Economic Security Act” or the CARES Act, which included certain changes in tax law intended to stimulate the U.S. economy in light of the COVID-19 public health emergency, including temporary beneficial changes to the treatment of net operating losses, interest deductibility limitations and payroll tax matters.</w:t>
      </w:r>
    </w:p>
    <w:p>
      <w:pPr>
        <w:spacing w:after="0" w:line="87"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It cannot be predicted whether, when, in what form or with what effective dates new tax laws may be enacted, or regulations and rulings may be enacted,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U.S. net operating loss carryforwards and certain other U.S. tax attributes may be limited.</w:t>
      </w:r>
    </w:p>
    <w:p>
      <w:pPr>
        <w:spacing w:after="0" w:line="139"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w:t>
      </w:r>
    </w:p>
    <w:p>
      <w:pPr>
        <w:spacing w:after="0" w:line="84"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Unused losses for the tax year beginning before January 1, 2018 and prior tax years will carry forward to offset future taxable income, if any, until such unused losses expire. Unused losses generated for the tax year beginning after December 31, 2017, under new tax legislation will not expire and may be carried forward indefinitely, and generally may not be carried back to prior taxable years, except that, under the CARES Act, net operating losses generated in 2018, 2019 and 2020 may be carried back five taxable years. Additionally, for taxable years beginning after December 31, 2020, the deductibility of such U.S. federal net operating losses is limited to 80% of our taxable income in any future taxable year. In addition, both our current and our future unused losses may be subject to limitation under Sections 382 and 383 of the Internal Revenue Code of 1986, as amended, or the Code, if we undergo an “ownership change,” generally defined as a greater than 50 percentage point change (by value) in its equity ownership by certain stockholders over a three-year period. We may have experienced such ownership changes in the past, and we may experience ownership changes in the future as a result of subsequent shifts in our stock ownership, some of which are outside our control.</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Investment in Securities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w:t>
      </w:r>
    </w:p>
    <w:p>
      <w:pPr>
        <w:spacing w:after="0" w:line="13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October 2020, we closed our initial public offering, or IPO. Prior to our IPO, there was no public market for our common stock. Although we have completed our IPO and shares of our common stock are listed and trading on the Nasdaq Global Select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26"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84" w:lineRule="exact"/>
        <w:rPr>
          <w:sz w:val="20"/>
          <w:szCs w:val="20"/>
          <w:color w:val="auto"/>
        </w:rPr>
      </w:pPr>
    </w:p>
    <w:p>
      <w:pPr>
        <w:ind w:left="640" w:right="380" w:hanging="320"/>
        <w:spacing w:after="0" w:line="275"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commencement, enrollment, completion or results of our current Phase 2a clinical trials of PRAX-114 and PRAX-944 and current Phase 1 trial of PRAX-562;</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delay in identifying and advancing a clinical candidate for our other programs;</w:t>
      </w:r>
    </w:p>
    <w:p>
      <w:pPr>
        <w:spacing w:after="0" w:line="119"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delay in our regulatory filings for PRAX-114, PRAX-944, PRAX-562 or our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adverse results or delays, suspensions or terminations in future preclinical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hanging="320"/>
        <w:spacing w:after="0" w:line="275"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PRAX-114, PRAX-944, PRAX-562 or any other product candidate or the failure of a regulatory authority to accept data from preclinical studies or clinical trials conducted in other countries;</w:t>
      </w:r>
    </w:p>
    <w:p>
      <w:pPr>
        <w:spacing w:after="0" w:line="76"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laws or regulations applicable to PRAX-114, PRAX-944, PRAX-562 or any other product candidate, including but not limited to clinical trial requirements for approvals;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developments concerning our manufacturers;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 if approved;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PRAX-114, PRAX-944, PRAX-562 or any other product candidate;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119" w:lineRule="exact"/>
        <w:rPr>
          <w:rFonts w:ascii="Arial" w:cs="Arial" w:eastAsia="Arial" w:hAnsi="Arial"/>
          <w:sz w:val="17"/>
          <w:szCs w:val="17"/>
          <w:color w:val="auto"/>
        </w:rPr>
      </w:pPr>
    </w:p>
    <w:p>
      <w:pPr>
        <w:ind w:left="640" w:right="220" w:hanging="320"/>
        <w:spacing w:after="0" w:line="275"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the structure of the healthcare payment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119"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8"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Following the closing of our IPO, we had outstanding 36,749,675 shares of common stock, of which 26,737,873 shares were subject to restrictions on transfer under 180-day lock-up arrangements with the underwriters of our IPO. These restrictions are due to expire in April 2021, resulting in the majority of these shares then being eligible for public sale if they are registered under the Securities Act of 1933, as amended (the “Securities Act”), or if they qualify for an exemption from registration under the Securities Act including under Rules 144 or 701.</w:t>
      </w:r>
    </w:p>
    <w:p>
      <w:pPr>
        <w:spacing w:after="0" w:line="68"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56"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67" w:lineRule="exact"/>
        <w:rPr>
          <w:sz w:val="20"/>
          <w:szCs w:val="20"/>
          <w:color w:val="auto"/>
        </w:rPr>
      </w:pPr>
    </w:p>
    <w:p>
      <w:pPr>
        <w:ind w:right="780"/>
        <w:spacing w:after="0" w:line="300"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5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7"/>
          <w:szCs w:val="17"/>
          <w:i w:val="1"/>
          <w:iCs w:val="1"/>
          <w:color w:val="auto"/>
        </w:rPr>
        <w:t>.</w:t>
      </w:r>
    </w:p>
    <w:p>
      <w:pPr>
        <w:spacing w:after="0" w:line="67"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56"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Based on shares outstanding as of October 20, 2020, our executive officers, directors and their affiliates and our principal stockholders beneficially hold, in the aggregate, approximately 47.5% of our outstanding voting stock. These stockholders, acting together, would be able to significantly influence all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87" w:lineRule="exact"/>
        <w:rPr>
          <w:sz w:val="20"/>
          <w:szCs w:val="20"/>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entrenching our management and the board of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that other stockholders may desire; and/or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Controls and Reporting Requirements</w:t>
      </w:r>
    </w:p>
    <w:p>
      <w:pPr>
        <w:spacing w:after="0" w:line="99" w:lineRule="exact"/>
        <w:rPr>
          <w:sz w:val="20"/>
          <w:szCs w:val="20"/>
          <w:color w:val="auto"/>
        </w:rPr>
      </w:pPr>
    </w:p>
    <w:p>
      <w:pPr>
        <w:ind w:right="700"/>
        <w:spacing w:after="0" w:line="300" w:lineRule="auto"/>
        <w:rPr>
          <w:sz w:val="20"/>
          <w:szCs w:val="20"/>
          <w:color w:val="auto"/>
        </w:rPr>
      </w:pPr>
      <w:r>
        <w:rPr>
          <w:rFonts w:ascii="Arial" w:cs="Arial" w:eastAsia="Arial" w:hAnsi="Arial"/>
          <w:sz w:val="17"/>
          <w:szCs w:val="17"/>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91"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6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80"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 in which we completed our IPO, although circumstances could cause us to lose that status earlier. We will remain an EGC until the earlier of (i) the last day of the fiscal year (a) following the fifth anniversary of the completion of our IPO, (b) in which we have total annual gross revenue of at least $ 1.07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 year period.</w:t>
      </w:r>
    </w:p>
    <w:p>
      <w:pPr>
        <w:spacing w:after="0" w:line="92"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97" w:lineRule="exact"/>
        <w:rPr>
          <w:sz w:val="20"/>
          <w:szCs w:val="20"/>
          <w:color w:val="auto"/>
        </w:rPr>
      </w:pPr>
    </w:p>
    <w:p>
      <w:pPr>
        <w:ind w:right="520" w:firstLine="433"/>
        <w:spacing w:after="0" w:line="266" w:lineRule="auto"/>
        <w:rPr>
          <w:sz w:val="20"/>
          <w:szCs w:val="20"/>
          <w:color w:val="auto"/>
        </w:rPr>
      </w:pPr>
      <w:r>
        <w:rPr>
          <w:rFonts w:ascii="Arial" w:cs="Arial" w:eastAsia="Arial" w:hAnsi="Arial"/>
          <w:sz w:val="17"/>
          <w:szCs w:val="17"/>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84" w:lineRule="exact"/>
        <w:rPr>
          <w:sz w:val="20"/>
          <w:szCs w:val="20"/>
          <w:color w:val="auto"/>
        </w:rPr>
      </w:pPr>
    </w:p>
    <w:p>
      <w:pPr>
        <w:jc w:val="both"/>
        <w:ind w:right="60" w:firstLine="433"/>
        <w:spacing w:after="0" w:line="263"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on these exemptions. If some investors find our common stock less attractive as a result, there may be a less active trading market for our common stock and our stock price may be more volatile.</w:t>
      </w:r>
    </w:p>
    <w:p>
      <w:pPr>
        <w:spacing w:after="0" w:line="57"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9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our cash and cash equivalents and may not use them effectively.</w:t>
      </w:r>
    </w:p>
    <w:p>
      <w:pPr>
        <w:spacing w:after="0" w:line="139"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Charter and Bylaws</w:t>
      </w:r>
    </w:p>
    <w:p>
      <w:pPr>
        <w:spacing w:after="0" w:line="9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75" w:lineRule="exact"/>
        <w:rPr>
          <w:sz w:val="20"/>
          <w:szCs w:val="20"/>
          <w:color w:val="auto"/>
        </w:rPr>
      </w:pPr>
    </w:p>
    <w:p>
      <w:pPr>
        <w:jc w:val="both"/>
        <w:ind w:right="160" w:firstLine="433"/>
        <w:spacing w:after="0" w:line="26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84" w:lineRule="exact"/>
        <w:rPr>
          <w:sz w:val="20"/>
          <w:szCs w:val="20"/>
          <w:color w:val="auto"/>
        </w:rPr>
      </w:pPr>
    </w:p>
    <w:p>
      <w:pPr>
        <w:ind w:left="640" w:right="100" w:hanging="320"/>
        <w:spacing w:after="0" w:line="275"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76" w:lineRule="exact"/>
        <w:rPr>
          <w:rFonts w:ascii="Arial" w:cs="Arial" w:eastAsia="Arial" w:hAnsi="Arial"/>
          <w:sz w:val="17"/>
          <w:szCs w:val="17"/>
          <w:color w:val="auto"/>
        </w:rPr>
      </w:pPr>
    </w:p>
    <w:p>
      <w:pPr>
        <w:ind w:left="640" w:right="540" w:hanging="320"/>
        <w:spacing w:after="0" w:line="275"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160" w:hanging="320"/>
        <w:spacing w:after="0" w:line="275"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9" w:lineRule="exact"/>
        <w:rPr>
          <w:rFonts w:ascii="Arial" w:cs="Arial" w:eastAsia="Arial" w:hAnsi="Arial"/>
          <w:sz w:val="17"/>
          <w:szCs w:val="17"/>
          <w:color w:val="auto"/>
        </w:rPr>
      </w:pPr>
    </w:p>
    <w:p>
      <w:pPr>
        <w:ind w:left="640" w:right="20" w:hanging="320"/>
        <w:spacing w:after="0" w:line="266"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4"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76" w:lineRule="exact"/>
        <w:rPr>
          <w:rFonts w:ascii="Arial" w:cs="Arial" w:eastAsia="Arial" w:hAnsi="Arial"/>
          <w:sz w:val="17"/>
          <w:szCs w:val="17"/>
          <w:color w:val="auto"/>
        </w:rPr>
      </w:pPr>
    </w:p>
    <w:p>
      <w:pPr>
        <w:ind w:left="640" w:right="420" w:hanging="320"/>
        <w:spacing w:after="0" w:line="275"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77"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Our bylaws further provide that, unless we consent in writing to an alternative forum, the United States District Court for the District of Massachusetts will be the exclusive forum for resolving any complaint asserting a cause of action arising under the Securities Act. We have chosen the United States District Court for the District of Massachusetts as the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02"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sublease a facility containing 6,374 square feet of office space, which is located at One Broadway, Cambridge, Massachusetts 02142. Our sublease expires on December 30, 2021. We believe that our current facilities are sufficient to meet our current and near-term needs and that, should it be needed, suitable additional space will be available.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15"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Information Regarding the Trading of Our Common Stock</w:t>
      </w:r>
    </w:p>
    <w:p>
      <w:pPr>
        <w:spacing w:after="0" w:line="270"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Our common stock trades under the symbol “PRAX” on the Nasdaq Global Select Market and has been publicly traded since October 16, 2020. Prior to this time, there was no public market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Common Stock</w:t>
      </w:r>
    </w:p>
    <w:p>
      <w:pPr>
        <w:spacing w:after="0" w:line="270" w:lineRule="exact"/>
        <w:rPr>
          <w:sz w:val="20"/>
          <w:szCs w:val="20"/>
          <w:color w:val="auto"/>
        </w:rPr>
      </w:pPr>
    </w:p>
    <w:p>
      <w:pPr>
        <w:ind w:right="720" w:firstLine="433"/>
        <w:spacing w:after="0" w:line="275" w:lineRule="auto"/>
        <w:rPr>
          <w:sz w:val="20"/>
          <w:szCs w:val="20"/>
          <w:color w:val="auto"/>
        </w:rPr>
      </w:pPr>
      <w:r>
        <w:rPr>
          <w:rFonts w:ascii="Arial" w:cs="Arial" w:eastAsia="Arial" w:hAnsi="Arial"/>
          <w:sz w:val="17"/>
          <w:szCs w:val="17"/>
          <w:color w:val="auto"/>
        </w:rPr>
        <w:t>As of March 1, 2021, there were approximately 41 holders of record of shares of our common stock. This number does not include stockholders for whom shares are held in “nominee” or “street” name.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270"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270" w:lineRule="exact"/>
        <w:rPr>
          <w:sz w:val="20"/>
          <w:szCs w:val="20"/>
          <w:color w:val="auto"/>
        </w:rPr>
      </w:pPr>
    </w:p>
    <w:p>
      <w:pPr>
        <w:jc w:val="both"/>
        <w:ind w:right="40" w:firstLine="433"/>
        <w:spacing w:after="0" w:line="263" w:lineRule="auto"/>
        <w:rPr>
          <w:sz w:val="20"/>
          <w:szCs w:val="20"/>
          <w:color w:val="auto"/>
        </w:rPr>
      </w:pPr>
      <w:r>
        <w:rPr>
          <w:rFonts w:ascii="Arial" w:cs="Arial" w:eastAsia="Arial" w:hAnsi="Arial"/>
          <w:sz w:val="17"/>
          <w:szCs w:val="17"/>
          <w:color w:val="auto"/>
        </w:rPr>
        <w:t>Set forth below is information regarding shares of our common stock, shares of our preferred stock issued, and stock options granted by us during the period covered by this Annual Report on Form 10-K that were not 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Issuances of Capital Stock</w:t>
      </w:r>
    </w:p>
    <w:p>
      <w:pPr>
        <w:spacing w:after="0" w:line="268"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On April 15, 2020 and May 8, 2020, we completed closings for the sale and issuance of 4,563,108 shares of Series C redeemable convertible preferred stock at $5.15 per share for aggregate cash proceeds of $23.5 million, net of issuance costs.</w:t>
      </w:r>
    </w:p>
    <w:p>
      <w:pPr>
        <w:spacing w:after="0" w:line="208"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Issuances</w:t>
      </w:r>
    </w:p>
    <w:p>
      <w:pPr>
        <w:spacing w:after="0" w:line="268" w:lineRule="exact"/>
        <w:rPr>
          <w:sz w:val="20"/>
          <w:szCs w:val="20"/>
          <w:color w:val="auto"/>
        </w:rPr>
      </w:pPr>
    </w:p>
    <w:p>
      <w:pPr>
        <w:ind w:right="60" w:firstLine="393"/>
        <w:spacing w:after="0" w:line="250" w:lineRule="auto"/>
        <w:rPr>
          <w:sz w:val="20"/>
          <w:szCs w:val="20"/>
          <w:color w:val="auto"/>
        </w:rPr>
      </w:pPr>
      <w:r>
        <w:rPr>
          <w:rFonts w:ascii="Arial" w:cs="Arial" w:eastAsia="Arial" w:hAnsi="Arial"/>
          <w:sz w:val="17"/>
          <w:szCs w:val="17"/>
          <w:color w:val="auto"/>
        </w:rPr>
        <w:t>On October 15, 2020, and prior to our Registration Statement on Form S-8 going effective on October 16, 2020, we granted to employees options to purchase an aggregate of 37,615 shares of our common stock, with an exercise price of $19.00 per share, pursuant to our 2020 Stock Option and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Authorized for Issuance Under Equity Compensation Plans</w:t>
      </w:r>
    </w:p>
    <w:p>
      <w:pPr>
        <w:spacing w:after="0" w:line="270"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The information required by Item 5 of Form 10-K regarding equity compensation plans is incorporated herein by reference to Item 12 of Part III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00" w:firstLine="433"/>
        <w:spacing w:after="0" w:line="275" w:lineRule="auto"/>
        <w:rPr>
          <w:sz w:val="20"/>
          <w:szCs w:val="20"/>
          <w:color w:val="auto"/>
        </w:rPr>
      </w:pPr>
      <w:r>
        <w:rPr>
          <w:rFonts w:ascii="Arial" w:cs="Arial" w:eastAsia="Arial" w:hAnsi="Arial"/>
          <w:sz w:val="17"/>
          <w:szCs w:val="17"/>
          <w:color w:val="auto"/>
        </w:rPr>
        <w:t>In October 2020, we completed the initial public offering of our common stock, or IPO, pursuant to which we issued and sold 11,500,000 shares of our common stock at a price to the public of $19.00 per share.</w:t>
      </w:r>
    </w:p>
    <w:p>
      <w:pPr>
        <w:spacing w:after="0" w:line="208" w:lineRule="exact"/>
        <w:rPr>
          <w:sz w:val="20"/>
          <w:szCs w:val="20"/>
          <w:color w:val="auto"/>
        </w:rPr>
      </w:pPr>
    </w:p>
    <w:p>
      <w:pPr>
        <w:ind w:firstLine="433"/>
        <w:spacing w:after="0" w:line="210" w:lineRule="exact"/>
        <w:rPr>
          <w:sz w:val="20"/>
          <w:szCs w:val="20"/>
          <w:color w:val="auto"/>
        </w:rPr>
      </w:pPr>
      <w:r>
        <w:rPr>
          <w:rFonts w:ascii="Arial" w:cs="Arial" w:eastAsia="Arial" w:hAnsi="Arial"/>
          <w:sz w:val="17"/>
          <w:szCs w:val="17"/>
          <w:color w:val="auto"/>
        </w:rPr>
        <w:t>All of the shares issued and sold in the IPO were registered under the Securities Act pursuant to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(File No. 333-249074), which was declared effective by the Securities and Exchange Commission, or the SEC, on October 15, 2020. Following the sale of all shares, including shares sold pursuant to the underwriters' option to purchase an additional 1,500,000 shares exercised in October 2020, the offering terminated. Cowen and Company, LLC, Evercore Group L.L.C. and Piper Sandler &amp; Co. acted as joint book-running managers, Wedbush Securities Inc. acted as lead manager and Blackstone Securities Partners L.P. acted as co-manager of the IPO.</w:t>
      </w:r>
    </w:p>
    <w:p>
      <w:pPr>
        <w:spacing w:after="0" w:line="239"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We received aggregate gross proceeds from our IPO of approximately $218.5 million, or aggregate net cash proceeds of approximately $200.3 million after deducting underwriting discounts and commissions and offering expenses. None of the underwriting discounts and commissions or offering expenses were incurred or paid to directors or officers of ours or their associates or to persons owning 10% or more of our common stock or to any of our affiliates.</w:t>
      </w:r>
    </w:p>
    <w:p>
      <w:pPr>
        <w:spacing w:after="0" w:line="218"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Information related to use of proceeds from registered securities is incorporated herein by reference to the “Use of Proceeds” section of our final prospectus filed pursuant to Rule 424(b)(4) under the Securities Act with the SEC on October 16, 2020. There has been no material change in the planned use of proceeds from our IPO as described in our final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33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Annual Report on Form 10-K and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36" w:lineRule="exact"/>
        <w:rPr>
          <w:sz w:val="20"/>
          <w:szCs w:val="20"/>
          <w:color w:val="auto"/>
        </w:rPr>
      </w:pPr>
    </w:p>
    <w:p>
      <w:pPr>
        <w:ind w:right="40" w:firstLine="433"/>
        <w:spacing w:after="0" w:line="243"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imbalance. Normal brain function requires a delicate balance of excitation and inhibition in neuronal circuits, which, when dysregulated, leads to abnormal function and disease. We are applying insights from genetic epilepsies to broader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portfolio, including multiple disclosed programs across CNS disorders, including depression, epilepsy, movement disorders and pain syndromes, with three clinical-stage product candidates. We intend to develop differentiated therapies that can deliver long-term benefits to human health by meaningfully impacting patients and society. We expect multiple topline clinical trial readouts from all three programs in the next year and anticipate the launch of a new clinical development program in 2021. We intend to develop differentiated therapies that can deliver long-term benefits to human health by meaningfully impacting patients and society.</w:t>
      </w:r>
    </w:p>
    <w:p>
      <w:pPr>
        <w:spacing w:after="0" w:line="19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most advanced programs, PRAX-114 and PRAX-944, are currently in Phase 2 development. PRAX-114 is being developed for the treatment of major depressive disorder and perimenopausal depression. Together, these conditions affect more than 22 million patients in the United States. PRAX-944 is a selective small molecule inhibitor of T-type calcium channels for the treatment of essential tremor, a progressive and debilitating movement disorder affecting up to seven million people in the United States. In addition, we initiated a Phase 1 trial of PRAX-562, a persistent sodium current blocker, for the treatment of a broad range of rare, devastating CNS disorders, such as severe pediatric epilepsies and rare adult cephalgias. In addition to our clinical programs, we have multiple disclosed preclinical product candidates in development for severe genetic epilepsies.</w:t>
      </w:r>
    </w:p>
    <w:p>
      <w:pPr>
        <w:spacing w:after="0" w:line="19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portfolio, business planning, raising capital and providing general and administrative support for these operations. We employ a “virtual” research and development model, relying heavily upon external consultants, collaborators and contract research organizations to conduct our preclinical and clinical activities. Since inception, we have financed our operations primarily with proceeds from the issuance of convertible debt and sales of our Series A redeemable convertible preferred stock, Series B redeemable convertible preferred stock, Series B-1 redeemable convertible preferred stock, Series C redeemable convertible preferred stock and Series C-1 redeemable convertible preferred stock and the closing of our initial public offering, or IPO.</w:t>
      </w:r>
    </w:p>
    <w:p>
      <w:pPr>
        <w:spacing w:after="0" w:line="196"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On October 20, 2020, we completed our IPO in which we issued and sold 11,500,000 shares of our common stock at a public offering price of $19.00 per share, including 1,500,000 shares of common stock sold pursuant to the underwriters’ exercise of their option to purchase additional shares of common stock, for aggregate gross proceeds of $218.5 million. We raised approximately $200.3 million in net proceeds after deducting underwriting discounts and commissions and offering expenses payable by us. Upon the closing of the IPO, all of the outstanding shares of our Series A redeemable convertible preferred stock, Series B redeemable convertible preferred stock, Series B-1 redeemable convertible preferred stock, Series C redeemable convertible preferred stock and Series C-1 redeemable convertible preferred stock automatically converted into 25,067,977 shares of common stock. Subsequent to the closing of the IPO, there were no shares of redeemable convertible preferred stock outstanding. In connection with the closing of the IPO, we filed an Amended and Restated Certificate of Incorporation to change the authorized capital stock to 150,000,000 shares of common stock and 10,000,000 shares of undesignated preferred stock.</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programs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$61.8 million and $35.5 million for the years ended December 31, 2020 and 2019, respectively. As of December 31, 2020, we had an accumulated deficit of $149.6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200" w:lineRule="exact"/>
        <w:rPr>
          <w:sz w:val="20"/>
          <w:szCs w:val="20"/>
          <w:color w:val="auto"/>
        </w:rPr>
      </w:pPr>
    </w:p>
    <w:p>
      <w:pPr>
        <w:spacing w:after="0" w:line="204" w:lineRule="exact"/>
        <w:rPr>
          <w:sz w:val="20"/>
          <w:szCs w:val="20"/>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advance our lead product candidates, PRAX-114 and PRAX-944, to late stage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advance our PRAX-562 product candidate to Phase 2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advance our discovery-stage programs to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seek regulatory approval for our investigational medicines;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maintain, expand, protect and defend our intellectual property portfolio;</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secure facilities to support continued growth in our research, development and commercialization efforts;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take temporary precautionary measures to help minimize the risk of COVID-19 to our employees;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our headcount to support our development efforts and to expand our clinical development team;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incur additional costs and headcount associated with operating as a public company.</w:t>
      </w:r>
    </w:p>
    <w:p>
      <w:pPr>
        <w:spacing w:after="0" w:line="224"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In addition, as we progress toward marketing approval for any of our product candidates, we expect to incur significant commercialization expenses related to product manufacturing, marketing, sales and distribution.</w:t>
      </w:r>
    </w:p>
    <w:p>
      <w:pPr>
        <w:spacing w:after="0" w:line="181"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3" w:lineRule="exact"/>
        <w:rPr>
          <w:sz w:val="20"/>
          <w:szCs w:val="20"/>
          <w:color w:val="auto"/>
        </w:rPr>
      </w:pPr>
    </w:p>
    <w:p>
      <w:pPr>
        <w:jc w:val="both"/>
        <w:ind w:right="22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2"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As of December 31, 2020, we had cash and cash equivalents of $ 296.6 million. We believe that our existing cash and cash equivalents will enable us to fund our operating expenses and capital expenditures into the fourth quarter of 2022. We have based this estimate on assumptions that may prove to be wrong, and we could exhaust our available capital resources sooner than we expect. See “—Liquidity and Capital Resources.”</w:t>
      </w:r>
    </w:p>
    <w:p>
      <w:pPr>
        <w:spacing w:after="0" w:line="3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COVID-19 Business Update</w:t>
      </w:r>
    </w:p>
    <w:p>
      <w:pPr>
        <w:spacing w:after="0" w:line="100" w:lineRule="exact"/>
        <w:rPr>
          <w:sz w:val="20"/>
          <w:szCs w:val="20"/>
          <w:color w:val="auto"/>
        </w:rPr>
      </w:pPr>
    </w:p>
    <w:p>
      <w:pPr>
        <w:jc w:val="both"/>
        <w:ind w:right="220" w:firstLine="433"/>
        <w:spacing w:after="0" w:line="266" w:lineRule="auto"/>
        <w:rPr>
          <w:sz w:val="20"/>
          <w:szCs w:val="20"/>
          <w:color w:val="auto"/>
        </w:rPr>
      </w:pPr>
      <w:r>
        <w:rPr>
          <w:rFonts w:ascii="Arial" w:cs="Arial" w:eastAsia="Arial" w:hAnsi="Arial"/>
          <w:sz w:val="17"/>
          <w:szCs w:val="17"/>
          <w:color w:val="auto"/>
        </w:rPr>
        <w:t>With the global spread of the ongoing COVID-19 pandemic in 2020, we have implemented business continuity plans designed to address and mitigate the impact of the COVID-19 pandemic on our employees and our business, including our preclinical studies and clinical trials. Our operations are considered an essential business and we are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continuing to operate during this period. We have taken measures to secure our research and development activities.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00" w:lineRule="exact"/>
        <w:rPr>
          <w:sz w:val="20"/>
          <w:szCs w:val="20"/>
          <w:color w:val="auto"/>
        </w:rPr>
      </w:pPr>
    </w:p>
    <w:p>
      <w:pPr>
        <w:spacing w:after="0" w:line="202" w:lineRule="exact"/>
        <w:rPr>
          <w:sz w:val="20"/>
          <w:szCs w:val="20"/>
          <w:color w:val="auto"/>
        </w:rPr>
      </w:pPr>
    </w:p>
    <w:p>
      <w:pPr>
        <w:ind w:right="40" w:firstLine="433"/>
        <w:spacing w:after="0" w:line="257" w:lineRule="auto"/>
        <w:rPr>
          <w:sz w:val="20"/>
          <w:szCs w:val="20"/>
          <w:color w:val="auto"/>
        </w:rPr>
      </w:pPr>
      <w:r>
        <w:rPr>
          <w:rFonts w:ascii="Arial" w:cs="Arial" w:eastAsia="Arial" w:hAnsi="Arial"/>
          <w:sz w:val="17"/>
          <w:szCs w:val="17"/>
          <w:color w:val="auto"/>
        </w:rPr>
        <w:t>In addition, while we have taken and are continuing to take steps to mitigate against COVID-19 pandemic-related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3" w:lineRule="exact"/>
        <w:rPr>
          <w:sz w:val="20"/>
          <w:szCs w:val="20"/>
          <w:color w:val="auto"/>
        </w:rPr>
      </w:pPr>
    </w:p>
    <w:p>
      <w:pPr>
        <w:ind w:right="280" w:firstLine="5"/>
        <w:spacing w:after="0" w:line="263" w:lineRule="auto"/>
        <w:tabs>
          <w:tab w:leader="none" w:pos="291"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3"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98"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50" w:lineRule="exact"/>
        <w:rPr>
          <w:sz w:val="20"/>
          <w:szCs w:val="20"/>
          <w:color w:val="auto"/>
        </w:rPr>
      </w:pPr>
    </w:p>
    <w:p>
      <w:pPr>
        <w:ind w:left="780" w:hanging="303"/>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clinical development costs for our programs;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costs above comprise the following categories:</w:t>
      </w:r>
    </w:p>
    <w:p>
      <w:pPr>
        <w:spacing w:after="0" w:line="224" w:lineRule="exact"/>
        <w:rPr>
          <w:sz w:val="20"/>
          <w:szCs w:val="20"/>
          <w:color w:val="auto"/>
        </w:rPr>
      </w:pPr>
    </w:p>
    <w:p>
      <w:pPr>
        <w:ind w:left="780" w:hanging="303"/>
        <w:spacing w:after="0"/>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19" w:lineRule="exact"/>
        <w:rPr>
          <w:rFonts w:ascii="Arial" w:cs="Arial" w:eastAsia="Arial" w:hAnsi="Arial"/>
          <w:sz w:val="17"/>
          <w:szCs w:val="17"/>
          <w:color w:val="auto"/>
        </w:rPr>
      </w:pPr>
    </w:p>
    <w:p>
      <w:pPr>
        <w:ind w:left="800" w:right="60" w:hanging="323"/>
        <w:spacing w:after="0" w:line="275" w:lineRule="auto"/>
        <w:tabs>
          <w:tab w:leader="none" w:pos="7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contract research organizations, or CROs, that conduct our preclinical and clinical studies and in-licensing arrangements;</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19" w:lineRule="exact"/>
        <w:rPr>
          <w:rFonts w:ascii="Arial" w:cs="Arial" w:eastAsia="Arial" w:hAnsi="Arial"/>
          <w:sz w:val="17"/>
          <w:szCs w:val="17"/>
          <w:color w:val="auto"/>
        </w:rPr>
      </w:pPr>
    </w:p>
    <w:p>
      <w:pPr>
        <w:ind w:left="800" w:hanging="323"/>
        <w:spacing w:after="0" w:line="275" w:lineRule="auto"/>
        <w:tabs>
          <w:tab w:leader="none" w:pos="7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or CDMOs, to acquire, develop and manufacture materials for preclinical and clinical studies; and</w:t>
      </w:r>
    </w:p>
    <w:p>
      <w:pPr>
        <w:spacing w:after="0" w:line="76" w:lineRule="exact"/>
        <w:rPr>
          <w:rFonts w:ascii="Arial" w:cs="Arial" w:eastAsia="Arial" w:hAnsi="Arial"/>
          <w:sz w:val="17"/>
          <w:szCs w:val="17"/>
          <w:color w:val="auto"/>
        </w:rPr>
      </w:pPr>
    </w:p>
    <w:p>
      <w:pPr>
        <w:ind w:left="800" w:right="180" w:hanging="323"/>
        <w:spacing w:after="0" w:line="275" w:lineRule="auto"/>
        <w:tabs>
          <w:tab w:leader="none" w:pos="7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insurance and other operating costs, incurred as a result of our research and development activities.</w:t>
      </w:r>
    </w:p>
    <w:p>
      <w:pPr>
        <w:spacing w:after="0" w:line="181" w:lineRule="exact"/>
        <w:rPr>
          <w:sz w:val="20"/>
          <w:szCs w:val="20"/>
          <w:color w:val="auto"/>
        </w:rPr>
      </w:pPr>
    </w:p>
    <w:p>
      <w:pPr>
        <w:ind w:right="660" w:firstLine="433"/>
        <w:spacing w:after="0" w:line="275"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our clinical investigative sites. Payments for these activities are based on the terms of the individual agreements, which may differ from the pattern of costs incurred, and are reflected in our consolidated balance sheets as prepaid expenses or accrued research and development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2"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A significant portion of our research and development costs have been external costs. We track direct external research and development expenses to specific programs upon commencement. Due to the number of ongoing programs and our ability to use resources across several projects, indirect or shared operating costs incurred for our research and development programs, such as personnel, facility costs and certain consulting costs, are not recorded or maintained on a program-specific basis.</w:t>
      </w:r>
    </w:p>
    <w:p>
      <w:pPr>
        <w:spacing w:after="0" w:line="192" w:lineRule="exact"/>
        <w:rPr>
          <w:sz w:val="20"/>
          <w:szCs w:val="20"/>
          <w:color w:val="auto"/>
        </w:rPr>
      </w:pPr>
    </w:p>
    <w:p>
      <w:pPr>
        <w:ind w:right="300" w:firstLine="433"/>
        <w:spacing w:after="0" w:line="263" w:lineRule="auto"/>
        <w:rPr>
          <w:sz w:val="20"/>
          <w:szCs w:val="20"/>
          <w:color w:val="auto"/>
        </w:rPr>
      </w:pPr>
      <w:r>
        <w:rPr>
          <w:rFonts w:ascii="Arial" w:cs="Arial" w:eastAsia="Arial" w:hAnsi="Arial"/>
          <w:sz w:val="17"/>
          <w:szCs w:val="17"/>
          <w:color w:val="auto"/>
        </w:rPr>
        <w:t>Our major programs, PRAX-114, PRAX-944 and PRAX-562, are those for which we have initiated clinical activities. Our discovery-stage programs are those which are at an earlier point in the development process. The following table reflects our research and development expenses, including direct program-specific expenses summarized by major program, discovery-stage program costs and indirect or shared operating costs recognized as research and development expenses during each period presented (in thousands):</w:t>
      </w:r>
    </w:p>
    <w:p>
      <w:pPr>
        <w:spacing w:after="0" w:line="338"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Year Ended</w:t>
      </w:r>
    </w:p>
    <w:p>
      <w:pPr>
        <w:jc w:val="center"/>
        <w:ind w:left="5140"/>
        <w:spacing w:after="0"/>
        <w:rPr>
          <w:sz w:val="20"/>
          <w:szCs w:val="20"/>
          <w:color w:val="auto"/>
        </w:rPr>
      </w:pPr>
      <w:r>
        <w:rPr>
          <w:rFonts w:ascii="Arial" w:cs="Arial" w:eastAsia="Arial" w:hAnsi="Arial"/>
          <w:sz w:val="14"/>
          <w:szCs w:val="14"/>
          <w:b w:val="1"/>
          <w:bCs w:val="1"/>
          <w:color w:val="auto"/>
        </w:rPr>
        <w:t>December 31,</w:t>
      </w:r>
    </w:p>
    <w:p>
      <w:pPr>
        <w:spacing w:after="0" w:line="5" w:lineRule="exact"/>
        <w:rPr>
          <w:sz w:val="20"/>
          <w:szCs w:val="20"/>
          <w:color w:val="auto"/>
        </w:rPr>
      </w:pPr>
    </w:p>
    <w:tbl>
      <w:tblPr>
        <w:tblLayout w:type="fixed"/>
        <w:tblInd w:w="152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0"/>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PRAX-114</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w:t>
            </w: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PRAX-944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4,035</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PRAX-562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4,276</w:t>
            </w: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Discovery-stage programs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5,909</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Personnel-related (including stock-based compensation)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indirect research and development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w:t>
            </w: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research and development expenses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29,557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92" w:lineRule="exact"/>
        <w:rPr>
          <w:sz w:val="20"/>
          <w:szCs w:val="20"/>
          <w:color w:val="auto"/>
        </w:rPr>
      </w:pPr>
    </w:p>
    <w:p>
      <w:pPr>
        <w:ind w:left="780" w:hanging="303"/>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19" w:lineRule="exact"/>
        <w:rPr>
          <w:rFonts w:ascii="Arial" w:cs="Arial" w:eastAsia="Arial" w:hAnsi="Arial"/>
          <w:sz w:val="17"/>
          <w:szCs w:val="17"/>
          <w:color w:val="auto"/>
        </w:rPr>
      </w:pPr>
    </w:p>
    <w:p>
      <w:pPr>
        <w:ind w:left="800" w:right="60" w:hanging="323"/>
        <w:spacing w:after="0" w:line="275" w:lineRule="auto"/>
        <w:tabs>
          <w:tab w:leader="none" w:pos="7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U.S. Food and Drug Administration, or the FDA, or any comparable foreign regulatory authority;</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19" w:lineRule="exact"/>
        <w:rPr>
          <w:rFonts w:ascii="Arial" w:cs="Arial" w:eastAsia="Arial" w:hAnsi="Arial"/>
          <w:sz w:val="17"/>
          <w:szCs w:val="17"/>
          <w:color w:val="auto"/>
        </w:rPr>
      </w:pPr>
    </w:p>
    <w:p>
      <w:pPr>
        <w:ind w:left="800" w:right="400" w:hanging="323"/>
        <w:spacing w:after="0" w:line="275"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76" w:lineRule="exact"/>
        <w:rPr>
          <w:rFonts w:ascii="Arial" w:cs="Arial" w:eastAsia="Arial" w:hAnsi="Arial"/>
          <w:sz w:val="17"/>
          <w:szCs w:val="17"/>
          <w:color w:val="auto"/>
        </w:rPr>
      </w:pPr>
    </w:p>
    <w:p>
      <w:pPr>
        <w:ind w:left="800" w:right="160" w:hanging="323"/>
        <w:spacing w:after="0" w:line="275"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76" w:lineRule="exact"/>
        <w:rPr>
          <w:rFonts w:ascii="Arial" w:cs="Arial" w:eastAsia="Arial" w:hAnsi="Arial"/>
          <w:sz w:val="17"/>
          <w:szCs w:val="17"/>
          <w:color w:val="auto"/>
        </w:rPr>
      </w:pPr>
    </w:p>
    <w:p>
      <w:pPr>
        <w:ind w:left="800" w:right="400" w:hanging="323"/>
        <w:spacing w:after="0" w:line="275"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76" w:lineRule="exact"/>
        <w:rPr>
          <w:rFonts w:ascii="Arial" w:cs="Arial" w:eastAsia="Arial" w:hAnsi="Arial"/>
          <w:sz w:val="17"/>
          <w:szCs w:val="17"/>
          <w:color w:val="auto"/>
        </w:rPr>
      </w:pPr>
    </w:p>
    <w:p>
      <w:pPr>
        <w:ind w:left="800" w:hanging="323"/>
        <w:spacing w:after="0" w:line="275"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intellectual property protection and regulatory exclusivity for our product candidates if and when approved;</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commercialize products, if and when approved, whether alone or in collaboration with others;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continued acceptable safety profiles of the product candidates following approval.</w:t>
      </w:r>
    </w:p>
    <w:p>
      <w:pPr>
        <w:spacing w:after="0" w:line="224"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millions of dollars in development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72" w:lineRule="exact"/>
        <w:rPr>
          <w:sz w:val="20"/>
          <w:szCs w:val="20"/>
          <w:color w:val="auto"/>
        </w:rPr>
      </w:pPr>
    </w:p>
    <w:p>
      <w:pPr>
        <w:ind w:right="260" w:firstLine="433"/>
        <w:spacing w:after="0" w:line="260"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business development and administrative functions. General and administrative expenses also include legal fees relating to corporate matters; professional fees for accounting, auditing, tax and administrative consulting services;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program. Costs to secure and defend our intellectual property, or IP, are expensed as incurred and are classified as general and administrative expenses.</w:t>
      </w:r>
    </w:p>
    <w:p>
      <w:pPr>
        <w:spacing w:after="0" w:line="196" w:lineRule="exact"/>
        <w:rPr>
          <w:sz w:val="20"/>
          <w:szCs w:val="20"/>
          <w:color w:val="auto"/>
        </w:rPr>
      </w:pPr>
    </w:p>
    <w:p>
      <w:pPr>
        <w:ind w:right="260" w:firstLine="433"/>
        <w:spacing w:after="0" w:line="261"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 We also expect to incur additional IP-related expenses as we file patent applications to protect innovations arising from our research and development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consists of interest earned on our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2020 and 2019, we had U.S. federal and state net operating loss carryforwards which may be available to offset future taxable income and which would begin to expire in 2035. As of December 31, 2020 and 2019, we also had federal and state research and development tax credit carryforwards which may be available to offset future income tax liabilities and which would begin to expire in 2031.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Income taxes are determined at the applicable tax rates adjusted for non-deductible expenses, research and development tax credits and other permanent differences. Our income tax provision may be significantly affected by changes to our estimates. The income tax benefit recognized for the years ended December 31, 2020 and 2019 related to income tax benefits associated with our operations in Australia.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6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44,976</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29,557</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15,419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10,760</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61,968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26,179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(26,179)</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Total other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other income,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benefit from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59"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6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PRAX-114</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PRAX-944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PRAX-562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Discovery-stage programs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Personnel-related (including 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8,085</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indirect research and development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research and development expenses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ind w:right="60" w:firstLine="433"/>
        <w:spacing w:after="0" w:line="275" w:lineRule="auto"/>
        <w:rPr>
          <w:sz w:val="20"/>
          <w:szCs w:val="20"/>
          <w:color w:val="auto"/>
        </w:rPr>
      </w:pPr>
      <w:r>
        <w:rPr>
          <w:rFonts w:ascii="Arial" w:cs="Arial" w:eastAsia="Arial" w:hAnsi="Arial"/>
          <w:sz w:val="17"/>
          <w:szCs w:val="17"/>
          <w:color w:val="auto"/>
        </w:rPr>
        <w:t>Research and development expenses increased $15.4 million from $29.6 million for the year ended December 31, 2019 to $45.0 million for the year ended December 31, 2020. The increase in research and development expenses was primarily attributable to the following:</w:t>
      </w:r>
    </w:p>
    <w:p>
      <w:pPr>
        <w:spacing w:after="0" w:line="77" w:lineRule="exact"/>
        <w:rPr>
          <w:sz w:val="20"/>
          <w:szCs w:val="20"/>
          <w:color w:val="auto"/>
        </w:rPr>
      </w:pPr>
    </w:p>
    <w:p>
      <w:pPr>
        <w:ind w:left="800" w:right="300" w:hanging="323"/>
        <w:spacing w:after="0" w:line="275" w:lineRule="auto"/>
        <w:tabs>
          <w:tab w:leader="none" w:pos="7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$8.1 million increase in personnel-related costs primarily due to increased headcount, including an increase of $0.9 million in stock-based compensation expense;</w:t>
      </w:r>
    </w:p>
    <w:p>
      <w:pPr>
        <w:spacing w:after="0" w:line="76" w:lineRule="exact"/>
        <w:rPr>
          <w:rFonts w:ascii="Arial" w:cs="Arial" w:eastAsia="Arial" w:hAnsi="Arial"/>
          <w:sz w:val="17"/>
          <w:szCs w:val="17"/>
          <w:color w:val="auto"/>
        </w:rPr>
      </w:pPr>
    </w:p>
    <w:p>
      <w:pPr>
        <w:ind w:left="800" w:right="120" w:hanging="323"/>
        <w:spacing w:after="0" w:line="275" w:lineRule="auto"/>
        <w:tabs>
          <w:tab w:leader="none" w:pos="7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$5.9 million increase in expense related to our PRAX-114 program, primarily driven by a $6.4 million increase in clinical-related spend for our ongoing Phase 2a clinical trial for this program, partially offset by a $0.5 million decrease in preclinical spend;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0" w:right="260" w:hanging="323"/>
        <w:spacing w:after="0" w:line="275" w:lineRule="auto"/>
        <w:tabs>
          <w:tab w:leader="none" w:pos="7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$0.9 million increase in other indirect research and development expenses, primarily driven by an increase in facility, office, software and other overhead costs due to increased research and development headcount; and</w:t>
      </w:r>
    </w:p>
    <w:p>
      <w:pPr>
        <w:spacing w:after="0" w:line="76" w:lineRule="exact"/>
        <w:rPr>
          <w:rFonts w:ascii="Arial" w:cs="Arial" w:eastAsia="Arial" w:hAnsi="Arial"/>
          <w:sz w:val="17"/>
          <w:szCs w:val="17"/>
          <w:color w:val="auto"/>
        </w:rPr>
      </w:pPr>
    </w:p>
    <w:p>
      <w:pPr>
        <w:ind w:left="800" w:right="80" w:hanging="323"/>
        <w:spacing w:after="0" w:line="266" w:lineRule="auto"/>
        <w:tabs>
          <w:tab w:leader="none" w:pos="7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$0.3 million increase in expense related to our PRAX-562 program, primarily driven by a $2.0 million increase in clinical and manufacturing spend related to our Phase 1 clinical trial for this program, partially offset by a $1.7 million decrease in preclinical spend due to prior year work to nominate our clinical candidate.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72"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General and administrative expenses increased $10.8 million from $6.2 million for the year ended December 31, 2019 to $17.0 million for the year ended December 31, 2020. The increase in general and administrative expenses was primarily attributable to the following:</w:t>
      </w:r>
    </w:p>
    <w:p>
      <w:pPr>
        <w:spacing w:after="0" w:line="181" w:lineRule="exact"/>
        <w:rPr>
          <w:sz w:val="20"/>
          <w:szCs w:val="20"/>
          <w:color w:val="auto"/>
        </w:rPr>
      </w:pPr>
    </w:p>
    <w:p>
      <w:pPr>
        <w:ind w:left="800" w:right="60" w:hanging="323"/>
        <w:spacing w:after="0" w:line="275" w:lineRule="auto"/>
        <w:tabs>
          <w:tab w:leader="none" w:pos="7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$7.0 million increase in personnel-related costs, primarily driven by increased headcount, including an increase of $3.6 million in stock-based compensation expense, of which $2.1 million related to a stock option modification in the fourth quarter of 2020;</w:t>
      </w:r>
    </w:p>
    <w:p>
      <w:pPr>
        <w:spacing w:after="0" w:line="76" w:lineRule="exact"/>
        <w:rPr>
          <w:rFonts w:ascii="Arial" w:cs="Arial" w:eastAsia="Arial" w:hAnsi="Arial"/>
          <w:sz w:val="17"/>
          <w:szCs w:val="17"/>
          <w:color w:val="auto"/>
        </w:rPr>
      </w:pPr>
    </w:p>
    <w:p>
      <w:pPr>
        <w:ind w:left="800" w:right="120" w:hanging="323"/>
        <w:spacing w:after="0" w:line="262" w:lineRule="auto"/>
        <w:tabs>
          <w:tab w:leader="none" w:pos="7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$2.5 million increase in professional fees including legal and consulting services, driven by a $2.1 million increase in consulting costs, including $1.0 million in the accounting function in support of our IPO and $0.9 million of increased corporate development spend, primarily to support commercial assessments of our clinical-stage programs, and a $0.4 million increase in legal fees, primarily related to intellectual property filing and defense matters as we expand our research and development activities and develop our patent portfolio; and</w:t>
      </w:r>
    </w:p>
    <w:p>
      <w:pPr>
        <w:spacing w:after="0" w:line="87" w:lineRule="exact"/>
        <w:rPr>
          <w:rFonts w:ascii="Arial" w:cs="Arial" w:eastAsia="Arial" w:hAnsi="Arial"/>
          <w:sz w:val="17"/>
          <w:szCs w:val="17"/>
          <w:color w:val="auto"/>
        </w:rPr>
      </w:pPr>
    </w:p>
    <w:p>
      <w:pPr>
        <w:ind w:left="800" w:right="40" w:hanging="323"/>
        <w:spacing w:after="0" w:line="275" w:lineRule="auto"/>
        <w:tabs>
          <w:tab w:leader="none" w:pos="7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$1.3 million increase in other general and administrative expenses expenses, including a $1.1 million increase in insurance and related costs, primarily due to becoming a public company and a $0.2 million increase in other expenses to support our growing organization.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other income for the years ended December 31, 2020 and 2019, was comprised of interest income on our cash and cash equivalents.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00" w:lineRule="exact"/>
        <w:rPr>
          <w:sz w:val="20"/>
          <w:szCs w:val="20"/>
          <w:color w:val="auto"/>
        </w:rPr>
      </w:pPr>
    </w:p>
    <w:p>
      <w:pPr>
        <w:jc w:val="both"/>
        <w:ind w:right="360" w:firstLine="433"/>
        <w:spacing w:after="0" w:line="266"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8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Since our inception, we have funded our operations with proceeds from the sales of our redeemable convertible preferred stock, the issuance of convertible promissory notes and proceeds from our IPO. We raised an aggregate of $206.7 million in proceeds from the sale of our redeemable convertible preferred stock, $4.0 million in proceeds from the issuance of convertible promissory notes, and $200.3 million in net proceeds from our IPO, after deducting underwriting discounts and commissions and offering expenses payable by us. As of December 31, 2020, we had cash and cash equivalents of $296.6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Year Ended</w:t>
      </w:r>
    </w:p>
    <w:p>
      <w:pPr>
        <w:jc w:val="center"/>
        <w:ind w:left="5140"/>
        <w:spacing w:after="0"/>
        <w:rPr>
          <w:sz w:val="20"/>
          <w:szCs w:val="20"/>
          <w:color w:val="auto"/>
        </w:rPr>
      </w:pPr>
      <w:r>
        <w:rPr>
          <w:rFonts w:ascii="Arial" w:cs="Arial" w:eastAsia="Arial" w:hAnsi="Arial"/>
          <w:sz w:val="14"/>
          <w:szCs w:val="14"/>
          <w:b w:val="1"/>
          <w:bCs w:val="1"/>
          <w:color w:val="auto"/>
        </w:rPr>
        <w:t>December 31,</w:t>
      </w:r>
    </w:p>
    <w:p>
      <w:pPr>
        <w:spacing w:after="0" w:line="5" w:lineRule="exact"/>
        <w:rPr>
          <w:sz w:val="20"/>
          <w:szCs w:val="20"/>
          <w:color w:val="auto"/>
        </w:rPr>
      </w:pPr>
    </w:p>
    <w:tbl>
      <w:tblPr>
        <w:tblLayout w:type="fixed"/>
        <w:tblInd w:w="152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64"/>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(52,623)</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(33,420)</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304,416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60,388</w:t>
            </w: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251,793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7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invested in developing our portfolio, drug discovery efforts and related infrastructure. The cash used in operating activities resulted primarily from our net losses adjusted for non-cash charges and changes in components of working capital, which are primarily the result of increased expenses and timing of vendor payments.</w:t>
      </w:r>
    </w:p>
    <w:p>
      <w:pPr>
        <w:spacing w:after="0" w:line="192"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During the year ended December 31, 2020, net cash used in operating activities of $52.6 million was primarily due to our $61.8 million net loss, partially offset by $6.0 million of non-cash charges and $3.2 million in changes in operating assets and liabilities.</w:t>
      </w:r>
    </w:p>
    <w:p>
      <w:pPr>
        <w:spacing w:after="0" w:line="181"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During the year ended December 31, 2019, net cash used in operating activities of $33.4 million was primarily due to our $35.5 million net loss, partially offset by $1.3 million of non-cash charges and $0.7 million in changes in operating assets and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72" w:lineRule="exact"/>
        <w:rPr>
          <w:sz w:val="20"/>
          <w:szCs w:val="20"/>
          <w:color w:val="auto"/>
        </w:rPr>
      </w:pPr>
    </w:p>
    <w:p>
      <w:pPr>
        <w:ind w:right="160" w:firstLine="433"/>
        <w:spacing w:after="0" w:line="275" w:lineRule="auto"/>
        <w:rPr>
          <w:sz w:val="20"/>
          <w:szCs w:val="20"/>
          <w:color w:val="auto"/>
        </w:rPr>
      </w:pPr>
      <w:r>
        <w:rPr>
          <w:rFonts w:ascii="Arial" w:cs="Arial" w:eastAsia="Arial" w:hAnsi="Arial"/>
          <w:sz w:val="17"/>
          <w:szCs w:val="17"/>
          <w:color w:val="auto"/>
        </w:rPr>
        <w:t>There were no cash flows from investing activities during the year ended December 31, 2020. During the year ended December 31, 2019, net cash used in investing activities related to the purchase of property and equipment.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59"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During the year ended December 31, 2020, net cash provided by financing activities of $304.4 million primarily consisted of net proceeds from our IPO and from the issuance of our Series C and Series C-1 redeemable convertible preferred stock, partially offset by our repurchase of Series C redeemable convertible preferred stock.</w:t>
      </w:r>
    </w:p>
    <w:p>
      <w:pPr>
        <w:spacing w:after="0" w:line="19" w:lineRule="exact"/>
        <w:rPr>
          <w:sz w:val="20"/>
          <w:szCs w:val="20"/>
          <w:color w:val="auto"/>
        </w:rPr>
      </w:pPr>
    </w:p>
    <w:p>
      <w:pPr>
        <w:jc w:val="both"/>
        <w:ind w:right="160" w:firstLine="433"/>
        <w:spacing w:after="0" w:line="275" w:lineRule="auto"/>
        <w:rPr>
          <w:sz w:val="20"/>
          <w:szCs w:val="20"/>
          <w:color w:val="auto"/>
        </w:rPr>
      </w:pPr>
      <w:r>
        <w:rPr>
          <w:rFonts w:ascii="Arial" w:cs="Arial" w:eastAsia="Arial" w:hAnsi="Arial"/>
          <w:sz w:val="17"/>
          <w:szCs w:val="17"/>
          <w:color w:val="auto"/>
        </w:rPr>
        <w:t>During the year ended December 31, 2019, net cash provided by financing activities of $60.4 million was primarily from net proceeds from the issuance of our Series B-1 redeemable convertible preferred stock and from the issuance of our Series C redeemable convertible preferred stock.</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0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We also expect to continue to incur additional costs associated with operating as a public company. As a result, we expect to incur substantial operating losses and negative operating cash flows for the foreseeable future. We anticipate that our expenses will increase substantially if and as we:</w:t>
      </w:r>
    </w:p>
    <w:p>
      <w:pPr>
        <w:spacing w:after="0" w:line="192" w:lineRule="exact"/>
        <w:rPr>
          <w:sz w:val="20"/>
          <w:szCs w:val="20"/>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advance the clinical development of our PRAX-114, PRAX-944 and PRAX-562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maintain our current intellectual property portfolio and opportunistically acquire complementary intellectual property;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0" w:right="300" w:hanging="323"/>
        <w:spacing w:after="0" w:line="275" w:lineRule="auto"/>
        <w:tabs>
          <w:tab w:leader="none" w:pos="7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any products for which we may obtain regulatory approval;</w:t>
      </w:r>
    </w:p>
    <w:p>
      <w:pPr>
        <w:spacing w:after="0" w:line="76" w:lineRule="exact"/>
        <w:rPr>
          <w:rFonts w:ascii="Arial" w:cs="Arial" w:eastAsia="Arial" w:hAnsi="Arial"/>
          <w:sz w:val="17"/>
          <w:szCs w:val="17"/>
          <w:color w:val="auto"/>
        </w:rPr>
      </w:pPr>
    </w:p>
    <w:p>
      <w:pPr>
        <w:ind w:left="800" w:right="180" w:hanging="323"/>
        <w:spacing w:after="0" w:line="275" w:lineRule="auto"/>
        <w:tabs>
          <w:tab w:leader="none" w:pos="7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76" w:lineRule="exact"/>
        <w:rPr>
          <w:rFonts w:ascii="Arial" w:cs="Arial" w:eastAsia="Arial" w:hAnsi="Arial"/>
          <w:sz w:val="17"/>
          <w:szCs w:val="17"/>
          <w:color w:val="auto"/>
        </w:rPr>
      </w:pPr>
    </w:p>
    <w:p>
      <w:pPr>
        <w:ind w:left="800" w:hanging="323"/>
        <w:spacing w:after="0" w:line="275" w:lineRule="auto"/>
        <w:tabs>
          <w:tab w:leader="none" w:pos="7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81"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We are unable to estimate the exact amount of our working capital requirements, but based on our available cash resources, we expect to have sufficient cash and cash equivalents on hand to support current operations into the fourth quarter of 2022.</w:t>
      </w:r>
    </w:p>
    <w:p>
      <w:pPr>
        <w:spacing w:after="0" w:line="181"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92" w:lineRule="exact"/>
        <w:rPr>
          <w:sz w:val="20"/>
          <w:szCs w:val="20"/>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programs and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number and characteristics of programs and technologies that we develop or may in-license;</w:t>
      </w:r>
    </w:p>
    <w:p>
      <w:pPr>
        <w:spacing w:after="0" w:line="119" w:lineRule="exact"/>
        <w:rPr>
          <w:rFonts w:ascii="Arial" w:cs="Arial" w:eastAsia="Arial" w:hAnsi="Arial"/>
          <w:sz w:val="17"/>
          <w:szCs w:val="17"/>
          <w:color w:val="auto"/>
        </w:rPr>
      </w:pPr>
    </w:p>
    <w:p>
      <w:pPr>
        <w:ind w:left="800" w:right="320" w:hanging="323"/>
        <w:spacing w:after="0" w:line="275"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76" w:lineRule="exact"/>
        <w:rPr>
          <w:rFonts w:ascii="Arial" w:cs="Arial" w:eastAsia="Arial" w:hAnsi="Arial"/>
          <w:sz w:val="17"/>
          <w:szCs w:val="17"/>
          <w:color w:val="auto"/>
        </w:rPr>
      </w:pPr>
    </w:p>
    <w:p>
      <w:pPr>
        <w:ind w:left="800" w:right="340" w:hanging="323"/>
        <w:spacing w:after="0" w:line="275"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6" w:lineRule="exact"/>
        <w:rPr>
          <w:rFonts w:ascii="Arial" w:cs="Arial" w:eastAsia="Arial" w:hAnsi="Arial"/>
          <w:sz w:val="17"/>
          <w:szCs w:val="17"/>
          <w:color w:val="auto"/>
        </w:rPr>
      </w:pPr>
    </w:p>
    <w:p>
      <w:pPr>
        <w:ind w:left="800" w:right="180" w:hanging="323"/>
        <w:spacing w:after="0" w:line="275"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9" w:lineRule="exact"/>
        <w:rPr>
          <w:rFonts w:ascii="Arial" w:cs="Arial" w:eastAsia="Arial" w:hAnsi="Arial"/>
          <w:sz w:val="17"/>
          <w:szCs w:val="17"/>
          <w:color w:val="auto"/>
        </w:rPr>
      </w:pPr>
    </w:p>
    <w:p>
      <w:pPr>
        <w:ind w:left="800" w:right="220" w:hanging="323"/>
        <w:spacing w:after="0" w:line="275"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or to those of our manufacturers, suppliers or other vendors resulting from the COVID-19 pandemic or similar public health crisis; and</w:t>
      </w:r>
    </w:p>
    <w:p>
      <w:pPr>
        <w:spacing w:after="0" w:line="76" w:lineRule="exact"/>
        <w:rPr>
          <w:rFonts w:ascii="Arial" w:cs="Arial" w:eastAsia="Arial" w:hAnsi="Arial"/>
          <w:sz w:val="17"/>
          <w:szCs w:val="17"/>
          <w:color w:val="auto"/>
        </w:rPr>
      </w:pPr>
    </w:p>
    <w:p>
      <w:pPr>
        <w:ind w:left="800" w:hanging="323"/>
        <w:spacing w:after="0" w:line="266"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8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your ownership interest will be diluted, and the terms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of these securities may include liquidation or other preferences that adversely affect your rights as a common stockholder. Additional debt financing and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92"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02"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 following table summarizes our contractual obligations as of December 31, 2020 and the effects that such obligations are expected to have on our liquidity and cash flows in future periods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153"/>
              <w:spacing w:after="0"/>
              <w:rPr>
                <w:sz w:val="20"/>
                <w:szCs w:val="20"/>
                <w:color w:val="auto"/>
              </w:rPr>
            </w:pPr>
            <w:r>
              <w:rPr>
                <w:rFonts w:ascii="Arial" w:cs="Arial" w:eastAsia="Arial" w:hAnsi="Arial"/>
                <w:sz w:val="14"/>
                <w:szCs w:val="14"/>
                <w:b w:val="1"/>
                <w:bCs w:val="1"/>
                <w:color w:val="auto"/>
                <w:w w:val="99"/>
              </w:rPr>
              <w:t>Payments Due by Period</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1 to 3</w:t>
            </w:r>
          </w:p>
        </w:tc>
        <w:tc>
          <w:tcPr>
            <w:tcW w:w="30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1"/>
                <w:szCs w:val="11"/>
                <w:color w:val="auto"/>
              </w:rPr>
            </w:pPr>
          </w:p>
        </w:tc>
        <w:tc>
          <w:tcPr>
            <w:tcW w:w="1040" w:type="dxa"/>
            <w:vAlign w:val="bottom"/>
          </w:tcPr>
          <w:p>
            <w:pPr>
              <w:jc w:val="center"/>
              <w:ind w:right="223"/>
              <w:spacing w:after="0" w:line="137"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223"/>
              <w:spacing w:after="0" w:line="131" w:lineRule="exact"/>
              <w:rPr>
                <w:sz w:val="20"/>
                <w:szCs w:val="20"/>
                <w:color w:val="auto"/>
              </w:rPr>
            </w:pPr>
            <w:r>
              <w:rPr>
                <w:rFonts w:ascii="Arial" w:cs="Arial" w:eastAsia="Arial" w:hAnsi="Arial"/>
                <w:sz w:val="14"/>
                <w:szCs w:val="14"/>
                <w:b w:val="1"/>
                <w:bCs w:val="1"/>
                <w:color w:val="auto"/>
              </w:rPr>
              <w:t>Than 5</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commitments(1)</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791</w:t>
            </w:r>
          </w:p>
        </w:tc>
        <w:tc>
          <w:tcPr>
            <w:tcW w:w="460" w:type="dxa"/>
            <w:vAlign w:val="bottom"/>
            <w:gridSpan w:val="3"/>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Pr>
          <w:p>
            <w:pPr>
              <w:ind w:left="7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6" w:lineRule="exact"/>
        <w:rPr>
          <w:sz w:val="20"/>
          <w:szCs w:val="20"/>
          <w:color w:val="auto"/>
        </w:rPr>
      </w:pPr>
    </w:p>
    <w:p>
      <w:pPr>
        <w:ind w:left="320" w:right="60" w:hanging="315"/>
        <w:spacing w:after="0" w:line="275" w:lineRule="auto"/>
        <w:tabs>
          <w:tab w:leader="none" w:pos="3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sublease building space in Cambridge, Massachusetts. Our sublease will expire on December 30, 2021. The amounts in the table above represent the fixed contractual lease obligations.</w:t>
      </w:r>
    </w:p>
    <w:p>
      <w:pPr>
        <w:spacing w:after="0" w:line="181" w:lineRule="exact"/>
        <w:rPr>
          <w:sz w:val="20"/>
          <w:szCs w:val="20"/>
          <w:color w:val="auto"/>
        </w:rPr>
      </w:pPr>
    </w:p>
    <w:p>
      <w:pPr>
        <w:ind w:right="600" w:firstLine="433"/>
        <w:spacing w:after="0" w:line="275" w:lineRule="auto"/>
        <w:rPr>
          <w:sz w:val="20"/>
          <w:szCs w:val="20"/>
          <w:color w:val="auto"/>
        </w:rPr>
      </w:pPr>
      <w:r>
        <w:rPr>
          <w:rFonts w:ascii="Arial" w:cs="Arial" w:eastAsia="Arial" w:hAnsi="Arial"/>
          <w:sz w:val="17"/>
          <w:szCs w:val="17"/>
          <w:color w:val="auto"/>
        </w:rPr>
        <w:t>We have collaboration and license agreements with Purdue Neuroscience Company, or Purdue, RogCon Inc., or RogCon, and Ionis Pharmaceuticals, Inc., or Ionis, under which we could be obligated to pay certain fees, milestone payments and cost reimbursements.</w:t>
      </w:r>
    </w:p>
    <w:p>
      <w:pPr>
        <w:spacing w:after="0" w:line="18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Under our license agreement with Purdue, we are obligated to make future milestone payments of up to $33.0 million based on the achievement of specified development and sales milestones. Furthermore, we will pay Purdue royalties of a low-single-digit percentage of annual net sales of licensed products. Either party may terminate the license agreement for convenience or in the event of a material breach by the other party and failure to cure such breach within a certain period of time. If the agreement is voluntarily terminated by Purdue, our license rights will survive such termination and such rights will become fully paid, perpetual and irrevocable. As the agreement may be terminated for convenience, the payments are not included in the table above. See “Business—License Agreements—License Agreement with Purdue.”</w:t>
      </w:r>
    </w:p>
    <w:p>
      <w:pPr>
        <w:spacing w:after="0" w:line="193"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Under our license agreement with RogCon, we will reimburse RogCon for its out-of-pocket costs incurred for activities performed under the license agreement. Additionally, we may pay RogCon a milestone payment of $3.0 million and profit share payments. The $3.0 million milestone payment will become due when the first profit share payment has become due and payable and certain contingent payments have become due and payable to Ionis under our collaboration agreement with Ionis. The profit share payments will be based on a low-double-digit percentage of net profits, depending on sales volume. Either party may terminate the license agreement for material breach or insolvency of the other party. Additionally, we may terminate for convenience with prior notice to RogCon. As such, we do not include variable and contingent payments under our agreement with RogCon in the table above as they are not fixed and estimable. See “Business—License Agreements—License Agreement with RogCon.”</w:t>
      </w:r>
    </w:p>
    <w:p>
      <w:pPr>
        <w:spacing w:after="0" w:line="194"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Under our collaboration agreement with Ionis, we are obligated to reimburse any out-of-pocket costs incurred by Ionis related to research activities, identification of a development candidate and conducting an IND-enabling toxicology study. We also have an exclusive option to obtain the rights and license related to the development candidate following the completion of the IND-enabling toxicology study. If we exercise our development candidate option, we may be required to make additional payments to Ionis including a license fee, development milestone payments, additional milestone payments and sales royalties or sublicense fees. However, we are not obligated to</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exercise our development candidate option and are able to terminate our collaboration agreement with Ionis for convenience. Either party may terminate the collaboration agreement upon material breach or insolvency of the other party or if Ionis is unable to identify a development candidate. Ionis may terminate if we fail to achieve a performance milestone. As such, payments due pursuant to the exercise of our development candidate option are contingent and therefore excluded from the table above as they are not fixed and estimable. See “Business— License Agreements—Ionis Collaboration Agreement.”</w:t>
      </w:r>
    </w:p>
    <w:p>
      <w:pPr>
        <w:spacing w:after="0" w:line="19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 We do not include these payments in the table above as they are not fixed and estimable.</w:t>
      </w:r>
    </w:p>
    <w:p>
      <w:pPr>
        <w:spacing w:after="0" w:line="192"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partners, in connection with any U.S. patent or any copyright or other intellectual property infringement claim by any third party with respect to our products. The term of these indemnification agreements is generally perpetual upon execution of the agreement. The maximum potential amount of future payments we could be required to make under these indemnification agreements cannot be reasonably estimated and therefore is not included in the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2"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1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Related Accruals</w:t>
      </w:r>
    </w:p>
    <w:p>
      <w:pPr>
        <w:spacing w:after="0" w:line="10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9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financial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statements based on facts and circumstances known to us at that time. When evaluating the adequacy of the accrued liabilities, we analyze progress of the studies or trials, including the phase or completion of events, invoices received and contracted costs. Examples of estimated accrued research and development expenses include fees paid to:</w:t>
      </w:r>
    </w:p>
    <w:p>
      <w:pPr>
        <w:spacing w:after="0" w:line="189" w:lineRule="exact"/>
        <w:rPr>
          <w:sz w:val="20"/>
          <w:szCs w:val="20"/>
          <w:color w:val="auto"/>
        </w:rPr>
      </w:pPr>
    </w:p>
    <w:p>
      <w:pPr>
        <w:ind w:left="780" w:hanging="303"/>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CROs in connection with performing research services and preclinical and clinical studies;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investigative sites or other providers in connection with preclinical and clinical studies;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vendors related to product manufacturing, development and distribution of preclinical and clinical supplies.</w:t>
      </w:r>
    </w:p>
    <w:p>
      <w:pPr>
        <w:spacing w:after="0" w:line="224"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accruing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accrual or amount of prepaid expense accordingly. Significant judgments and estimates are made in determining the accrued balances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0"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We issue stock-based awards to employees and non-employees, generally in the form of stock options, restricted stock awards and restricted stock units. We measure all stock-based awards granted to employees and non-employees as stock-based compensation expense at fair value in accordance with FASB ASC Topic 718, Compensation—Stock Compensation, or ASC 718.</w:t>
      </w:r>
    </w:p>
    <w:p>
      <w:pPr>
        <w:spacing w:after="0" w:line="18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For stock-based awards issued to employees, non-employees and members of the board of directors, or the Board, for their services on the Board, we measure the estimated fair value of the stock-based award on the date of the grant. We recognize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We issue stock-based awards with service-based vesting conditions and record the expense for these awards on a straight-line basis over the vesting period. To date, we have not issued any stock-based awards with performance or market-based vesting conditions. We account for forfeitures as they occur.</w:t>
      </w:r>
    </w:p>
    <w:p>
      <w:pPr>
        <w:spacing w:after="0" w:line="196"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We classify stock-based compensation expense in our consolidated statements of operations and comprehensive loss in the same manner in which the award recipient’s salary or service payments are classified.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Stock-Based Awards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determine the fair value of restricted stock based on the fair value of our common stock less purchase price.</w:t>
      </w:r>
    </w:p>
    <w:p>
      <w:pPr>
        <w:spacing w:after="0" w:line="80"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We estimate the fair value of our stock options using the Black-Scholes option pricing model, which requires inputs of subjective assumptions, including: (i) the expected volatility of our stock; (ii) the expected term of the award; (iii) the risk-free interest rate; (iv) expected dividends; and (v) the fair value of common stock. Due to the lack of company-specific historical and implied volatility data for our common stock, we determine the volatility for awards granted based on an analysis of reported data for a group of guideline publicly-traded companies that issued options with substantially similar terms. For this analysis, we select companies with comparable characteristics to ours including enterprise value, risk profiles and with historical share price information sufficient to meet the expected life of the stock-based awards. We determine expected volatility using a weighted average of the historical volatilities of the guideline group of companies. We will continue to apply this process until such a time as we have adequate historical data regarding the volatility of our own traded stock price. As permitted under ASC 718, we have elected to use the contractual term as the expected term for certain non-employee awards, on an award-by-award basis. For all other awards, we determined the expected term utilizing the “simplified” method whereby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expected term equals the average of the vesting term and the original contractual term of the option, on a weighted basis based on the vesting of each tranche. We utilize this method as we have insufficient historical exercise data to provide a reasonable basis upon which to estimate the expected term. For the determination of the risk-free interest rate, we utilize the U.S. Treasury yield curve for instruments in effect at the time of measurement with a term commensurate with the expected term assumption. The expected dividend yield is assumed to be zero as we have never paid dividends, and do not have current plans to pay any dividends on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268" w:lineRule="exact"/>
        <w:rPr>
          <w:sz w:val="20"/>
          <w:szCs w:val="20"/>
          <w:color w:val="auto"/>
        </w:rPr>
      </w:pPr>
    </w:p>
    <w:p>
      <w:pPr>
        <w:ind w:firstLine="433"/>
        <w:spacing w:after="0" w:line="242" w:lineRule="auto"/>
        <w:rPr>
          <w:sz w:val="20"/>
          <w:szCs w:val="20"/>
          <w:color w:val="auto"/>
        </w:rPr>
      </w:pPr>
      <w:r>
        <w:rPr>
          <w:rFonts w:ascii="Arial" w:cs="Arial" w:eastAsia="Arial" w:hAnsi="Arial"/>
          <w:sz w:val="17"/>
          <w:szCs w:val="17"/>
          <w:color w:val="auto"/>
        </w:rPr>
        <w:t xml:space="preserve">Prior to our IPO, we determined the estimated fair value of our common stock based on a number of objective and subjective factors, including external market conditions affecting the biotechnology industry sector. We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to estimate the fair value of our common stock. Each valuation methodology included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required our judgment. These estimates and assumptions included a number of objective and subjective factors in determining the value of our common stock at each grant date, such as the following: (i) prices paid for our redeemable convertible preferred stock, and the rights, preferences, and privileges of our redeemable convertible preferred stock and common stock; (ii) our stage of development; (iii) the fact that the grants of stock-based awards related to illiquid securities in a private company; and (iv) the likelihood of achieving a liquidity event for the common stock underlying the stock-based awards, such as an IPO or sale of the company, given prevailing market conditions. Prior to the IPO, the methodologies utilized to estimate the fair value of our common stock were the option-pricing method (“OPM”) and, beginning in the year ended December 31, 2020, the hybrid probability-weighted expected return method (“PWERM”). The OPM was used to back-solve the estimated value of our equity and corresponding value of our common stock. The hybrid PWERM determined the fair value of our common stock using a probability-weighted present value of expected future investment returns considering various outcomes, as well as the rights of each class of stock, with one of the outcomes calculated using an OPM. The hybrid PWERM considered three scenarios: an “early” IPO completed in 2020, a “late” IPO completed in 2021, and a “remain private” scenario in which value was allocated using the OPM. An incremental discount for lack of marketability (“DLOM”) was applied to the values of the common stock. The DLOM was estimated using a put option model which considered the expected time to liquidity and the volatility of the common shares. The hybrid PWERM used a risk-adjusted discount rate. The fair value of our common stock was calibrated to contemporaneous transactions in our redeemable convertible preferred stock.</w:t>
      </w:r>
    </w:p>
    <w:p>
      <w:pPr>
        <w:spacing w:after="0" w:line="203"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Subsequent to the IPO, the fair value of the common stock underlying our stock-based awards is the closing price of our common stock on the date of grant.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and Emerging Growth Company Status</w:t>
      </w:r>
    </w:p>
    <w:p>
      <w:pPr>
        <w:spacing w:after="0" w:line="115"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In April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the extended transition period and, therefore, while we are an EGC we will not be subject to new or revised accounting standards at the same time that they become applicable to other public companies that are not EGCs, unless we choose to early adopt a new or revised accounting standard.</w:t>
      </w:r>
    </w:p>
    <w:p>
      <w:pPr>
        <w:spacing w:after="0" w:line="197" w:lineRule="exact"/>
        <w:rPr>
          <w:sz w:val="20"/>
          <w:szCs w:val="20"/>
          <w:color w:val="auto"/>
        </w:rPr>
      </w:pPr>
    </w:p>
    <w:p>
      <w:pPr>
        <w:jc w:val="both"/>
        <w:ind w:right="140" w:firstLine="433"/>
        <w:spacing w:after="0" w:line="263" w:lineRule="auto"/>
        <w:rPr>
          <w:sz w:val="20"/>
          <w:szCs w:val="20"/>
          <w:color w:val="auto"/>
        </w:rPr>
      </w:pPr>
      <w:r>
        <w:rPr>
          <w:rFonts w:ascii="Arial" w:cs="Arial" w:eastAsia="Arial" w:hAnsi="Arial"/>
          <w:sz w:val="17"/>
          <w:szCs w:val="17"/>
          <w:color w:val="auto"/>
        </w:rPr>
        <w:t>We will remain classified as an EGC until the earlier of: (i) the last day of our first fiscal year in which we have total annual gross revenues of $1.07 billion or more, (ii) the last day of the fiscal year following the fifth anniversary of completion of our initial public offering, (iii) the date on which we have issued more than $1.0 billion of non-convertible debt instruments during the previous three fiscal years or (iv) the date on which we are deemed a “large accelerated filer” under the rules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consolidated financial statements appearing elsewhere in this Annual Report on Form 10-K, such standards will not have a material impact on our financial statements or do not otherwise apply to our current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560"/>
        <w:spacing w:after="0" w:line="399"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b w:val="1"/>
          <w:bCs w:val="1"/>
          <w:i w:val="1"/>
          <w:iCs w:val="1"/>
          <w:color w:val="auto"/>
        </w:rPr>
        <w:t>Interest Rate Fluctuation Risk</w:t>
      </w:r>
    </w:p>
    <w:p>
      <w:pPr>
        <w:spacing w:after="0" w:line="1"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income sensitivity, which is affected by changes in the general level of U.S. interest rates, particularly because our cash equivalents are invested in short-term U.S. Treasury obligations. However, because of the short-term nature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 Risk</w:t>
      </w:r>
    </w:p>
    <w:p>
      <w:pPr>
        <w:spacing w:after="0" w:line="13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Fluctuation Risk</w:t>
      </w:r>
    </w:p>
    <w:p>
      <w:pPr>
        <w:spacing w:after="0" w:line="139"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Inflation generally affects us by increasing our cost of labor. We do not believe that inflation had a material effect on our business, financial condition or results of operations during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Page</w:t>
            </w:r>
          </w:p>
        </w:tc>
      </w:tr>
      <w:tr>
        <w:trPr>
          <w:trHeight w:val="216"/>
        </w:trPr>
        <w:tc>
          <w:tcPr>
            <w:tcW w:w="10320" w:type="dxa"/>
            <w:vAlign w:val="bottom"/>
            <w:shd w:val="clear" w:color="auto" w:fill="CCEEFF"/>
          </w:tcPr>
          <w:p>
            <w:pPr>
              <w:ind w:left="20"/>
              <w:spacing w:after="0"/>
              <w:rPr>
                <w:rFonts w:ascii="Arial" w:cs="Arial" w:eastAsia="Arial" w:hAnsi="Arial"/>
                <w:sz w:val="17"/>
                <w:szCs w:val="17"/>
                <w:u w:val="single" w:color="auto"/>
                <w:color w:val="0000FF"/>
              </w:rPr>
            </w:pPr>
            <w:hyperlink w:anchor="page139">
              <w:r>
                <w:rPr>
                  <w:rFonts w:ascii="Arial" w:cs="Arial" w:eastAsia="Arial" w:hAnsi="Arial"/>
                  <w:sz w:val="17"/>
                  <w:szCs w:val="17"/>
                  <w:u w:val="single" w:color="auto"/>
                  <w:color w:val="0000FF"/>
                </w:rPr>
                <w:t>Report of Independent Registered Public Accounting Firm</w:t>
              </w:r>
            </w:hyperlink>
          </w:p>
        </w:tc>
        <w:tc>
          <w:tcPr>
            <w:tcW w:w="900" w:type="dxa"/>
            <w:vAlign w:val="bottom"/>
            <w:shd w:val="clear" w:color="auto" w:fill="CCEEFF"/>
          </w:tcPr>
          <w:p>
            <w:pPr>
              <w:ind w:left="300"/>
              <w:spacing w:after="0"/>
              <w:rPr>
                <w:rFonts w:ascii="Arial" w:cs="Arial" w:eastAsia="Arial" w:hAnsi="Arial"/>
                <w:sz w:val="17"/>
                <w:szCs w:val="17"/>
                <w:u w:val="single" w:color="auto"/>
                <w:color w:val="0000FF"/>
              </w:rPr>
            </w:pPr>
            <w:hyperlink w:anchor="page139">
              <w:r>
                <w:rPr>
                  <w:rFonts w:ascii="Arial" w:cs="Arial" w:eastAsia="Arial" w:hAnsi="Arial"/>
                  <w:sz w:val="17"/>
                  <w:szCs w:val="17"/>
                  <w:u w:val="single" w:color="auto"/>
                  <w:color w:val="0000FF"/>
                </w:rPr>
                <w:t>140</w:t>
              </w:r>
            </w:hyperlink>
          </w:p>
        </w:tc>
      </w:tr>
      <w:tr>
        <w:trPr>
          <w:trHeight w:val="223"/>
        </w:trPr>
        <w:tc>
          <w:tcPr>
            <w:tcW w:w="10320" w:type="dxa"/>
            <w:vAlign w:val="bottom"/>
          </w:tcPr>
          <w:p>
            <w:pPr>
              <w:ind w:left="20"/>
              <w:spacing w:after="0"/>
              <w:rPr>
                <w:rFonts w:ascii="Arial" w:cs="Arial" w:eastAsia="Arial" w:hAnsi="Arial"/>
                <w:sz w:val="17"/>
                <w:szCs w:val="17"/>
                <w:u w:val="single" w:color="auto"/>
                <w:color w:val="0000FF"/>
              </w:rPr>
            </w:pPr>
            <w:hyperlink w:anchor="page140">
              <w:r>
                <w:rPr>
                  <w:rFonts w:ascii="Arial" w:cs="Arial" w:eastAsia="Arial" w:hAnsi="Arial"/>
                  <w:sz w:val="17"/>
                  <w:szCs w:val="17"/>
                  <w:u w:val="single" w:color="auto"/>
                  <w:color w:val="0000FF"/>
                </w:rPr>
                <w:t>Consolidated Balance Sheets</w:t>
              </w:r>
            </w:hyperlink>
          </w:p>
        </w:tc>
        <w:tc>
          <w:tcPr>
            <w:tcW w:w="900" w:type="dxa"/>
            <w:vAlign w:val="bottom"/>
          </w:tcPr>
          <w:p>
            <w:pPr>
              <w:ind w:left="300"/>
              <w:spacing w:after="0"/>
              <w:rPr>
                <w:rFonts w:ascii="Arial" w:cs="Arial" w:eastAsia="Arial" w:hAnsi="Arial"/>
                <w:sz w:val="17"/>
                <w:szCs w:val="17"/>
                <w:u w:val="single" w:color="auto"/>
                <w:color w:val="0000FF"/>
              </w:rPr>
            </w:pPr>
            <w:hyperlink w:anchor="page140">
              <w:r>
                <w:rPr>
                  <w:rFonts w:ascii="Arial" w:cs="Arial" w:eastAsia="Arial" w:hAnsi="Arial"/>
                  <w:sz w:val="17"/>
                  <w:szCs w:val="17"/>
                  <w:u w:val="single" w:color="auto"/>
                  <w:color w:val="0000FF"/>
                </w:rPr>
                <w:t>141</w:t>
              </w:r>
            </w:hyperlink>
          </w:p>
        </w:tc>
      </w:tr>
      <w:tr>
        <w:trPr>
          <w:trHeight w:val="223"/>
        </w:trPr>
        <w:tc>
          <w:tcPr>
            <w:tcW w:w="10320" w:type="dxa"/>
            <w:vAlign w:val="bottom"/>
            <w:shd w:val="clear" w:color="auto" w:fill="CCEEFF"/>
          </w:tcPr>
          <w:p>
            <w:pPr>
              <w:ind w:left="20"/>
              <w:spacing w:after="0"/>
              <w:rPr>
                <w:rFonts w:ascii="Arial" w:cs="Arial" w:eastAsia="Arial" w:hAnsi="Arial"/>
                <w:sz w:val="17"/>
                <w:szCs w:val="17"/>
                <w:u w:val="single" w:color="auto"/>
                <w:color w:val="0000FF"/>
              </w:rPr>
            </w:pPr>
            <w:hyperlink w:anchor="page141">
              <w:r>
                <w:rPr>
                  <w:rFonts w:ascii="Arial" w:cs="Arial" w:eastAsia="Arial" w:hAnsi="Arial"/>
                  <w:sz w:val="17"/>
                  <w:szCs w:val="17"/>
                  <w:u w:val="single" w:color="auto"/>
                  <w:color w:val="0000FF"/>
                </w:rPr>
                <w:t>Consolidated Statements of Operations and Comprehensive Loss</w:t>
              </w:r>
            </w:hyperlink>
          </w:p>
        </w:tc>
        <w:tc>
          <w:tcPr>
            <w:tcW w:w="900" w:type="dxa"/>
            <w:vAlign w:val="bottom"/>
            <w:shd w:val="clear" w:color="auto" w:fill="CCEEFF"/>
          </w:tcPr>
          <w:p>
            <w:pPr>
              <w:ind w:left="300"/>
              <w:spacing w:after="0"/>
              <w:rPr>
                <w:rFonts w:ascii="Arial" w:cs="Arial" w:eastAsia="Arial" w:hAnsi="Arial"/>
                <w:sz w:val="17"/>
                <w:szCs w:val="17"/>
                <w:u w:val="single" w:color="auto"/>
                <w:color w:val="0000FF"/>
              </w:rPr>
            </w:pPr>
            <w:hyperlink w:anchor="page141">
              <w:r>
                <w:rPr>
                  <w:rFonts w:ascii="Arial" w:cs="Arial" w:eastAsia="Arial" w:hAnsi="Arial"/>
                  <w:sz w:val="17"/>
                  <w:szCs w:val="17"/>
                  <w:u w:val="single" w:color="auto"/>
                  <w:color w:val="0000FF"/>
                </w:rPr>
                <w:t>142</w:t>
              </w:r>
            </w:hyperlink>
          </w:p>
        </w:tc>
      </w:tr>
      <w:tr>
        <w:trPr>
          <w:trHeight w:val="223"/>
        </w:trPr>
        <w:tc>
          <w:tcPr>
            <w:tcW w:w="10320" w:type="dxa"/>
            <w:vAlign w:val="bottom"/>
          </w:tcPr>
          <w:p>
            <w:pPr>
              <w:ind w:left="20"/>
              <w:spacing w:after="0"/>
              <w:rPr>
                <w:rFonts w:ascii="Arial" w:cs="Arial" w:eastAsia="Arial" w:hAnsi="Arial"/>
                <w:sz w:val="17"/>
                <w:szCs w:val="17"/>
                <w:u w:val="single" w:color="auto"/>
                <w:color w:val="0000FF"/>
              </w:rPr>
            </w:pPr>
            <w:hyperlink w:anchor="page142">
              <w:r>
                <w:rPr>
                  <w:rFonts w:ascii="Arial" w:cs="Arial" w:eastAsia="Arial" w:hAnsi="Arial"/>
                  <w:sz w:val="17"/>
                  <w:szCs w:val="17"/>
                  <w:u w:val="single" w:color="auto"/>
                  <w:color w:val="0000FF"/>
                </w:rPr>
                <w:t>Consolidated Statements of Redeemable Convertible Preferred Stock and Stockholders’ (Deficit) Equity</w:t>
              </w:r>
            </w:hyperlink>
          </w:p>
        </w:tc>
        <w:tc>
          <w:tcPr>
            <w:tcW w:w="900" w:type="dxa"/>
            <w:vAlign w:val="bottom"/>
          </w:tcPr>
          <w:p>
            <w:pPr>
              <w:ind w:left="300"/>
              <w:spacing w:after="0"/>
              <w:rPr>
                <w:rFonts w:ascii="Arial" w:cs="Arial" w:eastAsia="Arial" w:hAnsi="Arial"/>
                <w:sz w:val="17"/>
                <w:szCs w:val="17"/>
                <w:u w:val="single" w:color="auto"/>
                <w:color w:val="0000FF"/>
              </w:rPr>
            </w:pPr>
            <w:hyperlink w:anchor="page142">
              <w:r>
                <w:rPr>
                  <w:rFonts w:ascii="Arial" w:cs="Arial" w:eastAsia="Arial" w:hAnsi="Arial"/>
                  <w:sz w:val="17"/>
                  <w:szCs w:val="17"/>
                  <w:u w:val="single" w:color="auto"/>
                  <w:color w:val="0000FF"/>
                </w:rPr>
                <w:t>143</w:t>
              </w:r>
            </w:hyperlink>
          </w:p>
        </w:tc>
      </w:tr>
      <w:tr>
        <w:trPr>
          <w:trHeight w:val="223"/>
        </w:trPr>
        <w:tc>
          <w:tcPr>
            <w:tcW w:w="10320" w:type="dxa"/>
            <w:vAlign w:val="bottom"/>
            <w:shd w:val="clear" w:color="auto" w:fill="CCEEFF"/>
          </w:tcPr>
          <w:p>
            <w:pPr>
              <w:ind w:left="20"/>
              <w:spacing w:after="0"/>
              <w:rPr>
                <w:rFonts w:ascii="Arial" w:cs="Arial" w:eastAsia="Arial" w:hAnsi="Arial"/>
                <w:sz w:val="17"/>
                <w:szCs w:val="17"/>
                <w:u w:val="single" w:color="auto"/>
                <w:color w:val="0000FF"/>
              </w:rPr>
            </w:pPr>
            <w:hyperlink w:anchor="page143">
              <w:r>
                <w:rPr>
                  <w:rFonts w:ascii="Arial" w:cs="Arial" w:eastAsia="Arial" w:hAnsi="Arial"/>
                  <w:sz w:val="17"/>
                  <w:szCs w:val="17"/>
                  <w:u w:val="single" w:color="auto"/>
                  <w:color w:val="0000FF"/>
                </w:rPr>
                <w:t>Consolidated Statements of Cash Flows</w:t>
              </w:r>
            </w:hyperlink>
          </w:p>
        </w:tc>
        <w:tc>
          <w:tcPr>
            <w:tcW w:w="900" w:type="dxa"/>
            <w:vAlign w:val="bottom"/>
            <w:shd w:val="clear" w:color="auto" w:fill="CCEEFF"/>
          </w:tcPr>
          <w:p>
            <w:pPr>
              <w:ind w:left="300"/>
              <w:spacing w:after="0"/>
              <w:rPr>
                <w:rFonts w:ascii="Arial" w:cs="Arial" w:eastAsia="Arial" w:hAnsi="Arial"/>
                <w:sz w:val="17"/>
                <w:szCs w:val="17"/>
                <w:u w:val="single" w:color="auto"/>
                <w:color w:val="0000FF"/>
              </w:rPr>
            </w:pPr>
            <w:hyperlink w:anchor="page143">
              <w:r>
                <w:rPr>
                  <w:rFonts w:ascii="Arial" w:cs="Arial" w:eastAsia="Arial" w:hAnsi="Arial"/>
                  <w:sz w:val="17"/>
                  <w:szCs w:val="17"/>
                  <w:u w:val="single" w:color="auto"/>
                  <w:color w:val="0000FF"/>
                </w:rPr>
                <w:t>144</w:t>
              </w:r>
            </w:hyperlink>
          </w:p>
        </w:tc>
      </w:tr>
      <w:tr>
        <w:trPr>
          <w:trHeight w:val="222"/>
        </w:trPr>
        <w:tc>
          <w:tcPr>
            <w:tcW w:w="10320" w:type="dxa"/>
            <w:vAlign w:val="bottom"/>
          </w:tcPr>
          <w:p>
            <w:pPr>
              <w:ind w:left="20"/>
              <w:spacing w:after="0"/>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Notes to Consolidated Financial Statements</w:t>
              </w:r>
            </w:hyperlink>
          </w:p>
        </w:tc>
        <w:tc>
          <w:tcPr>
            <w:tcW w:w="900" w:type="dxa"/>
            <w:vAlign w:val="bottom"/>
          </w:tcPr>
          <w:p>
            <w:pPr>
              <w:ind w:left="300"/>
              <w:spacing w:after="0"/>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145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Praxis Precision Medicines, Inc.</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Praxis Precision Medicines, Inc. (the Company) as of December 31, 2020 and 2019, the related consolidated statements of operations and comprehensive loss, redeemable convertible preferred stock and stockholders’ (deficit)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5"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2019.</w:t>
      </w:r>
    </w:p>
    <w:p>
      <w:pPr>
        <w:spacing w:after="0"/>
        <w:rPr>
          <w:sz w:val="20"/>
          <w:szCs w:val="20"/>
          <w:color w:val="auto"/>
        </w:rPr>
      </w:pPr>
      <w:r>
        <w:rPr>
          <w:rFonts w:ascii="Arial" w:cs="Arial" w:eastAsia="Arial" w:hAnsi="Arial"/>
          <w:sz w:val="16"/>
          <w:szCs w:val="16"/>
          <w:color w:val="auto"/>
        </w:rPr>
        <w:t>Boston, Massachusetts</w:t>
      </w: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296,608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44,815</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77"/>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302,326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303,177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47,694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5"/>
                <w:szCs w:val="15"/>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77"/>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portion of operating lease liabilities</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77"/>
        </w:trPr>
        <w:tc>
          <w:tcPr>
            <w:tcW w:w="826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15,720</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7,581</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7)</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180"/>
              <w:spacing w:after="0" w:line="149" w:lineRule="exact"/>
              <w:rPr>
                <w:sz w:val="20"/>
                <w:szCs w:val="20"/>
                <w:color w:val="auto"/>
              </w:rPr>
            </w:pPr>
            <w:r>
              <w:rPr>
                <w:rFonts w:ascii="Arial" w:cs="Arial" w:eastAsia="Arial" w:hAnsi="Arial"/>
                <w:sz w:val="14"/>
                <w:szCs w:val="14"/>
                <w:color w:val="auto"/>
              </w:rPr>
              <w:t>Series A redeemable convertible preferred stock, $0.0001 par value; 8,075,799 shares authorized and 8,075,799 shares issued</w:t>
            </w:r>
          </w:p>
        </w:tc>
        <w:tc>
          <w:tcPr>
            <w:tcW w:w="3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9,932</w:t>
            </w:r>
          </w:p>
        </w:tc>
        <w:tc>
          <w:tcPr>
            <w:tcW w:w="0" w:type="dxa"/>
            <w:vAlign w:val="bottom"/>
          </w:tcPr>
          <w:p>
            <w:pPr>
              <w:spacing w:after="0"/>
              <w:rPr>
                <w:sz w:val="1"/>
                <w:szCs w:val="1"/>
                <w:color w:val="auto"/>
              </w:rPr>
            </w:pPr>
          </w:p>
        </w:tc>
      </w:tr>
      <w:tr>
        <w:trPr>
          <w:trHeight w:val="166"/>
        </w:trPr>
        <w:tc>
          <w:tcPr>
            <w:tcW w:w="8260" w:type="dxa"/>
            <w:vAlign w:val="bottom"/>
          </w:tcPr>
          <w:p>
            <w:pPr>
              <w:ind w:left="180"/>
              <w:spacing w:after="0"/>
              <w:rPr>
                <w:sz w:val="20"/>
                <w:szCs w:val="20"/>
                <w:color w:val="auto"/>
              </w:rPr>
            </w:pPr>
            <w:r>
              <w:rPr>
                <w:rFonts w:ascii="Arial" w:cs="Arial" w:eastAsia="Arial" w:hAnsi="Arial"/>
                <w:sz w:val="14"/>
                <w:szCs w:val="14"/>
                <w:color w:val="auto"/>
              </w:rPr>
              <w:t>and outstanding as of December 31, 2019; liquidation value of $9,932 as of December 31, 2019</w:t>
            </w: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B redeemable convertible preferred stock, $0.0001 par value; 14,913,704 shares authorized and 14,913,704 shares issued</w:t>
            </w:r>
          </w:p>
        </w:tc>
        <w:tc>
          <w:tcPr>
            <w:tcW w:w="3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49,969</w:t>
            </w: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outstanding as of December 31, 2019; liquidation value of $49,969 as of December 31, 2019</w:t>
            </w:r>
          </w:p>
        </w:tc>
        <w:tc>
          <w:tcPr>
            <w:tcW w:w="3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180"/>
              <w:spacing w:after="0" w:line="149" w:lineRule="exact"/>
              <w:rPr>
                <w:sz w:val="20"/>
                <w:szCs w:val="20"/>
                <w:color w:val="auto"/>
              </w:rPr>
            </w:pPr>
            <w:r>
              <w:rPr>
                <w:rFonts w:ascii="Arial" w:cs="Arial" w:eastAsia="Arial" w:hAnsi="Arial"/>
                <w:sz w:val="14"/>
                <w:szCs w:val="14"/>
                <w:color w:val="auto"/>
              </w:rPr>
              <w:t>Series B-1 redeemable convertible preferred stock, $0.0001 par value; 2,666,666 shares authorized and 2,666,666 shares issued</w:t>
            </w:r>
          </w:p>
        </w:tc>
        <w:tc>
          <w:tcPr>
            <w:tcW w:w="3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66"/>
        </w:trPr>
        <w:tc>
          <w:tcPr>
            <w:tcW w:w="8260" w:type="dxa"/>
            <w:vAlign w:val="bottom"/>
          </w:tcPr>
          <w:p>
            <w:pPr>
              <w:ind w:left="180"/>
              <w:spacing w:after="0"/>
              <w:rPr>
                <w:sz w:val="20"/>
                <w:szCs w:val="20"/>
                <w:color w:val="auto"/>
              </w:rPr>
            </w:pPr>
            <w:r>
              <w:rPr>
                <w:rFonts w:ascii="Arial" w:cs="Arial" w:eastAsia="Arial" w:hAnsi="Arial"/>
                <w:sz w:val="14"/>
                <w:szCs w:val="14"/>
                <w:color w:val="auto"/>
              </w:rPr>
              <w:t>and outstanding as of December 31, 2019; liquidation value of $10,431 as of December 31, 2019</w:t>
            </w: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C redeemable convertible preferred stock, $0.0001 par value; 11,067,963 shares authorized and 9,805,827 shares issued</w:t>
            </w:r>
          </w:p>
        </w:tc>
        <w:tc>
          <w:tcPr>
            <w:tcW w:w="3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50,789</w:t>
            </w: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outstanding as of December 31, 2019; liquidation value of $50,789 as of December 31, 2019</w:t>
            </w:r>
          </w:p>
        </w:tc>
        <w:tc>
          <w:tcPr>
            <w:tcW w:w="3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Preferred stock, $0.0001 par value; 10,000,000 shares authorized and no shares issued or outstanding as of December 31,</w:t>
            </w:r>
          </w:p>
        </w:tc>
        <w:tc>
          <w:tcPr>
            <w:tcW w:w="3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2020</w:t>
            </w:r>
          </w:p>
        </w:tc>
        <w:tc>
          <w:tcPr>
            <w:tcW w:w="3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500"/>
              <w:spacing w:after="0" w:line="149" w:lineRule="exact"/>
              <w:rPr>
                <w:sz w:val="20"/>
                <w:szCs w:val="20"/>
                <w:color w:val="auto"/>
              </w:rPr>
            </w:pPr>
            <w:r>
              <w:rPr>
                <w:rFonts w:ascii="Arial" w:cs="Arial" w:eastAsia="Arial" w:hAnsi="Arial"/>
                <w:sz w:val="14"/>
                <w:szCs w:val="14"/>
                <w:color w:val="auto"/>
              </w:rPr>
              <w:t>Common stock, $0.0001 par value; 150,000,000 shares and 46,000,000 shares authorized as of December 31, 2020 and</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260" w:type="dxa"/>
            <w:vAlign w:val="bottom"/>
          </w:tcPr>
          <w:p>
            <w:pPr>
              <w:ind w:left="500"/>
              <w:spacing w:after="0" w:line="131" w:lineRule="exact"/>
              <w:rPr>
                <w:sz w:val="20"/>
                <w:szCs w:val="20"/>
                <w:color w:val="auto"/>
              </w:rPr>
            </w:pPr>
            <w:r>
              <w:rPr>
                <w:rFonts w:ascii="Arial" w:cs="Arial" w:eastAsia="Arial" w:hAnsi="Arial"/>
                <w:sz w:val="14"/>
                <w:szCs w:val="14"/>
                <w:color w:val="auto"/>
              </w:rPr>
              <w:t>2019, respectively; 38,268,543 shares issued and outstanding as of December 31, 2020, and 1,670,070 shares issued and</w:t>
            </w:r>
          </w:p>
        </w:tc>
        <w:tc>
          <w:tcPr>
            <w:tcW w:w="3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6"/>
        </w:trPr>
        <w:tc>
          <w:tcPr>
            <w:tcW w:w="8260" w:type="dxa"/>
            <w:vAlign w:val="bottom"/>
          </w:tcPr>
          <w:p>
            <w:pPr>
              <w:ind w:left="500"/>
              <w:spacing w:after="0"/>
              <w:rPr>
                <w:sz w:val="20"/>
                <w:szCs w:val="20"/>
                <w:color w:val="auto"/>
              </w:rPr>
            </w:pPr>
            <w:r>
              <w:rPr>
                <w:rFonts w:ascii="Arial" w:cs="Arial" w:eastAsia="Arial" w:hAnsi="Arial"/>
                <w:sz w:val="14"/>
                <w:szCs w:val="14"/>
                <w:color w:val="auto"/>
              </w:rPr>
              <w:t>1,621,880 shares outstanding as of December 31, 2019</w:t>
            </w: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437,007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(149,554)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(81,009)</w:t>
            </w:r>
          </w:p>
        </w:tc>
        <w:tc>
          <w:tcPr>
            <w:tcW w:w="0" w:type="dxa"/>
            <w:vAlign w:val="bottom"/>
          </w:tcPr>
          <w:p>
            <w:pPr>
              <w:spacing w:after="0"/>
              <w:rPr>
                <w:sz w:val="1"/>
                <w:szCs w:val="1"/>
                <w:color w:val="auto"/>
              </w:rPr>
            </w:pPr>
          </w:p>
        </w:tc>
      </w:tr>
      <w:tr>
        <w:trPr>
          <w:trHeight w:val="177"/>
        </w:trPr>
        <w:tc>
          <w:tcPr>
            <w:tcW w:w="82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 (deficit)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287,457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(81,008)</w:t>
            </w:r>
          </w:p>
        </w:tc>
        <w:tc>
          <w:tcPr>
            <w:tcW w:w="0" w:type="dxa"/>
            <w:vAlign w:val="bottom"/>
          </w:tcPr>
          <w:p>
            <w:pPr>
              <w:spacing w:after="0"/>
              <w:rPr>
                <w:sz w:val="1"/>
                <w:szCs w:val="1"/>
                <w:color w:val="auto"/>
              </w:rPr>
            </w:pPr>
          </w:p>
        </w:tc>
      </w:tr>
      <w:tr>
        <w:trPr>
          <w:trHeight w:val="177"/>
        </w:trPr>
        <w:tc>
          <w:tcPr>
            <w:tcW w:w="8260" w:type="dxa"/>
            <w:vAlign w:val="bottom"/>
          </w:tcPr>
          <w:p>
            <w:pPr>
              <w:ind w:left="66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303,177</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47,694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44,976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29,557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35,789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Total other income: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other income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benefit from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(35,596)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(35,512)</w:t>
            </w:r>
          </w:p>
        </w:tc>
        <w:tc>
          <w:tcPr>
            <w:tcW w:w="0" w:type="dxa"/>
            <w:vAlign w:val="bottom"/>
          </w:tcPr>
          <w:p>
            <w:pPr>
              <w:spacing w:after="0"/>
              <w:rPr>
                <w:sz w:val="1"/>
                <w:szCs w:val="1"/>
                <w:color w:val="auto"/>
              </w:rPr>
            </w:pPr>
          </w:p>
        </w:tc>
      </w:tr>
      <w:tr>
        <w:trPr>
          <w:trHeight w:val="216"/>
        </w:trPr>
        <w:tc>
          <w:tcPr>
            <w:tcW w:w="8260" w:type="dxa"/>
            <w:vAlign w:val="bottom"/>
          </w:tcPr>
          <w:p>
            <w:pPr>
              <w:ind w:left="340"/>
              <w:spacing w:after="0"/>
              <w:rPr>
                <w:sz w:val="20"/>
                <w:szCs w:val="20"/>
                <w:color w:val="auto"/>
              </w:rPr>
            </w:pPr>
            <w:r>
              <w:rPr>
                <w:rFonts w:ascii="Arial" w:cs="Arial" w:eastAsia="Arial" w:hAnsi="Arial"/>
                <w:sz w:val="17"/>
                <w:szCs w:val="17"/>
                <w:color w:val="auto"/>
              </w:rPr>
              <w:t>Accretion and cumulative dividends on redeemable convertible preferred stock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 on repurchase of redeemable convertible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6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(40,682)</w:t>
            </w:r>
          </w:p>
        </w:tc>
        <w:tc>
          <w:tcPr>
            <w:tcW w:w="0" w:type="dxa"/>
            <w:vAlign w:val="bottom"/>
          </w:tcPr>
          <w:p>
            <w:pPr>
              <w:spacing w:after="0"/>
              <w:rPr>
                <w:sz w:val="1"/>
                <w:szCs w:val="1"/>
                <w:color w:val="auto"/>
              </w:rPr>
            </w:pPr>
          </w:p>
        </w:tc>
      </w:tr>
      <w:tr>
        <w:trPr>
          <w:trHeight w:val="32"/>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common shares outstanding,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8,950,152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1,529,629</w:t>
            </w:r>
          </w:p>
        </w:tc>
        <w:tc>
          <w:tcPr>
            <w:tcW w:w="0" w:type="dxa"/>
            <w:vAlign w:val="bottom"/>
          </w:tcPr>
          <w:p>
            <w:pPr>
              <w:spacing w:after="0"/>
              <w:rPr>
                <w:sz w:val="1"/>
                <w:szCs w:val="1"/>
                <w:color w:val="auto"/>
              </w:rPr>
            </w:pPr>
          </w:p>
        </w:tc>
      </w:tr>
      <w:tr>
        <w:trPr>
          <w:trHeight w:val="32"/>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(DEFICIT)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00" w:type="dxa"/>
            <w:vAlign w:val="bottom"/>
          </w:tcPr>
          <w:p>
            <w:pPr>
              <w:spacing w:after="0"/>
              <w:rPr>
                <w:sz w:val="13"/>
                <w:szCs w:val="13"/>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Series A</w:t>
            </w:r>
          </w:p>
        </w:tc>
        <w:tc>
          <w:tcPr>
            <w:tcW w:w="13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Series B</w:t>
            </w:r>
          </w:p>
        </w:tc>
        <w:tc>
          <w:tcPr>
            <w:tcW w:w="122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rPr>
              <w:t>Series B-1</w:t>
            </w:r>
          </w:p>
        </w:tc>
        <w:tc>
          <w:tcPr>
            <w:tcW w:w="12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9"/>
              </w:rPr>
              <w:t>Series C</w:t>
            </w:r>
          </w:p>
        </w:tc>
        <w:tc>
          <w:tcPr>
            <w:tcW w:w="80" w:type="dxa"/>
            <w:vAlign w:val="bottom"/>
          </w:tcPr>
          <w:p>
            <w:pPr>
              <w:spacing w:after="0"/>
              <w:rPr>
                <w:sz w:val="13"/>
                <w:szCs w:val="13"/>
                <w:color w:val="auto"/>
              </w:rPr>
            </w:pPr>
          </w:p>
        </w:tc>
        <w:tc>
          <w:tcPr>
            <w:tcW w:w="980" w:type="dxa"/>
            <w:vAlign w:val="bottom"/>
            <w:gridSpan w:val="3"/>
          </w:tcPr>
          <w:p>
            <w:pPr>
              <w:jc w:val="center"/>
              <w:ind w:left="46"/>
              <w:spacing w:after="0"/>
              <w:rPr>
                <w:sz w:val="20"/>
                <w:szCs w:val="20"/>
                <w:color w:val="auto"/>
              </w:rPr>
            </w:pPr>
            <w:r>
              <w:rPr>
                <w:rFonts w:ascii="Arial" w:cs="Arial" w:eastAsia="Arial" w:hAnsi="Arial"/>
                <w:sz w:val="12"/>
                <w:szCs w:val="12"/>
                <w:b w:val="1"/>
                <w:bCs w:val="1"/>
                <w:color w:val="auto"/>
              </w:rPr>
              <w:t>Series C-1</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122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Redeemable</w:t>
            </w:r>
          </w:p>
        </w:tc>
        <w:tc>
          <w:tcPr>
            <w:tcW w:w="130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Redeemable</w:t>
            </w:r>
          </w:p>
        </w:tc>
        <w:tc>
          <w:tcPr>
            <w:tcW w:w="122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Redeemable</w:t>
            </w:r>
          </w:p>
        </w:tc>
        <w:tc>
          <w:tcPr>
            <w:tcW w:w="128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0"/>
                <w:szCs w:val="10"/>
                <w:color w:val="auto"/>
              </w:rPr>
            </w:pPr>
          </w:p>
        </w:tc>
        <w:tc>
          <w:tcPr>
            <w:tcW w:w="980" w:type="dxa"/>
            <w:vAlign w:val="bottom"/>
            <w:gridSpan w:val="3"/>
          </w:tcPr>
          <w:p>
            <w:pPr>
              <w:jc w:val="center"/>
              <w:ind w:left="46"/>
              <w:spacing w:after="0" w:line="118" w:lineRule="exact"/>
              <w:rPr>
                <w:sz w:val="20"/>
                <w:szCs w:val="20"/>
                <w:color w:val="auto"/>
              </w:rPr>
            </w:pPr>
            <w:r>
              <w:rPr>
                <w:rFonts w:ascii="Arial" w:cs="Arial" w:eastAsia="Arial" w:hAnsi="Arial"/>
                <w:sz w:val="12"/>
                <w:szCs w:val="12"/>
                <w:b w:val="1"/>
                <w:bCs w:val="1"/>
                <w:color w:val="auto"/>
              </w:rPr>
              <w:t>Redeemable</w:t>
            </w: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122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30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22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28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Convertible</w:t>
            </w:r>
          </w:p>
        </w:tc>
        <w:tc>
          <w:tcPr>
            <w:tcW w:w="80" w:type="dxa"/>
            <w:vAlign w:val="bottom"/>
          </w:tcPr>
          <w:p>
            <w:pPr>
              <w:spacing w:after="0"/>
              <w:rPr>
                <w:sz w:val="10"/>
                <w:szCs w:val="10"/>
                <w:color w:val="auto"/>
              </w:rPr>
            </w:pPr>
          </w:p>
        </w:tc>
        <w:tc>
          <w:tcPr>
            <w:tcW w:w="980" w:type="dxa"/>
            <w:vAlign w:val="bottom"/>
            <w:gridSpan w:val="3"/>
          </w:tcPr>
          <w:p>
            <w:pPr>
              <w:jc w:val="center"/>
              <w:ind w:left="26"/>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center"/>
              <w:ind w:right="66"/>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122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Preferred Stock</w:t>
            </w:r>
          </w:p>
        </w:tc>
        <w:tc>
          <w:tcPr>
            <w:tcW w:w="130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Preferred Stock</w:t>
            </w:r>
          </w:p>
        </w:tc>
        <w:tc>
          <w:tcPr>
            <w:tcW w:w="122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Preferred Stock</w:t>
            </w:r>
          </w:p>
        </w:tc>
        <w:tc>
          <w:tcPr>
            <w:tcW w:w="128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10"/>
                <w:szCs w:val="10"/>
                <w:color w:val="auto"/>
              </w:rPr>
            </w:pPr>
          </w:p>
        </w:tc>
        <w:tc>
          <w:tcPr>
            <w:tcW w:w="980" w:type="dxa"/>
            <w:vAlign w:val="bottom"/>
            <w:gridSpan w:val="3"/>
          </w:tcPr>
          <w:p>
            <w:pPr>
              <w:jc w:val="center"/>
              <w:ind w:left="26"/>
              <w:spacing w:after="0" w:line="118" w:lineRule="exact"/>
              <w:rPr>
                <w:sz w:val="20"/>
                <w:szCs w:val="20"/>
                <w:color w:val="auto"/>
              </w:rPr>
            </w:pPr>
            <w:r>
              <w:rPr>
                <w:rFonts w:ascii="Arial" w:cs="Arial" w:eastAsia="Arial" w:hAnsi="Arial"/>
                <w:sz w:val="12"/>
                <w:szCs w:val="12"/>
                <w:b w:val="1"/>
                <w:bCs w:val="1"/>
                <w:color w:val="auto"/>
              </w:rPr>
              <w:t>Preferred Stock</w:t>
            </w: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Additional</w:t>
            </w:r>
          </w:p>
        </w:tc>
        <w:tc>
          <w:tcPr>
            <w:tcW w:w="9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Accumulated</w:t>
            </w:r>
          </w:p>
        </w:tc>
        <w:tc>
          <w:tcPr>
            <w:tcW w:w="84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20" w:type="dxa"/>
            <w:vAlign w:val="bottom"/>
            <w:gridSpan w:val="2"/>
          </w:tcPr>
          <w:p>
            <w:pPr>
              <w:ind w:left="20"/>
              <w:spacing w:after="0" w:line="118" w:lineRule="exact"/>
              <w:rPr>
                <w:sz w:val="20"/>
                <w:szCs w:val="20"/>
                <w:color w:val="auto"/>
              </w:rPr>
            </w:pPr>
            <w:r>
              <w:rPr>
                <w:rFonts w:ascii="Arial" w:cs="Arial" w:eastAsia="Arial" w:hAnsi="Arial"/>
                <w:sz w:val="12"/>
                <w:szCs w:val="12"/>
                <w:b w:val="1"/>
                <w:bCs w:val="1"/>
                <w:color w:val="auto"/>
              </w:rPr>
              <w:t>Paid-In</w:t>
            </w:r>
          </w:p>
        </w:tc>
        <w:tc>
          <w:tcPr>
            <w:tcW w:w="9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86"/>
              <w:spacing w:after="0" w:line="118"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720" w:type="dxa"/>
            <w:vAlign w:val="bottom"/>
          </w:tcPr>
          <w:p>
            <w:pPr>
              <w:jc w:val="center"/>
              <w:ind w:right="66"/>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90"/>
        </w:trPr>
        <w:tc>
          <w:tcPr>
            <w:tcW w:w="1100" w:type="dxa"/>
            <w:vAlign w:val="bottom"/>
            <w:tcBorders>
              <w:top w:val="single" w:sz="8" w:color="CCEEFF"/>
            </w:tcBorders>
            <w:shd w:val="clear" w:color="auto" w:fill="CCEEFF"/>
          </w:tcPr>
          <w:p>
            <w:pPr>
              <w:ind w:left="180"/>
              <w:spacing w:after="0" w:line="90" w:lineRule="exact"/>
              <w:rPr>
                <w:sz w:val="20"/>
                <w:szCs w:val="20"/>
                <w:color w:val="auto"/>
              </w:rPr>
            </w:pPr>
            <w:r>
              <w:rPr>
                <w:rFonts w:ascii="Arial" w:cs="Arial" w:eastAsia="Arial" w:hAnsi="Arial"/>
                <w:sz w:val="10"/>
                <w:szCs w:val="10"/>
                <w:b w:val="1"/>
                <w:bCs w:val="1"/>
                <w:color w:val="auto"/>
              </w:rPr>
              <w:t>Balance at</w:t>
            </w:r>
          </w:p>
        </w:tc>
        <w:tc>
          <w:tcPr>
            <w:tcW w:w="5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b w:val="1"/>
                <w:bCs w:val="1"/>
                <w:color w:val="auto"/>
              </w:rPr>
              <w:t>December 31,</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8,075,799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9,284</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14,913,704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46,436</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1,408,677</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326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(41,365)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(41,038)</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Issuance of Series</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B-1 redeemable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net of issuance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costs of $61</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9,939</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Issuance of Series</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 redeemable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net of issuance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costs of $165</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9,805,827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50,336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Stock-based</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expense</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tcPr>
          <w:p>
            <w:pPr>
              <w:jc w:val="right"/>
              <w:ind w:right="7"/>
              <w:spacing w:after="0"/>
              <w:rPr>
                <w:sz w:val="20"/>
                <w:szCs w:val="20"/>
                <w:color w:val="auto"/>
              </w:rPr>
            </w:pPr>
            <w:r>
              <w:rPr>
                <w:rFonts w:ascii="Arial" w:cs="Arial" w:eastAsia="Arial" w:hAnsi="Arial"/>
                <w:sz w:val="10"/>
                <w:szCs w:val="10"/>
                <w:color w:val="auto"/>
              </w:rPr>
              <w:t>668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668</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Accretion of</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preferred stock to</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redemption value</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648</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3,533</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492</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453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(994)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(4,132)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(5,126)</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Vesting of</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restricted 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awards</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00" w:type="dxa"/>
            <w:vAlign w:val="bottom"/>
          </w:tcPr>
          <w:p>
            <w:pPr>
              <w:jc w:val="right"/>
              <w:ind w:right="7"/>
              <w:spacing w:after="0"/>
              <w:rPr>
                <w:sz w:val="20"/>
                <w:szCs w:val="20"/>
                <w:color w:val="auto"/>
              </w:rPr>
            </w:pPr>
            <w:r>
              <w:rPr>
                <w:rFonts w:ascii="Arial" w:cs="Arial" w:eastAsia="Arial" w:hAnsi="Arial"/>
                <w:sz w:val="10"/>
                <w:szCs w:val="10"/>
                <w:color w:val="auto"/>
              </w:rPr>
              <w:t>213,203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Net loss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(35,512)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(35,512)</w:t>
            </w:r>
          </w:p>
        </w:tc>
        <w:tc>
          <w:tcPr>
            <w:tcW w:w="0" w:type="dxa"/>
            <w:vAlign w:val="bottom"/>
          </w:tcPr>
          <w:p>
            <w:pPr>
              <w:spacing w:after="0"/>
              <w:rPr>
                <w:sz w:val="1"/>
                <w:szCs w:val="1"/>
                <w:color w:val="auto"/>
              </w:rPr>
            </w:pPr>
          </w:p>
        </w:tc>
      </w:tr>
      <w:tr>
        <w:trPr>
          <w:trHeight w:val="85"/>
        </w:trPr>
        <w:tc>
          <w:tcPr>
            <w:tcW w:w="1100" w:type="dxa"/>
            <w:vAlign w:val="bottom"/>
          </w:tcPr>
          <w:p>
            <w:pPr>
              <w:ind w:left="18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b w:val="1"/>
                <w:bCs w:val="1"/>
                <w:color w:val="auto"/>
              </w:rPr>
              <w:t>December 31,</w:t>
            </w:r>
          </w:p>
        </w:tc>
        <w:tc>
          <w:tcPr>
            <w:tcW w:w="580" w:type="dxa"/>
            <w:vAlign w:val="bottom"/>
            <w:vMerge w:val="restart"/>
          </w:tcPr>
          <w:p>
            <w:pPr>
              <w:jc w:val="right"/>
              <w:ind w:right="6"/>
              <w:spacing w:after="0"/>
              <w:rPr>
                <w:sz w:val="20"/>
                <w:szCs w:val="20"/>
                <w:color w:val="auto"/>
              </w:rPr>
            </w:pPr>
            <w:r>
              <w:rPr>
                <w:rFonts w:ascii="Arial" w:cs="Arial" w:eastAsia="Arial" w:hAnsi="Arial"/>
                <w:sz w:val="10"/>
                <w:szCs w:val="10"/>
                <w:color w:val="auto"/>
              </w:rPr>
              <w:t>8,075,799</w:t>
            </w:r>
          </w:p>
        </w:tc>
        <w:tc>
          <w:tcPr>
            <w:tcW w:w="6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9,932</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0"/>
                <w:szCs w:val="10"/>
                <w:color w:val="auto"/>
              </w:rPr>
              <w:t>14,913,704</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8"/>
              <w:spacing w:after="0"/>
              <w:rPr>
                <w:sz w:val="20"/>
                <w:szCs w:val="20"/>
                <w:color w:val="auto"/>
              </w:rPr>
            </w:pPr>
            <w:r>
              <w:rPr>
                <w:rFonts w:ascii="Arial" w:cs="Arial" w:eastAsia="Arial" w:hAnsi="Arial"/>
                <w:sz w:val="10"/>
                <w:szCs w:val="10"/>
                <w:color w:val="auto"/>
              </w:rPr>
              <w:t>49,969</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8"/>
              <w:spacing w:after="0"/>
              <w:rPr>
                <w:sz w:val="20"/>
                <w:szCs w:val="20"/>
                <w:color w:val="auto"/>
              </w:rPr>
            </w:pPr>
            <w:r>
              <w:rPr>
                <w:rFonts w:ascii="Arial" w:cs="Arial" w:eastAsia="Arial" w:hAnsi="Arial"/>
                <w:sz w:val="10"/>
                <w:szCs w:val="10"/>
                <w:color w:val="auto"/>
              </w:rPr>
              <w:t>10,431</w:t>
            </w: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0"/>
                <w:szCs w:val="10"/>
                <w:color w:val="auto"/>
              </w:rPr>
              <w:t>9,805,827</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color w:val="auto"/>
              </w:rPr>
              <w:t>50,789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2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0"/>
                <w:szCs w:val="10"/>
                <w:color w:val="auto"/>
              </w:rPr>
              <w:t>1,621,880</w:t>
            </w:r>
          </w:p>
        </w:tc>
        <w:tc>
          <w:tcPr>
            <w:tcW w:w="8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(81,009)</w:t>
            </w: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(81,008)</w:t>
            </w:r>
          </w:p>
        </w:tc>
        <w:tc>
          <w:tcPr>
            <w:tcW w:w="0" w:type="dxa"/>
            <w:vAlign w:val="bottom"/>
          </w:tcPr>
          <w:p>
            <w:pPr>
              <w:spacing w:after="0"/>
              <w:rPr>
                <w:sz w:val="1"/>
                <w:szCs w:val="1"/>
                <w:color w:val="auto"/>
              </w:rPr>
            </w:pPr>
          </w:p>
        </w:tc>
      </w:tr>
      <w:tr>
        <w:trPr>
          <w:trHeight w:val="131"/>
        </w:trPr>
        <w:tc>
          <w:tcPr>
            <w:tcW w:w="1100" w:type="dxa"/>
            <w:vAlign w:val="bottom"/>
          </w:tcPr>
          <w:p>
            <w:pPr>
              <w:ind w:left="180"/>
              <w:spacing w:after="0"/>
              <w:rPr>
                <w:sz w:val="20"/>
                <w:szCs w:val="20"/>
                <w:color w:val="auto"/>
              </w:rPr>
            </w:pPr>
            <w:r>
              <w:rPr>
                <w:rFonts w:ascii="Arial" w:cs="Arial" w:eastAsia="Arial" w:hAnsi="Arial"/>
                <w:sz w:val="10"/>
                <w:szCs w:val="10"/>
                <w:b w:val="1"/>
                <w:bCs w:val="1"/>
                <w:color w:val="auto"/>
              </w:rPr>
              <w:t>2019</w:t>
            </w: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100" w:type="dxa"/>
            <w:vAlign w:val="bottom"/>
            <w:shd w:val="clear" w:color="auto" w:fill="CCEEFF"/>
          </w:tcPr>
          <w:p>
            <w:pPr>
              <w:ind w:left="180"/>
              <w:spacing w:after="0" w:line="82" w:lineRule="exact"/>
              <w:rPr>
                <w:sz w:val="20"/>
                <w:szCs w:val="20"/>
                <w:color w:val="auto"/>
              </w:rPr>
            </w:pPr>
            <w:r>
              <w:rPr>
                <w:rFonts w:ascii="Arial" w:cs="Arial" w:eastAsia="Arial" w:hAnsi="Arial"/>
                <w:sz w:val="9"/>
                <w:szCs w:val="9"/>
                <w:color w:val="auto"/>
              </w:rPr>
              <w:t>Repurchase of</w:t>
            </w: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Series C</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preferred stock</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(5,825,243)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(30,493)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493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493</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Issuance of Series</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 redeemable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net of issuance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costs of $41</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6"/>
              <w:spacing w:after="0"/>
              <w:rPr>
                <w:sz w:val="20"/>
                <w:szCs w:val="20"/>
                <w:color w:val="auto"/>
              </w:rPr>
            </w:pPr>
            <w:r>
              <w:rPr>
                <w:rFonts w:ascii="Arial" w:cs="Arial" w:eastAsia="Arial" w:hAnsi="Arial"/>
                <w:sz w:val="10"/>
                <w:szCs w:val="10"/>
                <w:color w:val="auto"/>
              </w:rPr>
              <w:t>4,563,108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23,459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Issuance of Series</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C-1 redeemable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net of issuance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costs of $154</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0"/>
                <w:szCs w:val="10"/>
                <w:color w:val="auto"/>
              </w:rPr>
              <w:t>19,444,453</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110,096</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Accretion of</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preferred stock to</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redemption value</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519</w:t>
            </w:r>
          </w:p>
        </w:tc>
        <w:tc>
          <w:tcPr>
            <w:tcW w:w="8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2,875</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642</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2,682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2,278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(1,778)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(7,218)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(8,996)</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Conversion of</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preferred stock to</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common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(8,075,799)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(10,451)</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6"/>
              </w:rPr>
              <w:t>(52,844)</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(11,073)</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(8,543,692)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(46,437)</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(19,444,453)</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(112,374)</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25,067,977</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233,176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233,178</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Issuance of</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upon initial public</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offering, net of</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underwriting</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discounts,</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ind w:left="180"/>
              <w:spacing w:after="0" w:line="105" w:lineRule="exact"/>
              <w:rPr>
                <w:sz w:val="20"/>
                <w:szCs w:val="20"/>
                <w:color w:val="auto"/>
              </w:rPr>
            </w:pPr>
            <w:r>
              <w:rPr>
                <w:rFonts w:ascii="Arial" w:cs="Arial" w:eastAsia="Arial" w:hAnsi="Arial"/>
                <w:sz w:val="10"/>
                <w:szCs w:val="10"/>
                <w:color w:val="auto"/>
              </w:rPr>
              <w:t>commissions and</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offering costs</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00" w:type="dxa"/>
            <w:vAlign w:val="bottom"/>
          </w:tcPr>
          <w:p>
            <w:pPr>
              <w:jc w:val="right"/>
              <w:ind w:right="7"/>
              <w:spacing w:after="0"/>
              <w:rPr>
                <w:sz w:val="20"/>
                <w:szCs w:val="20"/>
                <w:color w:val="auto"/>
              </w:rPr>
            </w:pPr>
            <w:r>
              <w:rPr>
                <w:rFonts w:ascii="Arial" w:cs="Arial" w:eastAsia="Arial" w:hAnsi="Arial"/>
                <w:sz w:val="10"/>
                <w:szCs w:val="10"/>
                <w:color w:val="auto"/>
              </w:rPr>
              <w:t>11,500,000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7"/>
              <w:spacing w:after="0"/>
              <w:rPr>
                <w:sz w:val="20"/>
                <w:szCs w:val="20"/>
                <w:color w:val="auto"/>
              </w:rPr>
            </w:pPr>
            <w:r>
              <w:rPr>
                <w:rFonts w:ascii="Arial" w:cs="Arial" w:eastAsia="Arial" w:hAnsi="Arial"/>
                <w:sz w:val="10"/>
                <w:szCs w:val="10"/>
                <w:color w:val="auto"/>
              </w:rPr>
              <w:t>200,310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200,311</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Vesting of</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restricted common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stock awards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48,190</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rPr>
                <w:sz w:val="20"/>
                <w:szCs w:val="20"/>
                <w:color w:val="auto"/>
              </w:rPr>
            </w:pPr>
            <w:r>
              <w:rPr>
                <w:rFonts w:ascii="Arial" w:cs="Arial" w:eastAsia="Arial" w:hAnsi="Arial"/>
                <w:sz w:val="10"/>
                <w:szCs w:val="10"/>
                <w:color w:val="auto"/>
              </w:rPr>
              <w:t>Exercise of 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80"/>
              <w:spacing w:after="0"/>
              <w:rPr>
                <w:sz w:val="20"/>
                <w:szCs w:val="20"/>
                <w:color w:val="auto"/>
              </w:rPr>
            </w:pPr>
            <w:r>
              <w:rPr>
                <w:rFonts w:ascii="Arial" w:cs="Arial" w:eastAsia="Arial" w:hAnsi="Arial"/>
                <w:sz w:val="10"/>
                <w:szCs w:val="10"/>
                <w:color w:val="auto"/>
              </w:rPr>
              <w:t>options</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600" w:type="dxa"/>
            <w:vAlign w:val="bottom"/>
          </w:tcPr>
          <w:p>
            <w:pPr>
              <w:jc w:val="right"/>
              <w:ind w:right="7"/>
              <w:spacing w:after="0"/>
              <w:rPr>
                <w:sz w:val="20"/>
                <w:szCs w:val="20"/>
                <w:color w:val="auto"/>
              </w:rPr>
            </w:pPr>
            <w:r>
              <w:rPr>
                <w:rFonts w:ascii="Arial" w:cs="Arial" w:eastAsia="Arial" w:hAnsi="Arial"/>
                <w:sz w:val="10"/>
                <w:szCs w:val="10"/>
                <w:color w:val="auto"/>
              </w:rPr>
              <w:t>30,496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tcPr>
          <w:p>
            <w:pPr>
              <w:jc w:val="right"/>
              <w:ind w:right="7"/>
              <w:spacing w:after="0"/>
              <w:rPr>
                <w:sz w:val="20"/>
                <w:szCs w:val="20"/>
                <w:color w:val="auto"/>
              </w:rPr>
            </w:pPr>
            <w:r>
              <w:rPr>
                <w:rFonts w:ascii="Arial" w:cs="Arial" w:eastAsia="Arial" w:hAnsi="Arial"/>
                <w:sz w:val="10"/>
                <w:szCs w:val="10"/>
                <w:color w:val="auto"/>
              </w:rPr>
              <w:t>88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tcPr>
          <w:p>
            <w:pPr>
              <w:jc w:val="right"/>
              <w:ind w:right="6"/>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Stock-based</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expense</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rPr>
              <w:t>5,211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0"/>
                <w:szCs w:val="10"/>
                <w:color w:val="auto"/>
              </w:rPr>
              <w:t>5,211</w:t>
            </w:r>
          </w:p>
        </w:tc>
        <w:tc>
          <w:tcPr>
            <w:tcW w:w="0" w:type="dxa"/>
            <w:vAlign w:val="bottom"/>
          </w:tcPr>
          <w:p>
            <w:pPr>
              <w:spacing w:after="0"/>
              <w:rPr>
                <w:sz w:val="1"/>
                <w:szCs w:val="1"/>
                <w:color w:val="auto"/>
              </w:rPr>
            </w:pPr>
          </w:p>
        </w:tc>
      </w:tr>
      <w:tr>
        <w:trPr>
          <w:trHeight w:val="135"/>
        </w:trPr>
        <w:tc>
          <w:tcPr>
            <w:tcW w:w="1100" w:type="dxa"/>
            <w:vAlign w:val="bottom"/>
          </w:tcPr>
          <w:p>
            <w:pPr>
              <w:ind w:left="180"/>
              <w:spacing w:after="0"/>
              <w:rPr>
                <w:sz w:val="20"/>
                <w:szCs w:val="20"/>
                <w:color w:val="auto"/>
              </w:rPr>
            </w:pPr>
            <w:r>
              <w:rPr>
                <w:rFonts w:ascii="Arial" w:cs="Arial" w:eastAsia="Arial" w:hAnsi="Arial"/>
                <w:sz w:val="10"/>
                <w:szCs w:val="10"/>
                <w:color w:val="auto"/>
              </w:rPr>
              <w:t>Net loss</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(61,820)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(61,820)</w:t>
            </w:r>
          </w:p>
        </w:tc>
        <w:tc>
          <w:tcPr>
            <w:tcW w:w="0" w:type="dxa"/>
            <w:vAlign w:val="bottom"/>
          </w:tcPr>
          <w:p>
            <w:pPr>
              <w:spacing w:after="0"/>
              <w:rPr>
                <w:sz w:val="1"/>
                <w:szCs w:val="1"/>
                <w:color w:val="auto"/>
              </w:rPr>
            </w:pPr>
          </w:p>
        </w:tc>
      </w:tr>
      <w:tr>
        <w:trPr>
          <w:trHeight w:val="22"/>
        </w:trPr>
        <w:tc>
          <w:tcPr>
            <w:tcW w:w="1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1100" w:type="dxa"/>
            <w:vAlign w:val="bottom"/>
            <w:shd w:val="clear" w:color="auto" w:fill="CCEEFF"/>
          </w:tcPr>
          <w:p>
            <w:pPr>
              <w:ind w:left="18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0"/>
                <w:szCs w:val="10"/>
                <w:color w:val="auto"/>
              </w:rPr>
              <w:t>38,268,543</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7"/>
              <w:spacing w:after="0"/>
              <w:rPr>
                <w:sz w:val="20"/>
                <w:szCs w:val="20"/>
                <w:color w:val="auto"/>
              </w:rPr>
            </w:pPr>
            <w:r>
              <w:rPr>
                <w:rFonts w:ascii="Arial" w:cs="Arial" w:eastAsia="Arial" w:hAnsi="Arial"/>
                <w:sz w:val="10"/>
                <w:szCs w:val="10"/>
                <w:color w:val="auto"/>
              </w:rPr>
              <w:t>437,007</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(149,554)</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0"/>
                <w:szCs w:val="10"/>
                <w:color w:val="auto"/>
              </w:rPr>
              <w:t>287,457</w:t>
            </w:r>
          </w:p>
        </w:tc>
        <w:tc>
          <w:tcPr>
            <w:tcW w:w="0" w:type="dxa"/>
            <w:vAlign w:val="bottom"/>
          </w:tcPr>
          <w:p>
            <w:pPr>
              <w:spacing w:after="0"/>
              <w:rPr>
                <w:sz w:val="1"/>
                <w:szCs w:val="1"/>
                <w:color w:val="auto"/>
              </w:rPr>
            </w:pPr>
          </w:p>
        </w:tc>
      </w:tr>
      <w:tr>
        <w:trPr>
          <w:trHeight w:val="151"/>
        </w:trPr>
        <w:tc>
          <w:tcPr>
            <w:tcW w:w="1100" w:type="dxa"/>
            <w:vAlign w:val="bottom"/>
            <w:shd w:val="clear" w:color="auto" w:fill="CCEEFF"/>
          </w:tcPr>
          <w:p>
            <w:pPr>
              <w:ind w:left="180"/>
              <w:spacing w:after="0"/>
              <w:rPr>
                <w:sz w:val="20"/>
                <w:szCs w:val="20"/>
                <w:color w:val="auto"/>
              </w:rPr>
            </w:pPr>
            <w:r>
              <w:rPr>
                <w:rFonts w:ascii="Arial" w:cs="Arial" w:eastAsia="Arial" w:hAnsi="Arial"/>
                <w:sz w:val="10"/>
                <w:szCs w:val="10"/>
                <w:b w:val="1"/>
                <w:bCs w:val="1"/>
                <w:color w:val="auto"/>
              </w:rPr>
              <w:t>2020</w:t>
            </w: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6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7"/>
        </w:trPr>
        <w:tc>
          <w:tcPr>
            <w:tcW w:w="8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(61,820)</w:t>
            </w:r>
          </w:p>
        </w:tc>
        <w:tc>
          <w:tcPr>
            <w:tcW w:w="12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(35,512)</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non-current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2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07"/>
        </w:trPr>
        <w:tc>
          <w:tcPr>
            <w:tcW w:w="8220" w:type="dxa"/>
            <w:vAlign w:val="bottom"/>
          </w:tcPr>
          <w:p>
            <w:pPr>
              <w:ind w:left="66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0"/>
        </w:trPr>
        <w:tc>
          <w:tcPr>
            <w:tcW w:w="8220" w:type="dxa"/>
            <w:vAlign w:val="bottom"/>
          </w:tcPr>
          <w:p>
            <w:pPr>
              <w:ind w:left="86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(52,623)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(33,420)</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initial public offering of common stock, net of issuance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133,442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60,388</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Series C redeemable convertible preferred stock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Proceeds from exercise of options to purchase common stock</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304,416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60,388</w:t>
            </w: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251,793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26,865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18,550</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Supplemental disclosures of non-cash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Accretion of redeemable convertible preferred stock to redemption value</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5,126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Operating lease liabilities recorded upon adoption of ASC 842</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2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82"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Borders>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Deferred offering costs included in accounts payable and accrued expenses</w:t>
            </w:r>
          </w:p>
        </w:tc>
        <w:tc>
          <w:tcPr>
            <w:tcW w:w="34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Redeemable convertible preferred stock issuance costs included in accounts payable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34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line="176"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10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genetic insights into the development of therapies for central nervous system (“CNS”) disorders characterized by neuronal imbalance. The Company has established a broad portfolio, including multiple disclosed programs across CNS disorders, including depression, epilepsy, movement disorders and pain syndromes, with three clinical-stage product candidates. We intend to develop differentiated therapies that can deliver long-term benefits to human health by meaningfully impacting patients and society. The Company’s most advanced programs, PRAX-114 and PRAX-944, are currently in Phase 2 development. PRAX-114 is being developed for the treatment of major depressive disorder and perimenopausal depression, and PRAX-944 is a selective small molecule inhibitor of T-type calcium channels for the treatment of essential tremor.</w:t>
      </w:r>
    </w:p>
    <w:p>
      <w:pPr>
        <w:spacing w:after="0" w:line="19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convertible debt, Series A redeemable convertible preferred stock (the “Series A Preferred Stock”), Series B redeemable convertible preferred stock (the “Series B Preferred Stock”), Series B-1 redeemable convertible preferred stock (the “Series B-1 Preferred Stock”), Series C redeemable convertible preferred stock (the “Series C Preferred Stock”) and Series C-1 redeemable convertible preferred stock (the Series A Preferred Stock, Series B Preferred Stock, Series B-1 Preferred Stock, Series C Preferred Stock and Series C-1 Preferred Stock are collectively referred to as the “Redeemable Convertible Preferred Stock”), and from proceeds from its initial public offering ("IPO"). From inception through December 31, 2020, the Company raised $411.0 million in aggregate cash proceeds from these transactions, net of issuance costs.</w:t>
      </w:r>
    </w:p>
    <w:p>
      <w:pPr>
        <w:spacing w:after="0" w:line="200" w:lineRule="exact"/>
        <w:rPr>
          <w:sz w:val="20"/>
          <w:szCs w:val="20"/>
          <w:color w:val="auto"/>
        </w:rPr>
      </w:pPr>
    </w:p>
    <w:p>
      <w:pPr>
        <w:spacing w:after="0" w:line="206"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On October 8, 2020, the board of directors and the Company’s stockholders approved a one-for-2.14 reverse stock split. Effective on October 8, 2020, the reverse stock split impacted the Company’s issued and outstanding shares of common stock. Stockholders entitled to fractional shares as a result of the reverse stock split are entitled to receive a cash payment in lieu of receiving fractional shares. All shares of common stock, per share amounts, aggregate par value and additional paid-in capital amounts for all periods presented in the accompanying consolidated financial statements and related notes have been retroactively adjusted, where applicable, to reflect the reverse stock split. Shares of common stock underlying outstanding stock options and other equity instruments were proportionately reduced and the respective exercise prices were proportionately increased, as applicable, in accordance with the terms of the agreements governing such securities. The respective conversion prices of the Redeemable Convertible Preferred Stock were proportionately increased. The number of shares of common stock authorized for issuance and the per share par value of common stock were not adjusted as a result of the reverse stock split.</w:t>
      </w:r>
    </w:p>
    <w:p>
      <w:pPr>
        <w:spacing w:after="0" w:line="226" w:lineRule="exact"/>
        <w:rPr>
          <w:sz w:val="20"/>
          <w:szCs w:val="20"/>
          <w:color w:val="auto"/>
        </w:rPr>
      </w:pPr>
    </w:p>
    <w:p>
      <w:pPr>
        <w:jc w:val="both"/>
        <w:ind w:right="100" w:firstLine="433"/>
        <w:spacing w:after="0" w:line="257" w:lineRule="auto"/>
        <w:rPr>
          <w:sz w:val="20"/>
          <w:szCs w:val="20"/>
          <w:color w:val="auto"/>
        </w:rPr>
      </w:pPr>
      <w:r>
        <w:rPr>
          <w:rFonts w:ascii="Arial" w:cs="Arial" w:eastAsia="Arial" w:hAnsi="Arial"/>
          <w:sz w:val="17"/>
          <w:szCs w:val="17"/>
          <w:color w:val="auto"/>
        </w:rPr>
        <w:t>On October 20, 2020, the Company completed its IPO, in which the Company issued and sold 11,500,000 shares of its common stock at a public offering price of $19.00 per share, including 1,500,000 shares of common stock sold pursuant to the underwriters’ exercise of their option to purchase additional shares of common stock, for aggregate gross proceeds of $218.5 million. The Company raised approximately</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$200.3 million in net proceeds after deducting underwriting discounts and commissions and offering expenses payable by the Company. Upon the closing of the IPO, all of the outstanding shares of the Company’s Redeemable Convertible Preferred Stock automatically converted into 25,067,977 shares of common stock. On October 20, 2020, in connection with the closing of the IPO, the Company filed its Amended and Restated Certificate of Incorporation which provides that the authorized capital stock of the Company consists of 150,000,000 shares of common stock and 10,000,000 shares of undesignated preferred stock, both with a par value of $0.0001 per share.</w:t>
      </w:r>
    </w:p>
    <w:p>
      <w:pPr>
        <w:spacing w:after="0" w:line="19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82" w:lineRule="exact"/>
        <w:rPr>
          <w:sz w:val="20"/>
          <w:szCs w:val="20"/>
          <w:color w:val="auto"/>
        </w:rPr>
      </w:pPr>
    </w:p>
    <w:p>
      <w:pPr>
        <w:ind w:right="460" w:firstLine="433"/>
        <w:spacing w:after="0" w:line="270"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 the Company has evaluated whether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events, considered in the aggregate, that raise substantial doubt about the Company’s ability to continue as a going concern within one year after the date that the consolidated financial statements are issued.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incurred recurring losses since its inception, including net losses of $61.8 million and $35.5 million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respectively. In addition, as of December 31, 2020, the Company had an accumulated deficit of $149.6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continue to generate operating losses for the foreseeable future.</w:t>
      </w:r>
    </w:p>
    <w:p>
      <w:pPr>
        <w:spacing w:after="0" w:line="22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As a result of proceeds raised from its IPO and issuance of its Series C Preferred Stock and Series C-1 Preferred Stock, the Company expects that its cash and cash equivalents as of December 31, 2020 of $296.6 million will be sufficient to fund the operating expenditures and capital expenditure requirements necessary to advance its research efforts and clinical trials for at least one year from the date of issuance of these consolidated financial statements. The future viability of the Company beyond one year from the date of issuance of these consolidated financial statements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0"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Praxis Security Corporation and Praxis Precision Medicines Australia Pty Ltd. All intercompany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stock-based compensation expense, the valuation of equity awards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620" w:firstLine="433"/>
        <w:spacing w:after="0" w:line="266" w:lineRule="auto"/>
        <w:rPr>
          <w:sz w:val="20"/>
          <w:szCs w:val="20"/>
          <w:color w:val="auto"/>
        </w:rPr>
      </w:pPr>
      <w:r>
        <w:rPr>
          <w:rFonts w:ascii="Arial" w:cs="Arial" w:eastAsia="Arial" w:hAnsi="Arial"/>
          <w:sz w:val="17"/>
          <w:szCs w:val="17"/>
          <w:color w:val="auto"/>
        </w:rPr>
        <w:t>The Company has one operating segment. The Company’s chief operating decision maker, its Chief Executive Officer, manages the Company’s operations on a consolidated basis for the purposes of assessing performance and allocating resources. The majority of the Company’s long-lived assets are held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interest-bearing money market funds. Cash equivalents are carried at cost, which approximates their fair market value.</w:t>
      </w:r>
    </w:p>
    <w:p>
      <w:pPr>
        <w:spacing w:after="0" w:line="189"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Restricted cash comprises a letter of credit for the benefit of the landlord in connection with the Company’s lease facility. Restricted cash is classified as either current or non-current based on the terms of the underlying lease arrangement.</w:t>
      </w:r>
    </w:p>
    <w:p>
      <w:pPr>
        <w:spacing w:after="0" w:line="181"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table presents cash, cash equivalents and restricted cash as reported on the consolidated balance sheets that equal the total amounts on the consolidated statements of cash flows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44,815</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r>
      <w:tr>
        <w:trPr>
          <w:trHeight w:val="241"/>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cash, cash equivalents and restricted cash as shown on the consolidated statements of cash flows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297,208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Suppliers and License Agreements</w:t>
      </w:r>
    </w:p>
    <w:p>
      <w:pPr>
        <w:spacing w:after="0" w:line="100"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and restricted cash. The Company maintains deposits in accredited financial institutions in excess of federally insured limits. Bank accounts in the United States are insured by the Federal Deposit Insurance Corporation (the “FDIC”) up to $250,000. As of December 31, 2020 and 2019,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93"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 of these license agreements are terminated, if the Company fails to meet the obligations required under its arrangements, or if the Company is unable to successfully secure new strategic alliances or licensing agreements.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Risk</w:t>
      </w:r>
    </w:p>
    <w:p>
      <w:pPr>
        <w:spacing w:after="0" w:line="113"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As of December 31, 2020 and 2019, the Company had no off-balance sheet risk such as foreign exchange contracts, option contracts or other hedging arrangements.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0"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Certain assets and liabilities of the Company are carried at fair value under GAAP. The fair values of the Company’s financial assets and liabilities reflects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0" w:lineRule="exact"/>
        <w:rPr>
          <w:sz w:val="20"/>
          <w:szCs w:val="20"/>
          <w:color w:val="auto"/>
        </w:rPr>
      </w:pPr>
    </w:p>
    <w:p>
      <w:pPr>
        <w:ind w:left="780" w:hanging="303"/>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79" w:lineRule="exact"/>
        <w:rPr>
          <w:rFonts w:ascii="Arial" w:cs="Arial" w:eastAsia="Arial" w:hAnsi="Arial"/>
          <w:sz w:val="17"/>
          <w:szCs w:val="17"/>
          <w:color w:val="auto"/>
        </w:rPr>
      </w:pPr>
    </w:p>
    <w:p>
      <w:pPr>
        <w:ind w:left="800" w:right="160" w:hanging="323"/>
        <w:spacing w:after="0" w:line="266" w:lineRule="auto"/>
        <w:tabs>
          <w:tab w:leader="none" w:pos="7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45" w:lineRule="exact"/>
        <w:rPr>
          <w:rFonts w:ascii="Arial" w:cs="Arial" w:eastAsia="Arial" w:hAnsi="Arial"/>
          <w:sz w:val="17"/>
          <w:szCs w:val="17"/>
          <w:color w:val="auto"/>
        </w:rPr>
      </w:pPr>
    </w:p>
    <w:p>
      <w:pPr>
        <w:ind w:left="800" w:right="300" w:hanging="323"/>
        <w:spacing w:after="0" w:line="275" w:lineRule="auto"/>
        <w:tabs>
          <w:tab w:leader="none" w:pos="7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81" w:lineRule="exact"/>
        <w:rPr>
          <w:sz w:val="20"/>
          <w:szCs w:val="20"/>
          <w:color w:val="auto"/>
        </w:rPr>
      </w:pPr>
    </w:p>
    <w:p>
      <w:pPr>
        <w:ind w:right="300" w:firstLine="433"/>
        <w:spacing w:after="0" w:line="263"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92"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81"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 carrying amounts reflected in the consolidated balance sheets for cash, cash equivalents, prepaid expenses and other current assets, accounts payable and accrued expenses approximate their fair values due to the short-term nature of these assets and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39"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following estimated useful lives of the assets: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2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Estimated Useful Life</w:t>
            </w: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equipment</w:t>
            </w: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 years</w:t>
            </w:r>
          </w:p>
        </w:tc>
      </w:tr>
      <w:tr>
        <w:trPr>
          <w:trHeight w:val="223"/>
        </w:trPr>
        <w:tc>
          <w:tcPr>
            <w:tcW w:w="912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2120" w:type="dxa"/>
            <w:vAlign w:val="bottom"/>
          </w:tcPr>
          <w:p>
            <w:pPr>
              <w:jc w:val="center"/>
              <w:spacing w:after="0"/>
              <w:rPr>
                <w:sz w:val="20"/>
                <w:szCs w:val="20"/>
                <w:color w:val="auto"/>
              </w:rPr>
            </w:pPr>
            <w:r>
              <w:rPr>
                <w:rFonts w:ascii="Arial" w:cs="Arial" w:eastAsia="Arial" w:hAnsi="Arial"/>
                <w:sz w:val="17"/>
                <w:szCs w:val="17"/>
                <w:color w:val="auto"/>
              </w:rPr>
              <w:t>3 years</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 years</w:t>
            </w:r>
          </w:p>
        </w:tc>
      </w:tr>
    </w:tbl>
    <w:p>
      <w:pPr>
        <w:spacing w:after="0" w:line="301" w:lineRule="exact"/>
        <w:rPr>
          <w:sz w:val="20"/>
          <w:szCs w:val="20"/>
          <w:color w:val="auto"/>
        </w:rPr>
      </w:pPr>
    </w:p>
    <w:p>
      <w:pPr>
        <w:jc w:val="both"/>
        <w:ind w:right="40" w:firstLine="433"/>
        <w:spacing w:after="0" w:line="266" w:lineRule="auto"/>
        <w:rPr>
          <w:sz w:val="20"/>
          <w:szCs w:val="20"/>
          <w:color w:val="auto"/>
        </w:rPr>
      </w:pPr>
      <w:r>
        <w:rPr>
          <w:rFonts w:ascii="Arial" w:cs="Arial" w:eastAsia="Arial" w:hAnsi="Arial"/>
          <w:sz w:val="17"/>
          <w:szCs w:val="17"/>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in either year ended December 31, 2020 or December 31, 2019.</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82"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standard established a right-of-use model that requires all lessees to recognize right-of-use assets and lease liabilities on their balance sheet that arise from leases as well as provide disclosures with respect to certain qualitative and quantitative information related to a company’s leasing arrangements to meet the objective of allowing users of financial statements to assess the amount, timing and uncertainty of cash flows arising from leases. The FASB subsequently issued the following amendments to ASU 2016-02 that have the same effective date and transition date: ASU No. 2018-01, </w:t>
      </w:r>
      <w:r>
        <w:rPr>
          <w:rFonts w:ascii="Arial" w:cs="Arial" w:eastAsia="Arial" w:hAnsi="Arial"/>
          <w:sz w:val="17"/>
          <w:szCs w:val="17"/>
          <w:i w:val="1"/>
          <w:iCs w:val="1"/>
          <w:color w:val="auto"/>
        </w:rPr>
        <w:t>Leases (Topic 842): Land Easement</w:t>
      </w:r>
      <w:r>
        <w:rPr>
          <w:rFonts w:ascii="Arial" w:cs="Arial" w:eastAsia="Arial" w:hAnsi="Arial"/>
          <w:sz w:val="17"/>
          <w:szCs w:val="17"/>
          <w:color w:val="auto"/>
        </w:rPr>
        <w:t xml:space="preserve"> </w:t>
      </w:r>
      <w:r>
        <w:rPr>
          <w:rFonts w:ascii="Arial" w:cs="Arial" w:eastAsia="Arial" w:hAnsi="Arial"/>
          <w:sz w:val="17"/>
          <w:szCs w:val="17"/>
          <w:i w:val="1"/>
          <w:iCs w:val="1"/>
          <w:color w:val="auto"/>
        </w:rPr>
        <w:t>Practical Expedient for Transition to Topic 842</w:t>
      </w:r>
      <w:r>
        <w:rPr>
          <w:rFonts w:ascii="Arial" w:cs="Arial" w:eastAsia="Arial" w:hAnsi="Arial"/>
          <w:sz w:val="17"/>
          <w:szCs w:val="17"/>
          <w:color w:val="auto"/>
        </w:rPr>
        <w:t>, ASU No. 2018-10,</w:t>
      </w:r>
      <w:r>
        <w:rPr>
          <w:rFonts w:ascii="Arial" w:cs="Arial" w:eastAsia="Arial" w:hAnsi="Arial"/>
          <w:sz w:val="17"/>
          <w:szCs w:val="17"/>
          <w:i w:val="1"/>
          <w:iCs w:val="1"/>
          <w:color w:val="auto"/>
        </w:rPr>
        <w:t xml:space="preserve"> Codification Improvements to Topic 842, Leases</w:t>
      </w:r>
      <w:r>
        <w:rPr>
          <w:rFonts w:ascii="Arial" w:cs="Arial" w:eastAsia="Arial" w:hAnsi="Arial"/>
          <w:sz w:val="17"/>
          <w:szCs w:val="17"/>
          <w:color w:val="auto"/>
        </w:rPr>
        <w:t>, ASU No.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ASU No. 2018-20,</w:t>
      </w:r>
      <w:r>
        <w:rPr>
          <w:rFonts w:ascii="Arial" w:cs="Arial" w:eastAsia="Arial" w:hAnsi="Arial"/>
          <w:sz w:val="17"/>
          <w:szCs w:val="17"/>
          <w:i w:val="1"/>
          <w:iCs w:val="1"/>
          <w:color w:val="auto"/>
        </w:rPr>
        <w:t xml:space="preserve"> Narrow-Scope Improvement for Lessors</w:t>
      </w:r>
      <w:r>
        <w:rPr>
          <w:rFonts w:ascii="Arial" w:cs="Arial" w:eastAsia="Arial" w:hAnsi="Arial"/>
          <w:sz w:val="17"/>
          <w:szCs w:val="17"/>
          <w:color w:val="auto"/>
        </w:rPr>
        <w:t>, and ASU No. 2019-01,</w:t>
      </w:r>
      <w:r>
        <w:rPr>
          <w:rFonts w:ascii="Arial" w:cs="Arial" w:eastAsia="Arial" w:hAnsi="Arial"/>
          <w:sz w:val="17"/>
          <w:szCs w:val="17"/>
          <w:i w:val="1"/>
          <w:iCs w:val="1"/>
          <w:color w:val="auto"/>
        </w:rPr>
        <w:t xml:space="preserve"> Leases (Topic 842): Codification Improvements</w:t>
      </w:r>
      <w:r>
        <w:rPr>
          <w:rFonts w:ascii="Arial" w:cs="Arial" w:eastAsia="Arial" w:hAnsi="Arial"/>
          <w:sz w:val="17"/>
          <w:szCs w:val="17"/>
          <w:color w:val="auto"/>
        </w:rPr>
        <w:t>. The Company adopted these amendments with ASU 2016-02 (collectively, the “new leasing standards”),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2019.</w:t>
      </w:r>
    </w:p>
    <w:p>
      <w:pPr>
        <w:spacing w:after="0" w:line="19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The Company adopted the new leasing standards using the modified retrospective transition approach, with no restatement of prior periods and there was no cumulative adjustment to retained earnings. Upon adoption, the Company elected the package of transition practical expedients, which allowed the Company to not reassess the following: (i) whether any expired or existing contracts are or contain leases, (ii) the lease classification for any expired or existing leases and (iii) the treatment of initial direct costs for existing leases. The Company made an accounting policy election to not recognize short-term leases with an initial term of twelve months or less within its consolidated balance sheets and to recognize those lease payments on a straight-line basis in its consolidated statements of operations and comprehensive loss over the lease term. Upon adopting the new leasing standards, the Company recognized an operating lease right-of-use asset of $ 2.1 million and a corresponding operating lease liability of $2.1 million, which are included in its consolidated balance sheets. The adoption of the new leasing standards did not have a material impact on the Company’s consolidated statements of operations and comprehensive loss.</w:t>
      </w:r>
    </w:p>
    <w:p>
      <w:pPr>
        <w:spacing w:after="0" w:line="147"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92"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8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89"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The Company’s operating leases are reflected in operating lease right-of-use assets and in current operating lease liabilities and long-term operating lease liabilities in its consolidated balance sheets. The Company’s operating lease right-of-use asset as of December 31, 2020 and 2019 did not include any lease incentives. Lease expense for future lease payments is recognized on a straight-line basis over the lease term. There were no new leases entered into during the year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70"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deferred offering costs until such financings are consummated. After the consummation of the equity financing, these costs are recorded in stockholders’ (deficit) equity as a reduction of additional paid-in capital or the associated preferred stock account, as applicable. In the event the offering is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34"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terminated, all capitalized deferred offering costs are expensed. Upon the closing of the IPO on October 20, 2020, deferred offering costs of $2.9 million were recognized through additional paid-in capital as a reduction of the gross proceeds received from the offering. No deferred offering costs were capitalized as of December 31, 2020 or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100"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Prior to the automatic conversion of all outstanding shares of the Redeemable Convertible Preferred Stock upon the closing of the IPO, the Company recorded all Redeemable Convertible Preferred Stock upon issuance at its respective fair value or original issuance price, less issuance costs and any associated discounts. The Company classified its Redeemable Convertible Preferred Stock outside of stockholders’ (deficit) equity as the redemption of such shares was outside the Company’s control. The Company adjusted the carrying values of the Redeemable Convertible Preferred Stock to redemption value when the redemption value exceeded the carrying value. Upon the closing of the IPO, all of the outstanding shares of Redeemable Convertible Preferred Stock automatically converted into 25,067,977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3"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96"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Patent-Related Costs</w:t>
      </w:r>
    </w:p>
    <w:p>
      <w:pPr>
        <w:spacing w:after="0" w:line="100"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 and comprehensive loss.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0"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determines the fair value of restricted stock awards in reference to the fair value of its common stock less any applicable purchase price. The Company issues stock-based awards with service-based vesting conditions and records the expense for these awards on a straight-line basis over the vesting period. To date, the Company has not issued any stock-based awards with performance or market-based vesting conditions. The Company accounts for forfeitures as they occur.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80" w:firstLine="433"/>
        <w:spacing w:after="0" w:line="275"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and comprehensive loss in the same manner in which the award recipient’s salary or service payments are classified.</w:t>
      </w:r>
    </w:p>
    <w:p>
      <w:pPr>
        <w:spacing w:after="0" w:line="181"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which requires inputs of subjective assumptions, including: (i) the expected volatility of the 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w:t>
      </w:r>
    </w:p>
    <w:p>
      <w:pPr>
        <w:spacing w:after="0" w:line="200" w:lineRule="exact"/>
        <w:rPr>
          <w:sz w:val="20"/>
          <w:szCs w:val="20"/>
          <w:color w:val="auto"/>
        </w:rPr>
      </w:pPr>
    </w:p>
    <w:p>
      <w:pPr>
        <w:spacing w:after="0" w:line="215"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 xml:space="preserve">For periods prior to the IPO, the fair value of shares of common stock underlying the Company's stock-based awards was determined on each grant date due to the absence of an active market for the Company's common stock. The Company determined the estimated fair value of its equity instruments based on a number of objective and subjective factors, including external market conditions affecting the biotechnology industry sector. The Company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included estimates and assumptions that required the Company’s judgment. These estimates and assumptions included a number of objective and subjective factors in determining the value of the Company’s common stock at each grant date, such as the following: (i) prices paid for the Company’s redeemable convertible preferred stock, and the rights, preferences, and privileges of the Company’s redeemable convertible preferred stock and common stock; (ii) the Company’s stage of development; (iii) the fact that the grants of stock-based awards related to illiquid securities in a private company; and (iv) the likelihood of achieving a liquidity event for the common stock underlying the stock-based awards, such as an IPO or sale of the Company, given prevailing market conditions. Prior to the IPO, the methodologies utilized to estimate the fair value of the Company’s common stock were the option-pricing method (“OPM”) and, beginning in the year ended December 31, 2020, the hybrid probability-weighted expected return method ("PWERM"). The OPM was used to back-solve the estimated value of the Company’s equity and corresponding value of the Company’s common stock. The hybrid PWERM determined the fair value of the Company's common stock using a probability-weighted present value of expected future investment returns considering various outcomes, as well as the rights of each class of stock, with one of the outcomes calculated using an OPM. The hybrid PWERM considered three scenarios: an "early" IPO completed in 2020, a "late" IPO completed in 2021, and a "remain private" scenario in which value was allocated using the OPM. An incremental discount for lack of marketability ("DLOM") was applied to the values of the common stock. The DLOM was estimated using a put option model which considered the expected time to liquidity and the volatility of the common shares. The hybrid PWERM used a risk-adjusted discount rate. The fair value of the Company's common stock was calibrated to contemporaneous transactions in the Series C Preferred Stock and Series C-1 Preferred Stock.</w:t>
      </w:r>
    </w:p>
    <w:p>
      <w:pPr>
        <w:spacing w:after="0" w:line="200" w:lineRule="exact"/>
        <w:rPr>
          <w:sz w:val="20"/>
          <w:szCs w:val="20"/>
          <w:color w:val="auto"/>
        </w:rPr>
      </w:pPr>
    </w:p>
    <w:p>
      <w:pPr>
        <w:spacing w:after="0" w:line="213" w:lineRule="exact"/>
        <w:rPr>
          <w:sz w:val="20"/>
          <w:szCs w:val="20"/>
          <w:color w:val="auto"/>
        </w:rPr>
      </w:pPr>
    </w:p>
    <w:p>
      <w:pPr>
        <w:ind w:right="640" w:firstLine="433"/>
        <w:spacing w:after="0" w:line="275" w:lineRule="auto"/>
        <w:rPr>
          <w:sz w:val="20"/>
          <w:szCs w:val="20"/>
          <w:color w:val="auto"/>
        </w:rPr>
      </w:pPr>
      <w:r>
        <w:rPr>
          <w:rFonts w:ascii="Arial" w:cs="Arial" w:eastAsia="Arial" w:hAnsi="Arial"/>
          <w:sz w:val="17"/>
          <w:szCs w:val="17"/>
          <w:color w:val="auto"/>
        </w:rPr>
        <w:t>Subsequent to the IPO, the fair value of the common stock underlying the Company's stock-based awards is the closing price of the Company's common stock on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functional currency of the Company’s wholly owned foreign subsidiary in Australia is the U.S. dollar. 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Exchange gains or losses arising from foreign currency transactions are included in the determination of net loss. There were no material foreign currency gains or losses for the years ended December 31, 2020 and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3"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9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00"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Comprehensive loss includes net loss and certain changes in stockholders’ (deficit) equity that are excluded from net loss. The Company’s comprehensive loss was equal to net loss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0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Company follows the two-class method to compute net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(losses) for the period to be allocated between common and participating securities based upon their respective rights to share in the earnings as if all income (losses) for the period had been distributed. During periods of loss, there is no allocation required under the two-class method since the participating securities do not have a contractual obligation to fund the losses of the Company.</w:t>
      </w:r>
    </w:p>
    <w:p>
      <w:pPr>
        <w:spacing w:after="0" w:line="193"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Net loss attributable to common stockholders is equal to the net loss for the period, as adjusted for: (i) cumulative dividends accrued for redeemable convertible preferred stock, whether or not declared, (ii) increases in carrying value recorded for redeemable convertible preferred stock, including accretion on redeemable convertible preferred stock to redemption value for amounts other than cumulative dividends and (iii) gains on the redemptions of redeemable convertible preferred stock.</w:t>
      </w:r>
    </w:p>
    <w:p>
      <w:pPr>
        <w:spacing w:after="0" w:line="192"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 average number of common shares outstanding for the period, which excludes shares of restricted common stock that are not vested. Diluted net loss per share attributable to common stockholders is computed by dividing the net loss attributable to common stockholders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shares of redeemable convertible preferred stock are considered potentially dilutive common shares. The Company has generated a net loss in all periods presented so the basic and diluted net loss per share attributable to common stockholders are the same as the inclusion of the potentially dilutive securities would be anti-dilutive.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00"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54"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In January 2016, the FASB issued ASU No. 2016-01</w:t>
      </w:r>
      <w:r>
        <w:rPr>
          <w:rFonts w:ascii="Arial" w:cs="Arial" w:eastAsia="Arial" w:hAnsi="Arial"/>
          <w:sz w:val="17"/>
          <w:szCs w:val="17"/>
          <w:i w:val="1"/>
          <w:iCs w:val="1"/>
          <w:color w:val="auto"/>
        </w:rPr>
        <w:t>, Financial Instruments—Overall (Subtopic 825-10)—Recognition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which has been subsequently amended by ASU No. 2018-03, ASU No. 2019-04, ASU No. 2020-01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2020-03 (“ASU 2016-01”). The provisions of ASU 2016-01 make targeted improvements to enhance the reporting model for financial instruments to provide users of financial statements with more decision-useful information, including certain aspects of recognition, measurement, presentation, and disclosure of financial instruments. The Company early adopted ASU 2016-01 effective January 1, 2019. The implementation of this standard had no impact on the Company’s financial position or results of operations.</w:t>
      </w:r>
    </w:p>
    <w:p>
      <w:pPr>
        <w:spacing w:after="0" w:line="283"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In February 2016, the FASB issued the new leasing standards to increase transparency and comparability among organizations related to their leasing activities. The Company early adopted the new leasing standards effective January 1, 2019. For additional information on the adoption of the new leasing standards, please read the Company’s policy above entitled Leases, and Note 7, Commitments and Contingencies, to these consolidated financial statements.</w:t>
      </w:r>
    </w:p>
    <w:p>
      <w:pPr>
        <w:spacing w:after="0" w:line="279"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 (Topic 815) I. Accounting for Certain Financial Instruments with Down Round Features II</w:t>
      </w:r>
      <w:r>
        <w:rPr>
          <w:rFonts w:ascii="Arial" w:cs="Arial" w:eastAsia="Arial" w:hAnsi="Arial"/>
          <w:sz w:val="17"/>
          <w:szCs w:val="17"/>
          <w:color w:val="auto"/>
        </w:rPr>
        <w:t>. Replacement of the Indefinite</w:t>
      </w:r>
      <w:r>
        <w:rPr>
          <w:rFonts w:ascii="Arial" w:cs="Arial" w:eastAsia="Arial" w:hAnsi="Arial"/>
          <w:sz w:val="17"/>
          <w:szCs w:val="17"/>
          <w:i w:val="1"/>
          <w:iCs w:val="1"/>
          <w:color w:val="auto"/>
        </w:rPr>
        <w:t xml:space="preserve"> </w:t>
      </w:r>
      <w:r>
        <w:rPr>
          <w:rFonts w:ascii="Arial" w:cs="Arial" w:eastAsia="Arial" w:hAnsi="Arial"/>
          <w:sz w:val="17"/>
          <w:szCs w:val="17"/>
          <w:color w:val="auto"/>
        </w:rPr>
        <w:t>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Company early adopted ASU 2017-11 effective January 1, 2019. The adoption of ASU 2017-11 had no impact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41" w:lineRule="exact"/>
        <w:rPr>
          <w:sz w:val="20"/>
          <w:szCs w:val="20"/>
          <w:color w:val="auto"/>
        </w:rPr>
      </w:pPr>
    </w:p>
    <w:p>
      <w:pPr>
        <w:ind w:right="240" w:firstLine="433"/>
        <w:spacing w:after="0" w:line="26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which has been subsequently amended by ASU No. 2018-19, ASU No. 2019-04, ASU No. 2019-05, ASU No. 2019-10,</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2019-11 and 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this standard may have on its financial position and results of operations, as well as the timing of its adoption of this standard.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740)—Simplifying the Accounting for Income</w:t>
      </w:r>
    </w:p>
    <w:p>
      <w:pPr>
        <w:spacing w:after="0" w:line="32"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(“ASU 2019-12”), as part of its initiative to reduce complexity in the accounting standards. The amendments in ASU 2019-12 eliminate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related to the approach for intraperiod tax</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allocation, the methodology for calculating income taxes in an interim period and the recognition of deferred tax liabilities for outside basis differences. ASU 2019-12 also clarifies and simplifies other aspects of the accounting for income taxes. ASU 2019-12 is effective for the Company on January 1, 2022, with early adoption permitted. The Company is currently evaluating the potential impact that this standard may have on its financial position and results of operations, as well as the timing of its adoption of this standard.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10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As of December 31, 2020 and 2019, the Company had restricted cash of $0.6 million, held as a letter of credit for the benefit of the landlord in connection with the Company’s lease in Cambridge, Massachusetts. The lease term expires on December 30, 2021. Restricted cash was classified within prepaid expenses and other current assets on the consolidated balance sheet as of December 31, 2020 as the lease term expires less than twelve months from the consolidated balance sheet date. Restricted cash was classified within other non-current assets on the consolidated balance sheet as of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of Financial Assets and Liabilities</w:t>
      </w:r>
    </w:p>
    <w:p>
      <w:pPr>
        <w:spacing w:after="0" w:line="115"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As of December 31, 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Level 2</w:t>
            </w:r>
          </w:p>
        </w:tc>
        <w:tc>
          <w:tcPr>
            <w:tcW w:w="1000" w:type="dxa"/>
            <w:vAlign w:val="bottom"/>
          </w:tcPr>
          <w:p>
            <w:pPr>
              <w:jc w:val="center"/>
              <w:ind w:left="358"/>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290,931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290,931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290,931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rPr>
              <w:t>—</w:t>
            </w:r>
          </w:p>
        </w:tc>
        <w:tc>
          <w:tcPr>
            <w:tcW w:w="1000" w:type="dxa"/>
            <w:vAlign w:val="bottom"/>
          </w:tcPr>
          <w:p>
            <w:pPr>
              <w:jc w:val="center"/>
              <w:ind w:left="358"/>
              <w:spacing w:after="0"/>
              <w:rPr>
                <w:sz w:val="20"/>
                <w:szCs w:val="20"/>
                <w:color w:val="auto"/>
              </w:rPr>
            </w:pPr>
            <w:r>
              <w:rPr>
                <w:rFonts w:ascii="Arial" w:cs="Arial" w:eastAsia="Arial" w:hAnsi="Arial"/>
                <w:sz w:val="17"/>
                <w:szCs w:val="17"/>
                <w:color w:val="auto"/>
                <w:w w:val="93"/>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290,931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As of December 31, 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Level 2</w:t>
            </w:r>
          </w:p>
        </w:tc>
        <w:tc>
          <w:tcPr>
            <w:tcW w:w="1000" w:type="dxa"/>
            <w:vAlign w:val="bottom"/>
          </w:tcPr>
          <w:p>
            <w:pPr>
              <w:jc w:val="center"/>
              <w:ind w:left="358"/>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44,429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44,429</w:t>
            </w:r>
          </w:p>
        </w:tc>
        <w:tc>
          <w:tcPr>
            <w:tcW w:w="12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98"/>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44,429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7"/>
                <w:szCs w:val="17"/>
                <w:b w:val="1"/>
                <w:bCs w:val="1"/>
                <w:color w:val="auto"/>
              </w:rPr>
              <w:t>5. Property and Equipment, Net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40" w:type="dxa"/>
            <w:vAlign w:val="bottom"/>
            <w:gridSpan w:val="4"/>
          </w:tcPr>
          <w:p>
            <w:pPr>
              <w:ind w:left="440"/>
              <w:spacing w:after="0"/>
              <w:rPr>
                <w:sz w:val="20"/>
                <w:szCs w:val="20"/>
                <w:color w:val="auto"/>
              </w:rPr>
            </w:pPr>
            <w:r>
              <w:rPr>
                <w:rFonts w:ascii="Arial" w:cs="Arial" w:eastAsia="Arial" w:hAnsi="Arial"/>
                <w:sz w:val="17"/>
                <w:szCs w:val="17"/>
                <w:color w:val="auto"/>
              </w:rPr>
              <w:t>Property and equipment, net consisted of the following (in thousands):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1"/>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ind w:left="338"/>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equipment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7"/>
                <w:szCs w:val="17"/>
                <w:color w:val="auto"/>
              </w:rPr>
              <w:t>Total property and equipment</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was not significant for the years ended December 31, 2020 and 2019.</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personnel-related expenses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Accrued external research and development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1,552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license fees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w:t>
            </w:r>
          </w:p>
        </w:tc>
      </w:tr>
      <w:tr>
        <w:trPr>
          <w:trHeight w:val="241"/>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accrued expenses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0" w:lineRule="exact"/>
        <w:rPr>
          <w:sz w:val="20"/>
          <w:szCs w:val="20"/>
          <w:color w:val="auto"/>
        </w:rPr>
      </w:pPr>
    </w:p>
    <w:p>
      <w:pPr>
        <w:jc w:val="both"/>
        <w:ind w:right="120" w:firstLine="433"/>
        <w:spacing w:after="0" w:line="266" w:lineRule="auto"/>
        <w:rPr>
          <w:sz w:val="20"/>
          <w:szCs w:val="20"/>
          <w:color w:val="auto"/>
        </w:rPr>
      </w:pPr>
      <w:r>
        <w:rPr>
          <w:rFonts w:ascii="Arial" w:cs="Arial" w:eastAsia="Arial" w:hAnsi="Arial"/>
          <w:sz w:val="17"/>
          <w:szCs w:val="17"/>
          <w:color w:val="auto"/>
        </w:rPr>
        <w:t>In October 2018, the Company entered into a sublease agreement for office space located in Cambridge, Massachusetts which expires on December 30, 2021, with no option to renew or terminate early. The base rent increases by approximately 1% annually. The Company issued a letter of credit to the landlord related to the security deposit, secured by restricted cash (Note 3). This lease qualifies as an operating lease.</w:t>
      </w:r>
    </w:p>
    <w:p>
      <w:pPr>
        <w:spacing w:after="0" w:line="189" w:lineRule="exact"/>
        <w:rPr>
          <w:sz w:val="20"/>
          <w:szCs w:val="20"/>
          <w:color w:val="auto"/>
        </w:rPr>
      </w:pPr>
    </w:p>
    <w:p>
      <w:pPr>
        <w:jc w:val="both"/>
        <w:ind w:right="100" w:firstLine="433"/>
        <w:spacing w:after="0" w:line="275" w:lineRule="auto"/>
        <w:rPr>
          <w:sz w:val="20"/>
          <w:szCs w:val="20"/>
          <w:color w:val="auto"/>
        </w:rPr>
      </w:pPr>
      <w:r>
        <w:rPr>
          <w:rFonts w:ascii="Arial" w:cs="Arial" w:eastAsia="Arial" w:hAnsi="Arial"/>
          <w:sz w:val="17"/>
          <w:szCs w:val="17"/>
          <w:color w:val="auto"/>
        </w:rPr>
        <w:t>In January 2019, the Company entered into an arrangement with a third party to sublease a portion of its Cambridge, Massachusetts office space. This sublease was terminated in November 2019.</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the presentation of the operating lease in the Company’s consolidated balance sheets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60" w:type="dxa"/>
            <w:vAlign w:val="bottom"/>
          </w:tcPr>
          <w:p>
            <w:pPr>
              <w:spacing w:after="0"/>
              <w:rPr>
                <w:sz w:val="20"/>
                <w:szCs w:val="20"/>
                <w:color w:val="auto"/>
              </w:rPr>
            </w:pPr>
          </w:p>
        </w:tc>
        <w:tc>
          <w:tcPr>
            <w:tcW w:w="24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7"/>
                <w:szCs w:val="17"/>
                <w:b w:val="1"/>
                <w:bCs w:val="1"/>
                <w:color w:val="auto"/>
              </w:rPr>
              <w:t>As of December 31,</w:t>
            </w:r>
          </w:p>
        </w:tc>
        <w:tc>
          <w:tcPr>
            <w:tcW w:w="520" w:type="dxa"/>
            <w:vAlign w:val="bottom"/>
            <w:tcBorders>
              <w:bottom w:val="single" w:sz="8" w:color="auto"/>
            </w:tcBorders>
          </w:tcPr>
          <w:p>
            <w:pPr>
              <w:spacing w:after="0"/>
              <w:rPr>
                <w:sz w:val="20"/>
                <w:szCs w:val="20"/>
                <w:color w:val="auto"/>
              </w:rPr>
            </w:pPr>
          </w:p>
        </w:tc>
      </w:tr>
      <w:tr>
        <w:trPr>
          <w:trHeight w:val="216"/>
        </w:trPr>
        <w:tc>
          <w:tcPr>
            <w:tcW w:w="8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18"/>
                <w:szCs w:val="18"/>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00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1,450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9"/>
        </w:trPr>
        <w:tc>
          <w:tcPr>
            <w:tcW w:w="8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Current operating lease liabilities</w:t>
            </w:r>
          </w:p>
        </w:tc>
        <w:tc>
          <w:tcPr>
            <w:tcW w:w="1000" w:type="dxa"/>
            <w:vAlign w:val="bottom"/>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Pr>
          <w:p>
            <w:pPr>
              <w:spacing w:after="0"/>
              <w:rPr>
                <w:sz w:val="19"/>
                <w:szCs w:val="19"/>
                <w:color w:val="auto"/>
              </w:rPr>
            </w:pPr>
          </w:p>
        </w:tc>
        <w:tc>
          <w:tcPr>
            <w:tcW w:w="920" w:type="dxa"/>
            <w:vAlign w:val="bottom"/>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696</w:t>
            </w: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 portion of operating lease liabilities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Total lease liabilities</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1,459</w:t>
            </w:r>
          </w:p>
        </w:tc>
      </w:tr>
      <w:tr>
        <w:trPr>
          <w:trHeight w:val="20"/>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The following table summarizes total lease costs recognized in the Company’s consolidated statements of operations and comprehensive loss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7"/>
                <w:szCs w:val="17"/>
                <w:b w:val="1"/>
                <w:bCs w:val="1"/>
                <w:color w:val="auto"/>
              </w:rPr>
              <w:t>For the year ended</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5700" w:type="dxa"/>
            <w:vAlign w:val="bottom"/>
            <w:gridSpan w:val="2"/>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7"/>
                <w:szCs w:val="17"/>
                <w:color w:val="auto"/>
              </w:rPr>
              <w:t>Variable lease costs</w:t>
            </w:r>
          </w:p>
        </w:tc>
        <w:tc>
          <w:tcPr>
            <w:tcW w:w="4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Sublease income</w:t>
            </w:r>
          </w:p>
        </w:tc>
        <w:tc>
          <w:tcPr>
            <w:tcW w:w="47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7"/>
                <w:szCs w:val="17"/>
                <w:color w:val="auto"/>
              </w:rPr>
              <w:t>Total lease costs</w:t>
            </w:r>
          </w:p>
        </w:tc>
        <w:tc>
          <w:tcPr>
            <w:tcW w:w="5700" w:type="dxa"/>
            <w:vAlign w:val="bottom"/>
            <w:gridSpan w:val="2"/>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8"/>
                <w:szCs w:val="18"/>
                <w:color w:val="auto"/>
              </w:rPr>
            </w:pPr>
          </w:p>
        </w:tc>
        <w:tc>
          <w:tcPr>
            <w:tcW w:w="1000" w:type="dxa"/>
            <w:vAlign w:val="bottom"/>
          </w:tcPr>
          <w:p>
            <w:pPr>
              <w:jc w:val="right"/>
              <w:ind w:right="79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700" w:type="dxa"/>
            <w:vAlign w:val="bottom"/>
            <w:vMerge w:val="restart"/>
          </w:tcPr>
          <w:p>
            <w:pPr>
              <w:jc w:val="right"/>
              <w:ind w:right="2413"/>
              <w:spacing w:after="0"/>
              <w:rPr>
                <w:sz w:val="20"/>
                <w:szCs w:val="20"/>
                <w:color w:val="auto"/>
              </w:rPr>
            </w:pPr>
            <w:r>
              <w:rPr>
                <w:rFonts w:ascii="Arial" w:cs="Arial" w:eastAsia="Arial" w:hAnsi="Arial"/>
                <w:sz w:val="17"/>
                <w:szCs w:val="17"/>
                <w:color w:val="auto"/>
              </w:rPr>
              <w:t>155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5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80" w:firstLine="433"/>
        <w:spacing w:after="0" w:line="263" w:lineRule="auto"/>
        <w:rPr>
          <w:sz w:val="20"/>
          <w:szCs w:val="20"/>
          <w:color w:val="auto"/>
        </w:rPr>
      </w:pPr>
      <w:r>
        <w:rPr>
          <w:rFonts w:ascii="Arial" w:cs="Arial" w:eastAsia="Arial" w:hAnsi="Arial"/>
          <w:sz w:val="17"/>
          <w:szCs w:val="17"/>
          <w:color w:val="auto"/>
        </w:rPr>
        <w:t>Variable lease costs were primarily related to operating expenses, taxes and insurance associated with the operating lease, which were assessed based on the Company’s proportionate share of such costs for the leased premises. As these costs are generally variable in nature, they are not included in the measurement of the operating lease right-of-use asset and related lease liability. Total lease costs are included as operating expenses in the Company’s consolidated statements of operations and comprehensive loss.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lease payments under non-cancelable lease agreements as of December 31, 2020 were as follows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240" w:type="dxa"/>
            <w:vAlign w:val="bottom"/>
          </w:tcPr>
          <w:p>
            <w:pPr>
              <w:jc w:val="right"/>
              <w:ind w:right="198"/>
              <w:spacing w:after="0"/>
              <w:rPr>
                <w:sz w:val="20"/>
                <w:szCs w:val="20"/>
                <w:color w:val="auto"/>
              </w:rPr>
            </w:pPr>
            <w:r>
              <w:rPr>
                <w:rFonts w:ascii="Arial" w:cs="Arial" w:eastAsia="Arial" w:hAnsi="Arial"/>
                <w:sz w:val="14"/>
                <w:szCs w:val="14"/>
                <w:b w:val="1"/>
                <w:bCs w:val="1"/>
                <w:color w:val="auto"/>
              </w:rPr>
              <w:t>Future Lease</w:t>
            </w:r>
          </w:p>
        </w:tc>
        <w:tc>
          <w:tcPr>
            <w:tcW w:w="0" w:type="dxa"/>
            <w:vAlign w:val="bottom"/>
          </w:tcPr>
          <w:p>
            <w:pPr>
              <w:spacing w:after="0"/>
              <w:rPr>
                <w:sz w:val="1"/>
                <w:szCs w:val="1"/>
                <w:color w:val="auto"/>
              </w:rPr>
            </w:pPr>
          </w:p>
        </w:tc>
      </w:tr>
      <w:tr>
        <w:trPr>
          <w:trHeight w:val="170"/>
        </w:trPr>
        <w:tc>
          <w:tcPr>
            <w:tcW w:w="98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16"/>
        </w:trPr>
        <w:tc>
          <w:tcPr>
            <w:tcW w:w="9800" w:type="dxa"/>
            <w:vAlign w:val="bottom"/>
          </w:tcPr>
          <w:p>
            <w:pPr>
              <w:ind w:left="20"/>
              <w:spacing w:after="0"/>
              <w:rPr>
                <w:sz w:val="20"/>
                <w:szCs w:val="20"/>
                <w:color w:val="auto"/>
              </w:rPr>
            </w:pPr>
            <w:r>
              <w:rPr>
                <w:rFonts w:ascii="Arial" w:cs="Arial" w:eastAsia="Arial" w:hAnsi="Arial"/>
                <w:sz w:val="17"/>
                <w:szCs w:val="17"/>
                <w:color w:val="auto"/>
              </w:rPr>
              <w:t>Total future lease payments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interest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9800" w:type="dxa"/>
            <w:vAlign w:val="bottom"/>
          </w:tcPr>
          <w:p>
            <w:pPr>
              <w:ind w:left="20"/>
              <w:spacing w:after="0"/>
              <w:rPr>
                <w:sz w:val="20"/>
                <w:szCs w:val="20"/>
                <w:color w:val="auto"/>
              </w:rPr>
            </w:pPr>
            <w:r>
              <w:rPr>
                <w:rFonts w:ascii="Arial" w:cs="Arial" w:eastAsia="Arial" w:hAnsi="Arial"/>
                <w:sz w:val="17"/>
                <w:szCs w:val="17"/>
                <w:color w:val="auto"/>
              </w:rPr>
              <w:t>Present value of 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The weighted average remaining lease term and weighted average incremental borrowing rate of the Company’s operating lease were as follows:</w:t>
      </w:r>
    </w:p>
    <w:p>
      <w:pPr>
        <w:spacing w:after="0" w:line="330" w:lineRule="exact"/>
        <w:rPr>
          <w:sz w:val="20"/>
          <w:szCs w:val="20"/>
          <w:color w:val="auto"/>
        </w:rPr>
      </w:pPr>
    </w:p>
    <w:p>
      <w:pPr>
        <w:ind w:left="8820"/>
        <w:spacing w:after="0"/>
        <w:rPr>
          <w:sz w:val="20"/>
          <w:szCs w:val="20"/>
          <w:color w:val="auto"/>
        </w:rPr>
      </w:pPr>
      <w:r>
        <w:rPr>
          <w:rFonts w:ascii="Arial" w:cs="Arial" w:eastAsia="Arial" w:hAnsi="Arial"/>
          <w:sz w:val="17"/>
          <w:szCs w:val="17"/>
          <w:b w:val="1"/>
          <w:bCs w:val="1"/>
          <w:color w:val="auto"/>
        </w:rPr>
        <w:t>As of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9060" w:type="dxa"/>
            <w:vAlign w:val="bottom"/>
            <w:gridSpan w:val="2"/>
          </w:tcPr>
          <w:p>
            <w:pPr>
              <w:ind w:left="20"/>
              <w:spacing w:after="0"/>
              <w:rPr>
                <w:sz w:val="20"/>
                <w:szCs w:val="20"/>
                <w:color w:val="auto"/>
              </w:rPr>
            </w:pPr>
            <w:r>
              <w:rPr>
                <w:rFonts w:ascii="Arial" w:cs="Arial" w:eastAsia="Arial" w:hAnsi="Arial"/>
                <w:sz w:val="17"/>
                <w:szCs w:val="17"/>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7"/>
                <w:szCs w:val="17"/>
                <w:color w:val="auto"/>
              </w:rPr>
              <w:t>8.0 %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8.0 %</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0" w:lineRule="exact"/>
        <w:rPr>
          <w:sz w:val="20"/>
          <w:szCs w:val="20"/>
          <w:color w:val="auto"/>
        </w:rPr>
      </w:pPr>
    </w:p>
    <w:p>
      <w:pPr>
        <w:jc w:val="both"/>
        <w:ind w:right="120" w:firstLine="433"/>
        <w:spacing w:after="0" w:line="275"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legal proceedings during the years ended December 31, 2020 and 2019, and no material legal proceedings are currently pending or threatened.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w:t>
      </w:r>
    </w:p>
    <w:p>
      <w:pPr>
        <w:spacing w:after="0" w:line="100"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Company enters into indemnification agreements and agreements containing indemnification provisions in the ordinary course of business. Pursuant to these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On October, 20 2020, upon the closing of the IPO, all 53,644,314 outstanding shares of the Redeemable Convertible Preferred Stock were converted into 25,067,977 shares of common stock. Pursuant to the terms of the Company's Amended and Restated Certificate of Incorporation, all series of the Redeemable Convertible Preferred Stock outstanding automatically converted into shares of common stock based on each series' respective then-current conversion ratio.</w:t>
      </w:r>
    </w:p>
    <w:p>
      <w:pPr>
        <w:spacing w:after="0" w:line="61" w:lineRule="exact"/>
        <w:rPr>
          <w:sz w:val="20"/>
          <w:szCs w:val="20"/>
          <w:color w:val="auto"/>
        </w:rPr>
      </w:pPr>
    </w:p>
    <w:p>
      <w:pPr>
        <w:ind w:right="800" w:firstLine="433"/>
        <w:spacing w:after="0" w:line="275" w:lineRule="auto"/>
        <w:rPr>
          <w:sz w:val="20"/>
          <w:szCs w:val="20"/>
          <w:color w:val="auto"/>
        </w:rPr>
      </w:pPr>
      <w:r>
        <w:rPr>
          <w:rFonts w:ascii="Arial" w:cs="Arial" w:eastAsia="Arial" w:hAnsi="Arial"/>
          <w:sz w:val="17"/>
          <w:szCs w:val="17"/>
          <w:color w:val="auto"/>
        </w:rPr>
        <w:t>As of December 31, 2020, the Company did not have any shares of redeemable convertible preferred stock authorized, issued or outstanding.</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redeemable convertible preferred stock on December 31, 2019 consisted of the following (in thousands, except share amounts):</w:t>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Preferred</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8"/>
              </w:rPr>
              <w:t>Common</w:t>
            </w: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Shares</w:t>
            </w:r>
          </w:p>
        </w:tc>
        <w:tc>
          <w:tcPr>
            <w:tcW w:w="144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9"/>
              </w:rPr>
              <w:t>Stock Issued</w:t>
            </w:r>
          </w:p>
        </w:tc>
        <w:tc>
          <w:tcPr>
            <w:tcW w:w="240" w:type="dxa"/>
            <w:vAlign w:val="bottom"/>
          </w:tcPr>
          <w:p>
            <w:pPr>
              <w:spacing w:after="0"/>
              <w:rPr>
                <w:sz w:val="11"/>
                <w:szCs w:val="11"/>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Liquidation</w:t>
            </w:r>
          </w:p>
        </w:tc>
        <w:tc>
          <w:tcPr>
            <w:tcW w:w="18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Redemption</w:t>
            </w: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Issuable</w:t>
            </w: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Authorized</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Outstanding</w:t>
            </w: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Preference</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Conversion</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Preferred Stock</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8,075,799</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8,075,799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9,932</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3,773,820</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7"/>
                <w:szCs w:val="17"/>
                <w:color w:val="auto"/>
              </w:rPr>
              <w:t>Series B Preferred Stock</w:t>
            </w:r>
          </w:p>
        </w:tc>
        <w:tc>
          <w:tcPr>
            <w:tcW w:w="1320" w:type="dxa"/>
            <w:vAlign w:val="bottom"/>
          </w:tcPr>
          <w:p>
            <w:pPr>
              <w:jc w:val="right"/>
              <w:spacing w:after="0"/>
              <w:rPr>
                <w:sz w:val="20"/>
                <w:szCs w:val="20"/>
                <w:color w:val="auto"/>
              </w:rPr>
            </w:pPr>
            <w:r>
              <w:rPr>
                <w:rFonts w:ascii="Arial" w:cs="Arial" w:eastAsia="Arial" w:hAnsi="Arial"/>
                <w:sz w:val="17"/>
                <w:szCs w:val="17"/>
                <w:color w:val="auto"/>
              </w:rPr>
              <w:t>14,913,704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14,913,704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49,969</w:t>
            </w:r>
          </w:p>
        </w:tc>
        <w:tc>
          <w:tcPr>
            <w:tcW w:w="10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7"/>
                <w:szCs w:val="17"/>
                <w:color w:val="auto"/>
              </w:rPr>
              <w:t>6,969,173</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Series B-1 Preferred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2,666,666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2,666,666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1,246,133</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Series C Preferred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11,067,963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9,805,827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4,582,257</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36,724,132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35,461,996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121,121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121,121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121,121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16,571,383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7"/>
          <w:szCs w:val="17"/>
          <w:color w:val="auto"/>
        </w:rPr>
        <w:t>Common stock issuable upon conversion in the table above represents shares of common stock issuable upon an automatic conversion in the event of a qualified public offering, pursuant to the Company’s then-current Amended and Restated Certificate of Incorporation, effective prior to the completion of the IPO.</w:t>
      </w:r>
    </w:p>
    <w:p>
      <w:pPr>
        <w:spacing w:after="0" w:line="58"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On June 18, 2019, the Company entered into the Series B-1 Preferred Stock Purchase Agreement which authorized the sale and issuance of up to 2,666,666 shares of its Series B-1 Preferred Stock at a purchase price of $3.75 per share. During the year ended December 31, 2019, the Company issued all 2,666,666 shares of Series B-1 Preferred Stock for gross cash proceeds of $10.0 million, and incurred an immaterial amount of issuance costs. The issuance of the Series B-1 Preferred Stock resulted in changes to certain rights, preferences and privileges of the Series A Preferred Stock and the Series B Preferred Stock. The Company concluded that such changes were not significant and resulted in a modification, rather than an extinguishment, of the Series A Preferred Stock and the Series B Preferred Stock. The changes to the terms of the Series A Preferred Stock and the Series B Preferred Stock did not result in incremental value to the shareholders, and therefore there was no impact to the accounting for the Series A Preferred Stock and the Series B Preferred Stock.</w:t>
      </w:r>
    </w:p>
    <w:p>
      <w:pPr>
        <w:spacing w:after="0" w:line="22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On November 18, 2019, the Company entered into the Series C Preferred Stock Purchase Agreement which authorized the sale and issuance of up to 5,825,243 shares at $5.15 per share. On December 10, 2019, the Company executed Amendment No. 1 and Joinder to the Series C Preferred Stock Purchase Agreement which authorized the sale and issuance of an additional 5,242,720 shares at $5.15 per share. During the year ended December 31, 2019, the Company issued 9,805,827 shares of Series C Preferred Stock for gross cash proceeds of $50.5 million, and incurred issuance costs of $0.2 million. Although there were multiple closings of the Series C Preferred Stock, there was no obligation under the initial closing for investors to purchase, or for the Company to sell to such investors, additional shares of Series C Preferred Stock. The issuance of the Series C Preferred Stock resulted in changes to certain rights, preferences and privileges of the Series A Preferred Stock, the Series B Preferred Stock and the Series B-1 Preferred Stock. The Company concluded that such changes were not significant and resulted in a modification, rather than an extinguishment, of the Series A Preferred Stock, the Series B Preferred Stock and the Series B-1 Preferred Stock. The changes to the terms of the Series A Preferred Stock, the Series B Preferred Stock and the Series B-1 Preferred Stock did not result in incremental value to the shareholders, and therefore there was no impact to the accounting for the Series A Preferred Stock, the Series B Preferred Stock and the Series B-1 Preferred Stock.</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7" w:name="page158"/>
    <w:bookmarkEnd w:id="1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On January 20, 2020, the Company granted two investors holding 5,825,243 shares of Series C Preferred Stock that were purchased in December 2019 the option to put their shares back to the Company at the original issuance price. On February 19, 2020 and March 3, 2020, the investors exercised their put option in full via the execution of Stock Redemption and Release Agreements in order to effect the repurchase. Pursuant to the Stock Redemption and Release Agreements, the Company agreed to repurchase a total of 5,825,243 shares of Series C Preferred Stock at the original issuance price of $ 5.15 per share, for an aggregate cash repurchase price of 30.0 million. Under the terms of the Stock Redemption and Release Agreements, the investors waived their right to cumulative dividends that had accumulated from the original issuance date through the date of repurchase. The 5,825,243 shares of Series C Preferred Stock were retired upon repurchase, and subsequently authorized for reissuance pursuant to a waiver to the Company’s Amended and Restated Certificate of Incorporation entered into by the Company and the holders of the Redeemable Convertible Preferred Stock.</w:t>
      </w:r>
    </w:p>
    <w:p>
      <w:pPr>
        <w:spacing w:after="0" w:line="22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Company determined that the additional put right that was granted to the investors represented a modification of the affected shares of Series C Preferred Stock, but that it did not result in incremental value to the shareholders. As there was no incremental value associated with the modification, there was no impact to the accounting for the Series C Preferred Stock. The Company also determined that the put right did not require bifurcation, as it does not contain the characteristics of a derivative instrument. Further, the Company determined that the shares of Series C Preferred Stock that were subject to repurchase did not become mandatorily redeemable until the execution of the Stock Redemption and Release Agreements because the parties did not have an unconditional legal obligation to complete the redemptions until the associated agreements were finalized. Such determination was made in consultation with legal counsel. Accordingly, the Company recorded each of the redemptions on the respective date of repurchase and recognized a gain on repurchase equal to the difference between the repurchase price and the carrying value of the Series C Preferred Stock on the respective date of repurchase. The aggregate gain of $ 0.5 million was recorded upon repurchase as an adjustment to accumulated deficit in the statement of redeemable convertible preferred stock and stockholders’ deficit. The gain relates exclusively to the dividends accrued on the repurchased shares, which were waived by the investors as part of the Stock Redemption and Release Agreements.</w:t>
      </w:r>
    </w:p>
    <w:p>
      <w:pPr>
        <w:spacing w:after="0" w:line="200" w:lineRule="exact"/>
        <w:rPr>
          <w:sz w:val="20"/>
          <w:szCs w:val="20"/>
          <w:color w:val="auto"/>
        </w:rPr>
      </w:pPr>
    </w:p>
    <w:p>
      <w:pPr>
        <w:spacing w:after="0" w:line="233"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On April 15, 2020 and May 8, 2020, the Company completed additional closings for the sale and issuance of its Series C Preferred Stock for a total of 4,563,108 shares at $5.15 per share for aggregate cash proceeds of $23.5 million, less an immaterial amount of issuance costs.</w:t>
      </w:r>
    </w:p>
    <w:p>
      <w:pPr>
        <w:spacing w:after="0" w:line="208"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On July 24, 2020, the Company entered into the Series C-1 Preferred Stock Purchase Agreement, which authorized the sale and issuance of up to 19,444,453 shares of its Series C-1 Preferred Stock at a purchase price of $5.67 per share. During the year ended December 31, 2020, the Company issued all 19,444,453 shares of Series C-1 Preferred Stock for gross cash proceeds of $ 110.3 million, and incurred issuance costs of approximately $0.2 million. Although there were multiple closings of the Series C-1 Preferred Stock, there was no obligation under the initial closing for investors to purchase, or for the Company to sell to such investors, additional shares of Series C-1 Preferred Stock. The issuance of the Series C-1 Preferred Stock resulted in changes to certain rights, preferences and privileges of the Series A Preferred Stock, the Series B Preferred Stock, the Series B-1 Preferred Stock and the Series C Preferred Stock. The Company concluded that such changes were not significant and resulted in a modification, rather than an extinguishment, of the previously outstanding Redeemable Convertible Preferred Stock. The changes to the terms of the Series A Preferred Stock, the Series B Preferred Stock, the Series B-1 Preferred Stock and the Series C Preferred Stock did not result in incremental value to the shareholders, and therefore there was no impact to the accounting for the previously outstanding Redeemable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Preferences and Privileges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Prior to the conversion of the Redeemable Convertible Preferred Stock into shares of common stock upon the completion of the IPO 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20, 2020, the holders of the Redeemable Convertible Preferred Stock had the following rights, preferences and privileges: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98" w:lineRule="exact"/>
        <w:rPr>
          <w:sz w:val="20"/>
          <w:szCs w:val="20"/>
          <w:color w:val="auto"/>
        </w:rPr>
      </w:pPr>
    </w:p>
    <w:p>
      <w:pPr>
        <w:ind w:right="560" w:firstLine="433"/>
        <w:spacing w:after="0" w:line="275" w:lineRule="auto"/>
        <w:rPr>
          <w:sz w:val="20"/>
          <w:szCs w:val="20"/>
          <w:color w:val="auto"/>
        </w:rPr>
      </w:pPr>
      <w:r>
        <w:rPr>
          <w:rFonts w:ascii="Arial" w:cs="Arial" w:eastAsia="Arial" w:hAnsi="Arial"/>
          <w:sz w:val="17"/>
          <w:szCs w:val="17"/>
          <w:color w:val="auto"/>
        </w:rPr>
        <w:t>The holders of outstanding shares of the Redeemable Convertible Preferred Stock were entitled to vote, together with the holders of common stock, on all matters submitted to the stockholders for a vote, and were entitled</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to the number of votes equal to the number of whole shares of common stock into which such holders of the Redeemable Convertible Preferred Stock could convert on the record date for determining stockholders entitled to vote. Except for the actions requiring the approval or consent of the majority of the holders of the Redeemable Convertible Preferred Stock, the holders of the Redeemable Convertible Preferred Stock would vote together with the holders of common stock and vote as a single class. The holders of the Series A Preferred Stock, exclusively and as a separate class, were entitled to elect two directors of the Company. The holders of the Series B Preferred Stock and Series B-1 Preferred Stock, exclusively and together as a separate class, were entitled to elect two directors of the Company. The holders of common stock and of any other class or series of voting stock (including the Redeemable Convertible Preferred Stock), exclusively and voting as a single class, were entitled to elect the balance of total number of directors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holders of the Series A Preferred Stock, Series B Preferred Stock, Series B-1 Preferred Stock, Series C Preferred Stock and Series C-</w:t>
      </w:r>
    </w:p>
    <w:p>
      <w:pPr>
        <w:spacing w:after="0" w:line="14" w:lineRule="exact"/>
        <w:rPr>
          <w:sz w:val="20"/>
          <w:szCs w:val="20"/>
          <w:color w:val="auto"/>
        </w:rPr>
      </w:pPr>
    </w:p>
    <w:p>
      <w:pPr>
        <w:ind w:right="140" w:firstLine="5"/>
        <w:spacing w:after="0" w:line="263" w:lineRule="auto"/>
        <w:tabs>
          <w:tab w:leader="none" w:pos="1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Preferred Stock were entitled to accrue cumulative dividends at an annual rate of $0.08, $0.24, $0.30, $0.412 and $0.4536 per share, respectively, subject to adjustment in the event of any stock dividend, stock split, combination or other similar recapitalization with respect to the Redeemable Convertible Preferred Stock. Dividends accrued from day to day whether or not declared by the Board, and were payable only when, as, and if declared by the Board. No dividends were declared or paid by the Company on the Redeemable Convertible Preferred Stock.</w:t>
      </w:r>
    </w:p>
    <w:p>
      <w:pPr>
        <w:spacing w:after="0" w:line="48" w:lineRule="exact"/>
        <w:rPr>
          <w:sz w:val="20"/>
          <w:szCs w:val="20"/>
          <w:color w:val="auto"/>
        </w:rPr>
      </w:pPr>
    </w:p>
    <w:p>
      <w:pPr>
        <w:ind w:right="700" w:firstLine="433"/>
        <w:spacing w:after="0" w:line="275" w:lineRule="auto"/>
        <w:rPr>
          <w:sz w:val="20"/>
          <w:szCs w:val="20"/>
          <w:color w:val="auto"/>
        </w:rPr>
      </w:pPr>
      <w:r>
        <w:rPr>
          <w:rFonts w:ascii="Arial" w:cs="Arial" w:eastAsia="Arial" w:hAnsi="Arial"/>
          <w:sz w:val="17"/>
          <w:szCs w:val="17"/>
          <w:color w:val="auto"/>
        </w:rPr>
        <w:t>The Company’s cumulative dividends on its Redeemable Convertible Preferred Stock as of December 31, 2019 were as follows (in thousands):</w:t>
      </w:r>
    </w:p>
    <w:p>
      <w:pPr>
        <w:spacing w:after="0" w:line="64" w:lineRule="exact"/>
        <w:rPr>
          <w:sz w:val="20"/>
          <w:szCs w:val="20"/>
          <w:color w:val="auto"/>
        </w:rPr>
      </w:pPr>
    </w:p>
    <w:tbl>
      <w:tblPr>
        <w:tblLayout w:type="fixed"/>
        <w:tblInd w:w="2280" w:type="dxa"/>
        <w:tblCellMar>
          <w:top w:w="0" w:type="dxa"/>
          <w:left w:w="0" w:type="dxa"/>
          <w:bottom w:w="0" w:type="dxa"/>
          <w:right w:w="0" w:type="dxa"/>
        </w:tblCellMar>
      </w:tblPr>
      <w:tr>
        <w:trPr>
          <w:trHeight w:val="223"/>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Series A Preferred Stock</w:t>
            </w: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w:t>
            </w:r>
          </w:p>
        </w:tc>
      </w:tr>
      <w:tr>
        <w:trPr>
          <w:trHeight w:val="223"/>
        </w:trPr>
        <w:tc>
          <w:tcPr>
            <w:tcW w:w="5060" w:type="dxa"/>
            <w:vAlign w:val="bottom"/>
          </w:tcPr>
          <w:p>
            <w:pPr>
              <w:ind w:left="440"/>
              <w:spacing w:after="0"/>
              <w:rPr>
                <w:sz w:val="20"/>
                <w:szCs w:val="20"/>
                <w:color w:val="auto"/>
              </w:rPr>
            </w:pPr>
            <w:r>
              <w:rPr>
                <w:rFonts w:ascii="Arial" w:cs="Arial" w:eastAsia="Arial" w:hAnsi="Arial"/>
                <w:sz w:val="17"/>
                <w:szCs w:val="17"/>
                <w:color w:val="auto"/>
              </w:rPr>
              <w:t>Series B Preferred Stock</w:t>
            </w:r>
          </w:p>
        </w:tc>
        <w:tc>
          <w:tcPr>
            <w:tcW w:w="10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5,228</w:t>
            </w:r>
          </w:p>
        </w:tc>
      </w:tr>
      <w:tr>
        <w:trPr>
          <w:trHeight w:val="223"/>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Series B-1 Preferred Stock</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23"/>
        </w:trPr>
        <w:tc>
          <w:tcPr>
            <w:tcW w:w="50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Series C Preferred Stock</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r>
        <w:trPr>
          <w:trHeight w:val="241"/>
        </w:trPr>
        <w:tc>
          <w:tcPr>
            <w:tcW w:w="50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No dividends could be declared, paid or set aside to any other class or series of capital stock (other than dividends on shares of common stock payable in common stock) unless, in addition to obtaining any consents otherwise required in the Company’s Amended and Restated Certificate of Incorporation, the holders of the Redeemable Convertible Preferred Stock first received a dividend on each outstanding share in an amount at least equal to the greater of: (i) all accrued and unpaid dividends and (ii) in the case of a dividend being distributed to common stock or any class or series of capital stock that is convertible into common stock, the equivalent dividend on an as-converted basis or (iii) in the case of a dividend being distributed on a series or class not convertible into common stock, an additional dividend equal to a dividend rate calculated based on the respective original issue price of the Preferred Stock. The original issue price per share was equal to $1.00 for the Series A Preferred Stock, $3.00 for the Series B Preferred Stock, $3.75 for the Series B-1 Preferred Stock and $ 5.15 for the Series C Preferred Stock. The holders of the Series C Preferred Stock, Series B Preferred Stock and Series B-1 Preferred Stock were entitled to receive dividends prior to any dividends on the Series A 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Rights</w:t>
      </w:r>
    </w:p>
    <w:p>
      <w:pPr>
        <w:spacing w:after="0" w:line="111"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the event of any voluntary or involuntary liquidation event, dissolution, winding up of the Company or upon the occurrence of certain events designated by a majority of the holders of the Redeemable Convertible Preferred Stock, and at least two out of three specific holders, to be a deemed liquidation event, each holder of the then outstanding Series C-1 Preferred Stock, Series C Preferred Stock, Series B-1 Preferred Stock and Series B Preferred Stock was entitled to receive, prior and in preference to any distributions to the holders of Series A Preferred Stock and common stock, an amount equal to the greater of (i) original issuance price (adjusted in the event of any stock dividend, stock split, combination or other similar activity) plus any cumulative accrued dividends, whether or not declared, with any other dividends declared but unpaid thereon, or (ii) the amount such holder would have received if such holder had converted its shares into common stock immediately prior to such liquidation event.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9" w:name="page160"/>
    <w:bookmarkEnd w:id="1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After the payment of all preferential amounts to the holders of the Series C-1 Preferred Stock, Series C Preferred Stock, Series B-1 Preferred Stock and Series B Preferred Stock, each holder of the then outstanding Series A Preferred Stock was entitled to receive, prior and in preference to any distributions to the holders of common stock, an amount equal to the greater of (i) original issuance price (adjusted in the event of any stock dividend, stock split, combination or other similar activity) plus any cumulative accrued dividends, whether or not declared, with any other dividends declared but unpaid thereon, or (ii) the amount such holder would have received if such holder had converted its shares into common stock immediately prior to such liquidation event.</w:t>
      </w:r>
    </w:p>
    <w:p>
      <w:pPr>
        <w:spacing w:after="0" w:line="193"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After payments have been made in full to the holders of the Redeemable Convertible Preferred Stock, then, to the extent available, the remaining amounts would be distributed among the holders of the shares of common stock, pro rata based on the number of shares held by each holder.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32" w:lineRule="exact"/>
        <w:rPr>
          <w:sz w:val="20"/>
          <w:szCs w:val="20"/>
          <w:color w:val="auto"/>
        </w:rPr>
      </w:pPr>
    </w:p>
    <w:p>
      <w:pPr>
        <w:ind w:right="100" w:firstLine="433"/>
        <w:spacing w:after="0" w:line="242" w:lineRule="auto"/>
        <w:rPr>
          <w:sz w:val="20"/>
          <w:szCs w:val="20"/>
          <w:color w:val="auto"/>
        </w:rPr>
      </w:pPr>
      <w:r>
        <w:rPr>
          <w:rFonts w:ascii="Arial" w:cs="Arial" w:eastAsia="Arial" w:hAnsi="Arial"/>
          <w:sz w:val="17"/>
          <w:szCs w:val="17"/>
          <w:color w:val="auto"/>
        </w:rPr>
        <w:t>Each share of the Redeemable Convertible Preferred Stock was convertible, at any time, at the option of the holder, and without the payment of additional consideration, into such shares of non-assessable shares of common stock as is determined by dividing the original issue price by the applicable conversion price in effect at the time of conversion. The applicable conversion price for the Series A Preferred Stock, Series B Preferred Stock, Series B-1 Preferred Stock, Series C Preferred Stock and Series C-1 Preferred Stock was initially equal to $2.14, $6.42, $8.03, $11.02 and $12.13, respectively, as adjusted for the Company's reverse stock split. Each share of the Redeemable Convertible Preferred Stock would automatically convert into common stock at the applicable conversion ratio then in effect for each series of the Redeemable Convertible Preferred Stock upon either (i) the closing of the sale of shares of common stock at a price of at least $ 10.30 per share in a firm-commitment underwritten public offering pursuant to an effective registration statement resulting in at least $75.0 million of gross proceeds and the listing of the Company’s common stock on the New York Stock Exchange, The Nasdaq Global Select Market, or The Nasdaq Global Market or (ii) the date and time, or the occurrence of an event, specified by vote or written consent of the holders of a majority of the outstanding Redeemable Convertible Preferred Stock, voting together as a single class and at least two of three specific holders. As of December 31, 2019, each share of the Redeemable Convertible Preferred Stock was convertible into 0.4673 shares of common stock, as adjusted for the Company's reverse stock split. Upon conversion pursuant to the completion of the IPO, the applicable conversion price for the Series A Preferred Stock, Series B Preferred Stock, Series B-1 Preferred Stock, Series C Preferred Stock and Series C-1 Preferred Stock was equal to $2.14, $6.42, $8.03, $11.02 and $12.13, respectively, as adjusted for the Company’s reverse stock split. Accordingly, each share of the Redeemable Convertible Preferred Stock converted into approximately 0.4673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9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Each series of the Redeemable Convertible Preferred Stock was redeemable at a price equal to the applicable original issuance price per share (adjusted in the event of any stock dividend, stock split, combination or other similar activity), plus any cumulative accrued dividends, whether or not declared together with any other dividends declared but unpaid, in three annual installments commencing not more than 60 days on or after July 24, 2025 at the written election of at least a majority of the holders of the Redeemable Convertible Preferred Stock voting together as a single class and at least two out of three specific parties.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Common Stock and Preferred Stock</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31" w:lineRule="exact"/>
        <w:rPr>
          <w:sz w:val="20"/>
          <w:szCs w:val="20"/>
          <w:color w:val="auto"/>
        </w:rPr>
      </w:pPr>
    </w:p>
    <w:p>
      <w:pPr>
        <w:ind w:right="100" w:firstLine="433"/>
        <w:spacing w:after="0" w:line="230" w:lineRule="auto"/>
        <w:rPr>
          <w:sz w:val="20"/>
          <w:szCs w:val="20"/>
          <w:color w:val="auto"/>
        </w:rPr>
      </w:pPr>
      <w:r>
        <w:rPr>
          <w:rFonts w:ascii="Arial" w:cs="Arial" w:eastAsia="Arial" w:hAnsi="Arial"/>
          <w:sz w:val="17"/>
          <w:szCs w:val="17"/>
          <w:color w:val="auto"/>
        </w:rPr>
        <w:t>On October 20, 2020, the Company completed its IPO, pursuant to which it issued and sold 11,500,000 shares of its common stock at a public offering price of $ 19.00 per share, including 1,500,000 shares of common stock issued and sold pursuant to the underwriters’ exercise of their option to purchase additional shares of common stock. The IPO resulted in net proceeds of $200.3 million, after deducting underwriting discounts and commissions and other offering expenses. Upon the closing of the IPO, all 53,644,314 outstanding shares of the Redeemable Convertible Preferred Stock automatically converted into 25,067,977 shares of common stock pursuant to the terms of the Company's Amended and Restated Certificate of Incorporation at the then-current conversion ratio for each series, as adjusted for the Company's reverse stock split.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120" w:firstLine="433"/>
        <w:spacing w:after="0" w:line="245" w:lineRule="auto"/>
        <w:rPr>
          <w:sz w:val="20"/>
          <w:szCs w:val="20"/>
          <w:color w:val="auto"/>
        </w:rPr>
      </w:pPr>
      <w:r>
        <w:rPr>
          <w:rFonts w:ascii="Arial" w:cs="Arial" w:eastAsia="Arial" w:hAnsi="Arial"/>
          <w:sz w:val="17"/>
          <w:szCs w:val="17"/>
          <w:color w:val="auto"/>
        </w:rPr>
        <w:t>As of December 31, 2020, the authorized capital stock of the Company included 150,000,000 shares of common stock, $0.0001 par value, pursuant to the Amended and Restated Certificate of Incorporation effective upon the completion of the IPO. Holders of such shares of common stock have the exclusive right to vote for the election of the Company's directors and are entitled to one vote per share. In the event of the voluntary or involuntary liquidation, dissolution or winding up of the Company, the holders of common stock are entitled to a pro rata distribution of the Company's net assets. Dividends may be declared and paid to such holders only when, as, and if declared by the Board or an authorized committee thereof.</w:t>
      </w:r>
    </w:p>
    <w:p>
      <w:pPr>
        <w:spacing w:after="0" w:line="298"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As of December 31, 2019, the authorized capital stock of the Company included 46,000,000 shares of common stock, $0.0001 par value. Such holders had rights, preferences and privileges subject to and qualified by the rights, preferences and privileges of the Redeemable Convertible Preferred Stock. Such holders of common stock were entitled to one vote per share, together with the holders of the Redeemable Convertible Preferred Stock, on all matters submitted to the stockholders for a vote, and were not entitled to receive dividends. In the event of a voluntary or involuntary liquidation, dissolution or winding up of the Company, after the payment of preferential amounts required to be paid to the holders of the Redeemable Convertible Preferred Stock, the holders of common stock were entitled to a pro rata distribution of the Company's remaining assets based on the number of shares held by each such holder.</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2020, the Company did not hold any treasury shares.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the following shares of common stock for future issuance: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19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exercise of outstanding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5,944,546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1,634,686</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Shares reserved for future awards under the 2020 Stock Option and Incentive Plan</w:t>
            </w:r>
          </w:p>
        </w:tc>
        <w:tc>
          <w:tcPr>
            <w:tcW w:w="1420" w:type="dxa"/>
            <w:vAlign w:val="bottom"/>
          </w:tcPr>
          <w:p>
            <w:pPr>
              <w:jc w:val="right"/>
              <w:spacing w:after="0"/>
              <w:rPr>
                <w:sz w:val="20"/>
                <w:szCs w:val="20"/>
                <w:color w:val="auto"/>
              </w:rPr>
            </w:pPr>
            <w:r>
              <w:rPr>
                <w:rFonts w:ascii="Arial" w:cs="Arial" w:eastAsia="Arial" w:hAnsi="Arial"/>
                <w:sz w:val="17"/>
                <w:szCs w:val="17"/>
                <w:color w:val="auto"/>
              </w:rPr>
              <w:t>3,036,776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future awards under the 2020 Employee Stock Purchase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Shares reserved for future awards under the 2017 Stock Incentive Plan</w:t>
            </w:r>
          </w:p>
        </w:tc>
        <w:tc>
          <w:tcPr>
            <w:tcW w:w="19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617,101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Stock</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3,773,820</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Series B Preferred Stock</w:t>
            </w:r>
          </w:p>
        </w:tc>
        <w:tc>
          <w:tcPr>
            <w:tcW w:w="19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6,969,173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B-1 Preferred Stock</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1,246,133</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Series C Preferred Stock</w:t>
            </w:r>
          </w:p>
        </w:tc>
        <w:tc>
          <w:tcPr>
            <w:tcW w:w="19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4,582,257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vesting of restricted stock</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48,190</w:t>
            </w: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Total shares of authorized common stock reserved for future issuance</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9,308,424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18,871,360</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87" w:lineRule="exact"/>
        <w:rPr>
          <w:sz w:val="20"/>
          <w:szCs w:val="20"/>
          <w:color w:val="auto"/>
        </w:rPr>
      </w:pPr>
    </w:p>
    <w:p>
      <w:pPr>
        <w:ind w:right="80" w:firstLine="433"/>
        <w:spacing w:after="0" w:line="246" w:lineRule="auto"/>
        <w:rPr>
          <w:sz w:val="20"/>
          <w:szCs w:val="20"/>
          <w:color w:val="auto"/>
        </w:rPr>
      </w:pPr>
      <w:r>
        <w:rPr>
          <w:rFonts w:ascii="Arial" w:cs="Arial" w:eastAsia="Arial" w:hAnsi="Arial"/>
          <w:sz w:val="17"/>
          <w:szCs w:val="17"/>
          <w:color w:val="auto"/>
        </w:rPr>
        <w:t>As of December 31, 2020,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The Company was not authorized to issue any such shares as of December 31, 2019. As of December 31, 2020, the Company had no shares of undesignated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Incentive Plan</w:t>
      </w:r>
    </w:p>
    <w:p>
      <w:pPr>
        <w:spacing w:after="0" w:line="24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On September 9, 2020, the Board approved the 2020 Stock Option and Incentive Plan (the "2020 Plan"), which was subsequently approved by its stockholders and became effective on October 15, 2020. The 2020 Plan replaced the 2017 Stock Incentive Plan (the "2017 Plan") and no additional awards will be granted under the 2017 Plan following the closing of the IPO. The 2017 Plan will continue to govern outstanding equity awards granted thereunder. The 2020 Plan allows the Company to grant stock options, restricted stock, restricted stock units and other stock-based awards to officers, employees, directors and consultants. The 2020 Plan is administered by the Compensation Committee of the Board, which has the authority to grant awards, to accelerate at any time the exercisability or vesting of any award and to determine the specific terms and conditions of each award, subject to the provisions of the 2020 Plan.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number of shares of common stock authorized for issuance under the 2020 Plan as of December 31, 2020 was 3,271,028 shares.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of common stock authorized for issuance under the 2020 Plan as of December 31, 2019.</w:t>
      </w:r>
    </w:p>
    <w:p>
      <w:pPr>
        <w:spacing w:after="0" w:line="22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As of December 31, 2020, the Company had issued only stock options under the 2020 Plan. Stock options issued comprise service-based awards granted to employees. Stock options issued under the 2020 Plan typically have vesting conditions in which 25% vests upon the first anniversary of a specified vesting commencement date, and the remaining 75% vests in 36 monthly installments over the remaining three years. Vesting of stock options is subject to the recipient’s continued employment or service. Stock options issued under the 2020 Plan expire 10 years from the date of grant.</w:t>
      </w:r>
    </w:p>
    <w:p>
      <w:pPr>
        <w:spacing w:after="0" w:line="192"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Shares that expire, are terminated, surrendered or canceled under the 2020 Plan without having been fully exercised will be available for future awards. In addition, shares of common stock that are tendered to the Company by a participant to exercise an award are added to the number of shares of common stock available for future awards. Upon stock option exercise, the Company issues new shares and delivers them to the participant.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Stock Incentive Plan</w:t>
      </w:r>
    </w:p>
    <w:p>
      <w:pPr>
        <w:spacing w:after="0" w:line="100"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On May 9, 2017, the Board adopted the 2017 Plan. The 2017 Plan allows the Company to grant stock options, restricted stock, restricted stock units and other stock-based awards to employees, officers, directors, consultants and advisors of the Company. The 2017 Plan is administered by the Board, which has the authority to grant awards and determine the terms of awards under the 2017 Plan, provided that generally the exercise price per share of stock options granted may not be less than 100% of the fair market value of a share of the Company’s common stock on the date of grant, and the term of stock options granted may not exceed ten years.</w:t>
      </w:r>
    </w:p>
    <w:p>
      <w:pPr>
        <w:spacing w:after="0" w:line="192" w:lineRule="exact"/>
        <w:rPr>
          <w:sz w:val="20"/>
          <w:szCs w:val="20"/>
          <w:color w:val="auto"/>
        </w:rPr>
      </w:pPr>
    </w:p>
    <w:p>
      <w:pPr>
        <w:ind w:right="560" w:firstLine="433"/>
        <w:spacing w:after="0" w:line="266" w:lineRule="auto"/>
        <w:rPr>
          <w:sz w:val="20"/>
          <w:szCs w:val="20"/>
          <w:color w:val="auto"/>
        </w:rPr>
      </w:pPr>
      <w:r>
        <w:rPr>
          <w:rFonts w:ascii="Arial" w:cs="Arial" w:eastAsia="Arial" w:hAnsi="Arial"/>
          <w:sz w:val="17"/>
          <w:szCs w:val="17"/>
          <w:color w:val="auto"/>
        </w:rPr>
        <w:t>The total number of shares of common stock authorized for issuance under the 2017 Plan as of December 31, 2020 and 2019 was 5,937,763 shares and 2,356,927 shares, respectively. Any authorization to issue new options under the 2017 Plan was cancelled upon the effectiveness of the 2020 Plan and no further awards will be granted under the 2017 Plan.</w:t>
      </w:r>
    </w:p>
    <w:p>
      <w:pPr>
        <w:spacing w:after="0" w:line="18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As of December 31, 2020 and 2019, the Company had issued only stock options and restricted stock under the 2017 Plan. Stock options issued comprise service-based awards granted to employees, directors and non-employee consultants. Stock options and restricted stock issued under the 2017 Plan typically have vesting conditions in which 25% vests upon the first anniversary of a specified vesting commencement date, and the remaining 75% vests in 36 monthly installments over the remaining three years. Vesting of stock options is subject to the recipient’s continued employment or service. The Company has the right to repurchase any unvested shares of restricted stock held by a recipient during the vesting period if the relationship between the recipient and the Company has terminated. Stock options issued under the 2017 Plan expire ten years from the date of grant.</w:t>
      </w:r>
    </w:p>
    <w:p>
      <w:pPr>
        <w:spacing w:after="0" w:line="196"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Shares that expire, are terminated, surrendered or canceled under the 2017 Plan without having been fully exercised will be available for future awards under the 2020 Plan. In addition, shares of common stock that are tendered to the Company by a participant to exercise an award are added to the number of shares of common stock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available for future awards. Upon stock option exercise, the Company issues new shares and delivers them to the participant.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244"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On September 9, 2020, the Board approved the 2020 Employee Stock Purchase Plan (the "2020 ESPP"), which was subsequently approved by its stockholders and became effective on October 15, 2020. The 2020 ESPP permits employees whose customary employment is for more than 20 hours per week to purchase common stock through payroll deductions (which cannot exceed 15 percent of each employee's compensation) at the lower of 85 percent of fair market value at the beginning of the purchase period or the end of each purchase period. The Company may make one or more offerings each year to its employees to purchase shares under the 2020 ESPP. Offerings will usually begin on or around each May 1 and November 1 and will continue for six-month periods, referred to as offering periods. During the year ended December 31, 2020, there were no shares purchased under the 2020 ESPP as the first offering period had not opened as of December 31, 2020. The total shares authorized for issuance under the 2020 ESPP were 327,102 shares as of December 31, 2020. There were no shares authorized for issuance under the 2020 ESPP as of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100" w:lineRule="exact"/>
        <w:rPr>
          <w:sz w:val="20"/>
          <w:szCs w:val="20"/>
          <w:color w:val="auto"/>
        </w:rPr>
      </w:pPr>
    </w:p>
    <w:p>
      <w:pPr>
        <w:ind w:right="80" w:firstLine="433"/>
        <w:spacing w:after="0" w:line="257" w:lineRule="auto"/>
        <w:rPr>
          <w:sz w:val="20"/>
          <w:szCs w:val="20"/>
          <w:color w:val="auto"/>
        </w:rPr>
      </w:pPr>
      <w:r>
        <w:rPr>
          <w:rFonts w:ascii="Arial" w:cs="Arial" w:eastAsia="Arial" w:hAnsi="Arial"/>
          <w:sz w:val="17"/>
          <w:szCs w:val="17"/>
          <w:color w:val="auto"/>
        </w:rPr>
        <w:t>Prior to the adoption of the 2017 Plan, the Company granted restricted common stock in 2016 with time-based vesting conditions to certain employees and non-employee founders of the Company pursuant to individual award agreements. The restricted common stock granted pursuant to these agreements vests either: (i) 25% upon vesting commencement or the first anniversary of a specified vesting commencement date, and the remaining 75% monthly over 36 months thereafter, (ii) monthly over 48 months after a specified vesting commencement date, or</w:t>
      </w:r>
    </w:p>
    <w:p>
      <w:pPr>
        <w:spacing w:after="0" w:line="2" w:lineRule="exact"/>
        <w:rPr>
          <w:sz w:val="20"/>
          <w:szCs w:val="20"/>
          <w:color w:val="auto"/>
        </w:rPr>
      </w:pPr>
    </w:p>
    <w:p>
      <w:pPr>
        <w:ind w:right="40" w:firstLine="5"/>
        <w:spacing w:after="0" w:line="262" w:lineRule="auto"/>
        <w:tabs>
          <w:tab w:leader="none" w:pos="281" w:val="left"/>
        </w:tabs>
        <w:numPr>
          <w:ilvl w:val="0"/>
          <w:numId w:val="77"/>
        </w:numPr>
        <w:rPr>
          <w:rFonts w:ascii="Arial" w:cs="Arial" w:eastAsia="Arial" w:hAnsi="Arial"/>
          <w:sz w:val="17"/>
          <w:szCs w:val="17"/>
          <w:color w:val="auto"/>
        </w:rPr>
      </w:pPr>
      <w:r>
        <w:rPr>
          <w:rFonts w:ascii="Arial" w:cs="Arial" w:eastAsia="Arial" w:hAnsi="Arial"/>
          <w:sz w:val="17"/>
          <w:szCs w:val="17"/>
          <w:color w:val="auto"/>
        </w:rPr>
        <w:t>monthly over 12 months from a specified vesting commencement date. The Company had the right to repurchase the unvested shares held by a recipient during the vesting period if the relationship between the recipient and the Company has terminated. Shares of restricted common stock are not accounted for as outstanding common stock until they have vested. Unvested shares of restricted common stock may not be sold or transferred by the holder. All granted restricted common stock had vested as of December 31, 2020. The Company did not grant any restricted common stock during the years ended December 31, 2020 and 2019.</w:t>
      </w:r>
    </w:p>
    <w:p>
      <w:pPr>
        <w:spacing w:after="0" w:line="192"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 following table summarizes all of the Company’s restricted common stock activity, including restricted common stock issued under the 2017 Plan and under individual award agreements prior to the adoption of the 2017 Plan: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0"/>
              <w:spacing w:after="0" w:line="131"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200" w:type="dxa"/>
            <w:vAlign w:val="bottom"/>
          </w:tcPr>
          <w:p>
            <w:pPr>
              <w:jc w:val="center"/>
              <w:ind w:right="160"/>
              <w:spacing w:after="0" w:line="131"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0"/>
        </w:trPr>
        <w:tc>
          <w:tcPr>
            <w:tcW w:w="8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as of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Issued</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Repurchased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as of December 31, 2020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 total fair value of restricted common stock that vested during the years ended December 31, 2020 and 2019 was $0.5 million and $0.6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1"/>
                <w:szCs w:val="11"/>
                <w:color w:val="auto"/>
              </w:rPr>
            </w:pPr>
          </w:p>
        </w:tc>
        <w:tc>
          <w:tcPr>
            <w:tcW w:w="126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7"/>
              </w:rPr>
              <w:t>Contractual</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9"/>
              </w:rPr>
              <w:t>per Share</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 years)</w:t>
            </w:r>
          </w:p>
        </w:tc>
        <w:tc>
          <w:tcPr>
            <w:tcW w:w="18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34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4,529,870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Cancelled or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(189,514)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5,944,546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282,686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as of December 31, 2020</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1,017,306</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53,624</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as of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5,794,877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275,562</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Valuation</w:t>
      </w:r>
    </w:p>
    <w:p>
      <w:pPr>
        <w:spacing w:after="0" w:line="72"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members of the Board and non-employees on the date of grant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26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8"/>
              </w:rPr>
              <w:t>Year Ended December 31,</w:t>
            </w:r>
          </w:p>
        </w:tc>
        <w:tc>
          <w:tcPr>
            <w:tcW w:w="940" w:type="dxa"/>
            <w:vAlign w:val="bottom"/>
            <w:tcBorders>
              <w:bottom w:val="single" w:sz="8" w:color="auto"/>
            </w:tcBorders>
          </w:tcPr>
          <w:p>
            <w:pPr>
              <w:spacing w:after="0"/>
              <w:rPr>
                <w:sz w:val="15"/>
                <w:szCs w:val="15"/>
                <w:color w:val="auto"/>
              </w:rPr>
            </w:pPr>
          </w:p>
        </w:tc>
      </w:tr>
      <w:tr>
        <w:trPr>
          <w:trHeight w:val="177"/>
        </w:trPr>
        <w:tc>
          <w:tcPr>
            <w:tcW w:w="754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2019</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940" w:type="dxa"/>
            <w:vAlign w:val="bottom"/>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79.09 %</w:t>
            </w: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660" w:type="dxa"/>
            <w:vAlign w:val="bottom"/>
            <w:gridSpan w:val="3"/>
          </w:tcPr>
          <w:p>
            <w:pPr>
              <w:jc w:val="right"/>
              <w:ind w:right="7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01"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 weighted-average grant-date fair value of the Company’s stock options granted during the years ended December 31, 2020 and 2019 was $6.51 and $2.25, respectively.</w:t>
      </w:r>
    </w:p>
    <w:p>
      <w:pPr>
        <w:spacing w:after="0" w:line="181"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In December 2020, the Company recognized approximately $2.1 million of stock-based compensation expense, recorded within general and administrative expense, related to the modification of option awards granted to former employee in conjunction with their termination of employment. The former employee will continue to vest in 53,319 option awards through September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20" w:type="dxa"/>
            <w:vAlign w:val="bottom"/>
            <w:tcBorders>
              <w:bottom w:val="single" w:sz="8" w:color="CCEEFF"/>
            </w:tcBorders>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4640" w:type="dxa"/>
            <w:vAlign w:val="bottom"/>
            <w:gridSpan w:val="2"/>
            <w:shd w:val="clear" w:color="auto" w:fill="CCEEFF"/>
          </w:tcPr>
          <w:p>
            <w:pPr>
              <w:jc w:val="right"/>
              <w:ind w:right="73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7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4640" w:type="dxa"/>
            <w:vAlign w:val="bottom"/>
            <w:gridSpan w:val="2"/>
            <w:shd w:val="clear" w:color="auto" w:fill="CCEEFF"/>
          </w:tcPr>
          <w:p>
            <w:pPr>
              <w:jc w:val="right"/>
              <w:ind w:right="73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13"/>
              <w:spacing w:after="0"/>
              <w:rPr>
                <w:sz w:val="20"/>
                <w:szCs w:val="20"/>
                <w:color w:val="auto"/>
              </w:rPr>
            </w:pPr>
            <w:r>
              <w:rPr>
                <w:rFonts w:ascii="Arial" w:cs="Arial" w:eastAsia="Arial" w:hAnsi="Arial"/>
                <w:sz w:val="17"/>
                <w:szCs w:val="17"/>
                <w:color w:val="auto"/>
              </w:rPr>
              <w:t>164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40" w:firstLine="433"/>
        <w:spacing w:after="0" w:line="275" w:lineRule="auto"/>
        <w:rPr>
          <w:sz w:val="20"/>
          <w:szCs w:val="20"/>
          <w:color w:val="auto"/>
        </w:rPr>
      </w:pPr>
      <w:r>
        <w:rPr>
          <w:rFonts w:ascii="Arial" w:cs="Arial" w:eastAsia="Arial" w:hAnsi="Arial"/>
          <w:sz w:val="17"/>
          <w:szCs w:val="17"/>
          <w:color w:val="auto"/>
        </w:rPr>
        <w:t>As of December 31, 2020, total unrecognized compensation cost related to unvested stock-based awards was $26.7 million, which is expected to be recognized over a weighted-average period of 3.58 years.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Significant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Purdue License Agreement</w:t>
      </w:r>
    </w:p>
    <w:p>
      <w:pPr>
        <w:spacing w:after="0" w:line="10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On December 31, 2017, the Company entered into a License Agreement with Purdue (the “Purdue License Agreement”), pursuant to which Purdue granted the Company exclusive rights under certain Purdue know-how to research, develop and commercialize pharmaceutical products concerning a GABA</w:t>
      </w:r>
      <w:r>
        <w:rPr>
          <w:rFonts w:ascii="Arial" w:cs="Arial" w:eastAsia="Arial" w:hAnsi="Arial"/>
          <w:sz w:val="15"/>
          <w:szCs w:val="15"/>
          <w:color w:val="auto"/>
        </w:rPr>
        <w:t>A</w:t>
      </w:r>
      <w:r>
        <w:rPr>
          <w:rFonts w:ascii="Arial" w:cs="Arial" w:eastAsia="Arial" w:hAnsi="Arial"/>
          <w:sz w:val="17"/>
          <w:szCs w:val="17"/>
          <w:color w:val="auto"/>
        </w:rPr>
        <w:t xml:space="preserve"> positive allosteric modulator. The Company is obligated to make future milestone payments based on the achievement of specified development and sales milestones up to $33.0 million. Furthermore, the Company is required to pay Purdue royalties of a low-single-digit percentage of annual net sales of licensed products.</w:t>
      </w:r>
    </w:p>
    <w:p>
      <w:pPr>
        <w:spacing w:after="0" w:line="192"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 Purdue License Agreement will remain in effect until the expiration of the Company’s royalty obligation for all licensed products. Either the Company or Purdue may terminate the agreement in the event of a material breach by the other party and fails to cure such breach within a certain period of time. Either party may voluntarily terminate the agreement with prior notice. If the agreement is voluntarily terminated by Purdue, the Company’s license rights will survive such termination and such rights will become fully paid, perpetual and irrevocable.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2020, none of the developmental or sales milestones under the Purdue License Agreement were achieved.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 and Ionis Agreements</w:t>
      </w:r>
    </w:p>
    <w:p>
      <w:pPr>
        <w:spacing w:after="0" w:line="113"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During 2018, the Company began negotiating a license agreement with RogCon Inc. (“RogCon”) for intellectual property related to treating SCN2A mutations in epilepsy, which is recognized as the second most common genetic cause of epilepsy. RogCon had an existing collaboration with Ionis Pharmaceuticals, Inc. (“Ionis”) and as a result the Company needed to negotiate an agreement with Ionis in order to complete the license agreement with RogCon. On December 21, 2018, the Company entered into an agreement with RogCon to advance RogCon a deposit of up to $1.0 million on the pending license agreement while the agreement with Ionis was being negotiated. The deposit was fully refundable to the Company. On September 11, 2019, the Company entered into both a Cooperation and License Agreement (the “License Agreement”) with RogCon, and a Research, Collaboration, Option and License Agreement (the “Collaboration Agreement”) with Ionis. The agreements were entered into contemporaneously to enable the parties to advance their collective efforts related to SCN2A. Upon execution of the License Agreement, the $1.0 million outstanding balance of the deposit was applied toward the purchase price of the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RogCon Agreement</w:t>
      </w:r>
    </w:p>
    <w:p>
      <w:pPr>
        <w:spacing w:after="0" w:line="98"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 consisting of the $1.0 million deposit, $0.7 million in cash reimbursements for certain historical costs previously incurred by RogCon, and $0.4 million for the retirement of existing loan balances as of September 11, 2019.</w:t>
      </w:r>
    </w:p>
    <w:p>
      <w:pPr>
        <w:spacing w:after="0" w:line="196" w:lineRule="exact"/>
        <w:rPr>
          <w:sz w:val="20"/>
          <w:szCs w:val="20"/>
          <w:color w:val="auto"/>
        </w:rPr>
      </w:pPr>
    </w:p>
    <w:p>
      <w:pPr>
        <w:jc w:val="both"/>
        <w:ind w:right="200" w:firstLine="433"/>
        <w:spacing w:after="0" w:line="266" w:lineRule="auto"/>
        <w:rPr>
          <w:sz w:val="20"/>
          <w:szCs w:val="20"/>
          <w:color w:val="auto"/>
        </w:rPr>
      </w:pPr>
      <w:r>
        <w:rPr>
          <w:rFonts w:ascii="Arial" w:cs="Arial" w:eastAsia="Arial" w:hAnsi="Arial"/>
          <w:sz w:val="17"/>
          <w:szCs w:val="17"/>
          <w:color w:val="auto"/>
        </w:rPr>
        <w:t>The Company concluded that the License Agreement represented the acquisition of in-process research and development assets with no alternative future use. Therefore, the aggregate acquisition cost of $2.2 million, consisting of the $2.1 million of up-front consideration and $0.1 million of acquisition costs, was expensed as research and development on September 11, 2019.</w:t>
      </w:r>
    </w:p>
    <w:p>
      <w:pPr>
        <w:spacing w:after="0" w:line="189"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Subsequent to September 11, 2019, the Company will reimburse RogCon for its out-of-pocket costs incurred for activities performed under the License Agreement. The Company expenses these costs as incurred as research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and development. The Company expensed $0.2 million and $0.1 million for the reimbursement of RogCon’s out-of-pocket costs in the years ended December 31, 2020 and 2019, respectively.</w:t>
      </w:r>
    </w:p>
    <w:p>
      <w:pPr>
        <w:spacing w:after="0" w:line="181"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Collaboration Agreement, which are subject to the Company exercising its option to obtain license rights to a development candidate, as well as other contingent events. The profit share payments will be based on a low-double-digit percentage of net profits, depending on sales volume.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14" w:lineRule="exact"/>
        <w:rPr>
          <w:sz w:val="20"/>
          <w:szCs w:val="20"/>
          <w:color w:val="auto"/>
        </w:rPr>
      </w:pPr>
    </w:p>
    <w:p>
      <w:pPr>
        <w:ind w:right="100" w:firstLine="5"/>
        <w:spacing w:after="0" w:line="262" w:lineRule="auto"/>
        <w:tabs>
          <w:tab w:leader="none" w:pos="24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9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Under the Collaboration Agreement, both parties will participate in research activities related to the downregulation of SCN2A gene products associated with the treatment of any and all forms of epilepsy and/or neurodevelopmental disorders in each case caused by any mutation of the SCN2A gene, other than one severe type of epilepsy. Ionis will also be responsible for identifying a development candidate and conducting an IND-enabling toxicology study. The Company will reimburse Ionis for any out-of-pocket costs incurred related to the research activities, identification of a development candidate and conducting an IND-enabling toxicology study. Additionally, the Company agreed to reimburse $0.3 million of costs incurred by Ionis for the performance of research activities prior to the execution of the Collaboration Agreement, which the Company recognized as research and development expense. The reimbursement of out-of-pocket costs is recognized as research and development expense as incurred. The Company expensed a total of $ 1.7 million and $0.6 million, inclusive of the upfront payment of $0.3 million, as research and development expense under the Collaboration Agreement for the years ended December 31, 2020 and 2019, respectively.</w:t>
      </w:r>
    </w:p>
    <w:p>
      <w:pPr>
        <w:spacing w:after="0" w:line="200" w:lineRule="exact"/>
        <w:rPr>
          <w:sz w:val="20"/>
          <w:szCs w:val="20"/>
          <w:color w:val="auto"/>
        </w:rPr>
      </w:pPr>
    </w:p>
    <w:p>
      <w:pPr>
        <w:spacing w:after="0" w:line="20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Ionis granted the Company an exclusive option to obtain the rights and license related to the development candidate, which the Company may exercise following completion of the IND-enabling toxicology study. Upon option exercise, the Company will pay Ionis a $2.0 million license fee. After option exercise, the Company is responsible for clinical development and commercialization of the development candidate. If the option is not exercised, the Collaboration Agreement will expire, and the Company will have no further rights to the development candidate. Additionally, if the option is not exercised, at the request of Ionis, the Company will assign the RogCon License Agreement to Ionis. The Company concluded that there is no accounting recognition for the exclusive option unless and until such option is exercised because it is a unilateral right of the Company that is priced at an amount that approximates fair value.</w:t>
      </w:r>
    </w:p>
    <w:p>
      <w:pPr>
        <w:spacing w:after="0" w:line="196"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If the Company exercises its exclusive option, Ionis may be entitled to development milestone payments, additional milestone payments, and sales royalties or sublicense fees.</w:t>
      </w:r>
    </w:p>
    <w:p>
      <w:pPr>
        <w:spacing w:after="0" w:line="181"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The Collaboration Agreement will continue until the expiration of all payment obligations to Ionis, unless earlier terminated. Either party may terminate the Collaboration Agreement upon material breach or insolvency of the other party or if Ionis is unable to identify a development candidate. Ionis may terminate if the Company fails to achieve a performance milestone. The Company may terminate for convenience with prior written notice to Ionis. Upon termination by the Company for convenience, the Company will stop selling all products, subject to certain wind-down provisions, and all products will revert back to Ionis.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Net Loss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6" w:name="page167"/>
    <w:bookmarkEnd w:id="1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(61,820)</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(35,512)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Accretion and cumulative dividends on redeemable convertible preferred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Gain on repurchase of redeemable convertible preferred stock</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loss attributable to common stockholders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(40,682)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Weighted average common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8,950,152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1,529,629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29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Year Ended December 31,</w:t>
            </w:r>
          </w:p>
        </w:tc>
      </w:tr>
      <w:tr>
        <w:trPr>
          <w:trHeight w:val="177"/>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5,944,546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1,634,686</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Series A Preferred Stock</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3,773,820</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 Preferred Stock</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6,969,173</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Series B-1 Preferred Stock</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1,246,133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C Preferred Stock</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4,582,257</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48,190</w:t>
            </w:r>
          </w:p>
        </w:tc>
      </w:tr>
      <w:tr>
        <w:trPr>
          <w:trHeight w:val="216"/>
        </w:trPr>
        <w:tc>
          <w:tcPr>
            <w:tcW w:w="8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5,944,546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18,254,259</w:t>
            </w:r>
          </w:p>
        </w:tc>
      </w:tr>
    </w:tbl>
    <w:p>
      <w:pPr>
        <w:spacing w:after="0" w:line="301"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The shares of common stock issuable upon conversion of the Redeemable Convertible Preferred Stock for the year ended December 31, 2019 assumed automatic conversion in the event of a qualified public offering.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02"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Company maintains a full valuation allowance on its U.S. net deferred tax assets due to the uncertainty of future taxable income. The Company did not recognize an income tax benefit in the years ended December 31, 2020 or 2019 related to its U.S. operations due to the uncertainty regarding future taxable income. In the years ended December 31, 2020 and 2019, the difference between the statutory tax rate in the U.S. and the Company’s effective tax rate was due primarily to the valuation allowance recorded to offset any potential tax benefit. The income tax benefit recognized for the years ended December 31, 2020 and 2019 related to income tax associated with the Company’s operations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the U.S. statutory income tax rate to the Company’s effective tax rate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7"/>
        </w:trPr>
        <w:tc>
          <w:tcPr>
            <w:tcW w:w="8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statutory income tax rate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and state research and development credits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Non-deductible items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Effective income tax rate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40"/>
              <w:spacing w:after="0"/>
              <w:rPr>
                <w:sz w:val="20"/>
                <w:szCs w:val="20"/>
                <w:color w:val="auto"/>
              </w:rPr>
            </w:pPr>
            <w:r>
              <w:rPr>
                <w:rFonts w:ascii="Arial" w:cs="Arial" w:eastAsia="Arial" w:hAnsi="Arial"/>
                <w:sz w:val="17"/>
                <w:szCs w:val="17"/>
                <w:color w:val="auto"/>
              </w:rPr>
              <w:t>Net deferred tax assets consisted of the following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26,441</w:t>
            </w:r>
          </w:p>
        </w:tc>
        <w:tc>
          <w:tcPr>
            <w:tcW w:w="5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14,502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Research and development credits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3,053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Leases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gross deferred tax assets</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37,078</w:t>
            </w:r>
          </w:p>
        </w:tc>
        <w:tc>
          <w:tcPr>
            <w:tcW w:w="5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20,040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(36,873)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(19,647)</w:t>
            </w: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Arial" w:cs="Arial" w:eastAsia="Arial" w:hAnsi="Arial"/>
                <w:sz w:val="17"/>
                <w:szCs w:val="17"/>
                <w:color w:val="auto"/>
              </w:rPr>
              <w:t>Net deferred tax assets</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205</w:t>
            </w:r>
          </w:p>
        </w:tc>
        <w:tc>
          <w:tcPr>
            <w:tcW w:w="5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Operating lease right-of-use asset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gross deferred tax liabilities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of December 31, 2020 and 2019, the Company had U.S. federal net operating loss carryforwards which may be able to offset future income tax liabilities of approximately $97.1 million and $53.4 million, respectively. Federal net operating loss carryforwards of $7.7 million will expire at various dates through 2037 and approximately $ 89.4 million may be carried forward indefinitely. As of December 31, 2020 and 2019, the Company also had state net operating loss carryforwards of approximately $94.5 million and $52.0 million, respectively, which may be available to offset future income tax liabilities and expire at various dates through 2040.</w:t>
      </w:r>
    </w:p>
    <w:p>
      <w:pPr>
        <w:spacing w:after="0" w:line="192" w:lineRule="exact"/>
        <w:rPr>
          <w:sz w:val="20"/>
          <w:szCs w:val="20"/>
          <w:color w:val="auto"/>
        </w:rPr>
      </w:pPr>
    </w:p>
    <w:p>
      <w:pPr>
        <w:ind w:right="240" w:firstLine="433"/>
        <w:spacing w:after="0" w:line="260" w:lineRule="auto"/>
        <w:rPr>
          <w:sz w:val="20"/>
          <w:szCs w:val="20"/>
          <w:color w:val="auto"/>
        </w:rPr>
      </w:pPr>
      <w:r>
        <w:rPr>
          <w:rFonts w:ascii="Arial" w:cs="Arial" w:eastAsia="Arial" w:hAnsi="Arial"/>
          <w:sz w:val="17"/>
          <w:szCs w:val="17"/>
          <w:color w:val="auto"/>
        </w:rPr>
        <w:t>As of December 31, 2020 and 2019, the Company had federal research and development tax credit carryforwards of approximately $2.4 million and $0.9 million, respectively, available to reduce future tax liabilities which expire at various dates through 2040. As of December 31, 2020 and 2019, the Company had state research and development tax credit carryforwards of approximately $0.9 million and $0.4 million, respectively, available to reduce future tax liabilities which expire at various dates through 2035. The Company has 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81"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205"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2020 and 2019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$36.9 million and $19.6 million has been established at December 31, 2020 and 2019, respectively. Management reevaluates the positive and negative evidence at each reporting period. The valuation allowance increased by approximately $17.3 million and $10.5 million during the years ended December 31, 2020 and 2019, respectively, due primarily to the generation of net operating losses.</w:t>
      </w:r>
    </w:p>
    <w:p>
      <w:pPr>
        <w:spacing w:after="0" w:line="200"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The Company has not recorded any amounts for unrecognized tax benefits as of December 31, 2020 and 2019. The Company’s policy is to record interest and penalties related to uncertain tax positions as part of its income tax provision. As of December 31, 2020 and 2019, the Company had no accrued interest or penalties related to uncertain tax positions and no such amounts have been recognized in the Company’s consolidated statement of operations and comprehensive loss for either year ended December 31, 2020 or 2019. The statute of limitations for federal and state tax authorities is open for tax years ended December 31, 2017 through December 31, 2020. Since the Company is in a net loss carryforward position, the Company is generally subject to examination by the U.S. federal, state and local income tax authorities for all tax years in which a loss carryforward is available.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246"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One of the founders of RogCon became the Company's General Counsel in June 2020. During the years ended December 31, 2020 and 2019, the Company reimbursed RogCon for its out-of-pocket costs incurred for activities performed under the License Agreement (Note 11).</w:t>
      </w:r>
    </w:p>
    <w:p>
      <w:pPr>
        <w:spacing w:after="0" w:line="208"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A former member of the Board was affiliated with Purdue through September 2020. During the years ended December 31, 2020 and 2019, the Company performed certain research and development activities pursuant to the Purdue License Agreement (Note 11).</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years ended December 31, 2020 and 2019, related parties participated in each of the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9" w:name="page170"/>
    <w:bookmarkEnd w:id="1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Company’s offerings of the Redeemable Convertible Preferred Stock (Note 8).</w:t>
      </w:r>
    </w:p>
    <w:p>
      <w:pPr>
        <w:spacing w:after="0" w:line="250" w:lineRule="exact"/>
        <w:rPr>
          <w:sz w:val="20"/>
          <w:szCs w:val="20"/>
          <w:color w:val="auto"/>
        </w:rPr>
      </w:pPr>
    </w:p>
    <w:p>
      <w:pPr>
        <w:ind w:right="340" w:firstLine="433"/>
        <w:spacing w:after="0" w:line="266" w:lineRule="auto"/>
        <w:rPr>
          <w:sz w:val="20"/>
          <w:szCs w:val="20"/>
          <w:color w:val="auto"/>
        </w:rPr>
      </w:pPr>
      <w:r>
        <w:rPr>
          <w:rFonts w:ascii="Arial" w:cs="Arial" w:eastAsia="Arial" w:hAnsi="Arial"/>
          <w:sz w:val="17"/>
          <w:szCs w:val="17"/>
          <w:color w:val="auto"/>
        </w:rPr>
        <w:t>During the year ended December 31, 2019, the Company reimbursed $0.2 million of third-party recruiting costs incurred by a significant shareholder on behalf of the Company. These amounts were recorded in general and administrative expenses during the year ended December 31, 2019 and were within accrued expenses as of December 31, 2019.</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Employee Benefit Plan</w:t>
      </w:r>
    </w:p>
    <w:p>
      <w:pPr>
        <w:spacing w:after="0" w:line="10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on a pre-tax basis. Under the plan, the Company is not obligated to match any participant contributions. The Company made contributions of $0.5 million during the year ended December 31, 2020 and did not make any contributions to the plan during the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351"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Company has completed an evaluation of subsequent events after the consolidated balance sheet date of December 31, 2020 through the date these consolidated financial statements were issued. The Company has concluded that no subsequent events have occurred that require disclosure.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3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27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30" w:lineRule="exact"/>
        <w:rPr>
          <w:sz w:val="20"/>
          <w:szCs w:val="20"/>
          <w:color w:val="auto"/>
        </w:rPr>
      </w:pPr>
    </w:p>
    <w:p>
      <w:pPr>
        <w:ind w:right="280" w:firstLine="433"/>
        <w:spacing w:after="0" w:line="262"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Vice President of Finance (our principal accounting officer and interim principal financial officer), evaluated the effectiveness of our disclosure controls and procedures as of December 31, 2020. Based on the evaluation of our disclosure controls and procedures as of December 31, 2020, our Chief Executive Officer and Vice President of Finance concluded that, as of such date, our disclosure controls and procedures were effective at the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70"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There were no changes in our internal control over financial reporting that occurred during the the three months ended December 31, 2020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270"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(as defined in Rule 13a-15(f) under the Exchange Act) or an attestation report of our independent registered public accounting firm due to a transition period established by rules of the SEC for newly public companies.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name, age, and position of each of our current executive officers and directors as of March 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Age</w:t>
            </w:r>
          </w:p>
        </w:tc>
        <w:tc>
          <w:tcPr>
            <w:tcW w:w="4980" w:type="dxa"/>
            <w:vAlign w:val="bottom"/>
          </w:tcPr>
          <w:p>
            <w:pPr>
              <w:ind w:left="22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Executive Officers: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98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Marcio Souza</w:t>
            </w:r>
          </w:p>
        </w:tc>
        <w:tc>
          <w:tcPr>
            <w:tcW w:w="1060" w:type="dxa"/>
            <w:vAlign w:val="bottom"/>
          </w:tcPr>
          <w:p>
            <w:pPr>
              <w:jc w:val="right"/>
              <w:ind w:right="354"/>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President, Chief Executive Officer, Director</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Bernard Ravina, M.D.</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Medical Officer</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Alex Nemiroff, J.D.</w:t>
            </w:r>
          </w:p>
        </w:tc>
        <w:tc>
          <w:tcPr>
            <w:tcW w:w="1060" w:type="dxa"/>
            <w:vAlign w:val="bottom"/>
          </w:tcPr>
          <w:p>
            <w:pPr>
              <w:jc w:val="right"/>
              <w:ind w:right="354"/>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General Counsel, Secretary</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Nicole Sweeny</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Commercial Officer</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Dean Mitchell(2)</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Chairman, Director</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Nicholas Galakatos, Ph.D.(2)(3)</w:t>
            </w:r>
          </w:p>
        </w:tc>
        <w:tc>
          <w:tcPr>
            <w:tcW w:w="1060" w:type="dxa"/>
            <w:vAlign w:val="bottom"/>
          </w:tcPr>
          <w:p>
            <w:pPr>
              <w:jc w:val="right"/>
              <w:ind w:right="354"/>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Gregory Norden(1)</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Kiran Reddy, M.D.</w:t>
            </w:r>
          </w:p>
        </w:tc>
        <w:tc>
          <w:tcPr>
            <w:tcW w:w="1060" w:type="dxa"/>
            <w:vAlign w:val="bottom"/>
          </w:tcPr>
          <w:p>
            <w:pPr>
              <w:jc w:val="right"/>
              <w:ind w:right="354"/>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Stefan Vitorovic(1)(3)</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William Young(1)(2)(3)</w:t>
            </w:r>
          </w:p>
        </w:tc>
        <w:tc>
          <w:tcPr>
            <w:tcW w:w="1060" w:type="dxa"/>
            <w:vAlign w:val="bottom"/>
          </w:tcPr>
          <w:p>
            <w:pPr>
              <w:jc w:val="right"/>
              <w:ind w:right="354"/>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6" w:lineRule="exact"/>
        <w:rPr>
          <w:sz w:val="20"/>
          <w:szCs w:val="20"/>
          <w:color w:val="auto"/>
        </w:rPr>
      </w:pPr>
    </w:p>
    <w:p>
      <w:pPr>
        <w:ind w:left="320" w:hanging="315"/>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95"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b w:val="1"/>
          <w:bCs w:val="1"/>
          <w:i w:val="1"/>
          <w:iCs w:val="1"/>
          <w:color w:val="auto"/>
        </w:rPr>
        <w:t xml:space="preserve">Marcio Souza </w:t>
      </w:r>
      <w:r>
        <w:rPr>
          <w:rFonts w:ascii="Arial" w:cs="Arial" w:eastAsia="Arial" w:hAnsi="Arial"/>
          <w:sz w:val="17"/>
          <w:szCs w:val="17"/>
          <w:color w:val="auto"/>
        </w:rPr>
        <w:t>has served as a director and our President and Chief Executive Officer since April 2020. Prior to joining us, Mr. Souza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PTC Therapeutics, Inc., or PTC, where he served as its Chief Operating Officer from May 2017 to April 2020 and its Senior Vice President and Head of Product Strategy from July 2016 to May 2017. Prior to joining PTC, Mr. Souza served in positions of increasing responsibility at NPS Pharmaceuticals, Inc., Shire Human Genetic Therapies Inc. and Sanofi Genzyme Corporation. From May 2019 to May 2020, Mr. Souza also served on the board of directors of Clearpoint Neuro, Inc. (NASDAQ: CLPT) (previously MRI Interventions, Inc.). Mr. Souza received a degree in pharmacy and biochemistry with a specialization in toxicology and clinical analysis from the University of São Paulo and an M.B.A. from Fundação Dom Cabral. We believe Mr. Souza is qualified to serve on our board of directors because of his business and leadership experience in the life sciences industry and his scientific background.</w:t>
      </w:r>
    </w:p>
    <w:p>
      <w:pPr>
        <w:spacing w:after="0" w:line="175"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b w:val="1"/>
          <w:bCs w:val="1"/>
          <w:i w:val="1"/>
          <w:iCs w:val="1"/>
          <w:color w:val="auto"/>
        </w:rPr>
        <w:t>Bernard Ravina, M.D.</w:t>
      </w:r>
      <w:r>
        <w:rPr>
          <w:rFonts w:ascii="Arial" w:cs="Arial" w:eastAsia="Arial" w:hAnsi="Arial"/>
          <w:sz w:val="17"/>
          <w:szCs w:val="17"/>
          <w:color w:val="auto"/>
        </w:rPr>
        <w:t>, has served as our Chief Medical Officer since August 2018. Prior to joining us, Dr. Ravina was at Voyager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Therapeutics, Inc. (NASDAQ: VYGR), where he served as Chief Medical Officer from February 2017 to August 2018 and as Vice President of Clinical Development from March 2014 to January 2017. Dr. Ravina was also Medical Director in Clinical Development at Biogen Inc. (NASDAQ: BIIB), or Biogen, from 2010 to 2014, where he worked on both small molecule drugs and biologics for the treatment of neurological disorders. From 2005 to 2010, Dr. Ravina was an Associate Professor of Neurology, Director of the Movement and Inherited Neurological Disorders Unit, Associate Director of Clinical Trials Coordination Center and Vice Chair of Neurology at the University of Rochester School of Medicine.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Dr. Ravina received a B.A. in psychology from Columbia University, an M.D. from Johns Hopkins University School of Medicine and an M.S.C.E.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 clinical epidemiology from the University of Pennsylvania where he completed his residency and fellowship training in Neurology.</w:t>
      </w:r>
    </w:p>
    <w:p>
      <w:pPr>
        <w:spacing w:after="0" w:line="204"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b w:val="1"/>
          <w:bCs w:val="1"/>
          <w:i w:val="1"/>
          <w:iCs w:val="1"/>
          <w:color w:val="auto"/>
        </w:rPr>
        <w:t>Alex Nemiroff, J.D.</w:t>
      </w:r>
      <w:r>
        <w:rPr>
          <w:rFonts w:ascii="Arial" w:cs="Arial" w:eastAsia="Arial" w:hAnsi="Arial"/>
          <w:sz w:val="17"/>
          <w:szCs w:val="17"/>
          <w:color w:val="auto"/>
        </w:rPr>
        <w:t>, has served as our General Counsel since June 2020. Prior to his role as General Counsel, Mr. Nemiroff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VP of Legal from January 2020 to June 2020. Mr. Nemiroff was also a co-founder of RogCon, Inc. and RogCon U.R., Inc., and he has served as both entities’ Chief Executive Officer since inception in November 2015. Mr. Nemiroff has experience working in commercial and securities litigation while at Greenberg Traurig LLP, and served as law clerk to the Honorable Paul C. Huck of the United States District Court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for the Southern District of Florida. Mr. Nemiroff received a B.B.A from the University of Michigan’s Ross School of Business, and a J.D. from Northwestern University School of Law.</w:t>
      </w:r>
    </w:p>
    <w:p>
      <w:pPr>
        <w:spacing w:after="0" w:line="16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b w:val="1"/>
          <w:bCs w:val="1"/>
          <w:i w:val="1"/>
          <w:iCs w:val="1"/>
          <w:color w:val="auto"/>
        </w:rPr>
        <w:t xml:space="preserve">Nicole Sweeny </w:t>
      </w:r>
      <w:r>
        <w:rPr>
          <w:rFonts w:ascii="Arial" w:cs="Arial" w:eastAsia="Arial" w:hAnsi="Arial"/>
          <w:sz w:val="17"/>
          <w:szCs w:val="17"/>
          <w:color w:val="auto"/>
        </w:rPr>
        <w:t>has served as our Chief Commercial Officer since August 2020. Prior to joining us, Ms. Sweeny was at Takeda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Pharmaceuticals (NYSE: TAK) where she served as a Vice President, Franchise Head, Rare Diseases from February 2019 to July 2020. Prior to Takeda, Ms. Sweeny served in several roles at Shire Pharmaceuticals plc (later acquired by Takeda Pharmaceuticals Company Limited) from August 2010 to January 2019, including Vice President, Head of US Marketing from September 2017 to January 2019 and Vice President, Global Product Strategy Lead from December 2016 to August 2017. Prior to joining Shire, Ms. Sweeny served in commercial positions of increasing responsibility at AMAG Pharmaceuticals and Sanofi Genzyme Corporation. Ms. Sweeny received her B.S. from Boston College.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8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b w:val="1"/>
          <w:bCs w:val="1"/>
          <w:i w:val="1"/>
          <w:iCs w:val="1"/>
          <w:color w:val="auto"/>
        </w:rPr>
        <w:t xml:space="preserve">Dean Mitchell </w:t>
      </w:r>
      <w:r>
        <w:rPr>
          <w:rFonts w:ascii="Arial" w:cs="Arial" w:eastAsia="Arial" w:hAnsi="Arial"/>
          <w:sz w:val="17"/>
          <w:szCs w:val="17"/>
          <w:color w:val="auto"/>
        </w:rPr>
        <w:t>has served as chairman of our board of directors since September 2020. He served as executive 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Covis Pharma Holdings, a specialty pharmaceutical company, from August 2013 until its sale in March 2020 and was chairman of PaxVax Corporation from January 2016 until its sale in October 2018.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publicly traded specialty pharmaceutical company, from 2006 until its acquisition by King Pharmaceuticals, Inc. in 2008, and Guilford Pharmaceuticals, Inc., a publicly traded pharmaceutical company focused in oncology and acute care, from 2004 until its acquisition by MGI Pharma Inc. in 2005. From 2001 to 2004, he served in various senior executive capacities in the worldwide medicines group of Bristol-Myers Squibb Company, a pharmaceutical company. Prior to the Bristol-Myers Squibb Company, he spent 14 years at GlaxoSmithKline plc, in assignments of increasing responsibility spanning sales, marketing, general management, commercial strategy and clinical development and product strategy. Mr. Mitchell currently serves on the board of directors of Theravance Biopharma, Inc. (NASDAQ: TBPH), ImmunoGen Inc. (NASDAQ: IMGN), Precigen Inc. (formerly Intrexon Inc.) (NASDAQ: PGEN) and Kinnate Biopharma Inc. (NASDAQ: KNTE). Mr. Mitchell holds an M.B.A. from City University London and a B.Sc. in biology from Coventry University. We believe Mr. Mitchell is qualified to serve on our board of directors because of his management experience in the pharmaceutical and biotherapeutics industries and his experience as a President, Chief Executive Officer and board member of multiple biotechnology companies.</w:t>
      </w:r>
    </w:p>
    <w:p>
      <w:pPr>
        <w:spacing w:after="0" w:line="392"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b w:val="1"/>
          <w:bCs w:val="1"/>
          <w:i w:val="1"/>
          <w:iCs w:val="1"/>
          <w:color w:val="auto"/>
        </w:rPr>
        <w:t>Nicholas Galakatos, Ph.D.</w:t>
      </w:r>
      <w:r>
        <w:rPr>
          <w:rFonts w:ascii="Arial" w:cs="Arial" w:eastAsia="Arial" w:hAnsi="Arial"/>
          <w:sz w:val="17"/>
          <w:szCs w:val="17"/>
          <w:color w:val="auto"/>
        </w:rPr>
        <w:t>, has served as a member our board of directors since September 2015. Dr. Galakatos is the Global 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 Sciences of The Blackstone Group Inc., or Blackstone. Prior to joining Blackstone, Dr. Galakatos was a co-Founder and Managing Director of Clarus Ventures, LLC (acquired by Blackstone in 2018), or Clarus, since the firm’s inception in 2005. Dr. Galakatos is currently the chairman of the board of directors of Anthos Therapeutics, Inc., or Anthos, a private, clinical-stage cardiovascular biotech founded in 2019, and a member of the board of directors of Talaris, Inc. He is a member of the Director’s Council of the Koch Institute at MIT and a member of the Board of Trustees at Reed College. Dr. Galakatos received a B.A. in chemistry from Reed College and a Ph.D. in organic chemistry from the Massachusetts Institute of Technology. We believe Dr. Galakatos is qualified to serve on our board of directors because of his business and leadership experience in the life sciences industry and his scientific background.</w:t>
      </w:r>
    </w:p>
    <w:p>
      <w:pPr>
        <w:spacing w:after="0" w:line="175"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b w:val="1"/>
          <w:bCs w:val="1"/>
          <w:i w:val="1"/>
          <w:iCs w:val="1"/>
          <w:color w:val="auto"/>
        </w:rPr>
        <w:t xml:space="preserve">Gregory Norden </w:t>
      </w:r>
      <w:r>
        <w:rPr>
          <w:rFonts w:ascii="Arial" w:cs="Arial" w:eastAsia="Arial" w:hAnsi="Arial"/>
          <w:sz w:val="17"/>
          <w:szCs w:val="17"/>
          <w:color w:val="auto"/>
        </w:rPr>
        <w:t>is the former Chief Financial Officer of Wyeth and has served as a member of our board of directors since March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Norden currently serves as the Managing Director of G9 Capital Group LLC, which invests in early stage ventures and provides corporate finance advisory services, since 2010. Mr. Norden currently serves on the boards of directors of Zoetis (NYSE: ZTS), the leading animal health company, NanoString Technologies (NASDAQ: NSTG), a leading provider of life science tools for translational research, Royalty Pharma (NASDAQ: RPRX), a leading funder of innovation across the biopharmaceutical industry. Mr. Norden is a former director of Human Genome Sciences, Welch Allyn, Univision Communications and Entasis Therapeutics. Mr. Norden received a B.S. in management and economics from the State University of New York at Plattsburgh and an M.S. in accounting from Long Island University—C.W. Post. We believe Mr. Norden is qualified to serve on our board of directors because of his background in finance and experience as a senior executive in the global healthcare and pharmaceutical industries, as well as his public company board experience.</w:t>
      </w:r>
    </w:p>
    <w:p>
      <w:pPr>
        <w:spacing w:after="0" w:line="178" w:lineRule="exact"/>
        <w:rPr>
          <w:sz w:val="20"/>
          <w:szCs w:val="20"/>
          <w:color w:val="auto"/>
        </w:rPr>
      </w:pPr>
    </w:p>
    <w:p>
      <w:pPr>
        <w:ind w:right="260" w:firstLine="433"/>
        <w:spacing w:after="0" w:line="278" w:lineRule="auto"/>
        <w:rPr>
          <w:sz w:val="20"/>
          <w:szCs w:val="20"/>
          <w:color w:val="auto"/>
        </w:rPr>
      </w:pPr>
      <w:r>
        <w:rPr>
          <w:rFonts w:ascii="Arial" w:cs="Arial" w:eastAsia="Arial" w:hAnsi="Arial"/>
          <w:sz w:val="17"/>
          <w:szCs w:val="17"/>
          <w:b w:val="1"/>
          <w:bCs w:val="1"/>
          <w:i w:val="1"/>
          <w:iCs w:val="1"/>
          <w:color w:val="auto"/>
        </w:rPr>
        <w:t>Kiran Reddy, M.D.</w:t>
      </w:r>
      <w:r>
        <w:rPr>
          <w:rFonts w:ascii="Arial" w:cs="Arial" w:eastAsia="Arial" w:hAnsi="Arial"/>
          <w:sz w:val="17"/>
          <w:szCs w:val="17"/>
          <w:color w:val="auto"/>
        </w:rPr>
        <w:t>, has served as a member of our board of directors since September 2015. Prior to his role as our director, Dr. Reddy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President and Chief Executive Officer from November 2015 to April 2020. Dr. Reddy is also currently a Managing Director at Blackstone, a position he has served in since May 2020.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Dr. Reddy was a venture partner at Clarus from November 2015 to November 2019 prior to its acquisition by Blackstone. From 2014 to 2015, Dr. Reddy served as part of Biogen’s Corporate Strategy leadership team, where he focused on sourcing new technologies and product opportunities to support the Company’s growth. Dr. Reddy was previously a Howard Hughes science fellow and has authored several peer-reviewed scientific papers in the field of epilepsy, neuroimmunology and neurodegenerative diseases. Dr. Reddy received a B.S. in economics, an M.D. and an M.B.A. from Georgetown University. We believe Dr. Reddy is qualified to serve on our board of directors because of his corporate leadership experience, business background, and perspective and experience as one of Praxis’ former executive officers.</w:t>
      </w:r>
    </w:p>
    <w:p>
      <w:pPr>
        <w:spacing w:after="0" w:line="17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b w:val="1"/>
          <w:bCs w:val="1"/>
          <w:i w:val="1"/>
          <w:iCs w:val="1"/>
          <w:color w:val="auto"/>
        </w:rPr>
        <w:t xml:space="preserve">Stefan Vitorovic </w:t>
      </w:r>
      <w:r>
        <w:rPr>
          <w:rFonts w:ascii="Arial" w:cs="Arial" w:eastAsia="Arial" w:hAnsi="Arial"/>
          <w:sz w:val="17"/>
          <w:szCs w:val="17"/>
          <w:color w:val="auto"/>
        </w:rPr>
        <w:t>has served as a member of our board of directors since March 2018 . Mr. Vitorovic is the co-founder and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Vida Ventures, LLC, or Vida Ventures, a role he has served in since January 2017. Prior to Vida Ventures, Mr. Vitorovic was a Principal at Third Rock Ventures, where he was employed from July 2014 to January 2017. Prior to Third Rock Ventures, Mr. Vitorovic was a healthcare private equity investor at TPG Capital from August 2012 to June 2014. Mr. Vitorovic received a B.S. with honors in molecular &amp; cellular biology and an M.S. in molecular &amp; cellular biology from Stanford University as well as an M.B.A from Harvard University. We believe Mr. Vitorovic is qualified to serve on our board of directors because of his scientific background and business experience.</w:t>
      </w:r>
    </w:p>
    <w:p>
      <w:pPr>
        <w:spacing w:after="0" w:line="16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b w:val="1"/>
          <w:bCs w:val="1"/>
          <w:i w:val="1"/>
          <w:iCs w:val="1"/>
          <w:color w:val="auto"/>
        </w:rPr>
        <w:t xml:space="preserve">William Young </w:t>
      </w:r>
      <w:r>
        <w:rPr>
          <w:rFonts w:ascii="Arial" w:cs="Arial" w:eastAsia="Arial" w:hAnsi="Arial"/>
          <w:sz w:val="17"/>
          <w:szCs w:val="17"/>
          <w:color w:val="auto"/>
        </w:rPr>
        <w:t>has served as a member of our board of directors since December 2016. Mr. Young is a Senior Advisor with Blackstone.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its acquisition by Blackstone, Mr. Young joined Clarus in March 2010 and held various roles, including Venture Partner, Senior Advisor and portfolio company board member. Mr. Young currently serves as the chairman of the board of directors of Annexon, Inc. (NASDAQ: ANNX) and NanoString, and as a member of the board of directors of Theravance BioPharma Inc. (NASDAQ: TBPH). Mr. Young also served on the boards of directors of Vertex Pharmaceuticals Inc. (NASDAQ: VRTX) from May 2015 to June 2020 and BioMarin Pharmaceutical Inc. (NASDAQ: BMRN) from September 2010 to November 2015. Mr. Young was elected to the National Academy of Engineering in 1993 for his contributions to biotechnology. Mr. Young received a B.S. in chemical engineering from Purdue University and an M.B.A. from Indiana University in marketing and finance and holds an honorary doctorate in engineering from Purdue University. We believe Mr. Young is qualified to serve on our board of directors because of his scientific background, business experience and his service on the board of directors of other life sciences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Delinquent Section 16(a) Reports</w:t>
      </w:r>
    </w:p>
    <w:p>
      <w:pPr>
        <w:spacing w:after="0" w:line="246"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Annual Report those persons who did not file these reports when due.</w:t>
      </w:r>
    </w:p>
    <w:p>
      <w:pPr>
        <w:spacing w:after="0" w:line="19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Based solely on a review of reports furnished to us, and written representations from our directors and officers, we believe all directors, executive officers, and 10% owners timely filed all reports regarding transactions in our securities required to be filed for 2020 by Section 16(a) under the Exchange Act, with the exception of a Form 4/A filed by Stefan Vitorovic on February 16, 2021 to report a purchase of common stock in our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5"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Our board of directors has adopted a written code of business conduct and ethics that applies to all of our employees, officers and directors, including those officers responsible for financial reporting. Our code of business conduct and ethics is available on the Corporate Governance section of our website at https://praxismedicines.com. We intend to disclose any amendments to the code, or any waivers of its requirements, on our website or in a Current Report on Form 8-K as may be required by SEC or Nasdaq rules. We do not incorporate the information on or accessible through our website into this Annual Report, and you should not consider any information on, or that can be accessed through, our website as part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Director Nominees by Stockholders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to the procedures by which our stockholders may recommend nominees to the board of directors.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Our Board of Directors</w:t>
      </w:r>
    </w:p>
    <w:p>
      <w:pPr>
        <w:spacing w:after="0" w:line="79" w:lineRule="exact"/>
        <w:rPr>
          <w:sz w:val="20"/>
          <w:szCs w:val="20"/>
          <w:color w:val="auto"/>
        </w:rPr>
      </w:pPr>
    </w:p>
    <w:p>
      <w:pPr>
        <w:ind w:right="20" w:firstLine="433"/>
        <w:spacing w:after="0" w:line="243" w:lineRule="auto"/>
        <w:rPr>
          <w:sz w:val="20"/>
          <w:szCs w:val="20"/>
          <w:color w:val="auto"/>
        </w:rPr>
      </w:pPr>
      <w:r>
        <w:rPr>
          <w:rFonts w:ascii="Arial" w:cs="Arial" w:eastAsia="Arial" w:hAnsi="Arial"/>
          <w:sz w:val="17"/>
          <w:szCs w:val="17"/>
          <w:color w:val="auto"/>
        </w:rPr>
        <w:t>Our board of directors currently consists of nine members, each of whom are members pursuant to the board composition provisions of our amended and restated certificate of incorporation and agreements with our stockholders, which agreements are described under “Item 13. Certain Relationships and Related Party Transactions, and Director Independence.” Our nominating and corporate governance committee and our board of directors may therefore consider a broad range of factors relating to the qualifications and background of nominees, which may include diversity, which is not only limited to race, gender or national origin. Our nominating and corporate governance committee’s and our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also provide that our directors may be removed only for cause by the affirmative vote of the holders of at least 66.67%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w:t>
      </w:r>
    </w:p>
    <w:p>
      <w:pPr>
        <w:spacing w:after="0" w:line="79" w:lineRule="exact"/>
        <w:rPr>
          <w:sz w:val="20"/>
          <w:szCs w:val="20"/>
          <w:color w:val="auto"/>
        </w:rPr>
      </w:pPr>
    </w:p>
    <w:p>
      <w:pPr>
        <w:ind w:right="40" w:firstLine="433"/>
        <w:spacing w:after="0" w:line="246" w:lineRule="auto"/>
        <w:rPr>
          <w:sz w:val="20"/>
          <w:szCs w:val="20"/>
          <w:color w:val="auto"/>
        </w:rPr>
      </w:pPr>
      <w:r>
        <w:rPr>
          <w:rFonts w:ascii="Arial" w:cs="Arial" w:eastAsia="Arial" w:hAnsi="Arial"/>
          <w:sz w:val="17"/>
          <w:szCs w:val="17"/>
          <w:color w:val="auto"/>
        </w:rPr>
        <w:t>In accordance with the terms of our amended and restated certificate of incorporation and amended and restated bylaws, our board of directors are divided into three staggered classes of directors and each director is assigned to one of the three classes. At each annual meeting of the stockholders, a class of directors is elected for a three-year term to succeed the directors of the same class whose terms are then expiring. The terms of the directors expire upon the election and qualification of successor directors at the annual meeting of stockholders to be held during the years 2021 for Class I directors, 2022 for Class II directors and 2023 for Class III directors.</w:t>
      </w:r>
    </w:p>
    <w:p>
      <w:pPr>
        <w:spacing w:after="0" w:line="192" w:lineRule="exact"/>
        <w:rPr>
          <w:sz w:val="20"/>
          <w:szCs w:val="20"/>
          <w:color w:val="auto"/>
        </w:rPr>
      </w:pPr>
    </w:p>
    <w:p>
      <w:pPr>
        <w:ind w:left="620" w:hanging="300"/>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Our Class I director is Dean Mitchell;</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Our Class II directors are Nicholas Galakatos, Ph.D., Kiran Reddy, M.D., and Stefan Vitorovic; and</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Our Class III directors are Gregory Norden, Marcio Souza and William Young.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 and the Role of the Board in Risk Oversight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79" w:lineRule="exact"/>
        <w:rPr>
          <w:sz w:val="20"/>
          <w:szCs w:val="20"/>
          <w:color w:val="auto"/>
        </w:rPr>
      </w:pPr>
    </w:p>
    <w:p>
      <w:pPr>
        <w:ind w:right="40" w:firstLine="433"/>
        <w:spacing w:after="0" w:line="243" w:lineRule="auto"/>
        <w:rPr>
          <w:sz w:val="20"/>
          <w:szCs w:val="20"/>
          <w:color w:val="auto"/>
        </w:rPr>
      </w:pPr>
      <w:r>
        <w:rPr>
          <w:rFonts w:ascii="Arial" w:cs="Arial" w:eastAsia="Arial" w:hAnsi="Arial"/>
          <w:sz w:val="17"/>
          <w:szCs w:val="17"/>
          <w:color w:val="auto"/>
        </w:rPr>
        <w:t>The positions of our chairman of the board and chief executive officer are separated, with Mr. Souza serving as our Chief Executive Officer and Mr. Mitchell serving as the chairman of our board of directors. Separating these positions allows Mr. Souza, as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Mr. Souza, as our Chief Executive Officer, must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having separate positions is the appropriate leadership structure for us at this time and demonstrates our commitment to good corporate governance.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the Board in Risk Oversight</w:t>
      </w:r>
    </w:p>
    <w:p>
      <w:pPr>
        <w:spacing w:after="0" w:line="92" w:lineRule="exact"/>
        <w:rPr>
          <w:sz w:val="20"/>
          <w:szCs w:val="20"/>
          <w:color w:val="auto"/>
        </w:rPr>
      </w:pPr>
    </w:p>
    <w:p>
      <w:pPr>
        <w:ind w:firstLine="433"/>
        <w:spacing w:after="0" w:line="250"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those described under the section titled “Risk Factors” in this prospectus. Our board of directors is actively involved in oversight of risks that could affect us. This oversight is conducted primarily by our full board of directors, which has responsibility for general oversight of risks.</w:t>
      </w:r>
    </w:p>
    <w:p>
      <w:pPr>
        <w:spacing w:after="0" w:line="189" w:lineRule="exact"/>
        <w:rPr>
          <w:sz w:val="20"/>
          <w:szCs w:val="20"/>
          <w:color w:val="auto"/>
        </w:rPr>
      </w:pPr>
    </w:p>
    <w:p>
      <w:pPr>
        <w:ind w:right="20" w:firstLine="433"/>
        <w:spacing w:after="0" w:line="248" w:lineRule="auto"/>
        <w:rPr>
          <w:sz w:val="20"/>
          <w:szCs w:val="20"/>
          <w:color w:val="auto"/>
        </w:rPr>
      </w:pPr>
      <w:r>
        <w:rPr>
          <w:rFonts w:ascii="Arial" w:cs="Arial" w:eastAsia="Arial" w:hAnsi="Arial"/>
          <w:sz w:val="17"/>
          <w:szCs w:val="17"/>
          <w:color w:val="auto"/>
        </w:rPr>
        <w:t>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66" w:lineRule="exact"/>
        <w:rPr>
          <w:sz w:val="20"/>
          <w:szCs w:val="20"/>
          <w:color w:val="auto"/>
        </w:rPr>
      </w:pPr>
    </w:p>
    <w:p>
      <w:pPr>
        <w:ind w:right="240" w:firstLine="433"/>
        <w:spacing w:after="0" w:line="230"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operates pursuant to a charter adopted by our board of directors. Our board of directors may establish other committees to facilitate the management of our business. The composition and functioning of all of our committees comply with all applicable requirements of the Sarbanes-Oxley Act of 2002, Nasdaq and U.S. Securities and Exchange Commission rules and regulations. Members will serve on these committees until their resignation or until otherwise determined by our board of directors. In addition, from time to time, special committees may be established under the direction of our board of directors when necessary to address specific issues.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92" w:lineRule="exact"/>
        <w:rPr>
          <w:sz w:val="20"/>
          <w:szCs w:val="20"/>
          <w:color w:val="auto"/>
        </w:rPr>
      </w:pPr>
    </w:p>
    <w:p>
      <w:pPr>
        <w:ind w:right="120" w:firstLine="433"/>
        <w:spacing w:after="0" w:line="246" w:lineRule="auto"/>
        <w:rPr>
          <w:sz w:val="20"/>
          <w:szCs w:val="20"/>
          <w:color w:val="auto"/>
        </w:rPr>
      </w:pPr>
      <w:r>
        <w:rPr>
          <w:rFonts w:ascii="Arial" w:cs="Arial" w:eastAsia="Arial" w:hAnsi="Arial"/>
          <w:sz w:val="17"/>
          <w:szCs w:val="17"/>
          <w:color w:val="auto"/>
        </w:rPr>
        <w:t>Gregory Norden, Stefan Vitorovic and William Young serve on the audit committee, which is chaired by Gregory Norden. Our board of directors has determined that Gregory Norden, Stefan Vitorovic and William Young are “independent” for audit committee purposes as that term is defined in the rules of the SEC and the applicable Nasdaq rules, and each has sufficient knowledge in financial and auditing matters to serve on the audit committee. Our board of directors has designated Gregory Norden as an “audit committee financial expert,” as defined under the applicable rules of the SEC. The audit committee’s responsibilities include:</w:t>
      </w:r>
    </w:p>
    <w:p>
      <w:pPr>
        <w:spacing w:after="0" w:line="186" w:lineRule="exact"/>
        <w:rPr>
          <w:sz w:val="20"/>
          <w:szCs w:val="20"/>
          <w:color w:val="auto"/>
        </w:rPr>
      </w:pPr>
    </w:p>
    <w:p>
      <w:pPr>
        <w:ind w:left="620" w:hanging="300"/>
        <w:spacing w:after="0"/>
        <w:tabs>
          <w:tab w:leader="none" w:pos="620" w:val="left"/>
        </w:tabs>
        <w:numPr>
          <w:ilvl w:val="0"/>
          <w:numId w:val="81"/>
        </w:numPr>
        <w:rPr>
          <w:rFonts w:ascii="Arial" w:cs="Arial" w:eastAsia="Arial" w:hAnsi="Arial"/>
          <w:sz w:val="21"/>
          <w:szCs w:val="21"/>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09" w:lineRule="exact"/>
        <w:rPr>
          <w:rFonts w:ascii="Arial" w:cs="Arial" w:eastAsia="Arial" w:hAnsi="Arial"/>
          <w:sz w:val="21"/>
          <w:szCs w:val="21"/>
          <w:color w:val="auto"/>
        </w:rPr>
      </w:pPr>
    </w:p>
    <w:p>
      <w:pPr>
        <w:ind w:left="640" w:right="40" w:hanging="320"/>
        <w:spacing w:after="0" w:line="259"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207" w:lineRule="exact"/>
        <w:rPr>
          <w:rFonts w:ascii="Arial" w:cs="Arial" w:eastAsia="Arial" w:hAnsi="Arial"/>
          <w:sz w:val="17"/>
          <w:szCs w:val="17"/>
          <w:color w:val="auto"/>
        </w:rPr>
      </w:pPr>
    </w:p>
    <w:p>
      <w:pPr>
        <w:ind w:left="640" w:right="300" w:hanging="320"/>
        <w:spacing w:after="0" w:line="275" w:lineRule="auto"/>
        <w:tabs>
          <w:tab w:leader="none" w:pos="694"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168" w:lineRule="exact"/>
        <w:rPr>
          <w:rFonts w:ascii="Arial" w:cs="Arial" w:eastAsia="Arial" w:hAnsi="Arial"/>
          <w:sz w:val="17"/>
          <w:szCs w:val="17"/>
          <w:color w:val="auto"/>
        </w:rPr>
      </w:pPr>
    </w:p>
    <w:p>
      <w:pPr>
        <w:ind w:left="640" w:right="340" w:hanging="320"/>
        <w:spacing w:after="0" w:line="259"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81"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211" w:lineRule="exact"/>
        <w:rPr>
          <w:rFonts w:ascii="Arial" w:cs="Arial" w:eastAsia="Arial" w:hAnsi="Arial"/>
          <w:sz w:val="17"/>
          <w:szCs w:val="17"/>
          <w:color w:val="auto"/>
        </w:rPr>
      </w:pPr>
    </w:p>
    <w:p>
      <w:pPr>
        <w:ind w:left="640" w:right="500" w:hanging="320"/>
        <w:spacing w:after="0" w:line="259"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81" w:lineRule="exact"/>
        <w:rPr>
          <w:rFonts w:ascii="Arial" w:cs="Arial" w:eastAsia="Arial" w:hAnsi="Arial"/>
          <w:sz w:val="17"/>
          <w:szCs w:val="17"/>
          <w:color w:val="auto"/>
        </w:rPr>
      </w:pPr>
    </w:p>
    <w:p>
      <w:pPr>
        <w:ind w:left="640" w:right="540" w:hanging="320"/>
        <w:spacing w:after="0" w:line="259"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81"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reviewing all related person transactions for potential conflict of interest situations and approving all such transactions; and</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reviewing quarterly earnings releases.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79" w:lineRule="exact"/>
        <w:rPr>
          <w:sz w:val="20"/>
          <w:szCs w:val="20"/>
          <w:color w:val="auto"/>
        </w:rPr>
      </w:pPr>
    </w:p>
    <w:p>
      <w:pPr>
        <w:ind w:firstLine="433"/>
        <w:spacing w:after="0" w:line="250" w:lineRule="auto"/>
        <w:rPr>
          <w:sz w:val="20"/>
          <w:szCs w:val="20"/>
          <w:color w:val="auto"/>
        </w:rPr>
      </w:pPr>
      <w:r>
        <w:rPr>
          <w:rFonts w:ascii="Arial" w:cs="Arial" w:eastAsia="Arial" w:hAnsi="Arial"/>
          <w:sz w:val="17"/>
          <w:szCs w:val="17"/>
          <w:color w:val="auto"/>
        </w:rPr>
        <w:t>Nicholas Galakatos, Dean Mitchell and William Young serve on the compensation committee, which is chaired by William Young. Our board of directors has determined that Nicholas Galakatos, Dean Mitchell and William Young are independent” as defined in the applicable Nasdaq rules. The compensation committee’s responsibilities:</w:t>
      </w:r>
    </w:p>
    <w:p>
      <w:pPr>
        <w:spacing w:after="0" w:line="189" w:lineRule="exact"/>
        <w:rPr>
          <w:sz w:val="20"/>
          <w:szCs w:val="20"/>
          <w:color w:val="auto"/>
        </w:rPr>
      </w:pPr>
    </w:p>
    <w:p>
      <w:pPr>
        <w:ind w:left="620" w:hanging="300"/>
        <w:spacing w:after="0"/>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our chief executive officer;</w:t>
      </w:r>
    </w:p>
    <w:p>
      <w:pPr>
        <w:spacing w:after="0" w:line="211" w:lineRule="exact"/>
        <w:rPr>
          <w:rFonts w:ascii="Arial" w:cs="Arial" w:eastAsia="Arial" w:hAnsi="Arial"/>
          <w:sz w:val="17"/>
          <w:szCs w:val="17"/>
          <w:color w:val="auto"/>
        </w:rPr>
      </w:pPr>
    </w:p>
    <w:p>
      <w:pPr>
        <w:ind w:left="640" w:right="1060" w:hanging="320"/>
        <w:spacing w:after="0" w:line="259" w:lineRule="auto"/>
        <w:tabs>
          <w:tab w:leader="none" w:pos="6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determining the compensation of our chief executive officer;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211" w:lineRule="exact"/>
        <w:rPr>
          <w:rFonts w:ascii="Arial" w:cs="Arial" w:eastAsia="Arial" w:hAnsi="Arial"/>
          <w:sz w:val="17"/>
          <w:szCs w:val="17"/>
          <w:color w:val="auto"/>
        </w:rPr>
      </w:pPr>
    </w:p>
    <w:p>
      <w:pPr>
        <w:ind w:left="640" w:right="180" w:hanging="320"/>
        <w:spacing w:after="0" w:line="259" w:lineRule="auto"/>
        <w:tabs>
          <w:tab w:leader="none" w:pos="6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evaluating and assessing potential and current compensation advisors in accordance with the independence standards identified in the applicable Nasdaq rules;</w:t>
      </w:r>
    </w:p>
    <w:p>
      <w:pPr>
        <w:spacing w:after="0" w:line="18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retaining and approving the compensation of any compensation advisors;</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evaluating director compensation and making recommendations on director compensation to the Board;</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by SEC rules to be included in our annual proxy statement; and</w:t>
      </w:r>
    </w:p>
    <w:p>
      <w:pPr>
        <w:spacing w:after="0" w:line="211" w:lineRule="exact"/>
        <w:rPr>
          <w:rFonts w:ascii="Arial" w:cs="Arial" w:eastAsia="Arial" w:hAnsi="Arial"/>
          <w:sz w:val="17"/>
          <w:szCs w:val="17"/>
          <w:color w:val="auto"/>
        </w:rPr>
      </w:pPr>
    </w:p>
    <w:p>
      <w:pPr>
        <w:ind w:left="640" w:right="80" w:hanging="320"/>
        <w:spacing w:after="0" w:line="259" w:lineRule="auto"/>
        <w:tabs>
          <w:tab w:leader="none" w:pos="6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the retention or termination of any consulting firm or outside advisor to assist in the evaluation of compensation matters.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79" w:lineRule="exact"/>
        <w:rPr>
          <w:sz w:val="20"/>
          <w:szCs w:val="20"/>
          <w:color w:val="auto"/>
        </w:rPr>
      </w:pPr>
    </w:p>
    <w:p>
      <w:pPr>
        <w:ind w:right="40" w:firstLine="433"/>
        <w:spacing w:after="0" w:line="250" w:lineRule="auto"/>
        <w:rPr>
          <w:sz w:val="20"/>
          <w:szCs w:val="20"/>
          <w:color w:val="auto"/>
        </w:rPr>
      </w:pPr>
      <w:r>
        <w:rPr>
          <w:rFonts w:ascii="Arial" w:cs="Arial" w:eastAsia="Arial" w:hAnsi="Arial"/>
          <w:sz w:val="17"/>
          <w:szCs w:val="17"/>
          <w:color w:val="auto"/>
        </w:rPr>
        <w:t>Nicholas Galakatos, Stefan Vitorovic and William Young serve on the nominating and corporate governance committee, which is chaired by Nicholas Galakatos. Our board of directors has determined that Nicholas Galakatos, Stefan Vitorovic and William Young are “independent” as defined in the applicable Nasdaq rules. The nominating and corporate governance committee’s responsibilities include:</w:t>
      </w:r>
    </w:p>
    <w:p>
      <w:pPr>
        <w:spacing w:after="0" w:line="184" w:lineRule="exact"/>
        <w:rPr>
          <w:sz w:val="20"/>
          <w:szCs w:val="20"/>
          <w:color w:val="auto"/>
        </w:rPr>
      </w:pPr>
    </w:p>
    <w:p>
      <w:pPr>
        <w:ind w:left="620" w:hanging="300"/>
        <w:spacing w:after="0"/>
        <w:tabs>
          <w:tab w:leader="none" w:pos="620" w:val="left"/>
        </w:tabs>
        <w:numPr>
          <w:ilvl w:val="0"/>
          <w:numId w:val="84"/>
        </w:numPr>
        <w:rPr>
          <w:rFonts w:ascii="Arial" w:cs="Arial" w:eastAsia="Arial" w:hAnsi="Arial"/>
          <w:sz w:val="21"/>
          <w:szCs w:val="21"/>
          <w:color w:val="auto"/>
        </w:rPr>
      </w:pPr>
      <w:r>
        <w:rPr>
          <w:rFonts w:ascii="Arial" w:cs="Arial" w:eastAsia="Arial" w:hAnsi="Arial"/>
          <w:sz w:val="17"/>
          <w:szCs w:val="17"/>
          <w:color w:val="auto"/>
        </w:rPr>
        <w:t>developing and recommending to the board of directors criteria for board and committee membership;</w:t>
      </w:r>
    </w:p>
    <w:p>
      <w:pPr>
        <w:spacing w:after="0" w:line="209" w:lineRule="exact"/>
        <w:rPr>
          <w:rFonts w:ascii="Arial" w:cs="Arial" w:eastAsia="Arial" w:hAnsi="Arial"/>
          <w:sz w:val="21"/>
          <w:szCs w:val="21"/>
          <w:color w:val="auto"/>
        </w:rPr>
      </w:pPr>
    </w:p>
    <w:p>
      <w:pPr>
        <w:ind w:left="620" w:hanging="300"/>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211" w:lineRule="exact"/>
        <w:rPr>
          <w:rFonts w:ascii="Arial" w:cs="Arial" w:eastAsia="Arial" w:hAnsi="Arial"/>
          <w:sz w:val="17"/>
          <w:szCs w:val="17"/>
          <w:color w:val="auto"/>
        </w:rPr>
      </w:pPr>
    </w:p>
    <w:p>
      <w:pPr>
        <w:ind w:left="640" w:right="240" w:hanging="320"/>
        <w:spacing w:after="0" w:line="259" w:lineRule="auto"/>
        <w:tabs>
          <w:tab w:leader="none" w:pos="6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the size and composition of the board of directors to ensure that it is composed of members containing the appropriate skills and expertise to advise us;</w:t>
      </w:r>
    </w:p>
    <w:p>
      <w:pPr>
        <w:spacing w:after="0" w:line="181" w:lineRule="exact"/>
        <w:rPr>
          <w:rFonts w:ascii="Arial" w:cs="Arial" w:eastAsia="Arial" w:hAnsi="Arial"/>
          <w:sz w:val="17"/>
          <w:szCs w:val="17"/>
          <w:color w:val="auto"/>
        </w:rPr>
      </w:pPr>
    </w:p>
    <w:p>
      <w:pPr>
        <w:ind w:left="620" w:hanging="300"/>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1" w:lineRule="exact"/>
        <w:rPr>
          <w:rFonts w:ascii="Arial" w:cs="Arial" w:eastAsia="Arial" w:hAnsi="Arial"/>
          <w:sz w:val="17"/>
          <w:szCs w:val="17"/>
          <w:color w:val="auto"/>
        </w:rPr>
      </w:pPr>
    </w:p>
    <w:p>
      <w:pPr>
        <w:ind w:left="640" w:right="580" w:hanging="320"/>
        <w:spacing w:after="0" w:line="259" w:lineRule="auto"/>
        <w:tabs>
          <w:tab w:leader="none" w:pos="6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code of business conduct and ethics and a set of corporate governance guidelines; and</w:t>
      </w:r>
    </w:p>
    <w:p>
      <w:pPr>
        <w:spacing w:after="0" w:line="181" w:lineRule="exact"/>
        <w:rPr>
          <w:rFonts w:ascii="Arial" w:cs="Arial" w:eastAsia="Arial" w:hAnsi="Arial"/>
          <w:sz w:val="17"/>
          <w:szCs w:val="17"/>
          <w:color w:val="auto"/>
        </w:rPr>
      </w:pPr>
    </w:p>
    <w:p>
      <w:pPr>
        <w:ind w:left="620" w:hanging="300"/>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overseeing the evaluation of our board of directors and management.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92" w:lineRule="exact"/>
        <w:rPr>
          <w:sz w:val="20"/>
          <w:szCs w:val="20"/>
          <w:color w:val="auto"/>
        </w:rPr>
      </w:pPr>
    </w:p>
    <w:p>
      <w:pPr>
        <w:ind w:firstLine="433"/>
        <w:spacing w:after="0" w:line="24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“Item 13. Certain Relationships and Related Party Transactions, and Director Independence.”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Overview</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compensation programs are designed to:</w:t>
      </w:r>
    </w:p>
    <w:p>
      <w:pPr>
        <w:spacing w:after="0" w:line="93" w:lineRule="exact"/>
        <w:rPr>
          <w:sz w:val="20"/>
          <w:szCs w:val="20"/>
          <w:color w:val="auto"/>
        </w:rPr>
      </w:pPr>
    </w:p>
    <w:p>
      <w:pPr>
        <w:ind w:left="780" w:hanging="303"/>
        <w:spacing w:after="0"/>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attract, motivate, incentivize and retain key management personnel who contribute to our long-term success;</w:t>
      </w:r>
    </w:p>
    <w:p>
      <w:pPr>
        <w:spacing w:after="0" w:line="79" w:lineRule="exact"/>
        <w:rPr>
          <w:rFonts w:ascii="Arial" w:cs="Arial" w:eastAsia="Arial" w:hAnsi="Arial"/>
          <w:sz w:val="17"/>
          <w:szCs w:val="17"/>
          <w:color w:val="auto"/>
        </w:rPr>
      </w:pPr>
    </w:p>
    <w:p>
      <w:pPr>
        <w:ind w:left="780" w:hanging="303"/>
        <w:spacing w:after="0"/>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emphasize performance-based compensation that rewards the achievement of our business objectives; and</w:t>
      </w:r>
    </w:p>
    <w:p>
      <w:pPr>
        <w:spacing w:after="0" w:line="79" w:lineRule="exact"/>
        <w:rPr>
          <w:rFonts w:ascii="Arial" w:cs="Arial" w:eastAsia="Arial" w:hAnsi="Arial"/>
          <w:sz w:val="17"/>
          <w:szCs w:val="17"/>
          <w:color w:val="auto"/>
        </w:rPr>
      </w:pPr>
    </w:p>
    <w:p>
      <w:pPr>
        <w:ind w:left="800" w:right="120" w:hanging="323"/>
        <w:spacing w:after="0" w:line="275" w:lineRule="auto"/>
        <w:tabs>
          <w:tab w:leader="none" w:pos="795" w:val="left"/>
        </w:tabs>
        <w:numPr>
          <w:ilvl w:val="0"/>
          <w:numId w:val="85"/>
        </w:numPr>
        <w:rPr>
          <w:rFonts w:ascii="Arial" w:cs="Arial" w:eastAsia="Arial" w:hAnsi="Arial"/>
          <w:sz w:val="17"/>
          <w:szCs w:val="17"/>
          <w:color w:val="auto"/>
        </w:rPr>
      </w:pPr>
      <w:r>
        <w:rPr>
          <w:rFonts w:ascii="Arial" w:cs="Arial" w:eastAsia="Arial" w:hAnsi="Arial"/>
          <w:sz w:val="17"/>
          <w:szCs w:val="17"/>
          <w:color w:val="auto"/>
        </w:rPr>
        <w:t>effectively align the interests of our executives with those of our stockholders by focusing on long-term equity incentives that correlate with the growth of sustainable long-term value for our stockholders.</w:t>
      </w:r>
    </w:p>
    <w:p>
      <w:pPr>
        <w:spacing w:after="0" w:line="77"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compensation committee of our board of directors, or the compensation committee, which is comprised entirely of independent directors, is responsible for discharging our board of directors’ responsibilities relating to compensation of our executive officers, overseeing our overall compensation structure, policies and programs, and reviewing our processes and procedures for the consideration and determination of executive compensation. Our Chief Executive Officer makes recommendations for the respective executive officers that report to him to our compensation committee and typically attends compensation committee meetings. Our Chief Executive Officer makes such recommendations (other than with respect to himself) regarding base salary, and short-term and long-term compensation, including equity incentives, for our executive officers based on our results, an executive officer's individual contribution toward these results, the executive officer's role and performance of his or her duties and his or her achievement of individual goals. Our compensation committee then reviews the recommendations and other data, including various compensation survey data and publicly-available data of our peers, and makes decisions as to the target total direct compensation for each executive officer, including our Chief Executive Officer, as well as each individual compensation element. While our Chief Executive Officer typically attends meetings of the compensation committee, the compensation committee meets outside the presence of our Chief Executive Officer when discussing his compensation and when discussing certain other matters.</w:t>
      </w:r>
    </w:p>
    <w:p>
      <w:pPr>
        <w:spacing w:after="0" w:line="9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In 2020, our compensation committee engaged FW Cook, an independent executive compensation consultant, to provide guidance with respect to the development and implementation of our compensation programs. During 2020, FW Cook did not provide services to us other than the services to our compensation committee described herein. Our compensation committee performs an annual assessment of its compensation consultants’ independence to determine whether the consultants are independent. Based on its evaluation, the compensation committee has determined that FW Cook is independent and that its work has not raised any conflicts of interest.</w:t>
      </w:r>
    </w:p>
    <w:p>
      <w:pPr>
        <w:spacing w:after="0" w:line="9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compensation provided to our named executive officers for the fiscal year ended December 31, 2020 is detailed in the 2020 Summary Compensation Table and accompanying footnotes and narrative that follow. Our named executive officers for the fiscal year ended December 31, 2020 were:</w:t>
      </w:r>
    </w:p>
    <w:p>
      <w:pPr>
        <w:spacing w:after="0" w:line="84" w:lineRule="exact"/>
        <w:rPr>
          <w:sz w:val="20"/>
          <w:szCs w:val="20"/>
          <w:color w:val="auto"/>
        </w:rPr>
      </w:pPr>
    </w:p>
    <w:p>
      <w:pPr>
        <w:ind w:left="780" w:hanging="303"/>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Marcio Souza, our President Chief Executive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Bernard Ravina, M.D., our Chief Medical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Nicole Sweeny, our Chief Commercial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Kiran Reddy, M.D., our former President and Chief Executive Officer;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Stuart Chaffee, Ph.D., our former Chief Financial Officer.</w:t>
      </w:r>
    </w:p>
    <w:p>
      <w:pPr>
        <w:spacing w:after="0" w:line="224"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In April 2020, Dr. Reddy resigned as our President and Chief Executive Officer and Marcio Souza became our President and Chief Executive Officer. In August 2020, Ms. Sweeny joined us as our Chief Commercial Officer and, in December 2020, Dr. Chaffee resigned as our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46" w:lineRule="exact"/>
        <w:rPr>
          <w:sz w:val="20"/>
          <w:szCs w:val="20"/>
          <w:color w:val="auto"/>
        </w:rPr>
      </w:pPr>
    </w:p>
    <w:p>
      <w:pPr>
        <w:ind w:right="600" w:firstLine="433"/>
        <w:spacing w:after="0" w:line="275" w:lineRule="auto"/>
        <w:rPr>
          <w:sz w:val="20"/>
          <w:szCs w:val="20"/>
          <w:color w:val="auto"/>
        </w:rPr>
      </w:pPr>
      <w:r>
        <w:rPr>
          <w:rFonts w:ascii="Arial" w:cs="Arial" w:eastAsia="Arial" w:hAnsi="Arial"/>
          <w:sz w:val="17"/>
          <w:szCs w:val="17"/>
          <w:color w:val="auto"/>
        </w:rPr>
        <w:t>The following table sets forth information regarding compensation awarded to, earned by or paid to our named executive officers for services rendered to us in all capacities during the fiscal years indicated.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82"/>
        </w:trPr>
        <w:tc>
          <w:tcPr>
            <w:tcW w:w="2120" w:type="dxa"/>
            <w:vAlign w:val="bottom"/>
            <w:gridSpan w:val="2"/>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9"/>
              </w:rPr>
              <w:t>Stock</w:t>
            </w:r>
          </w:p>
        </w:tc>
        <w:tc>
          <w:tcPr>
            <w:tcW w:w="12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Option</w:t>
            </w:r>
          </w:p>
        </w:tc>
        <w:tc>
          <w:tcPr>
            <w:tcW w:w="1440" w:type="dxa"/>
            <w:vAlign w:val="bottom"/>
          </w:tcPr>
          <w:p>
            <w:pPr>
              <w:jc w:val="center"/>
              <w:ind w:right="18"/>
              <w:spacing w:after="0"/>
              <w:rPr>
                <w:sz w:val="20"/>
                <w:szCs w:val="20"/>
                <w:color w:val="auto"/>
              </w:rPr>
            </w:pPr>
            <w:r>
              <w:rPr>
                <w:rFonts w:ascii="Arial" w:cs="Arial" w:eastAsia="Arial" w:hAnsi="Arial"/>
                <w:sz w:val="14"/>
                <w:szCs w:val="14"/>
                <w:b w:val="1"/>
                <w:bCs w:val="1"/>
                <w:color w:val="auto"/>
                <w:w w:val="99"/>
              </w:rPr>
              <w:t>Non-Equity</w:t>
            </w: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Bonus</w:t>
            </w:r>
          </w:p>
        </w:tc>
        <w:tc>
          <w:tcPr>
            <w:tcW w:w="9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440" w:type="dxa"/>
            <w:vAlign w:val="bottom"/>
          </w:tcPr>
          <w:p>
            <w:pPr>
              <w:jc w:val="center"/>
              <w:ind w:right="18"/>
              <w:spacing w:after="0" w:line="131" w:lineRule="exact"/>
              <w:rPr>
                <w:sz w:val="20"/>
                <w:szCs w:val="20"/>
                <w:color w:val="auto"/>
              </w:rPr>
            </w:pPr>
            <w:r>
              <w:rPr>
                <w:rFonts w:ascii="Arial" w:cs="Arial" w:eastAsia="Arial" w:hAnsi="Arial"/>
                <w:sz w:val="14"/>
                <w:szCs w:val="14"/>
                <w:b w:val="1"/>
                <w:bCs w:val="1"/>
                <w:color w:val="auto"/>
                <w:w w:val="99"/>
              </w:rPr>
              <w:t>Incentive Plan</w:t>
            </w:r>
          </w:p>
        </w:tc>
        <w:tc>
          <w:tcPr>
            <w:tcW w:w="15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Year</w:t>
            </w:r>
          </w:p>
        </w:tc>
        <w:tc>
          <w:tcPr>
            <w:tcW w:w="10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Salary ($)</w:t>
            </w:r>
          </w:p>
        </w:tc>
        <w:tc>
          <w:tcPr>
            <w:tcW w:w="920" w:type="dxa"/>
            <w:vAlign w:val="bottom"/>
            <w:vMerge w:val="continue"/>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4"/>
                <w:szCs w:val="14"/>
                <w:b w:val="1"/>
                <w:bCs w:val="1"/>
                <w:color w:val="auto"/>
                <w:w w:val="98"/>
              </w:rPr>
              <w:t>Awards</w:t>
            </w:r>
          </w:p>
        </w:tc>
        <w:tc>
          <w:tcPr>
            <w:tcW w:w="1280" w:type="dxa"/>
            <w:vAlign w:val="bottom"/>
          </w:tcPr>
          <w:p>
            <w:pPr>
              <w:jc w:val="center"/>
              <w:ind w:right="57"/>
              <w:spacing w:after="0" w:line="131" w:lineRule="exact"/>
              <w:rPr>
                <w:sz w:val="20"/>
                <w:szCs w:val="20"/>
                <w:color w:val="auto"/>
              </w:rPr>
            </w:pPr>
            <w:r>
              <w:rPr>
                <w:rFonts w:ascii="Arial" w:cs="Arial" w:eastAsia="Arial" w:hAnsi="Arial"/>
                <w:sz w:val="14"/>
                <w:szCs w:val="14"/>
                <w:b w:val="1"/>
                <w:bCs w:val="1"/>
                <w:color w:val="auto"/>
                <w:w w:val="98"/>
              </w:rPr>
              <w:t>Awards</w:t>
            </w:r>
          </w:p>
        </w:tc>
        <w:tc>
          <w:tcPr>
            <w:tcW w:w="144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8"/>
              </w:rPr>
              <w:t>Compensation</w:t>
            </w:r>
          </w:p>
        </w:tc>
        <w:tc>
          <w:tcPr>
            <w:tcW w:w="1520" w:type="dxa"/>
            <w:vAlign w:val="bottom"/>
          </w:tcPr>
          <w:p>
            <w:pPr>
              <w:jc w:val="center"/>
              <w:ind w:right="97"/>
              <w:spacing w:after="0" w:line="131" w:lineRule="exact"/>
              <w:rPr>
                <w:sz w:val="20"/>
                <w:szCs w:val="20"/>
                <w:color w:val="auto"/>
              </w:rPr>
            </w:pPr>
            <w:r>
              <w:rPr>
                <w:rFonts w:ascii="Arial" w:cs="Arial" w:eastAsia="Arial" w:hAnsi="Arial"/>
                <w:sz w:val="14"/>
                <w:szCs w:val="14"/>
                <w:b w:val="1"/>
                <w:bCs w:val="1"/>
                <w:color w:val="auto"/>
              </w:rPr>
              <w:t>Compensation</w:t>
            </w:r>
          </w:p>
        </w:tc>
        <w:tc>
          <w:tcPr>
            <w:tcW w:w="12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($)(1)</w:t>
            </w:r>
          </w:p>
        </w:tc>
        <w:tc>
          <w:tcPr>
            <w:tcW w:w="940" w:type="dxa"/>
            <w:vAlign w:val="bottom"/>
          </w:tcPr>
          <w:p>
            <w:pPr>
              <w:jc w:val="center"/>
              <w:ind w:right="37"/>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($)(2)</w:t>
            </w:r>
          </w:p>
        </w:tc>
        <w:tc>
          <w:tcPr>
            <w:tcW w:w="1440" w:type="dxa"/>
            <w:vAlign w:val="bottom"/>
          </w:tcPr>
          <w:p>
            <w:pPr>
              <w:jc w:val="center"/>
              <w:ind w:right="18"/>
              <w:spacing w:after="0"/>
              <w:rPr>
                <w:sz w:val="20"/>
                <w:szCs w:val="20"/>
                <w:color w:val="auto"/>
              </w:rPr>
            </w:pPr>
            <w:r>
              <w:rPr>
                <w:rFonts w:ascii="Arial" w:cs="Arial" w:eastAsia="Arial" w:hAnsi="Arial"/>
                <w:sz w:val="14"/>
                <w:szCs w:val="14"/>
                <w:b w:val="1"/>
                <w:bCs w:val="1"/>
                <w:color w:val="auto"/>
                <w:w w:val="99"/>
              </w:rPr>
              <w:t>($)(3)</w:t>
            </w:r>
          </w:p>
        </w:tc>
        <w:tc>
          <w:tcPr>
            <w:tcW w:w="152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($)(4)</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Marcio Souza</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i w:val="1"/>
                <w:iCs w:val="1"/>
                <w:color w:val="auto"/>
              </w:rPr>
              <w:t>President and Chief</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Executive Officer (5)</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2020</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385,417</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24,000</w:t>
            </w:r>
          </w:p>
        </w:tc>
        <w:tc>
          <w:tcPr>
            <w:tcW w:w="9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10,301,160</w:t>
            </w:r>
          </w:p>
        </w:tc>
        <w:tc>
          <w:tcPr>
            <w:tcW w:w="14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1,001,000</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30,382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11,741,959</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tcPr>
          <w:p>
            <w:pPr>
              <w:spacing w:after="0" w:line="171" w:lineRule="exact"/>
              <w:rPr>
                <w:sz w:val="20"/>
                <w:szCs w:val="20"/>
                <w:color w:val="auto"/>
              </w:rPr>
            </w:pPr>
            <w:r>
              <w:rPr>
                <w:rFonts w:ascii="Arial" w:cs="Arial" w:eastAsia="Arial" w:hAnsi="Arial"/>
                <w:sz w:val="17"/>
                <w:szCs w:val="17"/>
                <w:color w:val="auto"/>
              </w:rPr>
              <w:t>Bernard Ravina, M.D.</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tcPr>
          <w:p>
            <w:pPr>
              <w:spacing w:after="0" w:line="171" w:lineRule="exact"/>
              <w:rPr>
                <w:sz w:val="20"/>
                <w:szCs w:val="20"/>
                <w:color w:val="auto"/>
              </w:rPr>
            </w:pPr>
            <w:r>
              <w:rPr>
                <w:rFonts w:ascii="Arial" w:cs="Arial" w:eastAsia="Arial" w:hAnsi="Arial"/>
                <w:sz w:val="17"/>
                <w:szCs w:val="17"/>
                <w:i w:val="1"/>
                <w:iCs w:val="1"/>
                <w:color w:val="auto"/>
              </w:rPr>
              <w:t>Chief Medical</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7"/>
                <w:szCs w:val="17"/>
                <w:i w:val="1"/>
                <w:iCs w:val="1"/>
                <w:color w:val="auto"/>
              </w:rPr>
              <w:t>Officer</w:t>
            </w: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2020</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425,000</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tcPr>
          <w:p>
            <w:pPr>
              <w:ind w:left="54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7"/>
              <w:spacing w:after="0"/>
              <w:rPr>
                <w:sz w:val="20"/>
                <w:szCs w:val="20"/>
                <w:color w:val="auto"/>
              </w:rPr>
            </w:pPr>
            <w:r>
              <w:rPr>
                <w:rFonts w:ascii="Arial" w:cs="Arial" w:eastAsia="Arial" w:hAnsi="Arial"/>
                <w:sz w:val="17"/>
                <w:szCs w:val="17"/>
                <w:color w:val="auto"/>
              </w:rPr>
              <w:t>911,197</w:t>
            </w:r>
          </w:p>
        </w:tc>
        <w:tc>
          <w:tcPr>
            <w:tcW w:w="1440" w:type="dxa"/>
            <w:vAlign w:val="bottom"/>
          </w:tcPr>
          <w:p>
            <w:pPr>
              <w:jc w:val="right"/>
              <w:ind w:right="98"/>
              <w:spacing w:after="0"/>
              <w:rPr>
                <w:sz w:val="20"/>
                <w:szCs w:val="20"/>
                <w:color w:val="auto"/>
              </w:rPr>
            </w:pPr>
            <w:r>
              <w:rPr>
                <w:rFonts w:ascii="Arial" w:cs="Arial" w:eastAsia="Arial" w:hAnsi="Arial"/>
                <w:sz w:val="17"/>
                <w:szCs w:val="17"/>
                <w:color w:val="auto"/>
              </w:rPr>
              <w:t>357,000</w:t>
            </w: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17,813</w:t>
            </w:r>
          </w:p>
        </w:tc>
        <w:tc>
          <w:tcPr>
            <w:tcW w:w="1200" w:type="dxa"/>
            <w:vAlign w:val="bottom"/>
          </w:tcPr>
          <w:p>
            <w:pPr>
              <w:jc w:val="right"/>
              <w:spacing w:after="0"/>
              <w:rPr>
                <w:sz w:val="20"/>
                <w:szCs w:val="20"/>
                <w:color w:val="auto"/>
              </w:rPr>
            </w:pPr>
            <w:r>
              <w:rPr>
                <w:rFonts w:ascii="Arial" w:cs="Arial" w:eastAsia="Arial" w:hAnsi="Arial"/>
                <w:sz w:val="17"/>
                <w:szCs w:val="17"/>
                <w:color w:val="auto"/>
              </w:rPr>
              <w:t>1,711,010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2019</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350,000</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75,000</w:t>
            </w:r>
          </w:p>
        </w:tc>
        <w:tc>
          <w:tcPr>
            <w:tcW w:w="9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126,000</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271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551,271</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tcPr>
          <w:p>
            <w:pPr>
              <w:spacing w:after="0" w:line="171" w:lineRule="exact"/>
              <w:rPr>
                <w:sz w:val="20"/>
                <w:szCs w:val="20"/>
                <w:color w:val="auto"/>
              </w:rPr>
            </w:pPr>
            <w:r>
              <w:rPr>
                <w:rFonts w:ascii="Arial" w:cs="Arial" w:eastAsia="Arial" w:hAnsi="Arial"/>
                <w:sz w:val="17"/>
                <w:szCs w:val="17"/>
                <w:color w:val="auto"/>
              </w:rPr>
              <w:t>Nicole Sweeny</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tcPr>
          <w:p>
            <w:pPr>
              <w:spacing w:after="0" w:line="171" w:lineRule="exact"/>
              <w:rPr>
                <w:sz w:val="20"/>
                <w:szCs w:val="20"/>
                <w:color w:val="auto"/>
              </w:rPr>
            </w:pPr>
            <w:r>
              <w:rPr>
                <w:rFonts w:ascii="Arial" w:cs="Arial" w:eastAsia="Arial" w:hAnsi="Arial"/>
                <w:sz w:val="17"/>
                <w:szCs w:val="17"/>
                <w:i w:val="1"/>
                <w:iCs w:val="1"/>
                <w:color w:val="auto"/>
              </w:rPr>
              <w:t>Chief Commercial</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7"/>
                <w:szCs w:val="17"/>
                <w:i w:val="1"/>
                <w:iCs w:val="1"/>
                <w:color w:val="auto"/>
              </w:rPr>
              <w:t>Officer (6)</w:t>
            </w: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2020</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142,500</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60,000</w:t>
            </w:r>
          </w:p>
        </w:tc>
        <w:tc>
          <w:tcPr>
            <w:tcW w:w="940" w:type="dxa"/>
            <w:vAlign w:val="bottom"/>
          </w:tcPr>
          <w:p>
            <w:pPr>
              <w:ind w:left="54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7"/>
              <w:spacing w:after="0"/>
              <w:rPr>
                <w:sz w:val="20"/>
                <w:szCs w:val="20"/>
                <w:color w:val="auto"/>
              </w:rPr>
            </w:pPr>
            <w:r>
              <w:rPr>
                <w:rFonts w:ascii="Arial" w:cs="Arial" w:eastAsia="Arial" w:hAnsi="Arial"/>
                <w:sz w:val="17"/>
                <w:szCs w:val="17"/>
                <w:color w:val="auto"/>
              </w:rPr>
              <w:t>1,343,151</w:t>
            </w:r>
          </w:p>
        </w:tc>
        <w:tc>
          <w:tcPr>
            <w:tcW w:w="1440" w:type="dxa"/>
            <w:vAlign w:val="bottom"/>
          </w:tcPr>
          <w:p>
            <w:pPr>
              <w:jc w:val="right"/>
              <w:ind w:right="98"/>
              <w:spacing w:after="0"/>
              <w:rPr>
                <w:sz w:val="20"/>
                <w:szCs w:val="20"/>
                <w:color w:val="auto"/>
              </w:rPr>
            </w:pPr>
            <w:r>
              <w:rPr>
                <w:rFonts w:ascii="Arial" w:cs="Arial" w:eastAsia="Arial" w:hAnsi="Arial"/>
                <w:sz w:val="17"/>
                <w:szCs w:val="17"/>
                <w:color w:val="auto"/>
              </w:rPr>
              <w:t>99,750</w:t>
            </w: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8,651</w:t>
            </w:r>
          </w:p>
        </w:tc>
        <w:tc>
          <w:tcPr>
            <w:tcW w:w="1200" w:type="dxa"/>
            <w:vAlign w:val="bottom"/>
          </w:tcPr>
          <w:p>
            <w:pPr>
              <w:jc w:val="right"/>
              <w:spacing w:after="0"/>
              <w:rPr>
                <w:sz w:val="20"/>
                <w:szCs w:val="20"/>
                <w:color w:val="auto"/>
              </w:rPr>
            </w:pPr>
            <w:r>
              <w:rPr>
                <w:rFonts w:ascii="Arial" w:cs="Arial" w:eastAsia="Arial" w:hAnsi="Arial"/>
                <w:sz w:val="17"/>
                <w:szCs w:val="17"/>
                <w:color w:val="auto"/>
              </w:rPr>
              <w:t>1,654,052</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Kiran Reddy, M.D.</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i w:val="1"/>
                <w:iCs w:val="1"/>
                <w:color w:val="auto"/>
              </w:rPr>
              <w:t>Former President and</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ind w:left="160"/>
              <w:spacing w:after="0" w:line="171" w:lineRule="exact"/>
              <w:rPr>
                <w:sz w:val="20"/>
                <w:szCs w:val="20"/>
                <w:color w:val="auto"/>
              </w:rPr>
            </w:pPr>
            <w:r>
              <w:rPr>
                <w:rFonts w:ascii="Arial" w:cs="Arial" w:eastAsia="Arial" w:hAnsi="Arial"/>
                <w:sz w:val="17"/>
                <w:szCs w:val="17"/>
                <w:i w:val="1"/>
                <w:iCs w:val="1"/>
                <w:color w:val="auto"/>
              </w:rPr>
              <w:t>Chief Executive</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Officer(7)</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2020</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132,998</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16,244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149,242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2019</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385,500</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tcPr>
          <w:p>
            <w:pPr>
              <w:ind w:left="54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98"/>
              <w:spacing w:after="0"/>
              <w:rPr>
                <w:sz w:val="20"/>
                <w:szCs w:val="20"/>
                <w:color w:val="auto"/>
              </w:rPr>
            </w:pPr>
            <w:r>
              <w:rPr>
                <w:rFonts w:ascii="Arial" w:cs="Arial" w:eastAsia="Arial" w:hAnsi="Arial"/>
                <w:sz w:val="17"/>
                <w:szCs w:val="17"/>
                <w:color w:val="auto"/>
              </w:rPr>
              <w:t>190,823</w:t>
            </w: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269</w:t>
            </w:r>
          </w:p>
        </w:tc>
        <w:tc>
          <w:tcPr>
            <w:tcW w:w="1200" w:type="dxa"/>
            <w:vAlign w:val="bottom"/>
          </w:tcPr>
          <w:p>
            <w:pPr>
              <w:jc w:val="right"/>
              <w:spacing w:after="0"/>
              <w:rPr>
                <w:sz w:val="20"/>
                <w:szCs w:val="20"/>
                <w:color w:val="auto"/>
              </w:rPr>
            </w:pPr>
            <w:r>
              <w:rPr>
                <w:rFonts w:ascii="Arial" w:cs="Arial" w:eastAsia="Arial" w:hAnsi="Arial"/>
                <w:sz w:val="17"/>
                <w:szCs w:val="17"/>
                <w:color w:val="auto"/>
              </w:rPr>
              <w:t>576,592</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Stuart Chaffee, Ph.D.</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060" w:type="dxa"/>
            <w:vAlign w:val="bottom"/>
            <w:shd w:val="clear" w:color="auto" w:fill="CCEEFF"/>
          </w:tcPr>
          <w:p>
            <w:pPr>
              <w:spacing w:after="0" w:line="171" w:lineRule="exact"/>
              <w:rPr>
                <w:sz w:val="20"/>
                <w:szCs w:val="20"/>
                <w:color w:val="auto"/>
              </w:rPr>
            </w:pPr>
            <w:r>
              <w:rPr>
                <w:rFonts w:ascii="Arial" w:cs="Arial" w:eastAsia="Arial" w:hAnsi="Arial"/>
                <w:sz w:val="17"/>
                <w:szCs w:val="17"/>
                <w:i w:val="1"/>
                <w:iCs w:val="1"/>
                <w:color w:val="auto"/>
              </w:rPr>
              <w:t>Former Chief Financial</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Officer (8)</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2020</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341,114</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852,959</w:t>
            </w:r>
          </w:p>
        </w:tc>
        <w:tc>
          <w:tcPr>
            <w:tcW w:w="14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453,610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1,647,683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2019</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308,250</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tcPr>
          <w:p>
            <w:pPr>
              <w:ind w:left="54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98"/>
              <w:spacing w:after="0"/>
              <w:rPr>
                <w:sz w:val="20"/>
                <w:szCs w:val="20"/>
                <w:color w:val="auto"/>
              </w:rPr>
            </w:pPr>
            <w:r>
              <w:rPr>
                <w:rFonts w:ascii="Arial" w:cs="Arial" w:eastAsia="Arial" w:hAnsi="Arial"/>
                <w:sz w:val="17"/>
                <w:szCs w:val="17"/>
                <w:color w:val="auto"/>
              </w:rPr>
              <w:t>83,228</w:t>
            </w: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297</w:t>
            </w:r>
          </w:p>
        </w:tc>
        <w:tc>
          <w:tcPr>
            <w:tcW w:w="1200" w:type="dxa"/>
            <w:vAlign w:val="bottom"/>
          </w:tcPr>
          <w:p>
            <w:pPr>
              <w:jc w:val="right"/>
              <w:spacing w:after="0"/>
              <w:rPr>
                <w:sz w:val="20"/>
                <w:szCs w:val="20"/>
                <w:color w:val="auto"/>
              </w:rPr>
            </w:pPr>
            <w:r>
              <w:rPr>
                <w:rFonts w:ascii="Arial" w:cs="Arial" w:eastAsia="Arial" w:hAnsi="Arial"/>
                <w:sz w:val="17"/>
                <w:szCs w:val="17"/>
                <w:color w:val="auto"/>
              </w:rPr>
              <w:t>391,775</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ind w:left="320" w:right="100" w:hanging="315"/>
        <w:spacing w:after="0" w:line="241" w:lineRule="auto"/>
        <w:tabs>
          <w:tab w:leader="none" w:pos="31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reported for 2020 represent a one-time $24,000 sign-on bonus paid to Mr. Souza under the terms of his employment agreement and a one-time $60,000 sign-on bonus paid to Ms. Sweeny under the terms of her offer letter. The amount for 2019 represents a $75,000 bonus paid to Dr. Ravina pursuant to the terms of his offer letter.</w:t>
      </w:r>
    </w:p>
    <w:p>
      <w:pPr>
        <w:spacing w:after="0" w:line="1" w:lineRule="exact"/>
        <w:rPr>
          <w:rFonts w:ascii="Arial" w:cs="Arial" w:eastAsia="Arial" w:hAnsi="Arial"/>
          <w:sz w:val="17"/>
          <w:szCs w:val="17"/>
          <w:color w:val="auto"/>
        </w:rPr>
      </w:pPr>
    </w:p>
    <w:p>
      <w:pPr>
        <w:ind w:left="320" w:hanging="315"/>
        <w:spacing w:after="0" w:line="241" w:lineRule="auto"/>
        <w:tabs>
          <w:tab w:leader="none" w:pos="31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awarded to the named executive officers during 2020 and 2019, calculated in accordance with Financial Accounting Standards Board, or FASB, Accounting Standards Codification, ASC, Topic 718. Such grant date fair values do not take into account any estimated forfeitures. The assumptions used in calculating the grant date fair value of the stock options reported in this column are set forth in Note 10 to our consolidated financial statements for the year ended December 31, 2020 included in this Annual Report on Form 10-K. The amounts reported in this column reflect the accounting cost for these stock options and do not correspond to the actual economic value that may be received by the named executive officers upon the exercise of the stock options or any sale of the underlying shares of common stock.</w:t>
      </w:r>
    </w:p>
    <w:p>
      <w:pPr>
        <w:spacing w:after="0" w:line="2" w:lineRule="exact"/>
        <w:rPr>
          <w:rFonts w:ascii="Arial" w:cs="Arial" w:eastAsia="Arial" w:hAnsi="Arial"/>
          <w:sz w:val="17"/>
          <w:szCs w:val="17"/>
          <w:color w:val="auto"/>
        </w:rPr>
      </w:pPr>
    </w:p>
    <w:p>
      <w:pPr>
        <w:jc w:val="both"/>
        <w:ind w:left="320" w:right="140" w:hanging="315"/>
        <w:spacing w:after="0" w:line="241" w:lineRule="auto"/>
        <w:tabs>
          <w:tab w:leader="none" w:pos="311" w:val="left"/>
        </w:tabs>
        <w:numPr>
          <w:ilvl w:val="0"/>
          <w:numId w:val="87"/>
        </w:numPr>
        <w:rPr>
          <w:rFonts w:ascii="Arial" w:cs="Arial" w:eastAsia="Arial" w:hAnsi="Arial"/>
          <w:sz w:val="17"/>
          <w:szCs w:val="17"/>
          <w:color w:val="auto"/>
        </w:rPr>
      </w:pPr>
      <w:r>
        <w:rPr>
          <w:rFonts w:ascii="Arial" w:cs="Arial" w:eastAsia="Arial" w:hAnsi="Arial"/>
          <w:sz w:val="17"/>
          <w:szCs w:val="17"/>
          <w:color w:val="auto"/>
        </w:rPr>
        <w:t>Amounts represent annual cash bonuses paid based on achievement of corporate performance metrics and individual performance in 2020 and 2019, as applicable, which were paid in February 2021 and March 2020, respectively. The corporate performance metrics for 2020 and 2019 were achieved at 200% and 90% of target, respectively. Individual performance achievement levels varied.</w:t>
      </w:r>
    </w:p>
    <w:p>
      <w:pPr>
        <w:spacing w:after="0" w:line="1" w:lineRule="exact"/>
        <w:rPr>
          <w:rFonts w:ascii="Arial" w:cs="Arial" w:eastAsia="Arial" w:hAnsi="Arial"/>
          <w:sz w:val="17"/>
          <w:szCs w:val="17"/>
          <w:color w:val="auto"/>
        </w:rPr>
      </w:pPr>
    </w:p>
    <w:p>
      <w:pPr>
        <w:ind w:left="320" w:right="60" w:hanging="315"/>
        <w:spacing w:after="0" w:line="256" w:lineRule="auto"/>
        <w:tabs>
          <w:tab w:leader="none" w:pos="311" w:val="left"/>
        </w:tabs>
        <w:numPr>
          <w:ilvl w:val="0"/>
          <w:numId w:val="87"/>
        </w:numPr>
        <w:rPr>
          <w:rFonts w:ascii="Arial" w:cs="Arial" w:eastAsia="Arial" w:hAnsi="Arial"/>
          <w:sz w:val="17"/>
          <w:szCs w:val="17"/>
          <w:color w:val="auto"/>
        </w:rPr>
      </w:pPr>
      <w:r>
        <w:rPr>
          <w:rFonts w:ascii="Arial" w:cs="Arial" w:eastAsia="Arial" w:hAnsi="Arial"/>
          <w:sz w:val="17"/>
          <w:szCs w:val="17"/>
          <w:color w:val="auto"/>
        </w:rPr>
        <w:t>Amounts reported include tax gross-ups on taxable long-term disability, commuter benefits, gym reimbursement, reimbursement for social distancing activities, disability insurance, and life insurance in the following amounts for 2020: Mr. Souza—$204 for long-term disability benefits, $3,569 for disability insurance, and $965 for life insurance; Dr. Ravina—$227 for long-term disability benefits, $411 for commuter benefits, and $75 for reimbursement for social distancing activities; Ms. Sweeny—$101 for long-term disability benefits; Dr. Reddy—$81 for long-term disability benefits and $248 for commuter benefits; and Dr. Chaffee—$225 for long-term disability benefits, $578 for commuter benefits and $374 for gym reimbursement. Amounts also include discretionary company contributions under our 401(k) plan, in the following amounts for 2020: $17,100 for Mr. Souza, Dr. Ravina and Dr. Chaffee; $8,550 for Ms. Sweeny; and $7,980 for Dr. Reddy. For Mr. Souza, the amount reported for 2020 also includes $6,726 for reimbursement for premiums on a supplemental long-term disability policy owned by him and $1,818 for reimbursement for premiums on a term life insurance policy owned by him. For Dr. Reddy, the amount reported for 2020 also includes $7,935 in fees for his services as a non-employee member of the board of directors in 2020 following his resignation as President and Chief Executive Officer. For Dr. Chaffee, the amount reported for 2020 also includes $435,333 in cash severance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right="100"/>
        <w:spacing w:after="0" w:line="241" w:lineRule="auto"/>
        <w:rPr>
          <w:sz w:val="20"/>
          <w:szCs w:val="20"/>
          <w:color w:val="auto"/>
        </w:rPr>
      </w:pPr>
      <w:r>
        <w:rPr>
          <w:rFonts w:ascii="Arial" w:cs="Arial" w:eastAsia="Arial" w:hAnsi="Arial"/>
          <w:sz w:val="17"/>
          <w:szCs w:val="17"/>
          <w:color w:val="auto"/>
        </w:rPr>
        <w:t>payable to Dr. Chaffee pursuant to the terms of his separation and transition agreement with us, which is described below under the heading “Employment Arrangements with our Named Executive Officers".</w:t>
      </w:r>
    </w:p>
    <w:p>
      <w:pPr>
        <w:spacing w:after="0" w:line="1" w:lineRule="exact"/>
        <w:rPr>
          <w:sz w:val="20"/>
          <w:szCs w:val="20"/>
          <w:color w:val="auto"/>
        </w:rPr>
      </w:pPr>
    </w:p>
    <w:p>
      <w:pPr>
        <w:ind w:left="320" w:hanging="315"/>
        <w:spacing w:after="0"/>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Souza was appointed President and Chief Executive Officer effective April 20,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Ms. Sweeny was appointed Chief Commercial Officer effective August 10,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Dr. Reddy resigned as our President and Chief Executive Officer effective April 20,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Dr. Chaffee resigned as our Chief Financial Officer effective December 2, 2020.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the 2020 Summary Compensation Table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100"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Each named executive officer’s base salary is a fixed component of annual compensation for performing specific duties and functions, and has been established by our board of directors or compensation committee taking into account each individual’s role, responsibilities, skills and expertise. Base salaries are reviewed annually, typically in connection with our annual performance review process, approved by our compensation committee or our board of directors and adjusted from time to time to realign salaries with market levels after taking into account individual responsibilities, performance and experience. During 2020, the annual base salaries for Mr. Souza, Dr. Ravina, Ms. Sweeny, Dr. Reddy, and Dr. Chaffee were $550,000, $425,000 and $360,000, $398,993, and $330,000 (which was increased to $400,000 effective as of May 28, 2020), respectively.</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113" w:lineRule="exact"/>
        <w:rPr>
          <w:sz w:val="20"/>
          <w:szCs w:val="20"/>
          <w:color w:val="auto"/>
        </w:rPr>
      </w:pPr>
    </w:p>
    <w:p>
      <w:pPr>
        <w:ind w:right="40" w:firstLine="433"/>
        <w:spacing w:after="0" w:line="244" w:lineRule="auto"/>
        <w:rPr>
          <w:sz w:val="20"/>
          <w:szCs w:val="20"/>
          <w:color w:val="auto"/>
        </w:rPr>
      </w:pPr>
      <w:r>
        <w:rPr>
          <w:rFonts w:ascii="Arial" w:cs="Arial" w:eastAsia="Arial" w:hAnsi="Arial"/>
          <w:sz w:val="17"/>
          <w:szCs w:val="17"/>
          <w:color w:val="auto"/>
        </w:rPr>
        <w:t>For the fiscal year ended December 31, 2020, each of our named executive officers was eligible to earn an annual bonus based on the achievement of certain pre-determined corporate performance objectives and individual performance. During 2020, the target annual bonuses for Mr. Souza, Dr. Ravina, Ms. Sweeny, Dr. Reddy, and Dr. Chaffee were 70%, 40%, 35%, 55%, and 30% (which was increased to 40% effective May 28, 2020) of their base salary, respectively. The annual bonus earned by each named executive officer with respect to the fiscal year ended December 31, 2020 is reported under the “Non-Equity Incentive Plan Compensation” column in the “2020 Summary Compensation Table” above and was determined based upon achievement of the corporate performance objectives at 200% of target and achievement of individual performance objective at varied levels.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00" w:lineRule="exact"/>
        <w:rPr>
          <w:sz w:val="20"/>
          <w:szCs w:val="20"/>
          <w:color w:val="auto"/>
        </w:rPr>
      </w:pPr>
    </w:p>
    <w:p>
      <w:pPr>
        <w:ind w:right="120" w:firstLine="433"/>
        <w:spacing w:after="0" w:line="245" w:lineRule="auto"/>
        <w:rPr>
          <w:sz w:val="20"/>
          <w:szCs w:val="20"/>
          <w:color w:val="auto"/>
        </w:rPr>
      </w:pPr>
      <w:r>
        <w:rPr>
          <w:rFonts w:ascii="Arial" w:cs="Arial" w:eastAsia="Arial" w:hAnsi="Arial"/>
          <w:sz w:val="17"/>
          <w:szCs w:val="17"/>
          <w:color w:val="auto"/>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compensation committee or board of directors periodically reviews the equity incentive compensation of our named executive officers and may grant equity incentive awards to them from time to time. Our named executive officers have been granted certain options to purchase shares of our common stock, as described in more detail in the “Outstanding Equity Awards at 2020 Fiscal Year-End” table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 with our Named Executive Officers</w:t>
      </w:r>
    </w:p>
    <w:p>
      <w:pPr>
        <w:spacing w:after="0" w:line="89" w:lineRule="exact"/>
        <w:rPr>
          <w:sz w:val="20"/>
          <w:szCs w:val="20"/>
          <w:color w:val="auto"/>
        </w:rPr>
      </w:pPr>
    </w:p>
    <w:p>
      <w:pPr>
        <w:ind w:right="60" w:firstLine="433"/>
        <w:spacing w:after="0" w:line="246" w:lineRule="auto"/>
        <w:rPr>
          <w:sz w:val="20"/>
          <w:szCs w:val="20"/>
          <w:color w:val="auto"/>
        </w:rPr>
      </w:pPr>
      <w:r>
        <w:rPr>
          <w:rFonts w:ascii="Arial" w:cs="Arial" w:eastAsia="Arial" w:hAnsi="Arial"/>
          <w:sz w:val="17"/>
          <w:szCs w:val="17"/>
          <w:color w:val="auto"/>
        </w:rPr>
        <w:t>We initially entered into an offer letter or employment agreement with each of the named executive officers in connection with his or her employment with us, which set forth the terms and conditions of his or her employment, including base salary, target annual bonus opportunity and initial equity awards. In April 2020, we entered into employment agreements with Dr. Ravina and Dr. Chaffee that replaced the offer letters or prior employment agreements and provided for specified payments and benefits in connection with a termination of employment in certain circumstances.</w:t>
      </w:r>
    </w:p>
    <w:p>
      <w:pPr>
        <w:spacing w:after="0" w:line="261" w:lineRule="exact"/>
        <w:rPr>
          <w:sz w:val="20"/>
          <w:szCs w:val="20"/>
          <w:color w:val="auto"/>
        </w:rPr>
      </w:pPr>
    </w:p>
    <w:p>
      <w:pPr>
        <w:ind w:right="260" w:firstLine="433"/>
        <w:spacing w:after="0" w:line="259" w:lineRule="auto"/>
        <w:rPr>
          <w:sz w:val="20"/>
          <w:szCs w:val="20"/>
          <w:color w:val="auto"/>
        </w:rPr>
      </w:pPr>
      <w:r>
        <w:rPr>
          <w:rFonts w:ascii="Arial" w:cs="Arial" w:eastAsia="Arial" w:hAnsi="Arial"/>
          <w:sz w:val="17"/>
          <w:szCs w:val="17"/>
          <w:color w:val="auto"/>
        </w:rPr>
        <w:t>We entered into amended and restated employment agreements with Mr. Souza, Dr. Ravina, Ms. Sweeny and Dr. Chaffee effective as of the closing of our initial public offering in October 2020, or the New Employment Agreements.</w:t>
      </w:r>
    </w:p>
    <w:p>
      <w:pPr>
        <w:spacing w:after="0" w:line="37" w:lineRule="exact"/>
        <w:rPr>
          <w:sz w:val="20"/>
          <w:szCs w:val="20"/>
          <w:color w:val="auto"/>
        </w:rPr>
      </w:pPr>
    </w:p>
    <w:p>
      <w:pPr>
        <w:jc w:val="both"/>
        <w:ind w:right="220" w:firstLine="433"/>
        <w:spacing w:after="0" w:line="250" w:lineRule="auto"/>
        <w:rPr>
          <w:sz w:val="20"/>
          <w:szCs w:val="20"/>
          <w:color w:val="auto"/>
        </w:rPr>
      </w:pPr>
      <w:r>
        <w:rPr>
          <w:rFonts w:ascii="Arial" w:cs="Arial" w:eastAsia="Arial" w:hAnsi="Arial"/>
          <w:sz w:val="17"/>
          <w:szCs w:val="17"/>
          <w:color w:val="auto"/>
        </w:rPr>
        <w:t>The New Employment Agreements provide for specified payments and benefits in connection with a termination of employment in certain circumstances. The material terms of the New Employment agreements with Mr. Souza, Dr. Ravina, Ms. Sweeny and Dr. Chaffee and the offer letter with Dr. Reddy are summarized below.</w:t>
      </w:r>
    </w:p>
    <w:p>
      <w:pPr>
        <w:spacing w:after="0" w:line="45" w:lineRule="exact"/>
        <w:rPr>
          <w:sz w:val="20"/>
          <w:szCs w:val="20"/>
          <w:color w:val="auto"/>
        </w:rPr>
      </w:pPr>
    </w:p>
    <w:p>
      <w:pPr>
        <w:ind w:right="440" w:firstLine="433"/>
        <w:spacing w:after="0" w:line="274" w:lineRule="auto"/>
        <w:rPr>
          <w:sz w:val="20"/>
          <w:szCs w:val="20"/>
          <w:color w:val="auto"/>
        </w:rPr>
      </w:pPr>
      <w:r>
        <w:rPr>
          <w:rFonts w:ascii="Arial" w:cs="Arial" w:eastAsia="Arial" w:hAnsi="Arial"/>
          <w:sz w:val="17"/>
          <w:szCs w:val="17"/>
          <w:color w:val="auto"/>
        </w:rPr>
        <w:t>In connection with the termination of his employment, we entered into a separation and transition agreement with Dr. Chaffee, which provided for certain payments and benefits. The material terms of the separation and transition agreement with Dr. Chaffee are summarized below.</w:t>
      </w:r>
    </w:p>
    <w:p>
      <w:pPr>
        <w:spacing w:after="0" w:line="21"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i w:val="1"/>
          <w:iCs w:val="1"/>
          <w:color w:val="auto"/>
        </w:rPr>
        <w:t xml:space="preserve">Marcio Souza. </w:t>
      </w:r>
      <w:r>
        <w:rPr>
          <w:rFonts w:ascii="Arial" w:cs="Arial" w:eastAsia="Arial" w:hAnsi="Arial"/>
          <w:sz w:val="17"/>
          <w:szCs w:val="17"/>
          <w:color w:val="auto"/>
        </w:rPr>
        <w:t>Under the New Employment Agreement with Mr. Souza, Mr. Souza has continued to serve as our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on an at-will basis. Mr. Souza’s current annual base salary is $575,000, which is subject to annual review, and he is eligible to earn an annual bonus with a target amount equal to 75%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his base salary. Mr. Souza is also eligible to participate in the employee benefit plans available to our employees, subject to the terms of those plans.</w:t>
      </w:r>
    </w:p>
    <w:p>
      <w:pPr>
        <w:spacing w:after="0" w:line="32" w:lineRule="exact"/>
        <w:rPr>
          <w:sz w:val="20"/>
          <w:szCs w:val="20"/>
          <w:color w:val="auto"/>
        </w:rPr>
      </w:pPr>
    </w:p>
    <w:p>
      <w:pPr>
        <w:ind w:right="320" w:firstLine="433"/>
        <w:spacing w:after="0" w:line="254" w:lineRule="auto"/>
        <w:rPr>
          <w:sz w:val="20"/>
          <w:szCs w:val="20"/>
          <w:color w:val="auto"/>
        </w:rPr>
      </w:pPr>
      <w:r>
        <w:rPr>
          <w:rFonts w:ascii="Arial" w:cs="Arial" w:eastAsia="Arial" w:hAnsi="Arial"/>
          <w:sz w:val="17"/>
          <w:szCs w:val="17"/>
          <w:i w:val="1"/>
          <w:iCs w:val="1"/>
          <w:color w:val="auto"/>
        </w:rPr>
        <w:t xml:space="preserve">Bernard Ravina, M.D. </w:t>
      </w:r>
      <w:r>
        <w:rPr>
          <w:rFonts w:ascii="Arial" w:cs="Arial" w:eastAsia="Arial" w:hAnsi="Arial"/>
          <w:sz w:val="17"/>
          <w:szCs w:val="17"/>
          <w:color w:val="auto"/>
        </w:rPr>
        <w:t>Under the New Employment Agreement with Dr. Ravina, Dr. Ravina has continued to serve as our Chief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an at-will basis. Dr. Ravina’s current annual base salary is $475,000, which is subject to annual review, and he is eligible to earn an annual bonus with a target amount equal to 40% of his base salary. Dr. Ravina is also eligible to participate in the employee benefit plans available to our employees, subject to the terms of those plans.</w:t>
      </w:r>
    </w:p>
    <w:p>
      <w:pPr>
        <w:spacing w:after="0" w:line="25" w:lineRule="exact"/>
        <w:rPr>
          <w:sz w:val="20"/>
          <w:szCs w:val="20"/>
          <w:color w:val="auto"/>
        </w:rPr>
      </w:pPr>
    </w:p>
    <w:p>
      <w:pPr>
        <w:ind w:right="100" w:firstLine="433"/>
        <w:spacing w:after="0" w:line="254" w:lineRule="auto"/>
        <w:rPr>
          <w:sz w:val="20"/>
          <w:szCs w:val="20"/>
          <w:color w:val="auto"/>
        </w:rPr>
      </w:pPr>
      <w:r>
        <w:rPr>
          <w:rFonts w:ascii="Arial" w:cs="Arial" w:eastAsia="Arial" w:hAnsi="Arial"/>
          <w:sz w:val="17"/>
          <w:szCs w:val="17"/>
          <w:i w:val="1"/>
          <w:iCs w:val="1"/>
          <w:color w:val="auto"/>
        </w:rPr>
        <w:t xml:space="preserve">Nicole Sweeny. </w:t>
      </w:r>
      <w:r>
        <w:rPr>
          <w:rFonts w:ascii="Arial" w:cs="Arial" w:eastAsia="Arial" w:hAnsi="Arial"/>
          <w:sz w:val="17"/>
          <w:szCs w:val="17"/>
          <w:color w:val="auto"/>
        </w:rPr>
        <w:t>Under the New Employment Agreement with Ms. Sweeny, Ms. Sweeny has continued to serve as our Chief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an at-will basis. Ms. Sweeny’s current annual base salary is $400,000, which is subject to annual review, and she is eligible to earn an annual bonus with a target amount equal to 40% of her base salary. Ms. Sweeny is also eligible to participate in the employee benefit plans available to our employees, subject to the terms of those plans.</w:t>
      </w:r>
    </w:p>
    <w:p>
      <w:pPr>
        <w:spacing w:after="0" w:line="43" w:lineRule="exact"/>
        <w:rPr>
          <w:sz w:val="20"/>
          <w:szCs w:val="20"/>
          <w:color w:val="auto"/>
        </w:rPr>
      </w:pPr>
    </w:p>
    <w:p>
      <w:pPr>
        <w:ind w:right="20" w:firstLine="433"/>
        <w:spacing w:after="0" w:line="241" w:lineRule="auto"/>
        <w:rPr>
          <w:sz w:val="20"/>
          <w:szCs w:val="20"/>
          <w:color w:val="auto"/>
        </w:rPr>
      </w:pPr>
      <w:r>
        <w:rPr>
          <w:rFonts w:ascii="Arial" w:cs="Arial" w:eastAsia="Arial" w:hAnsi="Arial"/>
          <w:sz w:val="17"/>
          <w:szCs w:val="17"/>
          <w:color w:val="auto"/>
        </w:rPr>
        <w:t>Pursuant to the New Employment Agreements, in the event that Mr. Souza’s, Dr. Ravina’s, or Ms. Sweeny’s employment is terminated by us without “cause” or Mr. Souza, Dr. Ravina, or Ms. Sweeny resigns for “good reason” (as defined in the New Employment Agreements), subject to the execution and effectiveness of a separation agreement, including a general release of claims in our favor, Mr. Souza, Dr. Ravina, or Ms. Sweeny, as applicable, (i) will be entitled to receive base salary continuation for nine months (12 months for Mr. Souza) following termination, and</w:t>
      </w:r>
    </w:p>
    <w:p>
      <w:pPr>
        <w:spacing w:after="0" w:line="2" w:lineRule="exact"/>
        <w:rPr>
          <w:sz w:val="20"/>
          <w:szCs w:val="20"/>
          <w:color w:val="auto"/>
        </w:rPr>
      </w:pPr>
    </w:p>
    <w:p>
      <w:pPr>
        <w:ind w:right="40" w:firstLine="5"/>
        <w:spacing w:after="0" w:line="241" w:lineRule="auto"/>
        <w:tabs>
          <w:tab w:leader="none" w:pos="2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subject to the executive’s co-payment of premium amounts at the applicable active employees’ rate and proper election to continue COBRA health coverage, we will cover the portion of the premium amount equal to the amount that we would have paid to provide health insurance to the executive had such executive remained employed with us until the earliest of (A) nine months (12 months for Mr. Souza) following termination,</w:t>
      </w:r>
    </w:p>
    <w:p>
      <w:pPr>
        <w:spacing w:after="0" w:line="1" w:lineRule="exact"/>
        <w:rPr>
          <w:rFonts w:ascii="Arial" w:cs="Arial" w:eastAsia="Arial" w:hAnsi="Arial"/>
          <w:sz w:val="17"/>
          <w:szCs w:val="17"/>
          <w:color w:val="auto"/>
        </w:rPr>
      </w:pPr>
    </w:p>
    <w:p>
      <w:pPr>
        <w:ind w:right="440"/>
        <w:spacing w:after="0" w:line="259" w:lineRule="auto"/>
        <w:rPr>
          <w:rFonts w:ascii="Arial" w:cs="Arial" w:eastAsia="Arial" w:hAnsi="Arial"/>
          <w:sz w:val="17"/>
          <w:szCs w:val="17"/>
          <w:color w:val="auto"/>
        </w:rPr>
      </w:pPr>
      <w:r>
        <w:rPr>
          <w:rFonts w:ascii="Arial" w:cs="Arial" w:eastAsia="Arial" w:hAnsi="Arial"/>
          <w:sz w:val="17"/>
          <w:szCs w:val="17"/>
          <w:color w:val="auto"/>
        </w:rPr>
        <w:t>(B) the executive’s eligibility for group medical plan benefits under any other employer’s group medical plan or (C) the end of the executive’s COBRA health continuation period.</w:t>
      </w:r>
    </w:p>
    <w:p>
      <w:pPr>
        <w:spacing w:after="0" w:line="50"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In lieu of the payments and benefits described in the preceding sentence, in the event Mr. Souza’s, Dr. Ravina’s or Ms. Sweeny’s employment is terminated by us without cause or Mr. Souza, Dr. Ravina, or Ms. Sweeny resigns for good reason, in either case on or within 12 months following a “change of control” (as defined in the New Employment Agreements), subject to the execution and effectiveness of a separation agreement, including a general release of claims in our favor, (i) the executive will be entitled to receive a lump sum in cash equal to one times (1.5 times for Mr. Souza) the sum of (A) the executive’s then-current annual base salary (or the executive’s annual base salary in effect immediately prior to the change of control, if higher) plus (B) the executive’s target annual cash incentive compensation for the year of termination (or the executive’s target annual cash incentive compensation in effect immediately prior to the change of control, if higher), (ii) subject to the executive’s co-payment of premium amounts at the applicable active employees’ rate and proper election to continue COBRA health coverage, we will cover the portion of the premium amount equal to the amount that we would have paid to provide health insurance to the executive had such executive remained employed with us until the earliest of (A) 12 months (18 months for Mr. Souza) following termination, (B) the executive’s eligibility for group medical plan benefits under any other employer’s group medical plan or (C) the end of the executive’s COBRA health continuation period, and (iii) the vesting of 100% of all stock options and other stock-based awards subject solely to time-based vesting held by the executive shall be accelerated.</w:t>
      </w:r>
    </w:p>
    <w:p>
      <w:pPr>
        <w:spacing w:after="0" w:line="248" w:lineRule="exact"/>
        <w:rPr>
          <w:sz w:val="20"/>
          <w:szCs w:val="20"/>
          <w:color w:val="auto"/>
        </w:rPr>
      </w:pPr>
    </w:p>
    <w:p>
      <w:pPr>
        <w:ind w:right="80" w:firstLine="433"/>
        <w:spacing w:after="0" w:line="246" w:lineRule="auto"/>
        <w:rPr>
          <w:sz w:val="20"/>
          <w:szCs w:val="20"/>
          <w:color w:val="auto"/>
        </w:rPr>
      </w:pPr>
      <w:r>
        <w:rPr>
          <w:rFonts w:ascii="Arial" w:cs="Arial" w:eastAsia="Arial" w:hAnsi="Arial"/>
          <w:sz w:val="17"/>
          <w:szCs w:val="17"/>
          <w:color w:val="auto"/>
        </w:rPr>
        <w:t>The payments and benefits provided to each of the executives in connection with a change of control may not be eligible for a federal income tax deduction for the company pursuant to Section 280G of the Code and may subject the executive to an excise tax under Section 4999 of the Code. If the payments or benefits payable to the executive in connection with a change of control would be subject to the excise tax on golden parachutes imposed under Section 4999 of the Code, then those payments or benefits will be reduced if such reduction would result in a higher net after-tax benefit to the executive.</w:t>
      </w:r>
    </w:p>
    <w:p>
      <w:pPr>
        <w:spacing w:after="0" w:line="29" w:lineRule="exact"/>
        <w:rPr>
          <w:sz w:val="20"/>
          <w:szCs w:val="20"/>
          <w:color w:val="auto"/>
        </w:rPr>
      </w:pPr>
    </w:p>
    <w:p>
      <w:pPr>
        <w:ind w:right="140" w:firstLine="433"/>
        <w:spacing w:after="0" w:line="251" w:lineRule="auto"/>
        <w:rPr>
          <w:sz w:val="20"/>
          <w:szCs w:val="20"/>
          <w:color w:val="auto"/>
        </w:rPr>
      </w:pPr>
      <w:r>
        <w:rPr>
          <w:rFonts w:ascii="Arial" w:cs="Arial" w:eastAsia="Arial" w:hAnsi="Arial"/>
          <w:sz w:val="17"/>
          <w:szCs w:val="17"/>
          <w:i w:val="1"/>
          <w:iCs w:val="1"/>
          <w:color w:val="auto"/>
        </w:rPr>
        <w:t xml:space="preserve">Kiran Reddy, M.D. </w:t>
      </w:r>
      <w:r>
        <w:rPr>
          <w:rFonts w:ascii="Arial" w:cs="Arial" w:eastAsia="Arial" w:hAnsi="Arial"/>
          <w:sz w:val="17"/>
          <w:szCs w:val="17"/>
          <w:color w:val="auto"/>
        </w:rPr>
        <w:t>Dr. Reddy resigned as our President and Chief Executive Officer effective April 20, 2020.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his employment with us, Clarus Ventures entered into an offer letter with Dr. Reddy to serve as Chief Executive Officer of our company, which set forth his initial annual base salary, target bonus and initial equity award. In addition, the offer letter provided that, if he transitioned from the position of Chief Executive Officer of our company for good reason, he would have the opportunity to join Clarus Ventures as a venture partner at his current compensation for a period of one year.</w:t>
      </w:r>
    </w:p>
    <w:p>
      <w:pPr>
        <w:spacing w:after="0" w:line="40" w:lineRule="exact"/>
        <w:rPr>
          <w:sz w:val="20"/>
          <w:szCs w:val="20"/>
          <w:color w:val="auto"/>
        </w:rPr>
      </w:pPr>
    </w:p>
    <w:p>
      <w:pPr>
        <w:ind w:right="460" w:firstLine="433"/>
        <w:spacing w:after="0" w:line="268" w:lineRule="auto"/>
        <w:rPr>
          <w:sz w:val="20"/>
          <w:szCs w:val="20"/>
          <w:color w:val="auto"/>
        </w:rPr>
      </w:pPr>
      <w:r>
        <w:rPr>
          <w:rFonts w:ascii="Arial" w:cs="Arial" w:eastAsia="Arial" w:hAnsi="Arial"/>
          <w:sz w:val="17"/>
          <w:szCs w:val="17"/>
          <w:i w:val="1"/>
          <w:iCs w:val="1"/>
          <w:color w:val="auto"/>
        </w:rPr>
        <w:t xml:space="preserve">Stuart Chaffee, Ph.D. </w:t>
      </w:r>
      <w:r>
        <w:rPr>
          <w:rFonts w:ascii="Arial" w:cs="Arial" w:eastAsia="Arial" w:hAnsi="Arial"/>
          <w:sz w:val="17"/>
          <w:szCs w:val="17"/>
          <w:color w:val="auto"/>
        </w:rPr>
        <w:t>Under the New Employment Agreement with Dr. Chaffee, Dr. Chaffee continued to serve as our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an at-will basis until his resignation. Prior to his resignation, Dr. Chafee was entitled to the same severance and change of control</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benefits as Dr. Ravina and Ms. Sweeny under his New Employment Agreement. Dr. Chaffee resigned as our Chief Financial Officer effective December 2, 2020 and transitioned to a role as strategic advisor. In connection with his resignation, and subject to the Company’s receipt of a general release of claims and pursuant to the terms of a separation and transition agreement, Dr. Chaffee is entitled to receive (i) continuation of his current base salary for nine months following his separation from the Company, (ii) his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target cash bonus amount for fiscal year 2020, payable in nine equal monthly installments following his separation, and (iii) continued time-based vesting of the unvested portions of Dr. Chaffee’s outstanding equity awards during the period in which Dr. Chaffee provides advisory services to us.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2020 Fiscal Year-End</w:t>
      </w:r>
    </w:p>
    <w:p>
      <w:pPr>
        <w:spacing w:after="0" w:line="102" w:lineRule="exact"/>
        <w:rPr>
          <w:sz w:val="20"/>
          <w:szCs w:val="20"/>
          <w:color w:val="auto"/>
        </w:rPr>
      </w:pPr>
    </w:p>
    <w:p>
      <w:pPr>
        <w:ind w:right="320" w:firstLine="433"/>
        <w:spacing w:after="0" w:line="250" w:lineRule="auto"/>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 Each of the awards set forth in the table below was granted under our 2017 Stock Incentive Plan, or the 2017 Plan, or our 2020 Stock Option and Incentive Plan, or the 2020 Plan.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6"/>
              </w:rPr>
              <w:t>Option Awards</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7" w:lineRule="exact"/>
              <w:rPr>
                <w:sz w:val="20"/>
                <w:szCs w:val="20"/>
                <w:color w:val="auto"/>
              </w:rPr>
            </w:pPr>
            <w:r>
              <w:rPr>
                <w:rFonts w:ascii="Arial" w:cs="Arial" w:eastAsia="Arial" w:hAnsi="Arial"/>
                <w:sz w:val="14"/>
                <w:szCs w:val="14"/>
                <w:b w:val="1"/>
                <w:bCs w:val="1"/>
                <w:color w:val="auto"/>
                <w:w w:val="99"/>
              </w:rPr>
              <w:t>Number of</w:t>
            </w:r>
          </w:p>
        </w:tc>
        <w:tc>
          <w:tcPr>
            <w:tcW w:w="1720" w:type="dxa"/>
            <w:vAlign w:val="bottom"/>
            <w:gridSpan w:val="3"/>
          </w:tcPr>
          <w:p>
            <w:pPr>
              <w:jc w:val="center"/>
              <w:ind w:right="340"/>
              <w:spacing w:after="0" w:line="137" w:lineRule="exact"/>
              <w:rPr>
                <w:sz w:val="20"/>
                <w:szCs w:val="20"/>
                <w:color w:val="auto"/>
              </w:rPr>
            </w:pPr>
            <w:r>
              <w:rPr>
                <w:rFonts w:ascii="Arial" w:cs="Arial" w:eastAsia="Arial" w:hAnsi="Arial"/>
                <w:sz w:val="14"/>
                <w:szCs w:val="14"/>
                <w:b w:val="1"/>
                <w:bCs w:val="1"/>
                <w:color w:val="auto"/>
                <w:w w:val="99"/>
              </w:rPr>
              <w:t>Number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Securities</w:t>
            </w:r>
          </w:p>
        </w:tc>
        <w:tc>
          <w:tcPr>
            <w:tcW w:w="172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8"/>
              </w:rPr>
              <w:t>Underlying</w:t>
            </w:r>
          </w:p>
        </w:tc>
        <w:tc>
          <w:tcPr>
            <w:tcW w:w="172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w w:val="98"/>
              </w:rPr>
              <w:t>Underlying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Vesting</w:t>
            </w: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Unexercised</w:t>
            </w:r>
          </w:p>
        </w:tc>
        <w:tc>
          <w:tcPr>
            <w:tcW w:w="172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rPr>
              <w:t>Unexercised</w:t>
            </w: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rPr>
              <w:t>Options (#)</w:t>
            </w:r>
          </w:p>
        </w:tc>
        <w:tc>
          <w:tcPr>
            <w:tcW w:w="172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w w:val="97"/>
              </w:rPr>
              <w:t>Options (#)</w:t>
            </w:r>
          </w:p>
        </w:tc>
        <w:tc>
          <w:tcPr>
            <w:tcW w:w="9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3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1"/>
                <w:szCs w:val="11"/>
                <w:color w:val="auto"/>
              </w:rPr>
            </w:pP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Commencement</w:t>
            </w: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rPr>
              <w:t>Exercisable</w:t>
            </w:r>
          </w:p>
        </w:tc>
        <w:tc>
          <w:tcPr>
            <w:tcW w:w="1720" w:type="dxa"/>
            <w:vAlign w:val="bottom"/>
            <w:gridSpan w:val="3"/>
          </w:tcPr>
          <w:p>
            <w:pPr>
              <w:jc w:val="center"/>
              <w:ind w:right="320"/>
              <w:spacing w:after="0" w:line="131" w:lineRule="exact"/>
              <w:rPr>
                <w:sz w:val="20"/>
                <w:szCs w:val="20"/>
                <w:color w:val="auto"/>
              </w:rPr>
            </w:pPr>
            <w:r>
              <w:rPr>
                <w:rFonts w:ascii="Arial" w:cs="Arial" w:eastAsia="Arial" w:hAnsi="Arial"/>
                <w:sz w:val="14"/>
                <w:szCs w:val="14"/>
                <w:b w:val="1"/>
                <w:bCs w:val="1"/>
                <w:color w:val="auto"/>
              </w:rPr>
              <w:t>Unexercisable</w:t>
            </w:r>
          </w:p>
        </w:tc>
        <w:tc>
          <w:tcPr>
            <w:tcW w:w="9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rPr>
              <w:t>Exercise</w:t>
            </w:r>
          </w:p>
        </w:tc>
        <w:tc>
          <w:tcPr>
            <w:tcW w:w="1380" w:type="dxa"/>
            <w:vAlign w:val="bottom"/>
          </w:tcPr>
          <w:p>
            <w:pPr>
              <w:ind w:left="340"/>
              <w:spacing w:after="0" w:line="131"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0"/>
        </w:trPr>
        <w:tc>
          <w:tcPr>
            <w:tcW w:w="2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Price ($)</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Marcio Souza</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06/05/2020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04/20/2020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955,349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06/03/2030</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09/14/2020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09/08/2020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1,028,037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9"/>
                <w:szCs w:val="19"/>
                <w:color w:val="auto"/>
              </w:rPr>
            </w:pPr>
          </w:p>
        </w:tc>
        <w:tc>
          <w:tcPr>
            <w:tcW w:w="1380" w:type="dxa"/>
            <w:vAlign w:val="bottom"/>
          </w:tcPr>
          <w:p>
            <w:pPr>
              <w:ind w:left="480"/>
              <w:spacing w:after="0"/>
              <w:rPr>
                <w:sz w:val="20"/>
                <w:szCs w:val="20"/>
                <w:color w:val="auto"/>
              </w:rPr>
            </w:pPr>
            <w:r>
              <w:rPr>
                <w:rFonts w:ascii="Arial" w:cs="Arial" w:eastAsia="Arial" w:hAnsi="Arial"/>
                <w:sz w:val="17"/>
                <w:szCs w:val="17"/>
                <w:color w:val="auto"/>
              </w:rPr>
              <w:t>09/12/2030</w:t>
            </w:r>
          </w:p>
        </w:tc>
        <w:tc>
          <w:tcPr>
            <w:tcW w:w="0" w:type="dxa"/>
            <w:vAlign w:val="bottom"/>
          </w:tcPr>
          <w:p>
            <w:pPr>
              <w:spacing w:after="0"/>
              <w:rPr>
                <w:sz w:val="1"/>
                <w:szCs w:val="1"/>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Bernard Ravina, M.D.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10/19/2018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08/21/2018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103,020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10/16/2028</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06/05/2020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05/28/2020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80,507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19"/>
                <w:szCs w:val="19"/>
                <w:color w:val="auto"/>
              </w:rPr>
            </w:pPr>
          </w:p>
        </w:tc>
        <w:tc>
          <w:tcPr>
            <w:tcW w:w="1380" w:type="dxa"/>
            <w:vAlign w:val="bottom"/>
          </w:tcPr>
          <w:p>
            <w:pPr>
              <w:ind w:left="480"/>
              <w:spacing w:after="0"/>
              <w:rPr>
                <w:sz w:val="20"/>
                <w:szCs w:val="20"/>
                <w:color w:val="auto"/>
              </w:rPr>
            </w:pPr>
            <w:r>
              <w:rPr>
                <w:rFonts w:ascii="Arial" w:cs="Arial" w:eastAsia="Arial" w:hAnsi="Arial"/>
                <w:sz w:val="17"/>
                <w:szCs w:val="17"/>
                <w:color w:val="auto"/>
              </w:rPr>
              <w:t>06/03/2030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09/14/2020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09/08/2020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09/12/2030</w:t>
            </w:r>
          </w:p>
        </w:tc>
        <w:tc>
          <w:tcPr>
            <w:tcW w:w="0" w:type="dxa"/>
            <w:vAlign w:val="bottom"/>
          </w:tcPr>
          <w:p>
            <w:pPr>
              <w:spacing w:after="0"/>
              <w:rPr>
                <w:sz w:val="1"/>
                <w:szCs w:val="1"/>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Nicole Sweeny</w:t>
            </w:r>
          </w:p>
        </w:tc>
        <w:tc>
          <w:tcPr>
            <w:tcW w:w="1360" w:type="dxa"/>
            <w:vAlign w:val="bottom"/>
          </w:tcPr>
          <w:p>
            <w:pPr>
              <w:jc w:val="right"/>
              <w:spacing w:after="0"/>
              <w:rPr>
                <w:sz w:val="20"/>
                <w:szCs w:val="20"/>
                <w:color w:val="auto"/>
              </w:rPr>
            </w:pPr>
            <w:r>
              <w:rPr>
                <w:rFonts w:ascii="Arial" w:cs="Arial" w:eastAsia="Arial" w:hAnsi="Arial"/>
                <w:sz w:val="17"/>
                <w:szCs w:val="17"/>
                <w:color w:val="auto"/>
              </w:rPr>
              <w:t>08/19/2020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08/10/2020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229,065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1380" w:type="dxa"/>
            <w:vAlign w:val="bottom"/>
          </w:tcPr>
          <w:p>
            <w:pPr>
              <w:ind w:left="480"/>
              <w:spacing w:after="0"/>
              <w:rPr>
                <w:sz w:val="20"/>
                <w:szCs w:val="20"/>
                <w:color w:val="auto"/>
              </w:rPr>
            </w:pPr>
            <w:r>
              <w:rPr>
                <w:rFonts w:ascii="Arial" w:cs="Arial" w:eastAsia="Arial" w:hAnsi="Arial"/>
                <w:sz w:val="17"/>
                <w:szCs w:val="17"/>
                <w:color w:val="auto"/>
              </w:rPr>
              <w:t>08/17/2030</w:t>
            </w:r>
          </w:p>
        </w:tc>
        <w:tc>
          <w:tcPr>
            <w:tcW w:w="0" w:type="dxa"/>
            <w:vAlign w:val="bottom"/>
          </w:tcPr>
          <w:p>
            <w:pPr>
              <w:spacing w:after="0"/>
              <w:rPr>
                <w:sz w:val="1"/>
                <w:szCs w:val="1"/>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Kiran Reddy, M.D.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10/19/2018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10/06/2015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230,928</w:t>
            </w: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10/16/2028</w:t>
            </w:r>
          </w:p>
        </w:tc>
        <w:tc>
          <w:tcPr>
            <w:tcW w:w="0" w:type="dxa"/>
            <w:vAlign w:val="bottom"/>
          </w:tcPr>
          <w:p>
            <w:pPr>
              <w:spacing w:after="0"/>
              <w:rPr>
                <w:sz w:val="1"/>
                <w:szCs w:val="1"/>
                <w:color w:val="auto"/>
              </w:rPr>
            </w:pPr>
          </w:p>
        </w:tc>
      </w:tr>
      <w:tr>
        <w:trPr>
          <w:trHeight w:val="223"/>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Stuart Chaffee, Ph.D.(2)</w:t>
            </w:r>
          </w:p>
        </w:tc>
        <w:tc>
          <w:tcPr>
            <w:tcW w:w="1360" w:type="dxa"/>
            <w:vAlign w:val="bottom"/>
          </w:tcPr>
          <w:p>
            <w:pPr>
              <w:jc w:val="right"/>
              <w:spacing w:after="0"/>
              <w:rPr>
                <w:sz w:val="20"/>
                <w:szCs w:val="20"/>
                <w:color w:val="auto"/>
              </w:rPr>
            </w:pPr>
            <w:r>
              <w:rPr>
                <w:rFonts w:ascii="Arial" w:cs="Arial" w:eastAsia="Arial" w:hAnsi="Arial"/>
                <w:sz w:val="17"/>
                <w:szCs w:val="17"/>
                <w:color w:val="auto"/>
              </w:rPr>
              <w:t>10/19/2018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11/20/2017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134,552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9"/>
                <w:szCs w:val="19"/>
                <w:color w:val="auto"/>
              </w:rPr>
            </w:pPr>
          </w:p>
        </w:tc>
        <w:tc>
          <w:tcPr>
            <w:tcW w:w="1380" w:type="dxa"/>
            <w:vAlign w:val="bottom"/>
          </w:tcPr>
          <w:p>
            <w:pPr>
              <w:ind w:left="480"/>
              <w:spacing w:after="0"/>
              <w:rPr>
                <w:sz w:val="20"/>
                <w:szCs w:val="20"/>
                <w:color w:val="auto"/>
              </w:rPr>
            </w:pPr>
            <w:r>
              <w:rPr>
                <w:rFonts w:ascii="Arial" w:cs="Arial" w:eastAsia="Arial" w:hAnsi="Arial"/>
                <w:sz w:val="17"/>
                <w:szCs w:val="17"/>
                <w:color w:val="auto"/>
              </w:rPr>
              <w:t>10/16/2028</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06/05/2020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05/28/2020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06/03/2030</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09/14/2020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09/08/2020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93,457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9"/>
                <w:szCs w:val="19"/>
                <w:color w:val="auto"/>
              </w:rPr>
            </w:pPr>
          </w:p>
        </w:tc>
        <w:tc>
          <w:tcPr>
            <w:tcW w:w="1380" w:type="dxa"/>
            <w:vAlign w:val="bottom"/>
          </w:tcPr>
          <w:p>
            <w:pPr>
              <w:ind w:left="480"/>
              <w:spacing w:after="0"/>
              <w:rPr>
                <w:sz w:val="20"/>
                <w:szCs w:val="20"/>
                <w:color w:val="auto"/>
              </w:rPr>
            </w:pPr>
            <w:r>
              <w:rPr>
                <w:rFonts w:ascii="Arial" w:cs="Arial" w:eastAsia="Arial" w:hAnsi="Arial"/>
                <w:sz w:val="17"/>
                <w:szCs w:val="17"/>
                <w:color w:val="auto"/>
              </w:rPr>
              <w:t>09/12/2030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ind w:left="320" w:right="180" w:hanging="315"/>
        <w:spacing w:after="0" w:line="241" w:lineRule="auto"/>
        <w:tabs>
          <w:tab w:leader="none" w:pos="31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stock options vest over four years, with 25% of the total shares vesting on the first anniversary of the vesting commencement date and the remainder vesting in 36 approximately equal monthly installments.</w:t>
      </w:r>
    </w:p>
    <w:p>
      <w:pPr>
        <w:ind w:left="320" w:right="200" w:hanging="315"/>
        <w:spacing w:after="0" w:line="259" w:lineRule="auto"/>
        <w:tabs>
          <w:tab w:leader="none" w:pos="311" w:val="left"/>
        </w:tabs>
        <w:numPr>
          <w:ilvl w:val="0"/>
          <w:numId w:val="90"/>
        </w:numPr>
        <w:rPr>
          <w:rFonts w:ascii="Arial" w:cs="Arial" w:eastAsia="Arial" w:hAnsi="Arial"/>
          <w:sz w:val="17"/>
          <w:szCs w:val="17"/>
          <w:color w:val="auto"/>
        </w:rPr>
      </w:pPr>
      <w:r>
        <w:rPr>
          <w:rFonts w:ascii="Arial" w:cs="Arial" w:eastAsia="Arial" w:hAnsi="Arial"/>
          <w:sz w:val="17"/>
          <w:szCs w:val="17"/>
          <w:color w:val="auto"/>
        </w:rPr>
        <w:t>Dr. Chaffee's equity awards were modified in conjunction with the termination of his employment. As a result, 149,669 unexercisable option awards are expected to be forfeited in September 2021.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89" w:lineRule="exact"/>
        <w:rPr>
          <w:sz w:val="20"/>
          <w:szCs w:val="20"/>
          <w:color w:val="auto"/>
        </w:rPr>
      </w:pPr>
    </w:p>
    <w:p>
      <w:pPr>
        <w:ind w:firstLine="433"/>
        <w:spacing w:after="0" w:line="247"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Equity Compensation Plans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Stock Incentive Plan</w:t>
      </w:r>
    </w:p>
    <w:p>
      <w:pPr>
        <w:spacing w:after="0" w:line="87" w:lineRule="exact"/>
        <w:rPr>
          <w:sz w:val="20"/>
          <w:szCs w:val="20"/>
          <w:color w:val="auto"/>
        </w:rPr>
      </w:pPr>
    </w:p>
    <w:p>
      <w:pPr>
        <w:ind w:firstLine="433"/>
        <w:spacing w:after="0" w:line="245" w:lineRule="auto"/>
        <w:rPr>
          <w:sz w:val="20"/>
          <w:szCs w:val="20"/>
          <w:color w:val="auto"/>
        </w:rPr>
      </w:pPr>
      <w:r>
        <w:rPr>
          <w:rFonts w:ascii="Arial" w:cs="Arial" w:eastAsia="Arial" w:hAnsi="Arial"/>
          <w:sz w:val="17"/>
          <w:szCs w:val="17"/>
          <w:color w:val="auto"/>
        </w:rPr>
        <w:t>The Praxis Precision Medicines, Inc. 2017 Stock Incentive Plan, or our 2017 Plan, was approved by our board of directors and our stockholders in May 2017 and was most recently amended in September 2020. Under the 2017 Plan, as amended through the date hereof, we reserved for issuance an aggregate of 5,937,763 shares of our common stock. The number of shares of common stock reserved for issuance is subject to adjustment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w:t>
      </w:r>
    </w:p>
    <w:p>
      <w:pPr>
        <w:spacing w:after="0" w:line="392" w:lineRule="exact"/>
        <w:rPr>
          <w:sz w:val="20"/>
          <w:szCs w:val="20"/>
          <w:color w:val="auto"/>
        </w:rPr>
      </w:pPr>
    </w:p>
    <w:p>
      <w:pPr>
        <w:ind w:right="180" w:firstLine="433"/>
        <w:spacing w:after="0" w:line="246" w:lineRule="auto"/>
        <w:rPr>
          <w:sz w:val="20"/>
          <w:szCs w:val="20"/>
          <w:color w:val="auto"/>
        </w:rPr>
      </w:pPr>
      <w:r>
        <w:rPr>
          <w:rFonts w:ascii="Arial" w:cs="Arial" w:eastAsia="Arial" w:hAnsi="Arial"/>
          <w:sz w:val="17"/>
          <w:szCs w:val="17"/>
          <w:color w:val="auto"/>
        </w:rPr>
        <w:t>The shares of common stock underlying awards that are expired, lapsed, terminated, surrendered, canceled without having been fully exercised or forfeited in whole or in part (including as a result of shares of common stock subject to such award being repurchased by us at or below the original issuance price), and shares of common stock that are withheld upon exercise of an option or settlement of an award to cover the exercise price or tax withholding are added back to the shares of common stock available for issuance under our 2020 Stock Option and Incentive Plan, or our 2020 Plan.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33"/>
        <w:spacing w:after="0" w:line="242" w:lineRule="auto"/>
        <w:rPr>
          <w:sz w:val="20"/>
          <w:szCs w:val="20"/>
          <w:color w:val="auto"/>
        </w:rPr>
      </w:pPr>
      <w:r>
        <w:rPr>
          <w:rFonts w:ascii="Arial" w:cs="Arial" w:eastAsia="Arial" w:hAnsi="Arial"/>
          <w:sz w:val="17"/>
          <w:szCs w:val="17"/>
          <w:color w:val="auto"/>
        </w:rPr>
        <w:t>The 2017 Plan provides that upon the occurrence of a “reorganization event,” as defined in the 2017 Plan, our board of directors may take one or more of the following actions as to all or any (or any portion of) awards outstanding under the 2017 Plan other than restricted stock awards: (i) provide that awards will be assumed or substituted by the acquiring or successor corporation, (ii) upon written notice to participants, provide that all unexercised awards will terminate immediately prior to the consummation of the reorganization event unless exercised by the participant within a specified period following the date of such notice, (iii) provide that outstanding awards shall become exercisable, realizable or deliverable, or that all restrictions applicable to such awards shall lapse, in whole or in part, prior to or upon such reorganization event, (iv) make or provide for a cash payment to the award holder equal to the excess, if any, of the per share cash consideration in the reorganization event times the number of shares subject to the participant’s award over any aggregate exercise price of such outstanding award and any applicable tax withholdings in exchange for the termination of such awards, (v) provide that, in connection with a liquidation or dissolution of our company, awards shall convert into the right to receive liquidation proceeds (if applicable, net of the exercise price thereof and any applicable tax withholdings) and (vi) any combination of the foregoing. Upon the occurrence of a reorganization event other than a liquidation or dissolution of the Company, the repurchase and other rights of the Company under each outstanding restricted stock award shall inure to the benefit of our successor and shall, unless our board of directors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our company (except as otherwise provided for in the award agreement), all restrictions and conditions on all outstanding restricted stock awards will be automatically deemed terminated or satisfied.</w:t>
      </w:r>
    </w:p>
    <w:p>
      <w:pPr>
        <w:spacing w:after="0" w:line="400" w:lineRule="exact"/>
        <w:rPr>
          <w:sz w:val="20"/>
          <w:szCs w:val="20"/>
          <w:color w:val="auto"/>
        </w:rPr>
      </w:pPr>
    </w:p>
    <w:p>
      <w:pPr>
        <w:ind w:right="20" w:firstLine="433"/>
        <w:spacing w:after="0" w:line="246" w:lineRule="auto"/>
        <w:rPr>
          <w:sz w:val="20"/>
          <w:szCs w:val="20"/>
          <w:color w:val="auto"/>
        </w:rPr>
      </w:pPr>
      <w:r>
        <w:rPr>
          <w:rFonts w:ascii="Arial" w:cs="Arial" w:eastAsia="Arial" w:hAnsi="Arial"/>
          <w:sz w:val="17"/>
          <w:szCs w:val="17"/>
          <w:color w:val="auto"/>
        </w:rPr>
        <w:t>The administrator may amend, suspend or terminate the 2017 Plan at any time, subject to stockholder approval where such approval is required by applicable law. The administrator of the 2017 Plan may also amend or cancel any outstanding award, provided that no amendment to an award may adversely affect a participant’s rights without his or her consent. The administrator of the 2017 Plan is specifically authorized to exercise its discretion to reduce the exercise price of outstanding awards under the 2017 Plan or effect the repricing of such awards through cancellation and re-grants without stockholder approval.</w:t>
      </w:r>
    </w:p>
    <w:p>
      <w:pPr>
        <w:spacing w:after="0" w:line="178" w:lineRule="exact"/>
        <w:rPr>
          <w:sz w:val="20"/>
          <w:szCs w:val="20"/>
          <w:color w:val="auto"/>
        </w:rPr>
      </w:pPr>
    </w:p>
    <w:p>
      <w:pPr>
        <w:ind w:right="120" w:firstLine="433"/>
        <w:spacing w:after="0" w:line="233" w:lineRule="auto"/>
        <w:rPr>
          <w:sz w:val="20"/>
          <w:szCs w:val="20"/>
          <w:color w:val="auto"/>
        </w:rPr>
      </w:pPr>
      <w:r>
        <w:rPr>
          <w:rFonts w:ascii="Arial" w:cs="Arial" w:eastAsia="Arial" w:hAnsi="Arial"/>
          <w:sz w:val="17"/>
          <w:szCs w:val="17"/>
          <w:color w:val="auto"/>
        </w:rPr>
        <w:t>The 2017 Plan will terminate automatically upon the earlier of 10 years from the date on which the 2017 Plan was adopted by our board of directors or 10 years from the date the 2017 Plan was approved by our stockholders. As of December 31, 2020, options to purchase 5,710,294 shares of common stock were outstanding under the 2017 Plan. Our board of directors determined not to make any further awards under the 2017 Plan following the closing of our initial public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Incentive Plan</w:t>
      </w:r>
    </w:p>
    <w:p>
      <w:pPr>
        <w:spacing w:after="0" w:line="79" w:lineRule="exact"/>
        <w:rPr>
          <w:sz w:val="20"/>
          <w:szCs w:val="20"/>
          <w:color w:val="auto"/>
        </w:rPr>
      </w:pPr>
    </w:p>
    <w:p>
      <w:pPr>
        <w:ind w:right="60" w:firstLine="433"/>
        <w:spacing w:after="0" w:line="247" w:lineRule="auto"/>
        <w:rPr>
          <w:sz w:val="20"/>
          <w:szCs w:val="20"/>
          <w:color w:val="auto"/>
        </w:rPr>
      </w:pPr>
      <w:r>
        <w:rPr>
          <w:rFonts w:ascii="Arial" w:cs="Arial" w:eastAsia="Arial" w:hAnsi="Arial"/>
          <w:sz w:val="17"/>
          <w:szCs w:val="17"/>
          <w:color w:val="auto"/>
        </w:rPr>
        <w:t>Our 2020 Plan was adopted by our board of directors on September 9, 2020, approved by our stockholders on October 8, 2020 and became effective in connection with our initial public offering. The 2020 Plan replaced the 2017 Plan following the closing of our initial public offering. However, the 2017 Plan will continue to govern outstanding equity awards granted thereunder. The 2020 Plan allows us to make equity-based and cash-based incentive awards to our officers, employees, directors and consultants.</w:t>
      </w:r>
    </w:p>
    <w:p>
      <w:pPr>
        <w:spacing w:after="0" w:line="192" w:lineRule="exact"/>
        <w:rPr>
          <w:sz w:val="20"/>
          <w:szCs w:val="20"/>
          <w:color w:val="auto"/>
        </w:rPr>
      </w:pPr>
    </w:p>
    <w:p>
      <w:pPr>
        <w:ind w:right="120" w:firstLine="433"/>
        <w:spacing w:after="0" w:line="246" w:lineRule="auto"/>
        <w:rPr>
          <w:sz w:val="20"/>
          <w:szCs w:val="20"/>
          <w:color w:val="auto"/>
        </w:rPr>
      </w:pPr>
      <w:r>
        <w:rPr>
          <w:rFonts w:ascii="Arial" w:cs="Arial" w:eastAsia="Arial" w:hAnsi="Arial"/>
          <w:sz w:val="17"/>
          <w:szCs w:val="17"/>
          <w:color w:val="auto"/>
        </w:rPr>
        <w:t>We initially reserved 3,271,028 shares of our common stock, or the Initial Limit, for the issuance of awards under the 2020 Plan. The 2020 Plan provides that the number of shares reserved and available for issuance under the 2020 Plan will automatically increase each January 1, beginning on January 1, 2021, by 5% of the outstanding number of shares of our common stock on the immediately preceding December 31, or such lesser number of shares as determined by our compensation committee, or the Annual Increase. These limits are subject to adjustment in the event of a stock split, stock dividend or other change in our capitalization.</w:t>
      </w:r>
    </w:p>
    <w:p>
      <w:pPr>
        <w:spacing w:after="0" w:line="192" w:lineRule="exact"/>
        <w:rPr>
          <w:sz w:val="20"/>
          <w:szCs w:val="20"/>
          <w:color w:val="auto"/>
        </w:rPr>
      </w:pPr>
    </w:p>
    <w:p>
      <w:pPr>
        <w:ind w:right="180" w:firstLine="433"/>
        <w:spacing w:after="0" w:line="247" w:lineRule="auto"/>
        <w:rPr>
          <w:sz w:val="20"/>
          <w:szCs w:val="20"/>
          <w:color w:val="auto"/>
        </w:rPr>
      </w:pPr>
      <w:r>
        <w:rPr>
          <w:rFonts w:ascii="Arial" w:cs="Arial" w:eastAsia="Arial" w:hAnsi="Arial"/>
          <w:sz w:val="17"/>
          <w:szCs w:val="17"/>
          <w:color w:val="auto"/>
        </w:rPr>
        <w:t>The shares we issue under the 2020 Plan are authorized but unissued shares or shares that we reacquire. The shares of common stock underlying awards under the 2020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2020 Plan.</w:t>
      </w:r>
    </w:p>
    <w:p>
      <w:pPr>
        <w:spacing w:after="0" w:line="192" w:lineRule="exact"/>
        <w:rPr>
          <w:sz w:val="20"/>
          <w:szCs w:val="20"/>
          <w:color w:val="auto"/>
        </w:rPr>
      </w:pPr>
    </w:p>
    <w:p>
      <w:pPr>
        <w:ind w:right="360" w:firstLine="433"/>
        <w:spacing w:after="0" w:line="250" w:lineRule="auto"/>
        <w:rPr>
          <w:sz w:val="20"/>
          <w:szCs w:val="20"/>
          <w:color w:val="auto"/>
        </w:rPr>
      </w:pPr>
      <w:r>
        <w:rPr>
          <w:rFonts w:ascii="Arial" w:cs="Arial" w:eastAsia="Arial" w:hAnsi="Arial"/>
          <w:sz w:val="17"/>
          <w:szCs w:val="17"/>
          <w:color w:val="auto"/>
        </w:rPr>
        <w:t>The maximum aggregate number of shares that may be issued in the form of incentive stock options shall not exceed the Initial Limit cumulatively increased on January 1, 2021 and on each January 1 thereafter by the lesser of the Annual Increase for such year or 1,635,514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433"/>
        <w:spacing w:after="0" w:line="246" w:lineRule="auto"/>
        <w:rPr>
          <w:sz w:val="20"/>
          <w:szCs w:val="20"/>
          <w:color w:val="auto"/>
        </w:rPr>
      </w:pPr>
      <w:r>
        <w:rPr>
          <w:rFonts w:ascii="Arial" w:cs="Arial" w:eastAsia="Arial" w:hAnsi="Arial"/>
          <w:sz w:val="17"/>
          <w:szCs w:val="17"/>
          <w:color w:val="auto"/>
        </w:rPr>
        <w:t>The grant date fair value of all awards made under our 2020 Plan and all other cash compensation paid by us to any non-employee director in any calendar year for services as a non-employee director shall not exceed $ 750,000; provided, however, that such amount shall be $1,000,000 for the calendar year in which the applicable non-employee director is initially elected or appointed to the board of directors and $1,500,000 for the non-executive chair of our board of directors. Notwithstanding the foregoing, the independent members of the board of directors may make exceptions to such limits in extraordinary circumstances.</w:t>
      </w:r>
    </w:p>
    <w:p>
      <w:pPr>
        <w:spacing w:after="0" w:line="192" w:lineRule="exact"/>
        <w:rPr>
          <w:sz w:val="20"/>
          <w:szCs w:val="20"/>
          <w:color w:val="auto"/>
        </w:rPr>
      </w:pPr>
    </w:p>
    <w:p>
      <w:pPr>
        <w:ind w:right="20" w:firstLine="433"/>
        <w:spacing w:after="0" w:line="246" w:lineRule="auto"/>
        <w:rPr>
          <w:sz w:val="20"/>
          <w:szCs w:val="20"/>
          <w:color w:val="auto"/>
        </w:rPr>
      </w:pPr>
      <w:r>
        <w:rPr>
          <w:rFonts w:ascii="Arial" w:cs="Arial" w:eastAsia="Arial" w:hAnsi="Arial"/>
          <w:sz w:val="17"/>
          <w:szCs w:val="17"/>
          <w:color w:val="auto"/>
        </w:rPr>
        <w:t>The 2020 Plan is administered by our compensation committee. Our compensation committee has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2020 Plan. Persons eligible to participate in the 2020 Plan are those full or part-time officers, employees, non-employee directors and consultants as selected from time to time by our compensation committee in its discretion.</w:t>
      </w:r>
    </w:p>
    <w:p>
      <w:pPr>
        <w:spacing w:after="0" w:line="192" w:lineRule="exact"/>
        <w:rPr>
          <w:sz w:val="20"/>
          <w:szCs w:val="20"/>
          <w:color w:val="auto"/>
        </w:rPr>
      </w:pPr>
    </w:p>
    <w:p>
      <w:pPr>
        <w:ind w:right="40" w:firstLine="433"/>
        <w:spacing w:after="0" w:line="245" w:lineRule="auto"/>
        <w:rPr>
          <w:sz w:val="20"/>
          <w:szCs w:val="20"/>
          <w:color w:val="auto"/>
        </w:rPr>
      </w:pPr>
      <w:r>
        <w:rPr>
          <w:rFonts w:ascii="Arial" w:cs="Arial" w:eastAsia="Arial" w:hAnsi="Arial"/>
          <w:sz w:val="17"/>
          <w:szCs w:val="17"/>
          <w:color w:val="auto"/>
        </w:rPr>
        <w:t>The 2020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3" w:lineRule="exact"/>
        <w:rPr>
          <w:sz w:val="20"/>
          <w:szCs w:val="20"/>
          <w:color w:val="auto"/>
        </w:rPr>
      </w:pPr>
    </w:p>
    <w:p>
      <w:pPr>
        <w:ind w:right="40" w:firstLine="433"/>
        <w:spacing w:after="0" w:line="244" w:lineRule="auto"/>
        <w:rPr>
          <w:sz w:val="20"/>
          <w:szCs w:val="20"/>
          <w:color w:val="auto"/>
        </w:rPr>
      </w:pPr>
      <w:r>
        <w:rPr>
          <w:rFonts w:ascii="Arial" w:cs="Arial" w:eastAsia="Arial" w:hAnsi="Arial"/>
          <w:sz w:val="17"/>
          <w:szCs w:val="17"/>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96" w:lineRule="exact"/>
        <w:rPr>
          <w:sz w:val="20"/>
          <w:szCs w:val="20"/>
          <w:color w:val="auto"/>
        </w:rPr>
      </w:pPr>
    </w:p>
    <w:p>
      <w:pPr>
        <w:ind w:right="140" w:firstLine="433"/>
        <w:spacing w:after="0" w:line="246"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2020 Plan. Unrestricted stock may be granted to participants in recognition of past services or other valid consideration and may be issued in lieu of cash compensation due to such participant.</w:t>
      </w:r>
    </w:p>
    <w:p>
      <w:pPr>
        <w:spacing w:after="0" w:line="192" w:lineRule="exact"/>
        <w:rPr>
          <w:sz w:val="20"/>
          <w:szCs w:val="20"/>
          <w:color w:val="auto"/>
        </w:rPr>
      </w:pPr>
    </w:p>
    <w:p>
      <w:pPr>
        <w:ind w:right="260" w:firstLine="433"/>
        <w:spacing w:after="0" w:line="259" w:lineRule="auto"/>
        <w:rPr>
          <w:sz w:val="20"/>
          <w:szCs w:val="20"/>
          <w:color w:val="auto"/>
        </w:rPr>
      </w:pPr>
      <w:r>
        <w:rPr>
          <w:rFonts w:ascii="Arial" w:cs="Arial" w:eastAsia="Arial" w:hAnsi="Arial"/>
          <w:sz w:val="17"/>
          <w:szCs w:val="17"/>
          <w:color w:val="auto"/>
        </w:rPr>
        <w:t>Our compensation committee may grant dividend equivalent rights to participants that entitle the recipient to receive credits for dividends that would be paid if the recipient had held a specified number of shares of our common stock.</w:t>
      </w:r>
    </w:p>
    <w:p>
      <w:pPr>
        <w:spacing w:after="0" w:line="181" w:lineRule="exact"/>
        <w:rPr>
          <w:sz w:val="20"/>
          <w:szCs w:val="20"/>
          <w:color w:val="auto"/>
        </w:rPr>
      </w:pPr>
    </w:p>
    <w:p>
      <w:pPr>
        <w:ind w:right="840" w:firstLine="433"/>
        <w:spacing w:after="0" w:line="259" w:lineRule="auto"/>
        <w:rPr>
          <w:sz w:val="20"/>
          <w:szCs w:val="20"/>
          <w:color w:val="auto"/>
        </w:rPr>
      </w:pPr>
      <w:r>
        <w:rPr>
          <w:rFonts w:ascii="Arial" w:cs="Arial" w:eastAsia="Arial" w:hAnsi="Arial"/>
          <w:sz w:val="17"/>
          <w:szCs w:val="17"/>
          <w:color w:val="auto"/>
        </w:rPr>
        <w:t>Our compensation committee may grant cash bonuses under the 2020 Plan to participants, subject to the achievement of certain performance goals.</w:t>
      </w:r>
    </w:p>
    <w:p>
      <w:pPr>
        <w:spacing w:after="0" w:line="181"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The 2020 Plan provides that upon the effectiveness of a “sale event,” as defined in the 2020 Plan, an acquirer or successor entity may assume, continue or substitute outstanding awards under the 2020 Plan. To the extent that awards granted under the 2020 Plan are not assumed or continued or substituted by the successor entity, upon the effective time of the sale event, such awards shall terminate. In such case, except as may be otherwise provided in the relevant award certificate, all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individuals holding options and stock appreciation rights will be permitted to exercise such options and stock appreciation rights (to the extent exercisable) within a specified period of time prior to the sale event. In addition, in connection with the termination of the 2020 Plan upon a sale event,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and we may make or provide for a payment, in cash or in kind, to participants holding other vested awards.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433"/>
        <w:spacing w:after="0" w:line="247" w:lineRule="auto"/>
        <w:rPr>
          <w:sz w:val="20"/>
          <w:szCs w:val="20"/>
          <w:color w:val="auto"/>
        </w:rPr>
      </w:pPr>
      <w:r>
        <w:rPr>
          <w:rFonts w:ascii="Arial" w:cs="Arial" w:eastAsia="Arial" w:hAnsi="Arial"/>
          <w:sz w:val="17"/>
          <w:szCs w:val="17"/>
          <w:color w:val="auto"/>
        </w:rPr>
        <w:t>Our board of directors may amend or discontinue the 2020 Plan and our compensation committee may amend or cancel outstanding awards for purposes of satisfying changes in law or any other lawful purpose but no such action may adversely affect rights under an award without the holder’s consent. Certain amendments to the 2020 Plan require the approval of our stockholders. No awards may be granted under the 2020 Plan after the date that is 10 years from the effective date of the 2020 Plan.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2020, options to purchase 234,252 shares of common stock were outstanding under the 2020 Plan.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79"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Our 2020 Employee Stock Purchase Plan, or the 2020 ESPP, was adopted by our board of directors on September 9, 2020, approved by our stockholders on October 8, 2020 and became effective in connection with our initial public offering. The 2020 ESPP is intended to qualify as an “employee stock purchase plan” within the meaning of Section 423 of the Code. The 2020 ESPP initially reserves and authorizes the issuance of up to a total of 327,102 shares of common stock to participating employees. The 2020 ESPP provides that the number of shares reserved and available for issuance will automatically increase on January 1, 2021 and each January 1 thereafter through January 1, 2030, by the least of (i) 327,102 shares of common stock, (ii) 1% of the outstanding number of shares of our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our capitalization.</w:t>
      </w:r>
    </w:p>
    <w:p>
      <w:pPr>
        <w:spacing w:after="0" w:line="194" w:lineRule="exact"/>
        <w:rPr>
          <w:sz w:val="20"/>
          <w:szCs w:val="20"/>
          <w:color w:val="auto"/>
        </w:rPr>
      </w:pPr>
    </w:p>
    <w:p>
      <w:pPr>
        <w:ind w:right="60" w:firstLine="433"/>
        <w:spacing w:after="0" w:line="250" w:lineRule="auto"/>
        <w:rPr>
          <w:sz w:val="20"/>
          <w:szCs w:val="20"/>
          <w:color w:val="auto"/>
        </w:rPr>
      </w:pPr>
      <w:r>
        <w:rPr>
          <w:rFonts w:ascii="Arial" w:cs="Arial" w:eastAsia="Arial" w:hAnsi="Arial"/>
          <w:sz w:val="17"/>
          <w:szCs w:val="17"/>
          <w:color w:val="auto"/>
        </w:rPr>
        <w:t>All employees whose customary employment is for more than 20 hours per week are eligible to participate in the 2020 ESPP. However, any employee who owns 5% or more of the total combined voting power or value of all classes of stock will not be eligible to purchase shares under the 2020 ESPP.</w:t>
      </w:r>
    </w:p>
    <w:p>
      <w:pPr>
        <w:spacing w:after="0" w:line="189" w:lineRule="exact"/>
        <w:rPr>
          <w:sz w:val="20"/>
          <w:szCs w:val="20"/>
          <w:color w:val="auto"/>
        </w:rPr>
      </w:pPr>
    </w:p>
    <w:p>
      <w:pPr>
        <w:jc w:val="both"/>
        <w:ind w:right="100" w:firstLine="433"/>
        <w:spacing w:after="0" w:line="250" w:lineRule="auto"/>
        <w:rPr>
          <w:sz w:val="20"/>
          <w:szCs w:val="20"/>
          <w:color w:val="auto"/>
        </w:rPr>
      </w:pPr>
      <w:r>
        <w:rPr>
          <w:rFonts w:ascii="Arial" w:cs="Arial" w:eastAsia="Arial" w:hAnsi="Arial"/>
          <w:sz w:val="17"/>
          <w:szCs w:val="17"/>
          <w:color w:val="auto"/>
        </w:rPr>
        <w:t>We may make one or more offerings each year to our employees to purchase shares under the 2020 ESPP. Offerings will usually begin on or around each May 1 and November 1 and will continue for six-month periods, referred to as offering periods. Each eligible employee may elect to participate in any offering by submitting an enrollment form at least 15 business days before the relevant offering date.</w:t>
      </w:r>
    </w:p>
    <w:p>
      <w:pPr>
        <w:spacing w:after="0" w:line="215" w:lineRule="exact"/>
        <w:rPr>
          <w:sz w:val="20"/>
          <w:szCs w:val="20"/>
          <w:color w:val="auto"/>
        </w:rPr>
      </w:pPr>
    </w:p>
    <w:p>
      <w:pPr>
        <w:ind w:right="60" w:firstLine="433"/>
        <w:spacing w:after="0" w:line="244" w:lineRule="auto"/>
        <w:rPr>
          <w:sz w:val="20"/>
          <w:szCs w:val="20"/>
          <w:color w:val="auto"/>
        </w:rPr>
      </w:pPr>
      <w:r>
        <w:rPr>
          <w:rFonts w:ascii="Arial" w:cs="Arial" w:eastAsia="Arial" w:hAnsi="Arial"/>
          <w:sz w:val="17"/>
          <w:szCs w:val="17"/>
          <w:color w:val="auto"/>
        </w:rPr>
        <w:t>Each employee who is a participant in the 2020 ESPP may purchase shares by authorizing payroll deductions of up to 15% of his or her eligible compensation during an offering period. Unless the participating employee has previously withdrawn from the offering, his or her accumulated payroll deductions will be used to purchase shares of common stock on the last business day of the offering period at a price equal to 85% of the fair market value of the shares on the first business day or the last business day of the offering period, whichever is lower, provided that no more than $25,000 worth of shares of common stock may be purchased by any one employee during any offering period. Under applicable tax rules, an employee may purchase no more than $25,000 worth of shares of common stock, valued at the start of the purchase period, under the 2020 ESPP in any calendar year.</w:t>
      </w:r>
    </w:p>
    <w:p>
      <w:pPr>
        <w:spacing w:after="0" w:line="196" w:lineRule="exact"/>
        <w:rPr>
          <w:sz w:val="20"/>
          <w:szCs w:val="20"/>
          <w:color w:val="auto"/>
        </w:rPr>
      </w:pPr>
    </w:p>
    <w:p>
      <w:pPr>
        <w:ind w:firstLine="433"/>
        <w:spacing w:after="0" w:line="250" w:lineRule="auto"/>
        <w:rPr>
          <w:sz w:val="20"/>
          <w:szCs w:val="20"/>
          <w:color w:val="auto"/>
        </w:rPr>
      </w:pPr>
      <w:r>
        <w:rPr>
          <w:rFonts w:ascii="Arial" w:cs="Arial" w:eastAsia="Arial" w:hAnsi="Arial"/>
          <w:sz w:val="17"/>
          <w:szCs w:val="17"/>
          <w:color w:val="auto"/>
        </w:rPr>
        <w:t>The accumulated payroll deductions of any employee who is not a participant on the last day of an offering period will be refunded. An employee’s rights under the 2020 ESPP terminate upon voluntary withdrawal from the plan or when the employee ceases employment with us for any reason.</w:t>
      </w:r>
    </w:p>
    <w:p>
      <w:pPr>
        <w:spacing w:after="0" w:line="176" w:lineRule="exact"/>
        <w:rPr>
          <w:sz w:val="20"/>
          <w:szCs w:val="20"/>
          <w:color w:val="auto"/>
        </w:rPr>
      </w:pPr>
    </w:p>
    <w:p>
      <w:pPr>
        <w:ind w:right="100" w:firstLine="433"/>
        <w:spacing w:after="0" w:line="243" w:lineRule="auto"/>
        <w:rPr>
          <w:sz w:val="20"/>
          <w:szCs w:val="20"/>
          <w:color w:val="auto"/>
        </w:rPr>
      </w:pPr>
      <w:r>
        <w:rPr>
          <w:rFonts w:ascii="Arial" w:cs="Arial" w:eastAsia="Arial" w:hAnsi="Arial"/>
          <w:sz w:val="17"/>
          <w:szCs w:val="17"/>
          <w:color w:val="auto"/>
        </w:rPr>
        <w:t>The 2020 ESPP may be terminated or amended by our board of directors at any time. An amendment that increases the number of shares of common stock authorized under the 2020 ESPP and certain other amendments require the approval of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00" w:lineRule="exact"/>
        <w:rPr>
          <w:sz w:val="20"/>
          <w:szCs w:val="20"/>
          <w:color w:val="auto"/>
        </w:rPr>
      </w:pPr>
    </w:p>
    <w:p>
      <w:pPr>
        <w:ind w:right="40" w:firstLine="433"/>
        <w:spacing w:after="0" w:line="244" w:lineRule="auto"/>
        <w:rPr>
          <w:sz w:val="20"/>
          <w:szCs w:val="20"/>
          <w:color w:val="auto"/>
        </w:rPr>
      </w:pPr>
      <w:r>
        <w:rPr>
          <w:rFonts w:ascii="Arial" w:cs="Arial" w:eastAsia="Arial" w:hAnsi="Arial"/>
          <w:sz w:val="17"/>
          <w:szCs w:val="17"/>
          <w:color w:val="auto"/>
        </w:rPr>
        <w:t>We participate in a retirement savings plan, or 401(k) plan, that is intended to qualify for favorable tax treatment under Section 401(a) of the Code, and contains a cash or deferred feature that is intended to meet the requirements of Section 401(k) of the Code. U.S. employees who are at least 18 years of age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Prior to 2021, we made discretionary matching contributions under the 401(k) plan. Beginning in 2021, we began matching up to the first 6% contributed by a participant. Participant contributions are held in trust as required by law. An employee’s interest in his or her salary deferral contributions is 100% vested when contributed.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33"/>
        <w:spacing w:after="0" w:line="246"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257" w:lineRule="exact"/>
        <w:rPr>
          <w:sz w:val="20"/>
          <w:szCs w:val="20"/>
          <w:color w:val="auto"/>
        </w:rPr>
      </w:pPr>
    </w:p>
    <w:p>
      <w:pPr>
        <w:ind w:right="80" w:firstLine="433"/>
        <w:spacing w:after="0" w:line="250" w:lineRule="auto"/>
        <w:rPr>
          <w:sz w:val="20"/>
          <w:szCs w:val="20"/>
          <w:color w:val="auto"/>
        </w:rPr>
      </w:pPr>
      <w:r>
        <w:rPr>
          <w:rFonts w:ascii="Arial" w:cs="Arial" w:eastAsia="Arial" w:hAnsi="Arial"/>
          <w:sz w:val="17"/>
          <w:szCs w:val="17"/>
          <w:color w:val="auto"/>
        </w:rPr>
        <w:t>In connection with and effective upon the completion of our initial public offering, we adopted a non-employee director compensation policy to enable us to attract and retain, on a long-term basis, highly qualified non-employee directors. Under the policy, each director who is not an employee is paid cash compensation from and after the completion of our initial public offering as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Annual Retainer</w:t>
            </w:r>
          </w:p>
        </w:tc>
      </w:tr>
      <w:tr>
        <w:trPr>
          <w:trHeight w:val="20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Board of Directors:</w:t>
            </w:r>
          </w:p>
        </w:tc>
        <w:tc>
          <w:tcPr>
            <w:tcW w:w="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7"/>
                <w:szCs w:val="17"/>
                <w:color w:val="auto"/>
              </w:rPr>
              <w:t>Members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40,000</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retainer for non-executive chair</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r>
      <w:tr>
        <w:trPr>
          <w:trHeight w:val="262"/>
        </w:trPr>
        <w:tc>
          <w:tcPr>
            <w:tcW w:w="8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Audit Committee: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7"/>
                <w:szCs w:val="17"/>
                <w:color w:val="auto"/>
              </w:rPr>
              <w:t>Members (other than chair)</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8,000</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Retainer for chair</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r>
      <w:tr>
        <w:trPr>
          <w:trHeight w:val="262"/>
        </w:trPr>
        <w:tc>
          <w:tcPr>
            <w:tcW w:w="8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Compensation Committee: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7"/>
                <w:szCs w:val="17"/>
                <w:color w:val="auto"/>
              </w:rPr>
              <w:t>Members (other than chair)</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Retainer for chair</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r>
      <w:tr>
        <w:trPr>
          <w:trHeight w:val="262"/>
        </w:trPr>
        <w:tc>
          <w:tcPr>
            <w:tcW w:w="8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Nominating and Corporate Governance Committee: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7"/>
                <w:szCs w:val="17"/>
                <w:color w:val="auto"/>
              </w:rPr>
              <w:t>Members (other than chair)</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4,000</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Retainer for chair</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w:t>
            </w:r>
          </w:p>
        </w:tc>
      </w:tr>
    </w:tbl>
    <w:p>
      <w:pPr>
        <w:spacing w:after="0" w:line="327" w:lineRule="exact"/>
        <w:rPr>
          <w:sz w:val="20"/>
          <w:szCs w:val="20"/>
          <w:color w:val="auto"/>
        </w:rPr>
      </w:pPr>
    </w:p>
    <w:p>
      <w:pPr>
        <w:ind w:right="40" w:firstLine="433"/>
        <w:spacing w:after="0" w:line="244" w:lineRule="auto"/>
        <w:rPr>
          <w:sz w:val="20"/>
          <w:szCs w:val="20"/>
          <w:color w:val="auto"/>
        </w:rPr>
      </w:pPr>
      <w:r>
        <w:rPr>
          <w:rFonts w:ascii="Arial" w:cs="Arial" w:eastAsia="Arial" w:hAnsi="Arial"/>
          <w:sz w:val="17"/>
          <w:szCs w:val="17"/>
          <w:color w:val="auto"/>
        </w:rPr>
        <w:t>In addition, the non-employee director compensation policy provides that, upon initial election to our board of directors, each non-employee director will be granted an option to purchase a number of shares equal to 0.1% of the total number of shares of our common stock issued and outstanding on the grant date, or the Initial Grant. The Initial Grant vests in equal monthly installments over three years from the grant date, subject to continued service as a director through the applicable vesting date. Furthermore, on the date of each annual meeting of stockholders following our initial public offering, each non-employee director who continues as a non-employee director following such meeting will be granted an annual option to purchase a number of shares equal to 0.05% of the total number of shares of our common stock issued and outstanding on the grant date, or the Annual Grant. The Annual Grant vests in 12 equal monthly installments, subject to continued service as a director through the applicable vesting date. Such awards are subject to full accelerated vesting upon the sale of the company.</w:t>
      </w:r>
    </w:p>
    <w:p>
      <w:pPr>
        <w:spacing w:after="0" w:line="22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will reimburse all reasonable out-of-pocket expenses incurred by non-employee directors in attending meetings of the board of directors and committees.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Director Compensation Table</w:t>
      </w:r>
    </w:p>
    <w:p>
      <w:pPr>
        <w:spacing w:after="0" w:line="257" w:lineRule="exact"/>
        <w:rPr>
          <w:sz w:val="20"/>
          <w:szCs w:val="20"/>
          <w:color w:val="auto"/>
        </w:rPr>
      </w:pPr>
    </w:p>
    <w:p>
      <w:pPr>
        <w:ind w:firstLine="433"/>
        <w:spacing w:after="0" w:line="246" w:lineRule="auto"/>
        <w:rPr>
          <w:sz w:val="20"/>
          <w:szCs w:val="20"/>
          <w:color w:val="auto"/>
        </w:rPr>
      </w:pPr>
      <w:r>
        <w:rPr>
          <w:rFonts w:ascii="Arial" w:cs="Arial" w:eastAsia="Arial" w:hAnsi="Arial"/>
          <w:sz w:val="17"/>
          <w:szCs w:val="17"/>
          <w:color w:val="auto"/>
        </w:rPr>
        <w:t>The following table presents the total compensation for each person who served as a non-employee member of our board of directors during the year ended December 31, 2020. Other than as set forth in the table and described more fully below, we did not pay any compensation, make any equity awards or non-equity awards to or pay any other compensation to any of the non-employee members of our board of directors in 2020 for their services as members of the board of directors. Amounts paid to Dr. Reddy, our former President and Chief Executive Officer, for his service as an employee and a director during 2020 are presented in the “2020 Summary Compensation Table” above.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2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3120" w:type="dxa"/>
            <w:vAlign w:val="bottom"/>
          </w:tcPr>
          <w:p>
            <w:pPr>
              <w:spacing w:after="0"/>
              <w:rPr>
                <w:sz w:val="24"/>
                <w:szCs w:val="24"/>
                <w:color w:val="auto"/>
              </w:rPr>
            </w:pPr>
          </w:p>
        </w:tc>
        <w:tc>
          <w:tcPr>
            <w:tcW w:w="27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Fees Earned or Paid in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340" w:type="dxa"/>
            <w:vAlign w:val="bottom"/>
          </w:tcPr>
          <w:p>
            <w:pPr>
              <w:jc w:val="right"/>
              <w:ind w:right="517"/>
              <w:spacing w:after="0"/>
              <w:rPr>
                <w:sz w:val="20"/>
                <w:szCs w:val="20"/>
                <w:color w:val="auto"/>
              </w:rPr>
            </w:pPr>
            <w:r>
              <w:rPr>
                <w:rFonts w:ascii="Arial" w:cs="Arial" w:eastAsia="Arial" w:hAnsi="Arial"/>
                <w:sz w:val="14"/>
                <w:szCs w:val="14"/>
                <w:b w:val="1"/>
                <w:bCs w:val="1"/>
                <w:color w:val="auto"/>
              </w:rPr>
              <w:t>Option</w:t>
            </w:r>
          </w:p>
        </w:tc>
        <w:tc>
          <w:tcPr>
            <w:tcW w:w="1760" w:type="dxa"/>
            <w:vAlign w:val="bottom"/>
          </w:tcPr>
          <w:p>
            <w:pPr>
              <w:jc w:val="center"/>
              <w:ind w:right="157"/>
              <w:spacing w:after="0"/>
              <w:rPr>
                <w:sz w:val="20"/>
                <w:szCs w:val="20"/>
                <w:color w:val="auto"/>
              </w:rPr>
            </w:pPr>
            <w:r>
              <w:rPr>
                <w:rFonts w:ascii="Arial" w:cs="Arial" w:eastAsia="Arial" w:hAnsi="Arial"/>
                <w:sz w:val="14"/>
                <w:szCs w:val="14"/>
                <w:b w:val="1"/>
                <w:bCs w:val="1"/>
                <w:color w:val="auto"/>
              </w:rPr>
              <w:t>All Other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700" w:type="dxa"/>
            <w:vAlign w:val="bottom"/>
            <w:vMerge w:val="continue"/>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Awards</w:t>
            </w:r>
          </w:p>
        </w:tc>
        <w:tc>
          <w:tcPr>
            <w:tcW w:w="1340" w:type="dxa"/>
            <w:vAlign w:val="bottom"/>
          </w:tcPr>
          <w:p>
            <w:pPr>
              <w:jc w:val="right"/>
              <w:ind w:right="477"/>
              <w:spacing w:after="0" w:line="131" w:lineRule="exact"/>
              <w:rPr>
                <w:sz w:val="20"/>
                <w:szCs w:val="20"/>
                <w:color w:val="auto"/>
              </w:rPr>
            </w:pPr>
            <w:r>
              <w:rPr>
                <w:rFonts w:ascii="Arial" w:cs="Arial" w:eastAsia="Arial" w:hAnsi="Arial"/>
                <w:sz w:val="14"/>
                <w:szCs w:val="14"/>
                <w:b w:val="1"/>
                <w:bCs w:val="1"/>
                <w:color w:val="auto"/>
              </w:rPr>
              <w:t>Awards</w:t>
            </w:r>
          </w:p>
        </w:tc>
        <w:tc>
          <w:tcPr>
            <w:tcW w:w="1760" w:type="dxa"/>
            <w:vAlign w:val="bottom"/>
          </w:tcPr>
          <w:p>
            <w:pPr>
              <w:jc w:val="center"/>
              <w:ind w:right="157"/>
              <w:spacing w:after="0" w:line="131" w:lineRule="exact"/>
              <w:rPr>
                <w:sz w:val="20"/>
                <w:szCs w:val="20"/>
                <w:color w:val="auto"/>
              </w:rPr>
            </w:pPr>
            <w:r>
              <w:rPr>
                <w:rFonts w:ascii="Arial" w:cs="Arial" w:eastAsia="Arial" w:hAnsi="Arial"/>
                <w:sz w:val="14"/>
                <w:szCs w:val="14"/>
                <w:b w:val="1"/>
                <w:bCs w:val="1"/>
                <w:color w:val="auto"/>
                <w:w w:val="98"/>
              </w:rPr>
              <w:t>Compensation</w:t>
            </w: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2700" w:type="dxa"/>
            <w:vAlign w:val="bottom"/>
          </w:tcPr>
          <w:p>
            <w:pPr>
              <w:jc w:val="right"/>
              <w:ind w:right="716"/>
              <w:spacing w:after="0"/>
              <w:rPr>
                <w:sz w:val="20"/>
                <w:szCs w:val="20"/>
                <w:color w:val="auto"/>
              </w:rPr>
            </w:pPr>
            <w:r>
              <w:rPr>
                <w:rFonts w:ascii="Arial" w:cs="Arial" w:eastAsia="Arial" w:hAnsi="Arial"/>
                <w:sz w:val="14"/>
                <w:szCs w:val="14"/>
                <w:b w:val="1"/>
                <w:bCs w:val="1"/>
                <w:color w:val="auto"/>
              </w:rPr>
              <w:t>Cash ($)</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Pr>
          <w:p>
            <w:pPr>
              <w:jc w:val="right"/>
              <w:ind w:right="477"/>
              <w:spacing w:after="0"/>
              <w:rPr>
                <w:sz w:val="20"/>
                <w:szCs w:val="20"/>
                <w:color w:val="auto"/>
              </w:rPr>
            </w:pPr>
            <w:r>
              <w:rPr>
                <w:rFonts w:ascii="Arial" w:cs="Arial" w:eastAsia="Arial" w:hAnsi="Arial"/>
                <w:sz w:val="14"/>
                <w:szCs w:val="14"/>
                <w:b w:val="1"/>
                <w:bCs w:val="1"/>
                <w:color w:val="auto"/>
              </w:rPr>
              <w:t>($)(1)(2)</w:t>
            </w:r>
          </w:p>
        </w:tc>
        <w:tc>
          <w:tcPr>
            <w:tcW w:w="17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Nicholas Galakatos, Ph.D</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10,712</w:t>
            </w:r>
          </w:p>
        </w:tc>
        <w:tc>
          <w:tcPr>
            <w:tcW w:w="11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10,712</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Dean Mitchell</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15,076</w:t>
            </w:r>
          </w:p>
        </w:tc>
        <w:tc>
          <w:tcPr>
            <w:tcW w:w="1160" w:type="dxa"/>
            <w:vAlign w:val="bottom"/>
          </w:tcPr>
          <w:p>
            <w:pPr>
              <w:ind w:left="7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7"/>
              <w:spacing w:after="0"/>
              <w:rPr>
                <w:sz w:val="20"/>
                <w:szCs w:val="20"/>
                <w:color w:val="auto"/>
              </w:rPr>
            </w:pPr>
            <w:r>
              <w:rPr>
                <w:rFonts w:ascii="Arial" w:cs="Arial" w:eastAsia="Arial" w:hAnsi="Arial"/>
                <w:sz w:val="17"/>
                <w:szCs w:val="17"/>
                <w:color w:val="auto"/>
              </w:rPr>
              <w:t>413,278</w:t>
            </w:r>
          </w:p>
        </w:tc>
        <w:tc>
          <w:tcPr>
            <w:tcW w:w="1760" w:type="dxa"/>
            <w:vAlign w:val="bottom"/>
          </w:tcPr>
          <w:p>
            <w:pPr>
              <w:ind w:left="12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428,354</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Thomas Dyrberg, M.D.(3)</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Stefan Vitorovic</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10,315</w:t>
            </w:r>
          </w:p>
        </w:tc>
        <w:tc>
          <w:tcPr>
            <w:tcW w:w="1160" w:type="dxa"/>
            <w:vAlign w:val="bottom"/>
          </w:tcPr>
          <w:p>
            <w:pPr>
              <w:ind w:left="7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tcPr>
          <w:p>
            <w:pPr>
              <w:ind w:left="12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10,315</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Ari Brettman, M.D.(4)</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Paul Medeiros(5)</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tcPr>
          <w:p>
            <w:pPr>
              <w:ind w:left="7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tcPr>
          <w:p>
            <w:pPr>
              <w:ind w:left="12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Gregory Norden</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11,109</w:t>
            </w:r>
          </w:p>
        </w:tc>
        <w:tc>
          <w:tcPr>
            <w:tcW w:w="11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437,887</w:t>
            </w:r>
          </w:p>
        </w:tc>
        <w:tc>
          <w:tcPr>
            <w:tcW w:w="1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448,996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Alfred Sandrock(6)</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tcPr>
          <w:p>
            <w:pPr>
              <w:ind w:left="7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760" w:type="dxa"/>
            <w:vAlign w:val="bottom"/>
          </w:tcPr>
          <w:p>
            <w:pPr>
              <w:ind w:left="12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William Young</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12,696</w:t>
            </w:r>
          </w:p>
        </w:tc>
        <w:tc>
          <w:tcPr>
            <w:tcW w:w="11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448,160</w:t>
            </w:r>
          </w:p>
        </w:tc>
        <w:tc>
          <w:tcPr>
            <w:tcW w:w="1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460,855</w:t>
            </w:r>
          </w:p>
        </w:tc>
        <w:tc>
          <w:tcPr>
            <w:tcW w:w="0" w:type="dxa"/>
            <w:vAlign w:val="bottom"/>
          </w:tcPr>
          <w:p>
            <w:pPr>
              <w:spacing w:after="0"/>
              <w:rPr>
                <w:sz w:val="1"/>
                <w:szCs w:val="1"/>
                <w:color w:val="auto"/>
              </w:rPr>
            </w:pPr>
          </w:p>
        </w:tc>
      </w:tr>
      <w:tr>
        <w:trPr>
          <w:trHeight w:val="484"/>
        </w:trPr>
        <w:tc>
          <w:tcPr>
            <w:tcW w:w="3120" w:type="dxa"/>
            <w:vAlign w:val="bottom"/>
          </w:tcPr>
          <w:p>
            <w:pPr>
              <w:spacing w:after="0"/>
              <w:rPr>
                <w:sz w:val="20"/>
                <w:szCs w:val="20"/>
                <w:color w:val="auto"/>
              </w:rPr>
            </w:pPr>
            <w:r>
              <w:rPr>
                <w:rFonts w:ascii="Arial" w:cs="Arial" w:eastAsia="Arial" w:hAnsi="Arial"/>
                <w:sz w:val="17"/>
                <w:szCs w:val="17"/>
                <w:color w:val="auto"/>
              </w:rPr>
              <w:t>_______________________</w:t>
            </w:r>
          </w:p>
        </w:tc>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right="60" w:hanging="315"/>
        <w:spacing w:after="0" w:line="241" w:lineRule="auto"/>
        <w:tabs>
          <w:tab w:leader="none" w:pos="311"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amount reported represents the aggregate grant date fair value of stock options awarded during fiscal year 2020, calculated in accordance with FASB ASC Topic 718. Such grant date fair values do not take into account any estimated forfeitures. The assumptions used in calculating the grant date fair value of the stock options reported in this column are set forth in Note 10 of our consolidated financial statements included elsewhere in this Annual Report on Form 10-K. The amounts reported in this column reflect the accounting cost for these stock options and do not correspond to the actual economic value that may be received by our directors upon the exercise of the stock options or any sale of the underlying shares of common stock.</w:t>
      </w:r>
    </w:p>
    <w:p>
      <w:pPr>
        <w:spacing w:after="0" w:line="2" w:lineRule="exact"/>
        <w:rPr>
          <w:rFonts w:ascii="Arial" w:cs="Arial" w:eastAsia="Arial" w:hAnsi="Arial"/>
          <w:sz w:val="17"/>
          <w:szCs w:val="17"/>
          <w:color w:val="auto"/>
        </w:rPr>
      </w:pPr>
    </w:p>
    <w:p>
      <w:pPr>
        <w:ind w:left="320" w:right="20" w:hanging="315"/>
        <w:spacing w:after="0" w:line="251" w:lineRule="auto"/>
        <w:tabs>
          <w:tab w:leader="none" w:pos="311"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of December 31, 2020, Mr. Young held options to purchase 102,154 shares of our common stock, Mr. Norden held options to purchase 99,524 shares of our common stock, Mr. Mitchell held options to purchase 65,420 shares of our common stock, and Mr. Sandrock held options to purchase 27,980 shares of our common stock. As of December 31, 2020, none of our other directors (other than Dr. Reddy, whose outstanding equity awards as of December 31, 2020 are set forth in the Outstanding Equity Awards at Fiscal Year-End Table above) held any other outstanding equity awards.</w:t>
      </w:r>
    </w:p>
    <w:p>
      <w:pPr>
        <w:ind w:left="320" w:hanging="315"/>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Dr. Dyrberg resigned as a director in October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Dr. Brettman resigned as a director in October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Medeiros resigned as a director in September 2020.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Sandrock resigned as a director in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33" w:lineRule="exact"/>
        <w:rPr>
          <w:sz w:val="20"/>
          <w:szCs w:val="20"/>
          <w:color w:val="auto"/>
        </w:rPr>
      </w:pPr>
    </w:p>
    <w:p>
      <w:pPr>
        <w:ind w:right="160" w:firstLine="433"/>
        <w:spacing w:after="0" w:line="250" w:lineRule="auto"/>
        <w:rPr>
          <w:sz w:val="20"/>
          <w:szCs w:val="20"/>
          <w:color w:val="auto"/>
        </w:rPr>
      </w:pPr>
      <w:r>
        <w:rPr>
          <w:rFonts w:ascii="Arial" w:cs="Arial" w:eastAsia="Arial" w:hAnsi="Arial"/>
          <w:sz w:val="17"/>
          <w:szCs w:val="17"/>
          <w:color w:val="auto"/>
        </w:rPr>
        <w:t>The following table provides information as of December 31, 2020 regarding shares of common stock that may be issued under our equity compensation plans, consisting of our 2017 Stock Incentive Plan, our 2020 Stock Option and Incentive Plan and our 2020 Employee Stock Purchase Plan.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 securities to be</w:t>
            </w: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 securities remaining available for</w:t>
            </w:r>
          </w:p>
        </w:tc>
      </w:tr>
      <w:tr>
        <w:trPr>
          <w:trHeight w:val="157"/>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issued upon exercise of</w:t>
            </w: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future issuance under equity compensation</w:t>
            </w:r>
          </w:p>
        </w:tc>
      </w:tr>
      <w:tr>
        <w:trPr>
          <w:trHeight w:val="157"/>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outstanding options, warrants</w:t>
            </w:r>
          </w:p>
        </w:tc>
        <w:tc>
          <w:tcPr>
            <w:tcW w:w="32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Weighted Average exercise price of</w:t>
            </w:r>
          </w:p>
        </w:tc>
        <w:tc>
          <w:tcPr>
            <w:tcW w:w="31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plan (excluding securities referenced in</w:t>
            </w:r>
          </w:p>
        </w:tc>
      </w:tr>
      <w:tr>
        <w:trPr>
          <w:trHeight w:val="157"/>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and rights</w:t>
            </w:r>
          </w:p>
        </w:tc>
        <w:tc>
          <w:tcPr>
            <w:tcW w:w="32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outstanding options, warrants and rights</w:t>
            </w:r>
          </w:p>
        </w:tc>
        <w:tc>
          <w:tcPr>
            <w:tcW w:w="316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column (a))</w:t>
            </w:r>
          </w:p>
        </w:tc>
      </w:tr>
      <w:tr>
        <w:trPr>
          <w:trHeight w:val="195"/>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3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3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w:t>
            </w:r>
          </w:p>
        </w:tc>
      </w:tr>
      <w:tr>
        <w:trPr>
          <w:trHeight w:val="202"/>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Equity compensation plans</w:t>
            </w: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24"/>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approved by security holders:</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5,944,546(1)</w:t>
            </w:r>
          </w:p>
        </w:tc>
        <w:tc>
          <w:tcPr>
            <w:tcW w:w="10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00" w:type="dxa"/>
            <w:vAlign w:val="bottom"/>
            <w:shd w:val="clear" w:color="auto" w:fill="CCEEFF"/>
          </w:tcPr>
          <w:p>
            <w:pPr>
              <w:spacing w:after="0"/>
              <w:rPr>
                <w:sz w:val="19"/>
                <w:szCs w:val="19"/>
                <w:color w:val="auto"/>
              </w:rPr>
            </w:pPr>
          </w:p>
        </w:tc>
        <w:tc>
          <w:tcPr>
            <w:tcW w:w="3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3,363,878(2)</w:t>
            </w:r>
          </w:p>
        </w:tc>
        <w:tc>
          <w:tcPr>
            <w:tcW w:w="100" w:type="dxa"/>
            <w:vAlign w:val="bottom"/>
            <w:shd w:val="clear" w:color="auto" w:fill="CCEEFF"/>
          </w:tcPr>
          <w:p>
            <w:pPr>
              <w:spacing w:after="0"/>
              <w:rPr>
                <w:sz w:val="19"/>
                <w:szCs w:val="19"/>
                <w:color w:val="auto"/>
              </w:rPr>
            </w:pPr>
          </w:p>
        </w:tc>
      </w:tr>
      <w:tr>
        <w:trPr>
          <w:trHeight w:val="22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approved by security holders:</w:t>
            </w:r>
          </w:p>
        </w:tc>
        <w:tc>
          <w:tcPr>
            <w:tcW w:w="2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80" w:type="dxa"/>
            <w:vAlign w:val="bottom"/>
            <w:gridSpan w:val="2"/>
          </w:tcPr>
          <w:p>
            <w:pPr>
              <w:ind w:left="2920"/>
              <w:spacing w:after="0"/>
              <w:rPr>
                <w:sz w:val="20"/>
                <w:szCs w:val="20"/>
                <w:color w:val="auto"/>
              </w:rPr>
            </w:pPr>
            <w:r>
              <w:rPr>
                <w:rFonts w:ascii="Arial" w:cs="Arial" w:eastAsia="Arial" w:hAnsi="Arial"/>
                <w:sz w:val="17"/>
                <w:szCs w:val="17"/>
                <w:color w:val="auto"/>
              </w:rPr>
              <w:t>—</w:t>
            </w:r>
          </w:p>
        </w:tc>
        <w:tc>
          <w:tcPr>
            <w:tcW w:w="3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6"/>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5,944,546</w:t>
            </w:r>
          </w:p>
        </w:tc>
        <w:tc>
          <w:tcPr>
            <w:tcW w:w="1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0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3,363,878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497"/>
        </w:trPr>
        <w:tc>
          <w:tcPr>
            <w:tcW w:w="2480" w:type="dxa"/>
            <w:vAlign w:val="bottom"/>
          </w:tcPr>
          <w:p>
            <w:pPr>
              <w:spacing w:after="0"/>
              <w:rPr>
                <w:sz w:val="20"/>
                <w:szCs w:val="20"/>
                <w:color w:val="auto"/>
              </w:rPr>
            </w:pPr>
            <w:r>
              <w:rPr>
                <w:rFonts w:ascii="Arial" w:cs="Arial" w:eastAsia="Arial" w:hAnsi="Arial"/>
                <w:sz w:val="17"/>
                <w:szCs w:val="17"/>
                <w:color w:val="auto"/>
              </w:rPr>
              <w:t>_______________________</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320" w:hanging="315"/>
        <w:spacing w:after="0"/>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Includes 5,944,546 shares of common stock issuable upon the exercise of outstanding options.</w:t>
      </w:r>
    </w:p>
    <w:p>
      <w:pPr>
        <w:spacing w:after="0" w:line="1" w:lineRule="exact"/>
        <w:rPr>
          <w:rFonts w:ascii="Arial" w:cs="Arial" w:eastAsia="Arial" w:hAnsi="Arial"/>
          <w:sz w:val="17"/>
          <w:szCs w:val="17"/>
          <w:color w:val="auto"/>
        </w:rPr>
      </w:pPr>
    </w:p>
    <w:p>
      <w:pPr>
        <w:ind w:left="320" w:right="40" w:hanging="315"/>
        <w:spacing w:after="0" w:line="259" w:lineRule="auto"/>
        <w:tabs>
          <w:tab w:leader="none" w:pos="31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of December 31, 2020, there were 0 shares available for grant under the 2017 Plan, 3,036,776 shares available for grants under the 2020 Plan and 327,102 shares available for grants under the 2020 ESPP.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59"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table sets forth certain information known to us regarding beneficial ownership of our capital stock outstanding as of March 1, 2021 for:</w:t>
      </w:r>
    </w:p>
    <w:p>
      <w:pPr>
        <w:spacing w:after="0" w:line="37" w:lineRule="exact"/>
        <w:rPr>
          <w:sz w:val="20"/>
          <w:szCs w:val="20"/>
          <w:color w:val="auto"/>
        </w:rPr>
      </w:pPr>
    </w:p>
    <w:p>
      <w:pPr>
        <w:ind w:left="640" w:right="440" w:hanging="320"/>
        <w:spacing w:after="0" w:line="275" w:lineRule="auto"/>
        <w:tabs>
          <w:tab w:leader="none" w:pos="6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 the beneficial owner of five percent or more of our outstanding common stock;</w:t>
      </w:r>
    </w:p>
    <w:p>
      <w:pPr>
        <w:spacing w:after="0" w:line="50" w:lineRule="exact"/>
        <w:rPr>
          <w:rFonts w:ascii="Arial" w:cs="Arial" w:eastAsia="Arial" w:hAnsi="Arial"/>
          <w:sz w:val="17"/>
          <w:szCs w:val="17"/>
          <w:color w:val="auto"/>
        </w:rPr>
      </w:pPr>
    </w:p>
    <w:p>
      <w:pPr>
        <w:ind w:left="620" w:hanging="300"/>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79" w:lineRule="exact"/>
        <w:rPr>
          <w:rFonts w:ascii="Arial" w:cs="Arial" w:eastAsia="Arial" w:hAnsi="Arial"/>
          <w:sz w:val="17"/>
          <w:szCs w:val="17"/>
          <w:color w:val="auto"/>
        </w:rPr>
      </w:pPr>
    </w:p>
    <w:p>
      <w:pPr>
        <w:ind w:left="620" w:hanging="300"/>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79" w:lineRule="exact"/>
        <w:rPr>
          <w:rFonts w:ascii="Arial" w:cs="Arial" w:eastAsia="Arial" w:hAnsi="Arial"/>
          <w:sz w:val="17"/>
          <w:szCs w:val="17"/>
          <w:color w:val="auto"/>
        </w:rPr>
      </w:pPr>
    </w:p>
    <w:p>
      <w:pPr>
        <w:ind w:left="620" w:hanging="300"/>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93"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March 1, 2021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Praxis Precision Medicines, Inc., One Broadway, 16th Floor, Cambridge, MA 02142.</w:t>
      </w:r>
    </w:p>
    <w:p>
      <w:pPr>
        <w:spacing w:after="0" w:line="265"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The percentage of beneficial ownership in the table below is based on 38,579,115 shares of common stock deemed to be outstanding as of March 1, 2021.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COMMON STOCK BENEFICIALLY OWNED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8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w w:val="95"/>
              </w:rPr>
              <w:t>SHARES</w:t>
            </w:r>
          </w:p>
        </w:tc>
        <w:tc>
          <w:tcPr>
            <w:tcW w:w="8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PERCENTAGE</w:t>
            </w:r>
          </w:p>
        </w:tc>
      </w:tr>
      <w:tr>
        <w:trPr>
          <w:trHeight w:val="164"/>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5% or Greater Stockholders</w:t>
            </w:r>
          </w:p>
        </w:tc>
        <w:tc>
          <w:tcPr>
            <w:tcW w:w="1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Entities affiliated with Blackstone (1)</w:t>
            </w:r>
          </w:p>
        </w:tc>
        <w:tc>
          <w:tcPr>
            <w:tcW w:w="800" w:type="dxa"/>
            <w:vAlign w:val="bottom"/>
          </w:tcPr>
          <w:p>
            <w:pPr>
              <w:jc w:val="right"/>
              <w:spacing w:after="0"/>
              <w:rPr>
                <w:sz w:val="20"/>
                <w:szCs w:val="20"/>
                <w:color w:val="auto"/>
              </w:rPr>
            </w:pPr>
            <w:r>
              <w:rPr>
                <w:rFonts w:ascii="Arial" w:cs="Arial" w:eastAsia="Arial" w:hAnsi="Arial"/>
                <w:sz w:val="17"/>
                <w:szCs w:val="17"/>
                <w:color w:val="auto"/>
              </w:rPr>
              <w:t>8,501,487</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22.0 %</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FMR LLC (2)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4,163,834</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Entities affiliated with Eventide (3)</w:t>
            </w:r>
          </w:p>
        </w:tc>
        <w:tc>
          <w:tcPr>
            <w:tcW w:w="800" w:type="dxa"/>
            <w:vAlign w:val="bottom"/>
          </w:tcPr>
          <w:p>
            <w:pPr>
              <w:jc w:val="right"/>
              <w:spacing w:after="0"/>
              <w:rPr>
                <w:sz w:val="20"/>
                <w:szCs w:val="20"/>
                <w:color w:val="auto"/>
              </w:rPr>
            </w:pPr>
            <w:r>
              <w:rPr>
                <w:rFonts w:ascii="Arial" w:cs="Arial" w:eastAsia="Arial" w:hAnsi="Arial"/>
                <w:sz w:val="17"/>
                <w:szCs w:val="17"/>
                <w:color w:val="auto"/>
              </w:rPr>
              <w:t>3,513,081</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9.1 %</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Vida Ventures, LLC (4)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2,939,329</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7.6 %</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Novo Holdings A/S (5)</w:t>
            </w:r>
          </w:p>
        </w:tc>
        <w:tc>
          <w:tcPr>
            <w:tcW w:w="800" w:type="dxa"/>
            <w:vAlign w:val="bottom"/>
          </w:tcPr>
          <w:p>
            <w:pPr>
              <w:jc w:val="right"/>
              <w:spacing w:after="0"/>
              <w:rPr>
                <w:sz w:val="20"/>
                <w:szCs w:val="20"/>
                <w:color w:val="auto"/>
              </w:rPr>
            </w:pPr>
            <w:r>
              <w:rPr>
                <w:rFonts w:ascii="Arial" w:cs="Arial" w:eastAsia="Arial" w:hAnsi="Arial"/>
                <w:sz w:val="17"/>
                <w:szCs w:val="17"/>
                <w:color w:val="auto"/>
              </w:rPr>
              <w:t>2,442,080</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184"/>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Directors, Named Executive Officers and Other Executive Officers</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Dean Mitchell</w:t>
            </w: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Nicholas Galakatos, Ph.D. (1)</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Stefan Vitorovic (4)</w:t>
            </w:r>
          </w:p>
        </w:tc>
        <w:tc>
          <w:tcPr>
            <w:tcW w:w="800" w:type="dxa"/>
            <w:vAlign w:val="bottom"/>
          </w:tcPr>
          <w:p>
            <w:pPr>
              <w:jc w:val="right"/>
              <w:spacing w:after="0"/>
              <w:rPr>
                <w:sz w:val="20"/>
                <w:szCs w:val="20"/>
                <w:color w:val="auto"/>
              </w:rPr>
            </w:pPr>
            <w:r>
              <w:rPr>
                <w:rFonts w:ascii="Arial" w:cs="Arial" w:eastAsia="Arial" w:hAnsi="Arial"/>
                <w:sz w:val="17"/>
                <w:szCs w:val="17"/>
                <w:color w:val="auto"/>
              </w:rPr>
              <w:t>2,939,329</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Gregory Norden (6)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16,294</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Kiran Reddy, M.D. (1)(7)</w:t>
            </w:r>
          </w:p>
        </w:tc>
        <w:tc>
          <w:tcPr>
            <w:tcW w:w="800" w:type="dxa"/>
            <w:vAlign w:val="bottom"/>
          </w:tcPr>
          <w:p>
            <w:pPr>
              <w:jc w:val="right"/>
              <w:spacing w:after="0"/>
              <w:rPr>
                <w:sz w:val="20"/>
                <w:szCs w:val="20"/>
                <w:color w:val="auto"/>
              </w:rPr>
            </w:pPr>
            <w:r>
              <w:rPr>
                <w:rFonts w:ascii="Arial" w:cs="Arial" w:eastAsia="Arial" w:hAnsi="Arial"/>
                <w:sz w:val="17"/>
                <w:szCs w:val="17"/>
                <w:color w:val="auto"/>
              </w:rPr>
              <w:t>698,217</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Young (8)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27,980</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Marcio Souza (9)</w:t>
            </w:r>
          </w:p>
        </w:tc>
        <w:tc>
          <w:tcPr>
            <w:tcW w:w="800" w:type="dxa"/>
            <w:vAlign w:val="bottom"/>
          </w:tcPr>
          <w:p>
            <w:pPr>
              <w:jc w:val="right"/>
              <w:spacing w:after="0"/>
              <w:rPr>
                <w:sz w:val="20"/>
                <w:szCs w:val="20"/>
                <w:color w:val="auto"/>
              </w:rPr>
            </w:pPr>
            <w:r>
              <w:rPr>
                <w:rFonts w:ascii="Arial" w:cs="Arial" w:eastAsia="Arial" w:hAnsi="Arial"/>
                <w:sz w:val="17"/>
                <w:szCs w:val="17"/>
                <w:color w:val="auto"/>
              </w:rPr>
              <w:t>263,287</w:t>
            </w:r>
          </w:p>
        </w:tc>
        <w:tc>
          <w:tcPr>
            <w:tcW w:w="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Bernard Ravina (10)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130,335</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7"/>
                <w:szCs w:val="17"/>
                <w:color w:val="auto"/>
              </w:rPr>
              <w:t>Nicole Sweeny</w:t>
            </w:r>
          </w:p>
        </w:tc>
        <w:tc>
          <w:tcPr>
            <w:tcW w:w="80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23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 executive officers and directors as a group (10 persons) (11)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4,083,479</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r>
    </w:tbl>
    <w:p>
      <w:pPr>
        <w:spacing w:after="0" w:line="327" w:lineRule="exact"/>
        <w:rPr>
          <w:sz w:val="20"/>
          <w:szCs w:val="20"/>
          <w:color w:val="auto"/>
        </w:rPr>
      </w:pPr>
    </w:p>
    <w:p>
      <w:pPr>
        <w:ind w:left="120" w:hanging="115"/>
        <w:spacing w:after="0"/>
        <w:tabs>
          <w:tab w:leader="none" w:pos="1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w:t>
      </w:r>
    </w:p>
    <w:p>
      <w:pPr>
        <w:spacing w:after="0" w:line="14" w:lineRule="exact"/>
        <w:rPr>
          <w:rFonts w:ascii="Arial" w:cs="Arial" w:eastAsia="Arial" w:hAnsi="Arial"/>
          <w:sz w:val="17"/>
          <w:szCs w:val="17"/>
          <w:color w:val="auto"/>
        </w:rPr>
      </w:pPr>
    </w:p>
    <w:p>
      <w:pPr>
        <w:ind w:left="320" w:right="80" w:hanging="315"/>
        <w:spacing w:after="0" w:line="241" w:lineRule="auto"/>
        <w:rPr>
          <w:rFonts w:ascii="Arial" w:cs="Arial" w:eastAsia="Arial" w:hAnsi="Arial"/>
          <w:sz w:val="17"/>
          <w:szCs w:val="17"/>
          <w:color w:val="auto"/>
        </w:rPr>
      </w:pPr>
      <w:r>
        <w:rPr>
          <w:rFonts w:ascii="Arial" w:cs="Arial" w:eastAsia="Arial" w:hAnsi="Arial"/>
          <w:sz w:val="17"/>
          <w:szCs w:val="17"/>
          <w:color w:val="auto"/>
        </w:rPr>
        <w:t>(1) Based solely on information contained in a Schedule 13G filed jointly by Clarus Lifesciences III, L.P., or Clarus, BSOF Parallel Master Fund L.P., Clarus Ventures III GP, L.P., Blackstone Clarus III L.L.C., Blackstone Strategic Opportunity Associates L.L.C., Blackstone Alternative Solutions L.L.C., Blackstone Holdings I L.P., Blackstone Holdings II L.P., Blackstone Holdings I/II GP L.L.C., The Blackstone Group Inc., Blackstone Group Management L.L.C. and Stephen A. Schwarzman with the SEC on February 16, 2021. Clarus directly holds 7,594,109 shares of common stock and BSOF Parallel Master Fund L.P. directly holds 907,378 shares of common stock. Clarus Ventures III GP, L.P. is the general partner of Clarus. Blackstone Clarus III L.L.C. is the general partner of Clarus GP. The sole member of Blackstone Clarus III L.L.C. is Blackstone Holdings II L.P. Blackstone Strategic Opportunity Associates L.L.C. is the general partner of BSOF Parallel Master Fund L.P. Blackstone Holdings II L.P. is the sole member of Blackstone Strategic Opportunity Associates L.L.C. Blackstone Alternative Solutions L.L.C. is the investment manager of BSOF Parallel Master Fund L.P. Blackstone Holdings I L.P. is the sole member of Blackstone Alternative Solutions L.L.C. The general partner of Blackstone Holdings I L.P. and Blackstone Holdings II L.P. is Blackstone Holdings I/II GP L.L.C. The sole member of Blackstone Holdings I/II GP L.L.C. is The Blackstone Group Inc. The sole holder of the Class C common stock of The Blackstone Group Inc. is Blackstone Group Management L.L.C. Blackstone Group Management L.L.C. is wholly-owned by Blackstone’s senior managing directors and controlled by its founder, Stephen A. Schwarzman. Each of such entities and Mr. Schwarzman may be deemed to beneficially own the shares beneficially owned by the Blackstone Funds controlled by it or him, but each (other than the Blackstone Funds to the extent of their direct ownership) disclaims beneficial ownership of such shares. Each of Nicholas Galakatos, Ph.D. and Kiran Reddy, M.D., members of our board of directors, is an employee of an entity affiliated with the Blackstone Funds and each disclaims beneficial ownership of the shares beneficially owned by the Blackstone Funds. The address for each of Clarus and Clarus Ventures III GP, L.P. is c/o Clarus Ventures LLC, 101 Main Street, Suite 1210, Cambridge, MA 02142. The address for each of the other Blackstone entities and Mr. Schwarzman is c/o The Blackstone Group Inc., 345 Park Avenue, New York, NY 10154.</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(2) Based solely on information contained in a Schedule 13G/A filed by FMR LLC with the SEC on February 10, 2021. FMR LLC has sole voting</w:t>
      </w:r>
    </w:p>
    <w:p>
      <w:pPr>
        <w:spacing w:after="0" w:line="1" w:lineRule="exact"/>
        <w:rPr>
          <w:rFonts w:ascii="Arial" w:cs="Arial" w:eastAsia="Arial" w:hAnsi="Arial"/>
          <w:sz w:val="17"/>
          <w:szCs w:val="17"/>
          <w:color w:val="auto"/>
        </w:rPr>
      </w:pPr>
    </w:p>
    <w:p>
      <w:pPr>
        <w:ind w:left="320"/>
        <w:spacing w:after="0" w:line="245" w:lineRule="auto"/>
        <w:rPr>
          <w:rFonts w:ascii="Arial" w:cs="Arial" w:eastAsia="Arial" w:hAnsi="Arial"/>
          <w:sz w:val="17"/>
          <w:szCs w:val="17"/>
          <w:color w:val="auto"/>
        </w:rPr>
      </w:pPr>
      <w:r>
        <w:rPr>
          <w:rFonts w:ascii="Arial" w:cs="Arial" w:eastAsia="Arial" w:hAnsi="Arial"/>
          <w:sz w:val="17"/>
          <w:szCs w:val="17"/>
          <w:color w:val="auto"/>
        </w:rPr>
        <w:t>power with respect to 1,564,801 shares of common stock and sole dispositive power with respect to 4,163,834 shares of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 02210.</w:t>
      </w:r>
    </w:p>
    <w:p>
      <w:pPr>
        <w:spacing w:after="0" w:line="2" w:lineRule="exact"/>
        <w:rPr>
          <w:sz w:val="20"/>
          <w:szCs w:val="20"/>
          <w:color w:val="auto"/>
        </w:rPr>
      </w:pPr>
    </w:p>
    <w:p>
      <w:pPr>
        <w:ind w:left="320" w:hanging="315"/>
        <w:spacing w:after="0" w:line="241"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Eventide Asset Management, LLC with the SEC on February 12, 2021. Eventide Asset Management, LLC, a Delaware limited liability company, is the beneficial owner of 3,513,081 common shares by virtue of being the investment adviser to registered investment companies. Mutual Fund Series Trust, On Behalf Of Eventide Gilead Fund, or Eventide Gilead, directly holds 1,566,708 shares of common stock and the Mutual Fund Series Trust, On Behalf Of Eventide Healthcare &amp; Life Sciences Fund, or Eventide Healthcare, directly holds 1,946,373 shares of common stock. The address for both Eventide Healthcare and Eventide Gilead is One International Place, Suite 4210, Boston, Massachusetts 02110.</w:t>
      </w:r>
    </w:p>
    <w:p>
      <w:pPr>
        <w:spacing w:after="0" w:line="2" w:lineRule="exact"/>
        <w:rPr>
          <w:rFonts w:ascii="Arial" w:cs="Arial" w:eastAsia="Arial" w:hAnsi="Arial"/>
          <w:sz w:val="17"/>
          <w:szCs w:val="17"/>
          <w:color w:val="auto"/>
        </w:rPr>
      </w:pPr>
    </w:p>
    <w:p>
      <w:pPr>
        <w:ind w:left="320" w:hanging="315"/>
        <w:spacing w:after="0" w:line="241"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Vida Ventures, LLC with the SEC on February 16, 2021. All shares are held directly by Vida Ventures, LLC, a United States limited liability company. Stefan Vitorovic is the Co-Founder and Managing Director of Vida Ventures, LLC and is also a member of our board of directors. VV Manager, LLC, or VV Manager, is the managing member of Vida. Stefan Vitorovic, Arjun Goyal, Fred Cohen, Arie Belldegrun and Leonard Potter are managers of VV Manager, and may be deemed to share voting and dispositive power over the shares held by Vida. The address of Vida is 40 Broad Street, Suite 201, Boston, Massachusetts 02109.</w:t>
      </w:r>
    </w:p>
    <w:p>
      <w:pPr>
        <w:spacing w:after="0" w:line="2" w:lineRule="exact"/>
        <w:rPr>
          <w:rFonts w:ascii="Arial" w:cs="Arial" w:eastAsia="Arial" w:hAnsi="Arial"/>
          <w:sz w:val="17"/>
          <w:szCs w:val="17"/>
          <w:color w:val="auto"/>
        </w:rPr>
      </w:pPr>
    </w:p>
    <w:p>
      <w:pPr>
        <w:ind w:left="320" w:right="20" w:hanging="315"/>
        <w:spacing w:after="0" w:line="241"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Novo Holdings A/S, or Novo, with the SEC on February 8, 2021. All shares are held directly by Novo Holdings A/S, a Danish limited liability company that manages investments and financial assets. Novo Holdings A/S is wholly owned by Novo Nordisk Foundation, or the Foundation, a Danish commercial foundation. Novo Holdings A/S is the holding company in the group of Novo companies (currently comprised of Novo Nordisk A/S and Novozymes A/S) and is responsible for managing the Foundation’s assets, including its financial assets. Based on the governance structure of Novo Holdings A/S and the Foundation, the Foundation is not deemed to have any beneficial ownership of the shares held by Novo Holdings A/S. The address for Novo Holdings A/S is Tuborg Havnevej 19, DK-2900 Hellerup, Denmark.</w:t>
      </w:r>
    </w:p>
    <w:p>
      <w:pPr>
        <w:spacing w:after="0" w:line="2" w:lineRule="exact"/>
        <w:rPr>
          <w:rFonts w:ascii="Arial" w:cs="Arial" w:eastAsia="Arial" w:hAnsi="Arial"/>
          <w:sz w:val="17"/>
          <w:szCs w:val="17"/>
          <w:color w:val="auto"/>
        </w:rPr>
      </w:pPr>
    </w:p>
    <w:p>
      <w:pPr>
        <w:ind w:left="320" w:hanging="315"/>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16,294 shares of common stock underlying options exercisable within 60 days of March 1, 2021.</w:t>
      </w:r>
    </w:p>
    <w:p>
      <w:pPr>
        <w:spacing w:after="0" w:line="1" w:lineRule="exact"/>
        <w:rPr>
          <w:rFonts w:ascii="Arial" w:cs="Arial" w:eastAsia="Arial" w:hAnsi="Arial"/>
          <w:sz w:val="17"/>
          <w:szCs w:val="17"/>
          <w:color w:val="auto"/>
        </w:rPr>
      </w:pPr>
    </w:p>
    <w:p>
      <w:pPr>
        <w:ind w:left="320" w:right="260" w:hanging="315"/>
        <w:spacing w:after="0" w:line="241"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(i) 467,289 shares of common stock and (ii) 230,928 shares of common stock underlying options exercisable within 60 days of March 1, 2021.</w:t>
      </w:r>
    </w:p>
    <w:p>
      <w:pPr>
        <w:ind w:left="320" w:hanging="315"/>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27,980 shares of common stock underlying options exercisable within 60 days of March 1, 2021.</w:t>
      </w:r>
    </w:p>
    <w:p>
      <w:pPr>
        <w:spacing w:after="0" w:line="1" w:lineRule="exact"/>
        <w:rPr>
          <w:rFonts w:ascii="Arial" w:cs="Arial" w:eastAsia="Arial" w:hAnsi="Arial"/>
          <w:sz w:val="17"/>
          <w:szCs w:val="17"/>
          <w:color w:val="auto"/>
        </w:rPr>
      </w:pPr>
    </w:p>
    <w:p>
      <w:pPr>
        <w:ind w:left="320" w:right="360" w:hanging="315"/>
        <w:spacing w:after="0" w:line="241" w:lineRule="auto"/>
        <w:tabs>
          <w:tab w:leader="none" w:pos="3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(i) 24,450 shares of common stock and (ii) 238,837 shares of common stock underlying options exercisable within 60 days of March 1, 2021.</w:t>
      </w:r>
    </w:p>
    <w:p>
      <w:pPr>
        <w:spacing w:after="0" w:line="1" w:lineRule="exact"/>
        <w:rPr>
          <w:sz w:val="20"/>
          <w:szCs w:val="20"/>
          <w:color w:val="auto"/>
        </w:rPr>
      </w:pPr>
    </w:p>
    <w:p>
      <w:pPr>
        <w:ind w:left="320" w:right="460" w:hanging="314"/>
        <w:spacing w:after="0" w:line="241" w:lineRule="auto"/>
        <w:rPr>
          <w:sz w:val="20"/>
          <w:szCs w:val="20"/>
          <w:color w:val="auto"/>
        </w:rPr>
      </w:pPr>
      <w:r>
        <w:rPr>
          <w:rFonts w:ascii="Arial" w:cs="Arial" w:eastAsia="Arial" w:hAnsi="Arial"/>
          <w:sz w:val="17"/>
          <w:szCs w:val="17"/>
          <w:color w:val="auto"/>
        </w:rPr>
        <w:t>(10)Consists of (i) 56,021 shares of common stock and (ii) 74,314 shares of common stock underlying options exercisable within 60 days of March 1, 2021.</w:t>
      </w:r>
    </w:p>
    <w:p>
      <w:pPr>
        <w:spacing w:after="0" w:line="1" w:lineRule="exact"/>
        <w:rPr>
          <w:sz w:val="20"/>
          <w:szCs w:val="20"/>
          <w:color w:val="auto"/>
        </w:rPr>
      </w:pPr>
    </w:p>
    <w:p>
      <w:pPr>
        <w:ind w:left="320" w:right="60" w:hanging="315"/>
        <w:spacing w:after="0" w:line="259" w:lineRule="auto"/>
        <w:tabs>
          <w:tab w:leader="none" w:pos="364"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Consists of (i) 3,487,089 shares of common stock and (ii) 596,390 shares of common stock underlying options exercisable within 60 days of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351"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The following is a description of transactions or series of transactions since January 1, 2019 through the year ended December 31, 2020, to which we were or will be a party, in which:</w:t>
      </w:r>
    </w:p>
    <w:p>
      <w:pPr>
        <w:spacing w:after="0" w:line="37" w:lineRule="exact"/>
        <w:rPr>
          <w:sz w:val="20"/>
          <w:szCs w:val="20"/>
          <w:color w:val="auto"/>
        </w:rPr>
      </w:pPr>
    </w:p>
    <w:p>
      <w:pPr>
        <w:ind w:left="620" w:hanging="300"/>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involved in the transaction exceeds, or will exceed, $120,000; and</w:t>
      </w:r>
    </w:p>
    <w:p>
      <w:pPr>
        <w:spacing w:after="0" w:line="93" w:lineRule="exact"/>
        <w:rPr>
          <w:rFonts w:ascii="Arial" w:cs="Arial" w:eastAsia="Arial" w:hAnsi="Arial"/>
          <w:sz w:val="17"/>
          <w:szCs w:val="17"/>
          <w:color w:val="auto"/>
        </w:rPr>
      </w:pPr>
    </w:p>
    <w:p>
      <w:pPr>
        <w:ind w:left="640" w:right="720" w:hanging="320"/>
        <w:spacing w:after="0" w:line="275" w:lineRule="auto"/>
        <w:tabs>
          <w:tab w:leader="none" w:pos="635"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37" w:lineRule="exact"/>
        <w:rPr>
          <w:sz w:val="20"/>
          <w:szCs w:val="20"/>
          <w:color w:val="auto"/>
        </w:rPr>
      </w:pPr>
    </w:p>
    <w:p>
      <w:pPr>
        <w:ind w:right="580" w:firstLine="393"/>
        <w:spacing w:after="0" w:line="275" w:lineRule="auto"/>
        <w:rPr>
          <w:sz w:val="20"/>
          <w:szCs w:val="20"/>
          <w:color w:val="auto"/>
        </w:rPr>
      </w:pPr>
      <w:r>
        <w:rPr>
          <w:rFonts w:ascii="Arial" w:cs="Arial" w:eastAsia="Arial" w:hAnsi="Arial"/>
          <w:sz w:val="17"/>
          <w:szCs w:val="17"/>
          <w:color w:val="auto"/>
        </w:rPr>
        <w:t>Compensation arrangements for our named executive officers and our directors are described elsewhere in this Annual Report under “Executive Compensation” and “Director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B-1 Preferred Stock Financing</w:t>
      </w:r>
    </w:p>
    <w:p>
      <w:pPr>
        <w:spacing w:after="0" w:line="139" w:lineRule="exact"/>
        <w:rPr>
          <w:sz w:val="20"/>
          <w:szCs w:val="20"/>
          <w:color w:val="auto"/>
        </w:rPr>
      </w:pPr>
    </w:p>
    <w:p>
      <w:pPr>
        <w:jc w:val="both"/>
        <w:ind w:right="40" w:firstLine="433"/>
        <w:spacing w:after="0" w:line="266" w:lineRule="auto"/>
        <w:rPr>
          <w:sz w:val="20"/>
          <w:szCs w:val="20"/>
          <w:color w:val="auto"/>
        </w:rPr>
      </w:pPr>
      <w:r>
        <w:rPr>
          <w:rFonts w:ascii="Arial" w:cs="Arial" w:eastAsia="Arial" w:hAnsi="Arial"/>
          <w:sz w:val="17"/>
          <w:szCs w:val="17"/>
          <w:color w:val="auto"/>
        </w:rPr>
        <w:t>In June 2019, we issued and sold to investors in a private placement an aggregate of 2,666,666 shares of our Series B-1 preferred stock at a price of $3.75 per share, for aggregate consideration of approximately $10.0 million, or our Series B-1 Preferred Stock Financing. The following table sets forth the aggregate number and purchase price of shares of our Series B-1 preferred stock purchased by related persons: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Shares of Series B-1</w:t>
            </w:r>
          </w:p>
        </w:tc>
        <w:tc>
          <w:tcPr>
            <w:tcW w:w="194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31"/>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20" w:type="dxa"/>
            <w:vAlign w:val="bottom"/>
            <w:vMerge w:val="restart"/>
          </w:tcPr>
          <w:p>
            <w:pPr>
              <w:spacing w:after="0"/>
              <w:rPr>
                <w:sz w:val="11"/>
                <w:szCs w:val="11"/>
                <w:color w:val="auto"/>
              </w:rPr>
            </w:pPr>
          </w:p>
        </w:tc>
        <w:tc>
          <w:tcPr>
            <w:tcW w:w="20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Preferred</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Purchased</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Entities affiliated with Blackstone(1)</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1,410,477</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5,289,288</w:t>
            </w:r>
          </w:p>
        </w:tc>
        <w:tc>
          <w:tcPr>
            <w:tcW w:w="0" w:type="dxa"/>
            <w:vAlign w:val="bottom"/>
          </w:tcPr>
          <w:p>
            <w:pPr>
              <w:spacing w:after="0"/>
              <w:rPr>
                <w:sz w:val="1"/>
                <w:szCs w:val="1"/>
                <w:color w:val="auto"/>
              </w:rPr>
            </w:pP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Novo Holdings A/S(2)</w:t>
            </w:r>
          </w:p>
        </w:tc>
        <w:tc>
          <w:tcPr>
            <w:tcW w:w="1920" w:type="dxa"/>
            <w:vAlign w:val="bottom"/>
          </w:tcPr>
          <w:p>
            <w:pPr>
              <w:jc w:val="right"/>
              <w:spacing w:after="0"/>
              <w:rPr>
                <w:sz w:val="20"/>
                <w:szCs w:val="20"/>
                <w:color w:val="auto"/>
              </w:rPr>
            </w:pPr>
            <w:r>
              <w:rPr>
                <w:rFonts w:ascii="Arial" w:cs="Arial" w:eastAsia="Arial" w:hAnsi="Arial"/>
                <w:sz w:val="17"/>
                <w:szCs w:val="17"/>
                <w:color w:val="auto"/>
              </w:rPr>
              <w:t>551,794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2,069,228</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Vida Ventures, LLC(3)</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551,794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2,069,228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Purdue Neuroscience Company(4)</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133,334</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500,003</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2,647,399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9,927,747</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jc w:val="both"/>
        <w:ind w:left="320" w:right="60" w:hanging="315"/>
        <w:spacing w:after="0" w:line="257" w:lineRule="auto"/>
        <w:tabs>
          <w:tab w:leader="none" w:pos="311" w:val="left"/>
        </w:tabs>
        <w:numPr>
          <w:ilvl w:val="0"/>
          <w:numId w:val="98"/>
        </w:numPr>
        <w:rPr>
          <w:rFonts w:ascii="Arial" w:cs="Arial" w:eastAsia="Arial" w:hAnsi="Arial"/>
          <w:sz w:val="17"/>
          <w:szCs w:val="17"/>
          <w:color w:val="auto"/>
        </w:rPr>
      </w:pPr>
      <w:r>
        <w:rPr>
          <w:rFonts w:ascii="Arial" w:cs="Arial" w:eastAsia="Arial" w:hAnsi="Arial"/>
          <w:sz w:val="17"/>
          <w:szCs w:val="17"/>
          <w:color w:val="auto"/>
        </w:rPr>
        <w:t>Nicholas Galakatos, Ph.D., a member of our board of directors, was a managing director of Clarus, prior to its acquisition by Blackstone, and is a senior managing director of Blackstone. Ari Brettman, M.D., a former member of our board of directors, was a principal at Clarus, prior to its acquisition by Blackstone, and is a managing director of Blackstone.</w:t>
      </w:r>
    </w:p>
    <w:p>
      <w:pPr>
        <w:spacing w:after="0" w:line="1" w:lineRule="exact"/>
        <w:rPr>
          <w:rFonts w:ascii="Arial" w:cs="Arial" w:eastAsia="Arial" w:hAnsi="Arial"/>
          <w:sz w:val="17"/>
          <w:szCs w:val="17"/>
          <w:color w:val="auto"/>
        </w:rPr>
      </w:pPr>
    </w:p>
    <w:p>
      <w:pPr>
        <w:ind w:left="320" w:right="180" w:hanging="315"/>
        <w:spacing w:after="0" w:line="257" w:lineRule="auto"/>
        <w:tabs>
          <w:tab w:leader="none" w:pos="31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Thomas Dyrberg, M.D., a former member of our board of directors, is employed as a Managing Partner of Novo. Dr. Dyrberg is not deemed to hold any beneficial ownership or reportable pecuniary interest in the shares held by Novo.</w:t>
      </w:r>
    </w:p>
    <w:p>
      <w:pPr>
        <w:ind w:left="320" w:hanging="315"/>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Stefan Vitorovic, a member of our board of directors, is a managing director of Vida Ventures, LLC.</w:t>
      </w:r>
    </w:p>
    <w:p>
      <w:pPr>
        <w:spacing w:after="0" w:line="14" w:lineRule="exact"/>
        <w:rPr>
          <w:rFonts w:ascii="Arial" w:cs="Arial" w:eastAsia="Arial" w:hAnsi="Arial"/>
          <w:sz w:val="17"/>
          <w:szCs w:val="17"/>
          <w:color w:val="auto"/>
        </w:rPr>
      </w:pPr>
    </w:p>
    <w:p>
      <w:pPr>
        <w:ind w:left="320" w:hanging="315"/>
        <w:spacing w:after="0" w:line="266" w:lineRule="auto"/>
        <w:tabs>
          <w:tab w:leader="none" w:pos="311"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Purdue Neuroscience Company became a holder of five percent or more of our capital stock pursuant to our Series B-1 Preferred Financing, but is no longer a holder of five percent or more of our capital stock as of December 2021. Paul Medeiros, a former member of our board of directors, served as a senior vice president of Purdue Pharma L.P., an affiliate of Purdue Neuroscience Company, and resigned in September 2020.</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Preferred Stock Financing</w:t>
      </w:r>
    </w:p>
    <w:p>
      <w:pPr>
        <w:spacing w:after="0" w:line="113"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From November 2019 through May 2020, we issued and sold to investors in a private placement an aggregate of 14,368,935 shares of our Series C preferred stock at a price of $5.15 per share, for aggregate consideration of approximately $74.0 million, or our Series C Preferred Stock Financing. The following table sets forth the aggregate number and purchase price of shares of our Series C preferred stock purchased by related persons: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82"/>
        </w:trPr>
        <w:tc>
          <w:tcPr>
            <w:tcW w:w="7240" w:type="dxa"/>
            <w:vAlign w:val="bottom"/>
            <w:gridSpan w:val="2"/>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C</w:t>
            </w:r>
          </w:p>
        </w:tc>
        <w:tc>
          <w:tcPr>
            <w:tcW w:w="1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31"/>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20" w:type="dxa"/>
            <w:vAlign w:val="bottom"/>
            <w:vMerge w:val="restart"/>
          </w:tcPr>
          <w:p>
            <w:pPr>
              <w:spacing w:after="0"/>
              <w:rPr>
                <w:sz w:val="11"/>
                <w:szCs w:val="11"/>
                <w:color w:val="auto"/>
              </w:rPr>
            </w:pPr>
          </w:p>
        </w:tc>
        <w:tc>
          <w:tcPr>
            <w:tcW w:w="20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Preferred</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Purchased</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Entities affiliated with Blackstone (1)</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2,500,956</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12,879,923</w:t>
            </w:r>
          </w:p>
        </w:tc>
        <w:tc>
          <w:tcPr>
            <w:tcW w:w="0" w:type="dxa"/>
            <w:vAlign w:val="bottom"/>
          </w:tcPr>
          <w:p>
            <w:pPr>
              <w:spacing w:after="0"/>
              <w:rPr>
                <w:sz w:val="1"/>
                <w:szCs w:val="1"/>
                <w:color w:val="auto"/>
              </w:rPr>
            </w:pP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Novo Holdings A/S(2)</w:t>
            </w:r>
          </w:p>
        </w:tc>
        <w:tc>
          <w:tcPr>
            <w:tcW w:w="1920" w:type="dxa"/>
            <w:vAlign w:val="bottom"/>
          </w:tcPr>
          <w:p>
            <w:pPr>
              <w:jc w:val="right"/>
              <w:spacing w:after="0"/>
              <w:rPr>
                <w:sz w:val="20"/>
                <w:szCs w:val="20"/>
                <w:color w:val="auto"/>
              </w:rPr>
            </w:pPr>
            <w:r>
              <w:rPr>
                <w:rFonts w:ascii="Arial" w:cs="Arial" w:eastAsia="Arial" w:hAnsi="Arial"/>
                <w:sz w:val="17"/>
                <w:szCs w:val="17"/>
                <w:color w:val="auto"/>
              </w:rPr>
              <w:t>171,410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882,762</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Vida Ventures, LLC(3)</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171,410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882,762</w:t>
            </w:r>
          </w:p>
        </w:tc>
        <w:tc>
          <w:tcPr>
            <w:tcW w:w="0" w:type="dxa"/>
            <w:vAlign w:val="bottom"/>
          </w:tcPr>
          <w:p>
            <w:pPr>
              <w:spacing w:after="0"/>
              <w:rPr>
                <w:sz w:val="1"/>
                <w:szCs w:val="1"/>
                <w:color w:val="auto"/>
              </w:rPr>
            </w:pP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Entities affiliated with Eventide(4)</w:t>
            </w:r>
          </w:p>
        </w:tc>
        <w:tc>
          <w:tcPr>
            <w:tcW w:w="1920" w:type="dxa"/>
            <w:vAlign w:val="bottom"/>
          </w:tcPr>
          <w:p>
            <w:pPr>
              <w:jc w:val="right"/>
              <w:spacing w:after="0"/>
              <w:rPr>
                <w:sz w:val="20"/>
                <w:szCs w:val="20"/>
                <w:color w:val="auto"/>
              </w:rPr>
            </w:pPr>
            <w:r>
              <w:rPr>
                <w:rFonts w:ascii="Arial" w:cs="Arial" w:eastAsia="Arial" w:hAnsi="Arial"/>
                <w:sz w:val="17"/>
                <w:szCs w:val="17"/>
                <w:color w:val="auto"/>
              </w:rPr>
              <w:t>3,883,496</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20,000,004</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Purdue Neuroscience Company(5)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59,333</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305,565</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920" w:type="dxa"/>
            <w:vAlign w:val="bottom"/>
          </w:tcPr>
          <w:p>
            <w:pPr>
              <w:jc w:val="right"/>
              <w:spacing w:after="0"/>
              <w:rPr>
                <w:sz w:val="20"/>
                <w:szCs w:val="20"/>
                <w:color w:val="auto"/>
              </w:rPr>
            </w:pPr>
            <w:r>
              <w:rPr>
                <w:rFonts w:ascii="Arial" w:cs="Arial" w:eastAsia="Arial" w:hAnsi="Arial"/>
                <w:sz w:val="17"/>
                <w:szCs w:val="17"/>
                <w:color w:val="auto"/>
              </w:rPr>
              <w:t>6,786,605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34,951,016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ind w:left="320" w:right="140" w:hanging="315"/>
        <w:spacing w:after="0" w:line="257" w:lineRule="auto"/>
        <w:tabs>
          <w:tab w:leader="none" w:pos="3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Ari Brettman, M.D., a former member of our board of directors, and Nicholas Galakatos, Ph.D., a member of our board of directors, are a managing director and senior managing director, respectively, of Blackstone, an affiliate of Clarus and BSOF Parallel Master Fund L.P., or BSOF. Kiran Reddy, M.D., a member of our board of directors and our former president and chief executive officer, is a managing director of Blackstone, an affiliate of Clarus and BSOF.</w:t>
      </w:r>
    </w:p>
    <w:p>
      <w:pPr>
        <w:spacing w:after="0" w:line="1" w:lineRule="exact"/>
        <w:rPr>
          <w:rFonts w:ascii="Arial" w:cs="Arial" w:eastAsia="Arial" w:hAnsi="Arial"/>
          <w:sz w:val="17"/>
          <w:szCs w:val="17"/>
          <w:color w:val="auto"/>
        </w:rPr>
      </w:pPr>
    </w:p>
    <w:p>
      <w:pPr>
        <w:ind w:left="320" w:right="180" w:hanging="315"/>
        <w:spacing w:after="0" w:line="257" w:lineRule="auto"/>
        <w:tabs>
          <w:tab w:leader="none" w:pos="3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Thomas Dyrberg, M.D., a former member of our board of directors, is employed as a Managing Partner of Novo. Dr. Dyrberg is not deemed to hold any beneficial ownership or reportable pecuniary interest in the shares held by Novo.</w:t>
      </w:r>
    </w:p>
    <w:p>
      <w:pPr>
        <w:ind w:left="320" w:hanging="315"/>
        <w:spacing w:after="0"/>
        <w:tabs>
          <w:tab w:leader="none" w:pos="3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Stefan Vitorovic, a member of our board of directors, is a managing director of Vida Ventures, LLC.</w:t>
      </w:r>
    </w:p>
    <w:p>
      <w:pPr>
        <w:spacing w:after="0" w:line="14" w:lineRule="exact"/>
        <w:rPr>
          <w:rFonts w:ascii="Arial" w:cs="Arial" w:eastAsia="Arial" w:hAnsi="Arial"/>
          <w:sz w:val="17"/>
          <w:szCs w:val="17"/>
          <w:color w:val="auto"/>
        </w:rPr>
      </w:pPr>
    </w:p>
    <w:p>
      <w:pPr>
        <w:ind w:left="320" w:right="60" w:hanging="315"/>
        <w:spacing w:after="0" w:line="257" w:lineRule="auto"/>
        <w:tabs>
          <w:tab w:leader="none" w:pos="3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Mutual Fund Series Trust, On Behalf of Eventide Healthcare &amp; Life Sciences Fund, or Eventide Healthcare, and Mutual Fund Series Trust, On Behalf of Eventide Gilead Fund, or Eventide Gilead, together became a holder of five percent or more of our capital stock pursuant to our Series C Preferred Stock Financing.</w:t>
      </w:r>
    </w:p>
    <w:p>
      <w:pPr>
        <w:spacing w:after="0" w:line="1" w:lineRule="exact"/>
        <w:rPr>
          <w:rFonts w:ascii="Arial" w:cs="Arial" w:eastAsia="Arial" w:hAnsi="Arial"/>
          <w:sz w:val="17"/>
          <w:szCs w:val="17"/>
          <w:color w:val="auto"/>
        </w:rPr>
      </w:pPr>
    </w:p>
    <w:p>
      <w:pPr>
        <w:ind w:left="320" w:right="380" w:hanging="315"/>
        <w:spacing w:after="0" w:line="266" w:lineRule="auto"/>
        <w:tabs>
          <w:tab w:leader="none" w:pos="3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Purdue Neuroscience Company is no longer a holder of five percent or more of our capital stock as of December 2020. Paul Medeiros, a former member of our board of directors, served as a senior vice president of Purdue Pharma L.P., an affiliate of Purdue Neuroscience Company, and resigned in September 2020.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Repurchase</w:t>
      </w:r>
    </w:p>
    <w:p>
      <w:pPr>
        <w:spacing w:after="0" w:line="113"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In February 2020 and March 2020, we repurchased from certain holders of five percent or more of our capital stock an aggregate of 5,825,243 shares of our Series C preferred stock at a price of $5.15 per share, for an aggregate consideration of approximately $30.0 million, or the Series C Repurchase. The following table sets forth the aggregate number and purchase price of shares of our Series C preferred stock repurchased by us from related persons: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 Series C</w:t>
            </w:r>
          </w:p>
        </w:tc>
        <w:tc>
          <w:tcPr>
            <w:tcW w:w="1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31"/>
        </w:trPr>
        <w:tc>
          <w:tcPr>
            <w:tcW w:w="7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Holder</w:t>
            </w:r>
          </w:p>
        </w:tc>
        <w:tc>
          <w:tcPr>
            <w:tcW w:w="100" w:type="dxa"/>
            <w:vAlign w:val="bottom"/>
            <w:vMerge w:val="restart"/>
          </w:tcPr>
          <w:p>
            <w:pPr>
              <w:spacing w:after="0"/>
              <w:rPr>
                <w:sz w:val="11"/>
                <w:szCs w:val="11"/>
                <w:color w:val="auto"/>
              </w:rPr>
            </w:pPr>
          </w:p>
        </w:tc>
        <w:tc>
          <w:tcPr>
            <w:tcW w:w="20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9"/>
              </w:rPr>
              <w:t>Preferred</w:t>
            </w: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 Repurchased</w:t>
            </w: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Entities affiliated with RTW</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2,912,622</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15,000,003</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Entities affiliated with Venrock</w:t>
            </w:r>
          </w:p>
        </w:tc>
        <w:tc>
          <w:tcPr>
            <w:tcW w:w="19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2,912,621</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14,999,998</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5,825,243</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30,000,001</w:t>
            </w: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C-1 Preferred Stock Financing</w:t>
      </w:r>
    </w:p>
    <w:p>
      <w:pPr>
        <w:spacing w:after="0" w:line="244" w:lineRule="exact"/>
        <w:rPr>
          <w:sz w:val="20"/>
          <w:szCs w:val="20"/>
          <w:color w:val="auto"/>
        </w:rPr>
      </w:pPr>
    </w:p>
    <w:p>
      <w:pPr>
        <w:jc w:val="both"/>
        <w:ind w:right="380" w:firstLine="433"/>
        <w:spacing w:after="0" w:line="263" w:lineRule="auto"/>
        <w:rPr>
          <w:sz w:val="20"/>
          <w:szCs w:val="20"/>
          <w:color w:val="auto"/>
        </w:rPr>
      </w:pPr>
      <w:r>
        <w:rPr>
          <w:rFonts w:ascii="Arial" w:cs="Arial" w:eastAsia="Arial" w:hAnsi="Arial"/>
          <w:sz w:val="17"/>
          <w:szCs w:val="17"/>
          <w:color w:val="auto"/>
        </w:rPr>
        <w:t>From July to August 2020, we issued and sold to investors in a private placement an aggregate of 19,444,453 shares of our Series C-1 preferred stock at a price of $5.67 per share, for aggregate consideration of approximately $110.3 million, or our Series C-1 Preferred Stock Financing. The following table sets forth the aggregate number and purchase price of shares of our Series C-1 preferred stock purchased by related persons: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82"/>
        </w:trPr>
        <w:tc>
          <w:tcPr>
            <w:tcW w:w="7240" w:type="dxa"/>
            <w:vAlign w:val="bottom"/>
            <w:gridSpan w:val="2"/>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Shares of Series C-</w:t>
            </w:r>
          </w:p>
        </w:tc>
        <w:tc>
          <w:tcPr>
            <w:tcW w:w="1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31"/>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20" w:type="dxa"/>
            <w:vAlign w:val="bottom"/>
            <w:vMerge w:val="restart"/>
          </w:tcPr>
          <w:p>
            <w:pPr>
              <w:spacing w:after="0"/>
              <w:rPr>
                <w:sz w:val="11"/>
                <w:szCs w:val="11"/>
                <w:color w:val="auto"/>
              </w:rPr>
            </w:pPr>
          </w:p>
        </w:tc>
        <w:tc>
          <w:tcPr>
            <w:tcW w:w="20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rPr>
              <w:t>1 Preferred</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Purchased</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Entities affiliated with Blackstone </w:t>
            </w:r>
            <w:r>
              <w:rPr>
                <w:rFonts w:ascii="Arial" w:cs="Arial" w:eastAsia="Arial" w:hAnsi="Arial"/>
                <w:sz w:val="15"/>
                <w:szCs w:val="15"/>
                <w:color w:val="auto"/>
              </w:rPr>
              <w:t>(1)</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352,734</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2,000,002</w:t>
            </w:r>
          </w:p>
        </w:tc>
        <w:tc>
          <w:tcPr>
            <w:tcW w:w="0" w:type="dxa"/>
            <w:vAlign w:val="bottom"/>
          </w:tcPr>
          <w:p>
            <w:pPr>
              <w:spacing w:after="0"/>
              <w:rPr>
                <w:sz w:val="1"/>
                <w:szCs w:val="1"/>
                <w:color w:val="auto"/>
              </w:rPr>
            </w:pP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 xml:space="preserve">Novo Holdings A/S </w:t>
            </w:r>
            <w:r>
              <w:rPr>
                <w:rFonts w:ascii="Arial" w:cs="Arial" w:eastAsia="Arial" w:hAnsi="Arial"/>
                <w:sz w:val="15"/>
                <w:szCs w:val="15"/>
                <w:color w:val="auto"/>
              </w:rPr>
              <w:t>(2)</w:t>
            </w:r>
          </w:p>
        </w:tc>
        <w:tc>
          <w:tcPr>
            <w:tcW w:w="1920" w:type="dxa"/>
            <w:vAlign w:val="bottom"/>
          </w:tcPr>
          <w:p>
            <w:pPr>
              <w:jc w:val="right"/>
              <w:spacing w:after="0"/>
              <w:rPr>
                <w:sz w:val="20"/>
                <w:szCs w:val="20"/>
                <w:color w:val="auto"/>
              </w:rPr>
            </w:pPr>
            <w:r>
              <w:rPr>
                <w:rFonts w:ascii="Arial" w:cs="Arial" w:eastAsia="Arial" w:hAnsi="Arial"/>
                <w:sz w:val="17"/>
                <w:szCs w:val="17"/>
                <w:color w:val="auto"/>
              </w:rPr>
              <w:t>352,734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2,000,002</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Vida Ventures, LLC </w:t>
            </w:r>
            <w:r>
              <w:rPr>
                <w:rFonts w:ascii="Arial" w:cs="Arial" w:eastAsia="Arial" w:hAnsi="Arial"/>
                <w:sz w:val="15"/>
                <w:szCs w:val="15"/>
                <w:color w:val="auto"/>
              </w:rPr>
              <w:t>(3)</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881,835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5,000,004</w:t>
            </w:r>
          </w:p>
        </w:tc>
        <w:tc>
          <w:tcPr>
            <w:tcW w:w="0" w:type="dxa"/>
            <w:vAlign w:val="bottom"/>
          </w:tcPr>
          <w:p>
            <w:pPr>
              <w:spacing w:after="0"/>
              <w:rPr>
                <w:sz w:val="1"/>
                <w:szCs w:val="1"/>
                <w:color w:val="auto"/>
              </w:rPr>
            </w:pP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 xml:space="preserve">Entities affiliated with Eventide </w:t>
            </w:r>
            <w:r>
              <w:rPr>
                <w:rFonts w:ascii="Arial" w:cs="Arial" w:eastAsia="Arial" w:hAnsi="Arial"/>
                <w:sz w:val="15"/>
                <w:szCs w:val="15"/>
                <w:color w:val="auto"/>
              </w:rPr>
              <w:t>(4)</w:t>
            </w:r>
          </w:p>
        </w:tc>
        <w:tc>
          <w:tcPr>
            <w:tcW w:w="1920" w:type="dxa"/>
            <w:vAlign w:val="bottom"/>
          </w:tcPr>
          <w:p>
            <w:pPr>
              <w:jc w:val="right"/>
              <w:spacing w:after="0"/>
              <w:rPr>
                <w:sz w:val="20"/>
                <w:szCs w:val="20"/>
                <w:color w:val="auto"/>
              </w:rPr>
            </w:pPr>
            <w:r>
              <w:rPr>
                <w:rFonts w:ascii="Arial" w:cs="Arial" w:eastAsia="Arial" w:hAnsi="Arial"/>
                <w:sz w:val="17"/>
                <w:szCs w:val="17"/>
                <w:color w:val="auto"/>
              </w:rPr>
              <w:t>3,527,337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20,000,001</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Marcio Souza </w:t>
            </w:r>
            <w:r>
              <w:rPr>
                <w:rFonts w:ascii="Arial" w:cs="Arial" w:eastAsia="Arial" w:hAnsi="Arial"/>
                <w:sz w:val="15"/>
                <w:szCs w:val="15"/>
                <w:color w:val="auto"/>
              </w:rPr>
              <w:t>(5)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44,092</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250,002</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920" w:type="dxa"/>
            <w:vAlign w:val="bottom"/>
          </w:tcPr>
          <w:p>
            <w:pPr>
              <w:jc w:val="right"/>
              <w:spacing w:after="0"/>
              <w:rPr>
                <w:sz w:val="20"/>
                <w:szCs w:val="20"/>
                <w:color w:val="auto"/>
              </w:rPr>
            </w:pPr>
            <w:r>
              <w:rPr>
                <w:rFonts w:ascii="Arial" w:cs="Arial" w:eastAsia="Arial" w:hAnsi="Arial"/>
                <w:sz w:val="17"/>
                <w:szCs w:val="17"/>
                <w:color w:val="auto"/>
              </w:rPr>
              <w:t>5,158,732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29,250,011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ind w:left="320" w:right="160" w:hanging="315"/>
        <w:spacing w:after="0" w:line="257" w:lineRule="auto"/>
        <w:tabs>
          <w:tab w:leader="none" w:pos="3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Ari Brettman, M.D., a former member of our board of directors, and Nicholas Galakatos, Ph.D., a member of our board of directors, are a managing director and senior managing director, respectively, of Blackstone, an affiliate of Clarus and BSOF Parallel Master Fund L.P., or BSOF. Kiran Reddy, M.D. a member of our board of directors and our former president and chief executive officer, is a managing director of Blackstone, an affiliate of Clarus and BSOF.</w:t>
      </w:r>
    </w:p>
    <w:p>
      <w:pPr>
        <w:spacing w:after="0" w:line="1" w:lineRule="exact"/>
        <w:rPr>
          <w:rFonts w:ascii="Arial" w:cs="Arial" w:eastAsia="Arial" w:hAnsi="Arial"/>
          <w:sz w:val="17"/>
          <w:szCs w:val="17"/>
          <w:color w:val="auto"/>
        </w:rPr>
      </w:pPr>
    </w:p>
    <w:p>
      <w:pPr>
        <w:ind w:left="320" w:right="160" w:hanging="315"/>
        <w:spacing w:after="0" w:line="257" w:lineRule="auto"/>
        <w:tabs>
          <w:tab w:leader="none" w:pos="3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Thomas Dyrberg, M.D., a former member of our board of directors, is employed as a Managing Partner of Novo. Dr. Dyrberg is not deemed to hold any beneficial ownership or reportable pecuniary interest in the shares held by Novo.</w:t>
      </w:r>
    </w:p>
    <w:p>
      <w:pPr>
        <w:ind w:left="320" w:hanging="315"/>
        <w:spacing w:after="0"/>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Stefan Vitorovic, a member of our board of directors, is a managing director of Vida Ventures, LLC.</w:t>
      </w:r>
    </w:p>
    <w:p>
      <w:pPr>
        <w:spacing w:after="0" w:line="14" w:lineRule="exact"/>
        <w:rPr>
          <w:rFonts w:ascii="Arial" w:cs="Arial" w:eastAsia="Arial" w:hAnsi="Arial"/>
          <w:sz w:val="17"/>
          <w:szCs w:val="17"/>
          <w:color w:val="auto"/>
        </w:rPr>
      </w:pPr>
    </w:p>
    <w:p>
      <w:pPr>
        <w:ind w:left="320" w:right="240" w:hanging="315"/>
        <w:spacing w:after="0" w:line="257" w:lineRule="auto"/>
        <w:tabs>
          <w:tab w:leader="none" w:pos="3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Mutual Fund Series Trust, On Behalf of Eventide Healthcare &amp; Life Sciences Fund, or Eventide Healthcare, and Mutual Fund Series Trust, On Behalf of Eventide Gilead Fund, or Eventide Gilead, together hold five percent or more of our capital stock pursuant to our Series C-1 Preferred Stock Financing.</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Marcio Souza serves on our board of directors and is our President and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our Initial Public Offering</w:t>
      </w:r>
    </w:p>
    <w:p>
      <w:pPr>
        <w:spacing w:after="0" w:line="246" w:lineRule="exact"/>
        <w:rPr>
          <w:sz w:val="20"/>
          <w:szCs w:val="20"/>
          <w:color w:val="auto"/>
        </w:rPr>
      </w:pPr>
    </w:p>
    <w:p>
      <w:pPr>
        <w:ind w:right="280" w:firstLine="433"/>
        <w:spacing w:after="0" w:line="263" w:lineRule="auto"/>
        <w:rPr>
          <w:sz w:val="20"/>
          <w:szCs w:val="20"/>
          <w:color w:val="auto"/>
        </w:rPr>
      </w:pPr>
      <w:r>
        <w:rPr>
          <w:rFonts w:ascii="Arial" w:cs="Arial" w:eastAsia="Arial" w:hAnsi="Arial"/>
          <w:sz w:val="17"/>
          <w:szCs w:val="17"/>
          <w:color w:val="auto"/>
        </w:rPr>
        <w:t>Certain holders of 5% or more of our capital stock purchased shares of our common stock in our initial public offering at the initial public offering price. The underwriting discount for the shares sold to such stockholders in the initial public offering was the same as the underwriting discount for the shares sold to the public. The following table sets forth the number of shares of our common stock purchased by 5% stockholders and their affiliate and the aggregate purchase price paid for such shares.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20" w:type="dxa"/>
            <w:vAlign w:val="bottom"/>
            <w:vMerge w:val="restart"/>
          </w:tcPr>
          <w:p>
            <w:pPr>
              <w:spacing w:after="0"/>
              <w:rPr>
                <w:sz w:val="14"/>
                <w:szCs w:val="14"/>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of Common</w:t>
            </w:r>
          </w:p>
        </w:tc>
        <w:tc>
          <w:tcPr>
            <w:tcW w:w="1940" w:type="dxa"/>
            <w:vAlign w:val="bottom"/>
          </w:tcPr>
          <w:p>
            <w:pPr>
              <w:jc w:val="right"/>
              <w:ind w:right="220"/>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Stock Purchased</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Vida Ventures, LLC(1)</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4,750,000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Entities affiliated with Eventide(2)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5,700,000</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ind w:left="260" w:hanging="255"/>
        <w:spacing w:after="0"/>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Stefan Vitorovic, a member of our board of directors, is a managing director of Vida Ventures, LLC.</w:t>
      </w:r>
    </w:p>
    <w:p>
      <w:pPr>
        <w:spacing w:after="0" w:line="14" w:lineRule="exact"/>
        <w:rPr>
          <w:rFonts w:ascii="Arial" w:cs="Arial" w:eastAsia="Arial" w:hAnsi="Arial"/>
          <w:sz w:val="17"/>
          <w:szCs w:val="17"/>
          <w:color w:val="auto"/>
        </w:rPr>
      </w:pPr>
    </w:p>
    <w:p>
      <w:pPr>
        <w:ind w:left="400" w:hanging="395"/>
        <w:spacing w:after="0" w:line="275" w:lineRule="auto"/>
        <w:tabs>
          <w:tab w:leader="none" w:pos="2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Mutual Fund Series Trust, On Behalf of Eventide Healthcare &amp; Life Sciences Fund, or Eventide Healthcare, and Mutual Fund Series Trust, On Behalf of Eventide Gilead Fund, or Eventide Gilead, together hold five percent or more of our capital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Stockholders</w:t>
      </w:r>
    </w:p>
    <w:p>
      <w:pPr>
        <w:spacing w:after="0" w:line="10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connection with our Series A preferred stock financing, our Series B preferred stock financing, our Series B-1 preferred stock financing, our Series C preferred stock financing and our Series C-1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All of the material provisions of these agreements terminated immediately prior to the completion of our initial public offering, other than the provisions relating to registration rights, which continued in effect following the completion of our initial public offering and entitle the holders of such rights to have us register their shares of our common stock for sale in the United States.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Agreements with Related Parties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Purdue</w:t>
      </w:r>
    </w:p>
    <w:p>
      <w:pPr>
        <w:spacing w:after="0" w:line="10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 December 2017, we and Purdue Neuroscience Company, or Purdue, a former holder of five percent or more of our capital stock, entered into a license agreement, described in the section of this Annual Report on Form 10-K captioned “Business—License Agreements.” Paul Medeiros, a former member of our board of directors, served as a senior vice president of Purdue Pharma L.P., an affiliate of Purdue Neuroscience Company, and resigned in September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w:t>
      </w:r>
    </w:p>
    <w:p>
      <w:pPr>
        <w:spacing w:after="0" w:line="113" w:lineRule="exact"/>
        <w:rPr>
          <w:sz w:val="20"/>
          <w:szCs w:val="20"/>
          <w:color w:val="auto"/>
        </w:rPr>
      </w:pPr>
    </w:p>
    <w:p>
      <w:pPr>
        <w:jc w:val="both"/>
        <w:ind w:right="500" w:firstLine="433"/>
        <w:spacing w:after="0" w:line="266" w:lineRule="auto"/>
        <w:rPr>
          <w:sz w:val="20"/>
          <w:szCs w:val="20"/>
          <w:color w:val="auto"/>
        </w:rPr>
      </w:pPr>
      <w:r>
        <w:rPr>
          <w:rFonts w:ascii="Arial" w:cs="Arial" w:eastAsia="Arial" w:hAnsi="Arial"/>
          <w:sz w:val="17"/>
          <w:szCs w:val="17"/>
          <w:color w:val="auto"/>
        </w:rPr>
        <w:t>In December 2018, we entered into an agreement with RogCon Inc., or RogCon, pursuant to which we agreed to advance RogCon a deposit of up to $1.0 million related to the cooperation and license agreement described below. The amounts funded to RogCon under this agreement were applied towards the purchase price of the license agreement with RogCon described below.</w:t>
      </w:r>
    </w:p>
    <w:p>
      <w:pPr>
        <w:spacing w:after="0" w:line="189"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In September 2019, we entered into a cooperation and license agreement with RogCon, described in the section of this Annual Report on Form 10-K captioned “Business—License Agreements.”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Alex Nemiroff, our General Counsel and Secretary, is a co-founder and chief executive officer of RogCon.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Arrangements</w:t>
      </w:r>
    </w:p>
    <w:p>
      <w:pPr>
        <w:spacing w:after="0" w:line="102"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In March 2020, we reimbursed an affiliate of Blackstone approximately $164,000 in third-party expenses related to the recruitment of our 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02"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for Approval of Related Party Transactions</w:t>
      </w:r>
    </w:p>
    <w:p>
      <w:pPr>
        <w:spacing w:after="0" w:line="115"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Prior to our initial public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In connection with our initial public offering, we adopted a formal written policy that our executive officers, directors, holders of more than five percent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holders of more than 5% of any class of our voting securities, or any of their immediate family members or affiliates, in which the amount involved exceeds $120,000 must first be presented to our audit committee for review, consideration and approval. In approving or rejecting any such proposal, our audit committee considers the relevant facts and circumstances available and deemed relevant to our audit committee, including, but not limited to, whether the transaction will be on terms no less favorable than terms generally available to an unaffiliated third party under the same or similar circumstances and the extent of the related party’s interest in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The Nasdaq Stock Market LLC, or Nasdaq, Marketplace Rules, or the Nasdaq Listing Rules, require a majority of a listed company’s board of directors to be comprised of independent directors within one year of listing. In addition, the Nasdaq Listing Rules require that, subject to specified exceptions and phase in periods following the initial public offering,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9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200" w:lineRule="exact"/>
        <w:rPr>
          <w:sz w:val="20"/>
          <w:szCs w:val="20"/>
          <w:color w:val="auto"/>
        </w:rPr>
      </w:pPr>
    </w:p>
    <w:p>
      <w:pPr>
        <w:spacing w:after="0" w:line="204"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connection with our initial public offering,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Marcio Souza and Kiran Reddy, is an “independent director” as defined under the Nasdaq Listing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common stock by each non-employee director.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351" w:lineRule="exact"/>
        <w:rPr>
          <w:sz w:val="20"/>
          <w:szCs w:val="20"/>
          <w:color w:val="auto"/>
        </w:rPr>
      </w:pPr>
    </w:p>
    <w:p>
      <w:pPr>
        <w:jc w:val="both"/>
        <w:ind w:right="40" w:firstLine="433"/>
        <w:spacing w:after="0" w:line="266" w:lineRule="auto"/>
        <w:rPr>
          <w:sz w:val="20"/>
          <w:szCs w:val="20"/>
          <w:color w:val="auto"/>
        </w:rPr>
      </w:pPr>
      <w:r>
        <w:rPr>
          <w:rFonts w:ascii="Arial" w:cs="Arial" w:eastAsia="Arial" w:hAnsi="Arial"/>
          <w:sz w:val="17"/>
          <w:szCs w:val="17"/>
          <w:color w:val="auto"/>
        </w:rPr>
        <w:t>The Audit Committee has selected Ernst &amp; Young LLP as our independent registered public accounting firm for the years ended December 31, 2020 and 2019. In addition to retaining Ernst &amp; Young LLP to audit our consolidated financial statements for years ended December 31, 2020 and 2019, we may engage the firm from time to time during the year to perform other services.</w:t>
      </w:r>
    </w:p>
    <w:p>
      <w:pPr>
        <w:spacing w:after="0" w:line="32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For the Year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0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2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2019</w:t>
            </w: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Audit fees(1)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$1,297,000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$206,000</w:t>
            </w: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Audit-related fees(2)</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fees(3)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fees(4)</w:t>
            </w: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fees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$1,311,000</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r>
    </w:tbl>
    <w:p>
      <w:pPr>
        <w:spacing w:after="0" w:line="386" w:lineRule="exact"/>
        <w:rPr>
          <w:sz w:val="20"/>
          <w:szCs w:val="20"/>
          <w:color w:val="auto"/>
        </w:rPr>
      </w:pPr>
    </w:p>
    <w:p>
      <w:pPr>
        <w:ind w:left="240" w:right="100" w:hanging="235"/>
        <w:spacing w:after="0" w:line="271" w:lineRule="auto"/>
        <w:tabs>
          <w:tab w:leader="none" w:pos="266"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 of fees for professional services rendered in connection with the audit of our annual consolidated financial statements,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the interim consolidated financial statements included in quarterly reports, services rendered in connection with the our initial public offering, and services that are normally provided by Ernst &amp; Young LLP, such as comfort letters, in connection with statutory and regulatory filings or engagements.</w:t>
      </w:r>
    </w:p>
    <w:p>
      <w:pPr>
        <w:spacing w:after="0" w:line="21" w:lineRule="exact"/>
        <w:rPr>
          <w:rFonts w:ascii="Arial" w:cs="Arial" w:eastAsia="Arial" w:hAnsi="Arial"/>
          <w:sz w:val="17"/>
          <w:szCs w:val="17"/>
          <w:color w:val="auto"/>
        </w:rPr>
      </w:pPr>
    </w:p>
    <w:p>
      <w:pPr>
        <w:ind w:left="260" w:hanging="255"/>
        <w:spacing w:after="0"/>
        <w:tabs>
          <w:tab w:leader="none" w:pos="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There were no </w:t>
      </w:r>
      <w:r>
        <w:rPr>
          <w:rFonts w:ascii="Arial" w:cs="Arial" w:eastAsia="Arial" w:hAnsi="Arial"/>
          <w:sz w:val="17"/>
          <w:szCs w:val="17"/>
          <w:b w:val="1"/>
          <w:bCs w:val="1"/>
          <w:i w:val="1"/>
          <w:iCs w:val="1"/>
          <w:color w:val="auto"/>
        </w:rPr>
        <w:t>audit-related fees</w:t>
      </w:r>
      <w:r>
        <w:rPr>
          <w:rFonts w:ascii="Arial" w:cs="Arial" w:eastAsia="Arial" w:hAnsi="Arial"/>
          <w:sz w:val="17"/>
          <w:szCs w:val="17"/>
          <w:color w:val="auto"/>
        </w:rPr>
        <w:t xml:space="preserve"> billed in 2020 or 2019.</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hanging="255"/>
        <w:spacing w:after="0"/>
        <w:tabs>
          <w:tab w:leader="none" w:pos="2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 of fees for professional services rendered for tax return preparation and tax advisory services.</w:t>
      </w:r>
    </w:p>
    <w:p>
      <w:pPr>
        <w:spacing w:after="0" w:line="93" w:lineRule="exact"/>
        <w:rPr>
          <w:rFonts w:ascii="Arial" w:cs="Arial" w:eastAsia="Arial" w:hAnsi="Arial"/>
          <w:sz w:val="17"/>
          <w:szCs w:val="17"/>
          <w:color w:val="auto"/>
        </w:rPr>
      </w:pPr>
    </w:p>
    <w:p>
      <w:pPr>
        <w:ind w:left="260" w:hanging="255"/>
        <w:spacing w:after="0"/>
        <w:tabs>
          <w:tab w:leader="none" w:pos="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There were no </w:t>
      </w:r>
      <w:r>
        <w:rPr>
          <w:rFonts w:ascii="Arial" w:cs="Arial" w:eastAsia="Arial" w:hAnsi="Arial"/>
          <w:sz w:val="17"/>
          <w:szCs w:val="17"/>
          <w:b w:val="1"/>
          <w:bCs w:val="1"/>
          <w:i w:val="1"/>
          <w:iCs w:val="1"/>
          <w:color w:val="auto"/>
        </w:rPr>
        <w:t>other fees</w:t>
      </w:r>
      <w:r>
        <w:rPr>
          <w:rFonts w:ascii="Arial" w:cs="Arial" w:eastAsia="Arial" w:hAnsi="Arial"/>
          <w:sz w:val="17"/>
          <w:szCs w:val="17"/>
          <w:color w:val="auto"/>
        </w:rPr>
        <w:t xml:space="preserve"> billed in 2020 or 2019.</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 and Procedures</w:t>
      </w:r>
    </w:p>
    <w:p>
      <w:pPr>
        <w:spacing w:after="0" w:line="11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Audit Committee has adopted a policy requiring pre-approval of all audit and non-audit related services to be performed by our independent auditor regardless of amount. These services may include audit services, audit-related services, tax services and other related services. Ernst &amp; Young LLP and management are required to periodically report to the Audit Committee regarding the extent of services provided by Ernst &amp; Young LLP in accordance with this pre-approval and the fees for the services performed to date. The Audit Committee may also pre-approve particular services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Financial Statements</w:t>
      </w:r>
    </w:p>
    <w:p>
      <w:pPr>
        <w:spacing w:after="0" w:line="347"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For a list of the financial statements included herein, see Index to the Consolidated Financial Statements on page 139 of this Annual Report on Form 10-K, incorporated into this Item by reference.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 Financial Statement Schedules</w:t>
      </w:r>
    </w:p>
    <w:p>
      <w:pPr>
        <w:spacing w:after="0" w:line="347"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 Exhibits</w:t>
      </w:r>
    </w:p>
    <w:p>
      <w:pPr>
        <w:spacing w:after="0" w:line="347" w:lineRule="exact"/>
        <w:rPr>
          <w:sz w:val="20"/>
          <w:szCs w:val="20"/>
          <w:color w:val="auto"/>
        </w:rPr>
      </w:pPr>
    </w:p>
    <w:p>
      <w:pPr>
        <w:jc w:val="both"/>
        <w:ind w:right="500" w:firstLine="433"/>
        <w:spacing w:after="0" w:line="266" w:lineRule="auto"/>
        <w:rPr>
          <w:sz w:val="20"/>
          <w:szCs w:val="20"/>
          <w:color w:val="auto"/>
        </w:rPr>
      </w:pPr>
      <w:r>
        <w:rPr>
          <w:rFonts w:ascii="Arial" w:cs="Arial" w:eastAsia="Arial" w:hAnsi="Arial"/>
          <w:sz w:val="17"/>
          <w:szCs w:val="17"/>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3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60" w:type="dxa"/>
            <w:vAlign w:val="bottom"/>
            <w:gridSpan w:val="28"/>
          </w:tcPr>
          <w:p>
            <w:pPr>
              <w:ind w:left="23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59"/>
        </w:trPr>
        <w:tc>
          <w:tcPr>
            <w:tcW w:w="1220" w:type="dxa"/>
            <w:vAlign w:val="bottom"/>
          </w:tcPr>
          <w:p>
            <w:pPr>
              <w:spacing w:after="0"/>
              <w:rPr>
                <w:sz w:val="24"/>
                <w:szCs w:val="24"/>
                <w:color w:val="auto"/>
              </w:rPr>
            </w:pPr>
          </w:p>
        </w:tc>
        <w:tc>
          <w:tcPr>
            <w:tcW w:w="7960" w:type="dxa"/>
            <w:vAlign w:val="bottom"/>
            <w:tcBorders>
              <w:bottom w:val="single" w:sz="8" w:color="0000FF"/>
            </w:tcBorders>
            <w:gridSpan w:val="11"/>
          </w:tcPr>
          <w:p>
            <w:pPr>
              <w:spacing w:after="0"/>
              <w:rPr>
                <w:rFonts w:ascii="Arial" w:cs="Arial" w:eastAsia="Arial" w:hAnsi="Arial"/>
                <w:sz w:val="17"/>
                <w:szCs w:val="17"/>
                <w:color w:val="0000FF"/>
              </w:rPr>
            </w:pPr>
            <w:hyperlink r:id="rId260">
              <w:r>
                <w:rPr>
                  <w:rFonts w:ascii="Arial" w:cs="Arial" w:eastAsia="Arial" w:hAnsi="Arial"/>
                  <w:sz w:val="17"/>
                  <w:szCs w:val="17"/>
                  <w:color w:val="0000FF"/>
                </w:rPr>
                <w:t>Amended and Restated Certificate of Incorporation of Praxis Precision Medicines, Inc. (incorporated by</w:t>
              </w:r>
            </w:hyperlink>
          </w:p>
        </w:tc>
        <w:tc>
          <w:tcPr>
            <w:tcW w:w="20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3.1</w:t>
            </w:r>
          </w:p>
        </w:tc>
        <w:tc>
          <w:tcPr>
            <w:tcW w:w="10020" w:type="dxa"/>
            <w:vAlign w:val="bottom"/>
            <w:gridSpan w:val="32"/>
          </w:tcPr>
          <w:p>
            <w:pPr>
              <w:spacing w:after="0" w:line="150" w:lineRule="exact"/>
              <w:rPr>
                <w:rFonts w:ascii="Arial" w:cs="Arial" w:eastAsia="Arial" w:hAnsi="Arial"/>
                <w:sz w:val="17"/>
                <w:szCs w:val="17"/>
                <w:color w:val="0000FF"/>
              </w:rPr>
            </w:pPr>
            <w:hyperlink r:id="rId260">
              <w:r>
                <w:rPr>
                  <w:rFonts w:ascii="Arial" w:cs="Arial" w:eastAsia="Arial" w:hAnsi="Arial"/>
                  <w:sz w:val="17"/>
                  <w:szCs w:val="17"/>
                  <w:color w:val="0000FF"/>
                </w:rPr>
                <w:t>reference to Exhibit 3.1 to the Registrant's Current Report on Form 8-K (File No. 001-39620) filed on October</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r:id="rId260">
              <w:r>
                <w:rPr>
                  <w:rFonts w:ascii="Arial" w:cs="Arial" w:eastAsia="Arial" w:hAnsi="Arial"/>
                  <w:sz w:val="17"/>
                  <w:szCs w:val="17"/>
                  <w:color w:val="0000FF"/>
                </w:rPr>
                <w:t>20, 2020)</w:t>
              </w:r>
            </w:hyperlink>
          </w:p>
        </w:tc>
        <w:tc>
          <w:tcPr>
            <w:tcW w:w="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0020" w:type="dxa"/>
            <w:vAlign w:val="bottom"/>
            <w:gridSpan w:val="32"/>
          </w:tcPr>
          <w:p>
            <w:pPr>
              <w:spacing w:after="0"/>
              <w:rPr>
                <w:rFonts w:ascii="Arial" w:cs="Arial" w:eastAsia="Arial" w:hAnsi="Arial"/>
                <w:sz w:val="17"/>
                <w:szCs w:val="17"/>
                <w:color w:val="0000FF"/>
              </w:rPr>
            </w:pPr>
            <w:hyperlink r:id="rId261">
              <w:r>
                <w:rPr>
                  <w:rFonts w:ascii="Arial" w:cs="Arial" w:eastAsia="Arial" w:hAnsi="Arial"/>
                  <w:sz w:val="17"/>
                  <w:szCs w:val="17"/>
                  <w:color w:val="0000FF"/>
                </w:rPr>
                <w:t>Amended and Restated Bylaws of Praxis Precision Medicines, Inc. (incorporated by reference to Exhibit 3.2 to</w:t>
              </w:r>
            </w:hyperlink>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8540" w:type="dxa"/>
            <w:vAlign w:val="bottom"/>
            <w:tcBorders>
              <w:top w:val="single" w:sz="8" w:color="0000FF"/>
            </w:tcBorders>
            <w:gridSpan w:val="29"/>
          </w:tcPr>
          <w:p>
            <w:pPr>
              <w:spacing w:after="0"/>
              <w:rPr>
                <w:rFonts w:ascii="Arial" w:cs="Arial" w:eastAsia="Arial" w:hAnsi="Arial"/>
                <w:sz w:val="17"/>
                <w:szCs w:val="17"/>
                <w:u w:val="single" w:color="auto"/>
                <w:color w:val="0000FF"/>
              </w:rPr>
            </w:pPr>
            <w:hyperlink r:id="rId261">
              <w:r>
                <w:rPr>
                  <w:rFonts w:ascii="Arial" w:cs="Arial" w:eastAsia="Arial" w:hAnsi="Arial"/>
                  <w:sz w:val="17"/>
                  <w:szCs w:val="17"/>
                  <w:u w:val="single" w:color="auto"/>
                  <w:color w:val="0000FF"/>
                </w:rPr>
                <w:t>the Registrant's Current Report on Form 8-K (File No. 001-39620) filed on October 20,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20" w:type="dxa"/>
            <w:vAlign w:val="bottom"/>
            <w:gridSpan w:val="32"/>
          </w:tcPr>
          <w:p>
            <w:pPr>
              <w:spacing w:after="0" w:line="172" w:lineRule="exact"/>
              <w:rPr>
                <w:rFonts w:ascii="Arial" w:cs="Arial" w:eastAsia="Arial" w:hAnsi="Arial"/>
                <w:sz w:val="17"/>
                <w:szCs w:val="17"/>
                <w:color w:val="0000FF"/>
              </w:rPr>
            </w:pPr>
            <w:hyperlink r:id="rId262">
              <w:r>
                <w:rPr>
                  <w:rFonts w:ascii="Arial" w:cs="Arial" w:eastAsia="Arial" w:hAnsi="Arial"/>
                  <w:sz w:val="17"/>
                  <w:szCs w:val="17"/>
                  <w:color w:val="0000FF"/>
                </w:rPr>
                <w:t>Specimen Stock Certificate Evidencing the Shares of Common Stock (incorporated by reference to Exhibit 4.1</w:t>
              </w:r>
            </w:hyperlink>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8500" w:type="dxa"/>
            <w:vAlign w:val="bottom"/>
            <w:tcBorders>
              <w:top w:val="single" w:sz="8" w:color="0000FF"/>
            </w:tcBorders>
            <w:gridSpan w:val="27"/>
          </w:tcPr>
          <w:p>
            <w:pPr>
              <w:spacing w:after="0"/>
              <w:rPr>
                <w:rFonts w:ascii="Arial" w:cs="Arial" w:eastAsia="Arial" w:hAnsi="Arial"/>
                <w:sz w:val="17"/>
                <w:szCs w:val="17"/>
                <w:u w:val="single" w:color="auto"/>
                <w:color w:val="0000FF"/>
              </w:rPr>
            </w:pPr>
            <w:hyperlink r:id="rId262">
              <w:r>
                <w:rPr>
                  <w:rFonts w:ascii="Arial" w:cs="Arial" w:eastAsia="Arial" w:hAnsi="Arial"/>
                  <w:sz w:val="17"/>
                  <w:szCs w:val="17"/>
                  <w:u w:val="single" w:color="auto"/>
                  <w:color w:val="0000FF"/>
                </w:rPr>
                <w:t>to the Registrant's Registration Statement on Form S-1/A (File No. 333-249074) filed on October 9, 2020)</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20" w:type="dxa"/>
            <w:vAlign w:val="bottom"/>
            <w:gridSpan w:val="32"/>
          </w:tcPr>
          <w:p>
            <w:pPr>
              <w:spacing w:after="0" w:line="172" w:lineRule="exact"/>
              <w:rPr>
                <w:rFonts w:ascii="Arial" w:cs="Arial" w:eastAsia="Arial" w:hAnsi="Arial"/>
                <w:sz w:val="17"/>
                <w:szCs w:val="17"/>
                <w:color w:val="0000FF"/>
              </w:rPr>
            </w:pPr>
            <w:hyperlink r:id="rId263">
              <w:r>
                <w:rPr>
                  <w:rFonts w:ascii="Arial" w:cs="Arial" w:eastAsia="Arial" w:hAnsi="Arial"/>
                  <w:sz w:val="17"/>
                  <w:szCs w:val="17"/>
                  <w:color w:val="0000FF"/>
                </w:rPr>
                <w:t>Fourth Amended and Restated Investors’ Rights Agreement among Praxis Precision Medicines, Inc. and</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806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r:id="rId263">
              <w:r>
                <w:rPr>
                  <w:rFonts w:ascii="Arial" w:cs="Arial" w:eastAsia="Arial" w:hAnsi="Arial"/>
                  <w:sz w:val="17"/>
                  <w:szCs w:val="17"/>
                  <w:color w:val="0000FF"/>
                </w:rPr>
                <w:t>certain of its stockholders, effective as of July 24, 2020 (incorporated by reference to Exhibit 4.2 to the</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7880" w:type="dxa"/>
            <w:vAlign w:val="bottom"/>
            <w:tcBorders>
              <w:top w:val="single" w:sz="8" w:color="0000FF"/>
            </w:tcBorders>
            <w:gridSpan w:val="9"/>
          </w:tcPr>
          <w:p>
            <w:pPr>
              <w:spacing w:after="0"/>
              <w:rPr>
                <w:rFonts w:ascii="Arial" w:cs="Arial" w:eastAsia="Arial" w:hAnsi="Arial"/>
                <w:sz w:val="17"/>
                <w:szCs w:val="17"/>
                <w:u w:val="single" w:color="auto"/>
                <w:color w:val="0000FF"/>
              </w:rPr>
            </w:pPr>
            <w:hyperlink r:id="rId263">
              <w:r>
                <w:rPr>
                  <w:rFonts w:ascii="Arial" w:cs="Arial" w:eastAsia="Arial" w:hAnsi="Arial"/>
                  <w:sz w:val="17"/>
                  <w:szCs w:val="17"/>
                  <w:u w:val="single" w:color="auto"/>
                  <w:color w:val="0000FF"/>
                </w:rPr>
                <w:t>Registrant's Registration Statement on Form S-1 (File No. 333-249074) filed on September 25, 2020)</w:t>
              </w:r>
            </w:hyperlink>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7"/>
                <w:szCs w:val="17"/>
                <w:color w:val="auto"/>
              </w:rPr>
              <w:t>4.3*</w:t>
            </w:r>
          </w:p>
        </w:tc>
        <w:tc>
          <w:tcPr>
            <w:tcW w:w="10020" w:type="dxa"/>
            <w:vAlign w:val="bottom"/>
            <w:gridSpan w:val="32"/>
          </w:tcPr>
          <w:p>
            <w:pPr>
              <w:spacing w:after="0"/>
              <w:rPr>
                <w:rFonts w:ascii="Arial" w:cs="Arial" w:eastAsia="Arial" w:hAnsi="Arial"/>
                <w:sz w:val="17"/>
                <w:szCs w:val="17"/>
                <w:u w:val="single" w:color="auto"/>
                <w:color w:val="0000FF"/>
              </w:rPr>
            </w:pPr>
            <w:hyperlink w:anchor="page203">
              <w:r>
                <w:rPr>
                  <w:rFonts w:ascii="Arial" w:cs="Arial" w:eastAsia="Arial" w:hAnsi="Arial"/>
                  <w:sz w:val="17"/>
                  <w:szCs w:val="17"/>
                  <w:u w:val="single" w:color="auto"/>
                  <w:color w:val="0000FF"/>
                </w:rPr>
                <w:t>Description of Securities of Praxis Precision Medicines, Inc.</w:t>
              </w:r>
            </w:hyperlink>
          </w:p>
        </w:tc>
        <w:tc>
          <w:tcPr>
            <w:tcW w:w="0" w:type="dxa"/>
            <w:vAlign w:val="bottom"/>
          </w:tcPr>
          <w:p>
            <w:pPr>
              <w:spacing w:after="0"/>
              <w:rPr>
                <w:sz w:val="1"/>
                <w:szCs w:val="1"/>
                <w:color w:val="auto"/>
              </w:rPr>
            </w:pPr>
          </w:p>
        </w:tc>
      </w:tr>
      <w:tr>
        <w:trPr>
          <w:trHeight w:val="184"/>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10020" w:type="dxa"/>
            <w:vAlign w:val="bottom"/>
            <w:gridSpan w:val="32"/>
          </w:tcPr>
          <w:p>
            <w:pPr>
              <w:spacing w:after="0" w:line="184" w:lineRule="exact"/>
              <w:rPr>
                <w:rFonts w:ascii="Arial" w:cs="Arial" w:eastAsia="Arial" w:hAnsi="Arial"/>
                <w:sz w:val="17"/>
                <w:szCs w:val="17"/>
                <w:color w:val="0000FF"/>
              </w:rPr>
            </w:pPr>
            <w:hyperlink r:id="rId264">
              <w:r>
                <w:rPr>
                  <w:rFonts w:ascii="Arial" w:cs="Arial" w:eastAsia="Arial" w:hAnsi="Arial"/>
                  <w:sz w:val="17"/>
                  <w:szCs w:val="17"/>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8200" w:type="dxa"/>
            <w:vAlign w:val="bottom"/>
            <w:tcBorders>
              <w:top w:val="single" w:sz="8" w:color="0000FF"/>
            </w:tcBorders>
            <w:gridSpan w:val="15"/>
          </w:tcPr>
          <w:p>
            <w:pPr>
              <w:spacing w:after="0"/>
              <w:rPr>
                <w:rFonts w:ascii="Arial" w:cs="Arial" w:eastAsia="Arial" w:hAnsi="Arial"/>
                <w:sz w:val="17"/>
                <w:szCs w:val="17"/>
                <w:u w:val="single" w:color="auto"/>
                <w:color w:val="0000FF"/>
              </w:rPr>
            </w:pPr>
            <w:hyperlink r:id="rId264">
              <w:r>
                <w:rPr>
                  <w:rFonts w:ascii="Arial" w:cs="Arial" w:eastAsia="Arial" w:hAnsi="Arial"/>
                  <w:sz w:val="17"/>
                  <w:szCs w:val="17"/>
                  <w:u w:val="single" w:color="auto"/>
                  <w:color w:val="0000FF"/>
                </w:rPr>
                <w:t>Registrant's Registration Statement on Form S-1/A (File No. 333-249074) filed on October 9, 2020)</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10020" w:type="dxa"/>
            <w:vAlign w:val="bottom"/>
            <w:gridSpan w:val="32"/>
          </w:tcPr>
          <w:p>
            <w:pPr>
              <w:spacing w:after="0" w:line="172" w:lineRule="exact"/>
              <w:rPr>
                <w:rFonts w:ascii="Arial" w:cs="Arial" w:eastAsia="Arial" w:hAnsi="Arial"/>
                <w:sz w:val="17"/>
                <w:szCs w:val="17"/>
                <w:color w:val="0000FF"/>
              </w:rPr>
            </w:pPr>
            <w:hyperlink r:id="rId265">
              <w:r>
                <w:rPr>
                  <w:rFonts w:ascii="Arial" w:cs="Arial" w:eastAsia="Arial" w:hAnsi="Arial"/>
                  <w:sz w:val="17"/>
                  <w:szCs w:val="17"/>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8000" w:type="dxa"/>
            <w:vAlign w:val="bottom"/>
            <w:tcBorders>
              <w:top w:val="single" w:sz="8" w:color="0000FF"/>
            </w:tcBorders>
            <w:gridSpan w:val="12"/>
          </w:tcPr>
          <w:p>
            <w:pPr>
              <w:spacing w:after="0"/>
              <w:rPr>
                <w:rFonts w:ascii="Arial" w:cs="Arial" w:eastAsia="Arial" w:hAnsi="Arial"/>
                <w:sz w:val="17"/>
                <w:szCs w:val="17"/>
                <w:u w:val="single" w:color="auto"/>
                <w:color w:val="0000FF"/>
              </w:rPr>
            </w:pPr>
            <w:hyperlink r:id="rId265">
              <w:r>
                <w:rPr>
                  <w:rFonts w:ascii="Arial" w:cs="Arial" w:eastAsia="Arial" w:hAnsi="Arial"/>
                  <w:sz w:val="17"/>
                  <w:szCs w:val="17"/>
                  <w:u w:val="single" w:color="auto"/>
                  <w:color w:val="0000FF"/>
                </w:rPr>
                <w:t>Registration Statement on Form S-1 (File No. 333-249074) filed on September 25, 2020)</w:t>
              </w:r>
            </w:hyperlink>
          </w:p>
        </w:tc>
        <w:tc>
          <w:tcPr>
            <w:tcW w:w="1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10020" w:type="dxa"/>
            <w:vAlign w:val="bottom"/>
            <w:gridSpan w:val="32"/>
          </w:tcPr>
          <w:p>
            <w:pPr>
              <w:spacing w:after="0" w:line="172" w:lineRule="exact"/>
              <w:rPr>
                <w:rFonts w:ascii="Arial" w:cs="Arial" w:eastAsia="Arial" w:hAnsi="Arial"/>
                <w:sz w:val="17"/>
                <w:szCs w:val="17"/>
                <w:color w:val="0000FF"/>
              </w:rPr>
            </w:pPr>
            <w:hyperlink w:anchor="page207">
              <w:r>
                <w:rPr>
                  <w:rFonts w:ascii="Arial" w:cs="Arial" w:eastAsia="Arial" w:hAnsi="Arial"/>
                  <w:sz w:val="17"/>
                  <w:szCs w:val="17"/>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06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w:anchor="page207">
              <w:r>
                <w:rPr>
                  <w:rFonts w:ascii="Arial" w:cs="Arial" w:eastAsia="Arial" w:hAnsi="Arial"/>
                  <w:sz w:val="17"/>
                  <w:szCs w:val="17"/>
                  <w:color w:val="0000FF"/>
                </w:rPr>
                <w:t>thereunder</w:t>
              </w:r>
            </w:hyperlink>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8320" w:type="dxa"/>
            <w:vAlign w:val="bottom"/>
            <w:tcBorders>
              <w:bottom w:val="single" w:sz="8" w:color="0000FF"/>
            </w:tcBorders>
            <w:gridSpan w:val="20"/>
          </w:tcPr>
          <w:p>
            <w:pPr>
              <w:spacing w:after="0"/>
              <w:rPr>
                <w:rFonts w:ascii="Arial" w:cs="Arial" w:eastAsia="Arial" w:hAnsi="Arial"/>
                <w:sz w:val="17"/>
                <w:szCs w:val="17"/>
                <w:color w:val="0000FF"/>
              </w:rPr>
            </w:pPr>
            <w:hyperlink r:id="rId266">
              <w:r>
                <w:rPr>
                  <w:rFonts w:ascii="Arial" w:cs="Arial" w:eastAsia="Arial" w:hAnsi="Arial"/>
                  <w:sz w:val="17"/>
                  <w:szCs w:val="17"/>
                  <w:color w:val="0000FF"/>
                </w:rPr>
                <w:t>Praxis Precision Medicines, Inc. 2020 Stock Option and Incentive Plan (incorporated by reference to Exhibit</w:t>
              </w:r>
            </w:hyperlink>
          </w:p>
        </w:tc>
        <w:tc>
          <w:tcPr>
            <w:tcW w:w="1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10020" w:type="dxa"/>
            <w:vAlign w:val="bottom"/>
            <w:gridSpan w:val="32"/>
          </w:tcPr>
          <w:p>
            <w:pPr>
              <w:spacing w:after="0"/>
              <w:rPr>
                <w:rFonts w:ascii="Arial" w:cs="Arial" w:eastAsia="Arial" w:hAnsi="Arial"/>
                <w:sz w:val="17"/>
                <w:szCs w:val="17"/>
                <w:u w:val="single" w:color="auto"/>
                <w:color w:val="0000FF"/>
              </w:rPr>
            </w:pPr>
            <w:hyperlink r:id="rId266">
              <w:r>
                <w:rPr>
                  <w:rFonts w:ascii="Arial" w:cs="Arial" w:eastAsia="Arial" w:hAnsi="Arial"/>
                  <w:sz w:val="17"/>
                  <w:szCs w:val="17"/>
                  <w:u w:val="single" w:color="auto"/>
                  <w:color w:val="0000FF"/>
                </w:rPr>
                <w:t>10.4 to the Registrant's Registration Statement on Form S-1/A (File No. 333-249074) filed on October 9, 2020)</w:t>
              </w:r>
            </w:hyperlink>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8380" w:type="dxa"/>
            <w:vAlign w:val="bottom"/>
            <w:tcBorders>
              <w:bottom w:val="single" w:sz="8" w:color="0000FF"/>
            </w:tcBorders>
            <w:gridSpan w:val="22"/>
          </w:tcPr>
          <w:p>
            <w:pPr>
              <w:spacing w:after="0" w:line="172" w:lineRule="exact"/>
              <w:rPr>
                <w:rFonts w:ascii="Arial" w:cs="Arial" w:eastAsia="Arial" w:hAnsi="Arial"/>
                <w:sz w:val="17"/>
                <w:szCs w:val="17"/>
                <w:color w:val="0000FF"/>
              </w:rPr>
            </w:pPr>
            <w:hyperlink r:id="rId267">
              <w:r>
                <w:rPr>
                  <w:rFonts w:ascii="Arial" w:cs="Arial" w:eastAsia="Arial" w:hAnsi="Arial"/>
                  <w:sz w:val="17"/>
                  <w:szCs w:val="17"/>
                  <w:color w:val="0000FF"/>
                </w:rPr>
                <w:t>Form of Incentive Stock Option Agreement under the 2020 Stock Option and Incentive Plan (incorporated by</w:t>
              </w:r>
            </w:hyperlink>
          </w:p>
        </w:tc>
        <w:tc>
          <w:tcPr>
            <w:tcW w:w="16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10020" w:type="dxa"/>
            <w:vAlign w:val="bottom"/>
            <w:gridSpan w:val="32"/>
          </w:tcPr>
          <w:p>
            <w:pPr>
              <w:spacing w:after="0" w:line="150" w:lineRule="exact"/>
              <w:rPr>
                <w:rFonts w:ascii="Arial" w:cs="Arial" w:eastAsia="Arial" w:hAnsi="Arial"/>
                <w:sz w:val="17"/>
                <w:szCs w:val="17"/>
                <w:color w:val="0000FF"/>
              </w:rPr>
            </w:pPr>
            <w:hyperlink r:id="rId267">
              <w:r>
                <w:rPr>
                  <w:rFonts w:ascii="Arial" w:cs="Arial" w:eastAsia="Arial" w:hAnsi="Arial"/>
                  <w:sz w:val="17"/>
                  <w:szCs w:val="17"/>
                  <w:color w:val="0000FF"/>
                </w:rPr>
                <w:t>reference to Exhibit 10.5 to the Registrant's Registration Statement on Form S-1/A (File No. 333-249074) filed</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rPr>
            </w:pPr>
            <w:hyperlink r:id="rId267">
              <w:r>
                <w:rPr>
                  <w:rFonts w:ascii="Arial" w:cs="Arial" w:eastAsia="Arial" w:hAnsi="Arial"/>
                  <w:sz w:val="17"/>
                  <w:szCs w:val="17"/>
                  <w:color w:val="0000FF"/>
                </w:rPr>
                <w:t>on October 9, 2020)</w:t>
              </w:r>
            </w:hyperlink>
          </w:p>
        </w:tc>
        <w:tc>
          <w:tcPr>
            <w:tcW w:w="692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68">
              <w:r>
                <w:rPr>
                  <w:rFonts w:ascii="Arial" w:cs="Arial" w:eastAsia="Arial" w:hAnsi="Arial"/>
                  <w:sz w:val="17"/>
                  <w:szCs w:val="17"/>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8260" w:type="dxa"/>
            <w:vAlign w:val="bottom"/>
            <w:tcBorders>
              <w:top w:val="single" w:sz="8" w:color="0000FF"/>
            </w:tcBorders>
            <w:gridSpan w:val="17"/>
          </w:tcPr>
          <w:p>
            <w:pPr>
              <w:spacing w:after="0" w:line="151" w:lineRule="exact"/>
              <w:rPr>
                <w:rFonts w:ascii="Arial" w:cs="Arial" w:eastAsia="Arial" w:hAnsi="Arial"/>
                <w:sz w:val="17"/>
                <w:szCs w:val="17"/>
                <w:color w:val="0000FF"/>
              </w:rPr>
            </w:pPr>
            <w:hyperlink r:id="rId268">
              <w:r>
                <w:rPr>
                  <w:rFonts w:ascii="Arial" w:cs="Arial" w:eastAsia="Arial" w:hAnsi="Arial"/>
                  <w:sz w:val="17"/>
                  <w:szCs w:val="17"/>
                  <w:color w:val="0000FF"/>
                </w:rPr>
                <w:t>Incentive Plan (incorporated by reference to Exhibit 10.6 to the Registrant's Registration Statement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gridSpan w:val="11"/>
          </w:tcPr>
          <w:p>
            <w:pPr>
              <w:jc w:val="right"/>
              <w:ind w:right="1480"/>
              <w:spacing w:after="0" w:line="151" w:lineRule="exact"/>
              <w:rPr>
                <w:rFonts w:ascii="Arial" w:cs="Arial" w:eastAsia="Arial" w:hAnsi="Arial"/>
                <w:sz w:val="17"/>
                <w:szCs w:val="17"/>
                <w:color w:val="0000FF"/>
                <w:w w:val="93"/>
              </w:rPr>
            </w:pPr>
            <w:hyperlink r:id="rId268">
              <w:r>
                <w:rPr>
                  <w:rFonts w:ascii="Arial" w:cs="Arial" w:eastAsia="Arial" w:hAnsi="Arial"/>
                  <w:sz w:val="17"/>
                  <w:szCs w:val="17"/>
                  <w:color w:val="0000FF"/>
                  <w:w w:val="93"/>
                </w:rPr>
                <w: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rPr>
            </w:pPr>
            <w:hyperlink r:id="rId268">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69">
              <w:r>
                <w:rPr>
                  <w:rFonts w:ascii="Arial" w:cs="Arial" w:eastAsia="Arial" w:hAnsi="Arial"/>
                  <w:sz w:val="17"/>
                  <w:szCs w:val="17"/>
                  <w:color w:val="0000FF"/>
                </w:rPr>
                <w:t>Form of Non-Qualified Stock Option Agreement for Non-Employee Directors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8520" w:type="dxa"/>
            <w:vAlign w:val="bottom"/>
            <w:tcBorders>
              <w:top w:val="single" w:sz="8" w:color="0000FF"/>
            </w:tcBorders>
            <w:gridSpan w:val="28"/>
          </w:tcPr>
          <w:p>
            <w:pPr>
              <w:spacing w:after="0" w:line="151" w:lineRule="exact"/>
              <w:rPr>
                <w:rFonts w:ascii="Arial" w:cs="Arial" w:eastAsia="Arial" w:hAnsi="Arial"/>
                <w:sz w:val="17"/>
                <w:szCs w:val="17"/>
                <w:color w:val="0000FF"/>
              </w:rPr>
            </w:pPr>
            <w:hyperlink r:id="rId269">
              <w:r>
                <w:rPr>
                  <w:rFonts w:ascii="Arial" w:cs="Arial" w:eastAsia="Arial" w:hAnsi="Arial"/>
                  <w:sz w:val="17"/>
                  <w:szCs w:val="17"/>
                  <w:color w:val="0000FF"/>
                </w:rPr>
                <w:t>Incentive Plan (incorporated by reference to Exhibit 10.7 to the Registrant's Registration Statement on Form S</w:t>
              </w:r>
            </w:hyperlink>
          </w:p>
        </w:tc>
        <w:tc>
          <w:tcPr>
            <w:tcW w:w="60" w:type="dxa"/>
            <w:vAlign w:val="bottom"/>
            <w:gridSpan w:val="3"/>
          </w:tcPr>
          <w:p>
            <w:pPr>
              <w:jc w:val="right"/>
              <w:ind w:right="40"/>
              <w:spacing w:after="0"/>
              <w:rPr>
                <w:rFonts w:ascii="Arial" w:cs="Arial" w:eastAsia="Arial" w:hAnsi="Arial"/>
                <w:sz w:val="1"/>
                <w:szCs w:val="1"/>
                <w:color w:val="0000FF"/>
                <w:w w:val="4294967282"/>
              </w:rPr>
            </w:pPr>
            <w:hyperlink r:id="rId269">
              <w:r>
                <w:rPr>
                  <w:rFonts w:ascii="Arial" w:cs="Arial" w:eastAsia="Arial" w:hAnsi="Arial"/>
                  <w:sz w:val="1"/>
                  <w:szCs w:val="1"/>
                  <w:color w:val="0000FF"/>
                  <w:w w:val="4294967282"/>
                </w:rPr>
                <w:t>-</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rPr>
            </w:pPr>
            <w:hyperlink r:id="rId269">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70">
              <w:r>
                <w:rPr>
                  <w:rFonts w:ascii="Arial" w:cs="Arial" w:eastAsia="Arial" w:hAnsi="Arial"/>
                  <w:sz w:val="17"/>
                  <w:szCs w:val="17"/>
                  <w:color w:val="0000FF"/>
                </w:rPr>
                <w:t>Form of Restricted Stock Award Agreement under the 2020 Stock Option and Incentive Plan (incorporated by</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8440" w:type="dxa"/>
            <w:vAlign w:val="bottom"/>
            <w:tcBorders>
              <w:top w:val="single" w:sz="8" w:color="0000FF"/>
            </w:tcBorders>
            <w:gridSpan w:val="25"/>
          </w:tcPr>
          <w:p>
            <w:pPr>
              <w:spacing w:after="0" w:line="150" w:lineRule="exact"/>
              <w:rPr>
                <w:rFonts w:ascii="Arial" w:cs="Arial" w:eastAsia="Arial" w:hAnsi="Arial"/>
                <w:sz w:val="17"/>
                <w:szCs w:val="17"/>
                <w:color w:val="0000FF"/>
              </w:rPr>
            </w:pPr>
            <w:hyperlink r:id="rId270">
              <w:r>
                <w:rPr>
                  <w:rFonts w:ascii="Arial" w:cs="Arial" w:eastAsia="Arial" w:hAnsi="Arial"/>
                  <w:sz w:val="17"/>
                  <w:szCs w:val="17"/>
                  <w:color w:val="0000FF"/>
                </w:rPr>
                <w:t>reference to Exhibit 10.8 to the Registrant's Registration Statement on Form S-1/A (File No. 333-249074) filed</w:t>
              </w:r>
            </w:hyperlink>
          </w:p>
        </w:tc>
        <w:tc>
          <w:tcPr>
            <w:tcW w:w="140" w:type="dxa"/>
            <w:vAlign w:val="bottom"/>
            <w:gridSpan w:val="6"/>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rPr>
            </w:pPr>
            <w:hyperlink r:id="rId270">
              <w:r>
                <w:rPr>
                  <w:rFonts w:ascii="Arial" w:cs="Arial" w:eastAsia="Arial" w:hAnsi="Arial"/>
                  <w:sz w:val="17"/>
                  <w:szCs w:val="17"/>
                  <w:color w:val="0000FF"/>
                </w:rPr>
                <w:t>on October 9, 2020)</w:t>
              </w:r>
            </w:hyperlink>
          </w:p>
        </w:tc>
        <w:tc>
          <w:tcPr>
            <w:tcW w:w="692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71">
              <w:r>
                <w:rPr>
                  <w:rFonts w:ascii="Arial" w:cs="Arial" w:eastAsia="Arial" w:hAnsi="Arial"/>
                  <w:sz w:val="17"/>
                  <w:szCs w:val="17"/>
                  <w:color w:val="0000FF"/>
                </w:rPr>
                <w:t>Form of Restricted Stock Award Agreement for Company Employees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10.9#</w:t>
            </w:r>
          </w:p>
        </w:tc>
        <w:tc>
          <w:tcPr>
            <w:tcW w:w="7940" w:type="dxa"/>
            <w:vAlign w:val="bottom"/>
            <w:tcBorders>
              <w:top w:val="single" w:sz="8" w:color="0000FF"/>
            </w:tcBorders>
            <w:gridSpan w:val="10"/>
          </w:tcPr>
          <w:p>
            <w:pPr>
              <w:spacing w:after="0" w:line="151" w:lineRule="exact"/>
              <w:rPr>
                <w:rFonts w:ascii="Arial" w:cs="Arial" w:eastAsia="Arial" w:hAnsi="Arial"/>
                <w:sz w:val="17"/>
                <w:szCs w:val="17"/>
                <w:color w:val="0000FF"/>
              </w:rPr>
            </w:pPr>
            <w:hyperlink r:id="rId271">
              <w:r>
                <w:rPr>
                  <w:rFonts w:ascii="Arial" w:cs="Arial" w:eastAsia="Arial" w:hAnsi="Arial"/>
                  <w:sz w:val="17"/>
                  <w:szCs w:val="17"/>
                  <w:color w:val="0000FF"/>
                </w:rPr>
                <w:t>Incentive Plan (incorporated by reference to Exhibit 10.9 to the Registrant's Registration Statement on</w:t>
              </w:r>
            </w:hyperlink>
          </w:p>
        </w:tc>
        <w:tc>
          <w:tcPr>
            <w:tcW w:w="2080" w:type="dxa"/>
            <w:vAlign w:val="bottom"/>
            <w:gridSpan w:val="22"/>
          </w:tcPr>
          <w:p>
            <w:pPr>
              <w:jc w:val="right"/>
              <w:ind w:right="1480"/>
              <w:spacing w:after="0" w:line="151" w:lineRule="exact"/>
              <w:rPr>
                <w:rFonts w:ascii="Arial" w:cs="Arial" w:eastAsia="Arial" w:hAnsi="Arial"/>
                <w:sz w:val="17"/>
                <w:szCs w:val="17"/>
                <w:color w:val="0000FF"/>
                <w:w w:val="94"/>
              </w:rPr>
            </w:pPr>
            <w:hyperlink r:id="rId271">
              <w:r>
                <w:rPr>
                  <w:rFonts w:ascii="Arial" w:cs="Arial" w:eastAsia="Arial" w:hAnsi="Arial"/>
                  <w:sz w:val="17"/>
                  <w:szCs w:val="17"/>
                  <w:color w:val="0000FF"/>
                  <w:w w:val="94"/>
                </w:rPr>
                <w:t>Form 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rPr>
            </w:pPr>
            <w:hyperlink r:id="rId271">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72">
              <w:r>
                <w:rPr>
                  <w:rFonts w:ascii="Arial" w:cs="Arial" w:eastAsia="Arial" w:hAnsi="Arial"/>
                  <w:sz w:val="17"/>
                  <w:szCs w:val="17"/>
                  <w:color w:val="0000FF"/>
                </w:rPr>
                <w:t>Form of Restricted Stock Award Agreement for Non -Employee Directors under the 2020 Stock Option and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10.10#</w:t>
            </w:r>
          </w:p>
        </w:tc>
        <w:tc>
          <w:tcPr>
            <w:tcW w:w="10020" w:type="dxa"/>
            <w:vAlign w:val="bottom"/>
            <w:gridSpan w:val="32"/>
          </w:tcPr>
          <w:p>
            <w:pPr>
              <w:spacing w:after="0" w:line="150" w:lineRule="exact"/>
              <w:rPr>
                <w:rFonts w:ascii="Arial" w:cs="Arial" w:eastAsia="Arial" w:hAnsi="Arial"/>
                <w:sz w:val="17"/>
                <w:szCs w:val="17"/>
                <w:color w:val="0000FF"/>
              </w:rPr>
            </w:pPr>
            <w:hyperlink r:id="rId272">
              <w:r>
                <w:rPr>
                  <w:rFonts w:ascii="Arial" w:cs="Arial" w:eastAsia="Arial" w:hAnsi="Arial"/>
                  <w:sz w:val="17"/>
                  <w:szCs w:val="17"/>
                  <w:color w:val="0000FF"/>
                </w:rPr>
                <w:t>Incentive Plan (incorporated by reference to Exhibit 10.10 to the Registrant's Registration Statement on Form</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4160" w:type="dxa"/>
            <w:vAlign w:val="bottom"/>
            <w:tcBorders>
              <w:top w:val="single" w:sz="8" w:color="0000FF"/>
              <w:bottom w:val="single" w:sz="8" w:color="0000FF"/>
            </w:tcBorders>
            <w:gridSpan w:val="6"/>
          </w:tcPr>
          <w:p>
            <w:pPr>
              <w:spacing w:after="0" w:line="150" w:lineRule="exact"/>
              <w:rPr>
                <w:rFonts w:ascii="Arial" w:cs="Arial" w:eastAsia="Arial" w:hAnsi="Arial"/>
                <w:sz w:val="17"/>
                <w:szCs w:val="17"/>
                <w:color w:val="0000FF"/>
              </w:rPr>
            </w:pPr>
            <w:hyperlink r:id="rId272">
              <w:r>
                <w:rPr>
                  <w:rFonts w:ascii="Arial" w:cs="Arial" w:eastAsia="Arial" w:hAnsi="Arial"/>
                  <w:sz w:val="17"/>
                  <w:szCs w:val="17"/>
                  <w:color w:val="0000FF"/>
                </w:rPr>
                <w:t>S-1/A (File No. 333-249074) filed on October 9, 2020)</w:t>
              </w:r>
            </w:hyperlink>
          </w:p>
        </w:tc>
        <w:tc>
          <w:tcPr>
            <w:tcW w:w="4260" w:type="dxa"/>
            <w:vAlign w:val="bottom"/>
            <w:tcBorders>
              <w:top w:val="single" w:sz="8" w:color="0000FF"/>
            </w:tcBorders>
            <w:gridSpan w:val="18"/>
          </w:tcPr>
          <w:p>
            <w:pPr>
              <w:spacing w:after="0"/>
              <w:rPr>
                <w:sz w:val="13"/>
                <w:szCs w:val="13"/>
                <w:color w:val="auto"/>
              </w:rPr>
            </w:pPr>
          </w:p>
        </w:tc>
        <w:tc>
          <w:tcPr>
            <w:tcW w:w="160" w:type="dxa"/>
            <w:vAlign w:val="bottom"/>
            <w:gridSpan w:val="7"/>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32"/>
          </w:tcPr>
          <w:p>
            <w:pPr>
              <w:spacing w:after="0"/>
              <w:rPr>
                <w:rFonts w:ascii="Arial" w:cs="Arial" w:eastAsia="Arial" w:hAnsi="Arial"/>
                <w:sz w:val="17"/>
                <w:szCs w:val="17"/>
                <w:color w:val="0000FF"/>
              </w:rPr>
            </w:pPr>
            <w:hyperlink r:id="rId273">
              <w:r>
                <w:rPr>
                  <w:rFonts w:ascii="Arial" w:cs="Arial" w:eastAsia="Arial" w:hAnsi="Arial"/>
                  <w:sz w:val="17"/>
                  <w:szCs w:val="17"/>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10.11#</w:t>
            </w:r>
          </w:p>
        </w:tc>
        <w:tc>
          <w:tcPr>
            <w:tcW w:w="830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273">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10"/>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40" w:type="dxa"/>
            <w:vAlign w:val="bottom"/>
            <w:tcBorders>
              <w:top w:val="single" w:sz="8" w:color="0000FF"/>
            </w:tcBorders>
            <w:gridSpan w:val="2"/>
          </w:tcPr>
          <w:p>
            <w:pPr>
              <w:spacing w:after="0" w:line="150" w:lineRule="exact"/>
              <w:rPr>
                <w:rFonts w:ascii="Arial" w:cs="Arial" w:eastAsia="Arial" w:hAnsi="Arial"/>
                <w:sz w:val="17"/>
                <w:szCs w:val="17"/>
                <w:color w:val="0000FF"/>
              </w:rPr>
            </w:pPr>
            <w:hyperlink r:id="rId273">
              <w:r>
                <w:rPr>
                  <w:rFonts w:ascii="Arial" w:cs="Arial" w:eastAsia="Arial" w:hAnsi="Arial"/>
                  <w:sz w:val="17"/>
                  <w:szCs w:val="17"/>
                  <w:color w:val="0000FF"/>
                </w:rPr>
                <w:t>2020)</w:t>
              </w:r>
            </w:hyperlink>
          </w:p>
        </w:tc>
        <w:tc>
          <w:tcPr>
            <w:tcW w:w="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10.12#</w:t>
            </w:r>
          </w:p>
        </w:tc>
        <w:tc>
          <w:tcPr>
            <w:tcW w:w="10020" w:type="dxa"/>
            <w:vAlign w:val="bottom"/>
            <w:gridSpan w:val="32"/>
          </w:tcPr>
          <w:p>
            <w:pPr>
              <w:spacing w:after="0"/>
              <w:rPr>
                <w:rFonts w:ascii="Arial" w:cs="Arial" w:eastAsia="Arial" w:hAnsi="Arial"/>
                <w:sz w:val="17"/>
                <w:szCs w:val="17"/>
                <w:color w:val="0000FF"/>
              </w:rPr>
            </w:pPr>
            <w:hyperlink r:id="rId274">
              <w:r>
                <w:rPr>
                  <w:rFonts w:ascii="Arial" w:cs="Arial" w:eastAsia="Arial" w:hAnsi="Arial"/>
                  <w:sz w:val="17"/>
                  <w:szCs w:val="17"/>
                  <w:color w:val="0000FF"/>
                </w:rPr>
                <w:t>Form of Amended and Restated Employment Agreement (incorporated by reference to Exhibit 10.11 to the</w:t>
              </w:r>
            </w:hyperlink>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8280" w:type="dxa"/>
            <w:vAlign w:val="bottom"/>
            <w:tcBorders>
              <w:top w:val="single" w:sz="8" w:color="0000FF"/>
            </w:tcBorders>
            <w:gridSpan w:val="18"/>
          </w:tcPr>
          <w:p>
            <w:pPr>
              <w:spacing w:after="0"/>
              <w:rPr>
                <w:rFonts w:ascii="Arial" w:cs="Arial" w:eastAsia="Arial" w:hAnsi="Arial"/>
                <w:sz w:val="17"/>
                <w:szCs w:val="17"/>
                <w:u w:val="single" w:color="auto"/>
                <w:color w:val="0000FF"/>
              </w:rPr>
            </w:pPr>
            <w:hyperlink r:id="rId274">
              <w:r>
                <w:rPr>
                  <w:rFonts w:ascii="Arial" w:cs="Arial" w:eastAsia="Arial" w:hAnsi="Arial"/>
                  <w:sz w:val="17"/>
                  <w:szCs w:val="17"/>
                  <w:u w:val="single" w:color="auto"/>
                  <w:color w:val="0000FF"/>
                </w:rPr>
                <w:t>Registrant's Quarterly Report on Form 10-Q (File No. 001-39620) filed on November 23, 2020)</w:t>
              </w:r>
            </w:hyperlink>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10"/>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10.13#</w:t>
            </w:r>
          </w:p>
        </w:tc>
        <w:tc>
          <w:tcPr>
            <w:tcW w:w="10020" w:type="dxa"/>
            <w:vAlign w:val="bottom"/>
            <w:gridSpan w:val="32"/>
          </w:tcPr>
          <w:p>
            <w:pPr>
              <w:spacing w:after="0" w:line="172" w:lineRule="exact"/>
              <w:rPr>
                <w:rFonts w:ascii="Arial" w:cs="Arial" w:eastAsia="Arial" w:hAnsi="Arial"/>
                <w:sz w:val="17"/>
                <w:szCs w:val="17"/>
                <w:color w:val="0000FF"/>
              </w:rPr>
            </w:pPr>
            <w:hyperlink r:id="rId275">
              <w:r>
                <w:rPr>
                  <w:rFonts w:ascii="Arial" w:cs="Arial" w:eastAsia="Arial" w:hAnsi="Arial"/>
                  <w:sz w:val="17"/>
                  <w:szCs w:val="17"/>
                  <w:color w:val="0000FF"/>
                </w:rPr>
                <w:t>Non-Employee Director Compensation Policy (incorporated by reference to Exhibit 10.13 to the Registrant's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668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rPr>
            </w:pPr>
            <w:hyperlink r:id="rId275">
              <w:r>
                <w:rPr>
                  <w:rFonts w:ascii="Arial" w:cs="Arial" w:eastAsia="Arial" w:hAnsi="Arial"/>
                  <w:sz w:val="17"/>
                  <w:szCs w:val="17"/>
                  <w:color w:val="0000FF"/>
                </w:rPr>
                <w:t>Registration Statement on Form S-1/A (File No. 333-249074) filed on October 9, 2020)</w:t>
              </w:r>
            </w:hyperlink>
          </w:p>
        </w:tc>
        <w:tc>
          <w:tcPr>
            <w:tcW w:w="16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10"/>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360" w:type="dxa"/>
            <w:vAlign w:val="bottom"/>
            <w:tcBorders>
              <w:bottom w:val="single" w:sz="8" w:color="0000FF"/>
            </w:tcBorders>
            <w:gridSpan w:val="21"/>
          </w:tcPr>
          <w:p>
            <w:pPr>
              <w:spacing w:after="0"/>
              <w:rPr>
                <w:rFonts w:ascii="Arial" w:cs="Arial" w:eastAsia="Arial" w:hAnsi="Arial"/>
                <w:sz w:val="17"/>
                <w:szCs w:val="17"/>
                <w:color w:val="0000FF"/>
              </w:rPr>
            </w:pPr>
            <w:hyperlink r:id="rId276">
              <w:r>
                <w:rPr>
                  <w:rFonts w:ascii="Arial" w:cs="Arial" w:eastAsia="Arial" w:hAnsi="Arial"/>
                  <w:sz w:val="17"/>
                  <w:szCs w:val="17"/>
                  <w:color w:val="0000FF"/>
                </w:rPr>
                <w:t>License Agreement, dated December 31, 2017, by and between Purdue Neuroscience Company and Praxis</w:t>
              </w:r>
            </w:hyperlink>
          </w:p>
        </w:tc>
        <w:tc>
          <w:tcPr>
            <w:tcW w:w="1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10.14†</w:t>
            </w:r>
          </w:p>
        </w:tc>
        <w:tc>
          <w:tcPr>
            <w:tcW w:w="10020" w:type="dxa"/>
            <w:vAlign w:val="bottom"/>
            <w:gridSpan w:val="32"/>
          </w:tcPr>
          <w:p>
            <w:pPr>
              <w:spacing w:after="0" w:line="150" w:lineRule="exact"/>
              <w:rPr>
                <w:rFonts w:ascii="Arial" w:cs="Arial" w:eastAsia="Arial" w:hAnsi="Arial"/>
                <w:sz w:val="17"/>
                <w:szCs w:val="17"/>
                <w:color w:val="0000FF"/>
              </w:rPr>
            </w:pPr>
            <w:hyperlink r:id="rId276">
              <w:r>
                <w:rPr>
                  <w:rFonts w:ascii="Arial" w:cs="Arial" w:eastAsia="Arial" w:hAnsi="Arial"/>
                  <w:sz w:val="17"/>
                  <w:szCs w:val="17"/>
                  <w:color w:val="0000FF"/>
                </w:rPr>
                <w:t>Precision Medicines, Inc. (incorporated by reference to Exhibit 10.14 to the Registrant's Registration Statement</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rPr>
            </w:pPr>
            <w:hyperlink r:id="rId276">
              <w:r>
                <w:rPr>
                  <w:rFonts w:ascii="Arial" w:cs="Arial" w:eastAsia="Arial" w:hAnsi="Arial"/>
                  <w:sz w:val="17"/>
                  <w:szCs w:val="17"/>
                  <w:color w:val="0000FF"/>
                </w:rPr>
                <w:t>on Form S-1 (File No. 333-249074) filed on September 25, 2020)</w:t>
              </w:r>
            </w:hyperlink>
          </w:p>
        </w:tc>
        <w:tc>
          <w:tcPr>
            <w:tcW w:w="3560" w:type="dxa"/>
            <w:vAlign w:val="bottom"/>
            <w:tcBorders>
              <w:top w:val="single" w:sz="8" w:color="0000FF"/>
            </w:tcBorders>
            <w:gridSpan w:val="24"/>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rPr>
                <w:rFonts w:ascii="Arial" w:cs="Arial" w:eastAsia="Arial" w:hAnsi="Arial"/>
                <w:sz w:val="17"/>
                <w:szCs w:val="17"/>
                <w:color w:val="0000FF"/>
              </w:rPr>
            </w:pPr>
            <w:hyperlink r:id="rId277">
              <w:r>
                <w:rPr>
                  <w:rFonts w:ascii="Arial" w:cs="Arial" w:eastAsia="Arial" w:hAnsi="Arial"/>
                  <w:sz w:val="17"/>
                  <w:szCs w:val="17"/>
                  <w:color w:val="0000FF"/>
                </w:rPr>
                <w:t>Cooperation and License Agreement, dated September 11, 2019, by and between RogCon Inc. and Praxis</w:t>
              </w:r>
            </w:hyperlink>
          </w:p>
        </w:tc>
        <w:tc>
          <w:tcPr>
            <w:tcW w:w="1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10.15†</w:t>
            </w:r>
          </w:p>
        </w:tc>
        <w:tc>
          <w:tcPr>
            <w:tcW w:w="10020" w:type="dxa"/>
            <w:vAlign w:val="bottom"/>
            <w:gridSpan w:val="32"/>
          </w:tcPr>
          <w:p>
            <w:pPr>
              <w:spacing w:after="0" w:line="150" w:lineRule="exact"/>
              <w:rPr>
                <w:rFonts w:ascii="Arial" w:cs="Arial" w:eastAsia="Arial" w:hAnsi="Arial"/>
                <w:sz w:val="17"/>
                <w:szCs w:val="17"/>
                <w:color w:val="0000FF"/>
              </w:rPr>
            </w:pPr>
            <w:hyperlink r:id="rId277">
              <w:r>
                <w:rPr>
                  <w:rFonts w:ascii="Arial" w:cs="Arial" w:eastAsia="Arial" w:hAnsi="Arial"/>
                  <w:sz w:val="17"/>
                  <w:szCs w:val="17"/>
                  <w:color w:val="0000FF"/>
                </w:rPr>
                <w:t>Precision Medicines, Inc. (incorporated by reference to Exhibit 10.15 to the Registrant's Registration Statement</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580" w:type="dxa"/>
            <w:vAlign w:val="bottom"/>
            <w:tcBorders>
              <w:top w:val="single" w:sz="8" w:color="0000FF"/>
            </w:tcBorders>
            <w:gridSpan w:val="31"/>
          </w:tcPr>
          <w:p>
            <w:pPr>
              <w:spacing w:after="0" w:line="150" w:lineRule="exact"/>
              <w:rPr>
                <w:rFonts w:ascii="Arial" w:cs="Arial" w:eastAsia="Arial" w:hAnsi="Arial"/>
                <w:sz w:val="17"/>
                <w:szCs w:val="17"/>
                <w:color w:val="0000FF"/>
              </w:rPr>
            </w:pPr>
            <w:hyperlink r:id="rId277">
              <w:r>
                <w:rPr>
                  <w:rFonts w:ascii="Arial" w:cs="Arial" w:eastAsia="Arial" w:hAnsi="Arial"/>
                  <w:sz w:val="17"/>
                  <w:szCs w:val="17"/>
                  <w:color w:val="0000FF"/>
                </w:rPr>
                <w:t>on Form S-1 (File No. 333-249074) filed on September 25, 2020)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0"/>
        </w:trPr>
        <w:tc>
          <w:tcPr>
            <w:tcW w:w="12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8540" w:type="dxa"/>
            <w:vAlign w:val="bottom"/>
            <w:gridSpan w:val="15"/>
          </w:tcPr>
          <w:p>
            <w:pPr>
              <w:spacing w:after="0"/>
              <w:rPr>
                <w:rFonts w:ascii="Arial" w:cs="Arial" w:eastAsia="Arial" w:hAnsi="Arial"/>
                <w:sz w:val="17"/>
                <w:szCs w:val="17"/>
                <w:color w:val="0000FF"/>
              </w:rPr>
            </w:pPr>
            <w:hyperlink r:id="rId280">
              <w:r>
                <w:rPr>
                  <w:rFonts w:ascii="Arial" w:cs="Arial" w:eastAsia="Arial" w:hAnsi="Arial"/>
                  <w:sz w:val="17"/>
                  <w:szCs w:val="17"/>
                  <w:color w:val="0000FF"/>
                </w:rPr>
                <w:t>Research Collaboration, Option and License Agreement, dated September 11, 2019, by and between Ionis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8540" w:type="dxa"/>
            <w:vAlign w:val="bottom"/>
            <w:gridSpan w:val="15"/>
          </w:tcPr>
          <w:p>
            <w:pPr>
              <w:spacing w:after="0" w:line="150" w:lineRule="exact"/>
              <w:rPr>
                <w:rFonts w:ascii="Arial" w:cs="Arial" w:eastAsia="Arial" w:hAnsi="Arial"/>
                <w:sz w:val="17"/>
                <w:szCs w:val="17"/>
                <w:color w:val="0000FF"/>
              </w:rPr>
            </w:pPr>
            <w:hyperlink r:id="rId280">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202"/>
        </w:trPr>
        <w:tc>
          <w:tcPr>
            <w:tcW w:w="1200" w:type="dxa"/>
            <w:vAlign w:val="bottom"/>
            <w:vMerge w:val="continue"/>
          </w:tcPr>
          <w:p>
            <w:pPr>
              <w:spacing w:after="0"/>
              <w:rPr>
                <w:sz w:val="17"/>
                <w:szCs w:val="17"/>
                <w:color w:val="auto"/>
              </w:rPr>
            </w:pPr>
          </w:p>
        </w:tc>
        <w:tc>
          <w:tcPr>
            <w:tcW w:w="8360" w:type="dxa"/>
            <w:vAlign w:val="bottom"/>
            <w:tcBorders>
              <w:top w:val="single" w:sz="8" w:color="0000FF"/>
            </w:tcBorders>
            <w:gridSpan w:val="12"/>
          </w:tcPr>
          <w:p>
            <w:pPr>
              <w:spacing w:after="0"/>
              <w:rPr>
                <w:rFonts w:ascii="Arial" w:cs="Arial" w:eastAsia="Arial" w:hAnsi="Arial"/>
                <w:sz w:val="17"/>
                <w:szCs w:val="17"/>
                <w:u w:val="single" w:color="auto"/>
                <w:color w:val="0000FF"/>
              </w:rPr>
            </w:pPr>
            <w:hyperlink r:id="rId280">
              <w:r>
                <w:rPr>
                  <w:rFonts w:ascii="Arial" w:cs="Arial" w:eastAsia="Arial" w:hAnsi="Arial"/>
                  <w:sz w:val="17"/>
                  <w:szCs w:val="17"/>
                  <w:u w:val="single" w:color="auto"/>
                  <w:color w:val="0000FF"/>
                </w:rPr>
                <w:t>Registrant's Registration Statement on Form S-1 (File No. 333-249074) filed on September 25, 2020)</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8540" w:type="dxa"/>
            <w:vAlign w:val="bottom"/>
            <w:gridSpan w:val="15"/>
          </w:tcPr>
          <w:p>
            <w:pPr>
              <w:spacing w:after="0" w:line="171" w:lineRule="exact"/>
              <w:rPr>
                <w:rFonts w:ascii="Arial" w:cs="Arial" w:eastAsia="Arial" w:hAnsi="Arial"/>
                <w:sz w:val="17"/>
                <w:szCs w:val="17"/>
                <w:color w:val="0000FF"/>
              </w:rPr>
            </w:pPr>
            <w:hyperlink r:id="rId281">
              <w:r>
                <w:rPr>
                  <w:rFonts w:ascii="Arial" w:cs="Arial" w:eastAsia="Arial" w:hAnsi="Arial"/>
                  <w:sz w:val="17"/>
                  <w:szCs w:val="17"/>
                  <w:color w:val="0000FF"/>
                </w:rPr>
                <w:t>Sublease, dated October 4, 2018, by and between Highland Capital Partners, LLC and Praxis Precision</w:t>
              </w:r>
            </w:hyperlink>
          </w:p>
        </w:tc>
        <w:tc>
          <w:tcPr>
            <w:tcW w:w="0" w:type="dxa"/>
            <w:vAlign w:val="bottom"/>
          </w:tcPr>
          <w:p>
            <w:pPr>
              <w:spacing w:after="0"/>
              <w:rPr>
                <w:sz w:val="1"/>
                <w:szCs w:val="1"/>
                <w:color w:val="auto"/>
              </w:rPr>
            </w:pPr>
          </w:p>
        </w:tc>
      </w:tr>
      <w:tr>
        <w:trPr>
          <w:trHeight w:val="151"/>
        </w:trPr>
        <w:tc>
          <w:tcPr>
            <w:tcW w:w="120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8000" w:type="dxa"/>
            <w:vAlign w:val="bottom"/>
            <w:tcBorders>
              <w:top w:val="single" w:sz="8" w:color="0000FF"/>
            </w:tcBorders>
            <w:gridSpan w:val="7"/>
          </w:tcPr>
          <w:p>
            <w:pPr>
              <w:spacing w:after="0" w:line="151" w:lineRule="exact"/>
              <w:rPr>
                <w:rFonts w:ascii="Arial" w:cs="Arial" w:eastAsia="Arial" w:hAnsi="Arial"/>
                <w:sz w:val="17"/>
                <w:szCs w:val="17"/>
                <w:color w:val="0000FF"/>
              </w:rPr>
            </w:pPr>
            <w:hyperlink r:id="rId281">
              <w:r>
                <w:rPr>
                  <w:rFonts w:ascii="Arial" w:cs="Arial" w:eastAsia="Arial" w:hAnsi="Arial"/>
                  <w:sz w:val="17"/>
                  <w:szCs w:val="17"/>
                  <w:color w:val="0000FF"/>
                </w:rPr>
                <w:t>Medicines, Inc. (incorporated by reference to Exhibit 10.17 to the Registrant's Registration Statement on</w:t>
              </w:r>
            </w:hyperlink>
          </w:p>
        </w:tc>
        <w:tc>
          <w:tcPr>
            <w:tcW w:w="540" w:type="dxa"/>
            <w:vAlign w:val="bottom"/>
            <w:gridSpan w:val="8"/>
          </w:tcPr>
          <w:p>
            <w:pPr>
              <w:ind w:left="80"/>
              <w:spacing w:after="0" w:line="151" w:lineRule="exact"/>
              <w:rPr>
                <w:rFonts w:ascii="Arial" w:cs="Arial" w:eastAsia="Arial" w:hAnsi="Arial"/>
                <w:sz w:val="17"/>
                <w:szCs w:val="17"/>
                <w:color w:val="0000FF"/>
              </w:rPr>
            </w:pPr>
            <w:hyperlink r:id="rId281">
              <w:r>
                <w:rPr>
                  <w:rFonts w:ascii="Arial" w:cs="Arial" w:eastAsia="Arial" w:hAnsi="Arial"/>
                  <w:sz w:val="17"/>
                  <w:szCs w:val="17"/>
                  <w:color w:val="0000FF"/>
                </w:rPr>
                <w:t>Form</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43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r:id="rId281">
              <w:r>
                <w:rPr>
                  <w:rFonts w:ascii="Arial" w:cs="Arial" w:eastAsia="Arial" w:hAnsi="Arial"/>
                  <w:sz w:val="17"/>
                  <w:szCs w:val="17"/>
                  <w:color w:val="0000FF"/>
                </w:rPr>
                <w:t>S-1 (File No. 333-249074) filed on September 25, 2020)</w:t>
              </w:r>
            </w:hyperlink>
          </w:p>
        </w:tc>
        <w:tc>
          <w:tcPr>
            <w:tcW w:w="41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40" w:type="dxa"/>
            <w:vAlign w:val="bottom"/>
            <w:gridSpan w:val="15"/>
          </w:tcPr>
          <w:p>
            <w:pPr>
              <w:spacing w:after="0"/>
              <w:rPr>
                <w:rFonts w:ascii="Arial" w:cs="Arial" w:eastAsia="Arial" w:hAnsi="Arial"/>
                <w:sz w:val="17"/>
                <w:szCs w:val="17"/>
                <w:color w:val="0000FF"/>
              </w:rPr>
            </w:pPr>
            <w:hyperlink r:id="rId282">
              <w:r>
                <w:rPr>
                  <w:rFonts w:ascii="Arial" w:cs="Arial" w:eastAsia="Arial" w:hAnsi="Arial"/>
                  <w:sz w:val="17"/>
                  <w:szCs w:val="17"/>
                  <w:color w:val="0000FF"/>
                </w:rPr>
                <w:t>Consent to Sublease, First Amendment of Lease and Amendment, dated November 2, 2018, by and among</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0"/>
          </w:tcPr>
          <w:p>
            <w:pPr>
              <w:spacing w:after="0" w:line="150" w:lineRule="exact"/>
              <w:rPr>
                <w:rFonts w:ascii="Arial" w:cs="Arial" w:eastAsia="Arial" w:hAnsi="Arial"/>
                <w:sz w:val="17"/>
                <w:szCs w:val="17"/>
                <w:color w:val="0000FF"/>
              </w:rPr>
            </w:pPr>
            <w:hyperlink r:id="rId282">
              <w:r>
                <w:rPr>
                  <w:rFonts w:ascii="Arial" w:cs="Arial" w:eastAsia="Arial" w:hAnsi="Arial"/>
                  <w:sz w:val="17"/>
                  <w:szCs w:val="17"/>
                  <w:color w:val="0000FF"/>
                </w:rPr>
                <w:t>Highland Capital Partners, LLC, MIT One Broadway, LLC and Praxis Precision Medicines, Inc. (incorporated</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8340" w:type="dxa"/>
            <w:vAlign w:val="bottom"/>
            <w:gridSpan w:val="11"/>
          </w:tcPr>
          <w:p>
            <w:pPr>
              <w:spacing w:after="0" w:line="150" w:lineRule="exact"/>
              <w:rPr>
                <w:rFonts w:ascii="Arial" w:cs="Arial" w:eastAsia="Arial" w:hAnsi="Arial"/>
                <w:sz w:val="17"/>
                <w:szCs w:val="17"/>
                <w:color w:val="0000FF"/>
              </w:rPr>
            </w:pPr>
            <w:hyperlink r:id="rId282">
              <w:r>
                <w:rPr>
                  <w:rFonts w:ascii="Arial" w:cs="Arial" w:eastAsia="Arial" w:hAnsi="Arial"/>
                  <w:sz w:val="17"/>
                  <w:szCs w:val="17"/>
                  <w:color w:val="0000FF"/>
                </w:rPr>
                <w:t>by reference to Exhibit 10.18 to the Registrant's Registration Statement on Form S-1 (File No. 333-249074)</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260" w:type="dxa"/>
            <w:vAlign w:val="bottom"/>
            <w:tcBorders>
              <w:top w:val="single" w:sz="8" w:color="0000FF"/>
            </w:tcBorders>
            <w:gridSpan w:val="9"/>
          </w:tcPr>
          <w:p>
            <w:pPr>
              <w:spacing w:after="0" w:line="150" w:lineRule="exact"/>
              <w:rPr>
                <w:rFonts w:ascii="Arial" w:cs="Arial" w:eastAsia="Arial" w:hAnsi="Arial"/>
                <w:sz w:val="17"/>
                <w:szCs w:val="17"/>
                <w:color w:val="0000FF"/>
              </w:rPr>
            </w:pPr>
            <w:hyperlink r:id="rId282">
              <w:r>
                <w:rPr>
                  <w:rFonts w:ascii="Arial" w:cs="Arial" w:eastAsia="Arial" w:hAnsi="Arial"/>
                  <w:sz w:val="17"/>
                  <w:szCs w:val="17"/>
                  <w:color w:val="0000FF"/>
                </w:rPr>
                <w:t>filed on September 25, 2020)</w:t>
              </w:r>
            </w:hyperlink>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8540" w:type="dxa"/>
            <w:vAlign w:val="bottom"/>
            <w:gridSpan w:val="15"/>
          </w:tcPr>
          <w:p>
            <w:pPr>
              <w:spacing w:after="0"/>
              <w:rPr>
                <w:rFonts w:ascii="Arial" w:cs="Arial" w:eastAsia="Arial" w:hAnsi="Arial"/>
                <w:sz w:val="17"/>
                <w:szCs w:val="17"/>
                <w:color w:val="0000FF"/>
              </w:rPr>
            </w:pPr>
            <w:hyperlink r:id="rId283">
              <w:r>
                <w:rPr>
                  <w:rFonts w:ascii="Arial" w:cs="Arial" w:eastAsia="Arial" w:hAnsi="Arial"/>
                  <w:sz w:val="17"/>
                  <w:szCs w:val="17"/>
                  <w:color w:val="0000FF"/>
                </w:rPr>
                <w:t>Subsidiaries of the Registrant (incorporated by reference to Exhibit 21.1 to the Registrant's Registration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7960" w:type="dxa"/>
            <w:vAlign w:val="bottom"/>
            <w:tcBorders>
              <w:top w:val="single" w:sz="8" w:color="0000FF"/>
            </w:tcBorders>
            <w:gridSpan w:val="6"/>
          </w:tcPr>
          <w:p>
            <w:pPr>
              <w:spacing w:after="0" w:line="150" w:lineRule="exact"/>
              <w:rPr>
                <w:rFonts w:ascii="Arial" w:cs="Arial" w:eastAsia="Arial" w:hAnsi="Arial"/>
                <w:sz w:val="17"/>
                <w:szCs w:val="17"/>
                <w:color w:val="0000FF"/>
              </w:rPr>
            </w:pPr>
            <w:hyperlink r:id="rId283">
              <w:r>
                <w:rPr>
                  <w:rFonts w:ascii="Arial" w:cs="Arial" w:eastAsia="Arial" w:hAnsi="Arial"/>
                  <w:sz w:val="17"/>
                  <w:szCs w:val="17"/>
                  <w:color w:val="0000FF"/>
                </w:rPr>
                <w:t>Statement on Form S-1 (File No. 333-249074) filed on September 25, 2020)</w:t>
              </w:r>
            </w:hyperlink>
          </w:p>
        </w:tc>
        <w:tc>
          <w:tcPr>
            <w:tcW w:w="280" w:type="dxa"/>
            <w:vAlign w:val="bottom"/>
            <w:gridSpan w:val="2"/>
          </w:tcPr>
          <w:p>
            <w:pPr>
              <w:spacing w:after="0"/>
              <w:rPr>
                <w:sz w:val="13"/>
                <w:szCs w:val="13"/>
                <w:color w:val="auto"/>
              </w:rPr>
            </w:pPr>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7"/>
                <w:szCs w:val="17"/>
                <w:color w:val="auto"/>
              </w:rPr>
              <w:t>23.1*</w:t>
            </w:r>
          </w:p>
        </w:tc>
        <w:tc>
          <w:tcPr>
            <w:tcW w:w="8540" w:type="dxa"/>
            <w:vAlign w:val="bottom"/>
            <w:gridSpan w:val="15"/>
          </w:tcPr>
          <w:p>
            <w:pPr>
              <w:spacing w:after="0"/>
              <w:rPr>
                <w:rFonts w:ascii="Arial" w:cs="Arial" w:eastAsia="Arial" w:hAnsi="Arial"/>
                <w:sz w:val="17"/>
                <w:szCs w:val="17"/>
                <w:u w:val="single" w:color="auto"/>
                <w:color w:val="0000FF"/>
              </w:rPr>
            </w:pPr>
            <w:hyperlink w:anchor="page256">
              <w:r>
                <w:rPr>
                  <w:rFonts w:ascii="Arial" w:cs="Arial" w:eastAsia="Arial" w:hAnsi="Arial"/>
                  <w:sz w:val="17"/>
                  <w:szCs w:val="17"/>
                  <w:u w:val="single" w:color="auto"/>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184"/>
        </w:trPr>
        <w:tc>
          <w:tcPr>
            <w:tcW w:w="120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8540" w:type="dxa"/>
            <w:vAlign w:val="bottom"/>
            <w:gridSpan w:val="15"/>
          </w:tcPr>
          <w:p>
            <w:pPr>
              <w:spacing w:after="0" w:line="184" w:lineRule="exact"/>
              <w:rPr>
                <w:rFonts w:ascii="Arial" w:cs="Arial" w:eastAsia="Arial" w:hAnsi="Arial"/>
                <w:sz w:val="17"/>
                <w:szCs w:val="17"/>
                <w:color w:val="0000FF"/>
              </w:rPr>
            </w:pPr>
            <w:hyperlink w:anchor="page257">
              <w:r>
                <w:rPr>
                  <w:rFonts w:ascii="Arial" w:cs="Arial" w:eastAsia="Arial" w:hAnsi="Arial"/>
                  <w:sz w:val="17"/>
                  <w:szCs w:val="17"/>
                  <w:color w:val="0000FF"/>
                </w:rPr>
                <w:t>Certification of Principal Executive Officer Pursuant to Rules 13a-14(a) and 15d-14(a) under the Securities</w:t>
              </w:r>
            </w:hyperlink>
          </w:p>
        </w:tc>
        <w:tc>
          <w:tcPr>
            <w:tcW w:w="0" w:type="dxa"/>
            <w:vAlign w:val="bottom"/>
          </w:tcPr>
          <w:p>
            <w:pPr>
              <w:spacing w:after="0"/>
              <w:rPr>
                <w:sz w:val="1"/>
                <w:szCs w:val="1"/>
                <w:color w:val="auto"/>
              </w:rPr>
            </w:pPr>
          </w:p>
        </w:tc>
      </w:tr>
      <w:tr>
        <w:trPr>
          <w:trHeight w:val="202"/>
        </w:trPr>
        <w:tc>
          <w:tcPr>
            <w:tcW w:w="1200" w:type="dxa"/>
            <w:vAlign w:val="bottom"/>
            <w:vMerge w:val="continue"/>
          </w:tcPr>
          <w:p>
            <w:pPr>
              <w:spacing w:after="0"/>
              <w:rPr>
                <w:sz w:val="17"/>
                <w:szCs w:val="17"/>
                <w:color w:val="auto"/>
              </w:rPr>
            </w:pPr>
          </w:p>
        </w:tc>
        <w:tc>
          <w:tcPr>
            <w:tcW w:w="8240" w:type="dxa"/>
            <w:vAlign w:val="bottom"/>
            <w:tcBorders>
              <w:top w:val="single" w:sz="8" w:color="0000FF"/>
            </w:tcBorders>
            <w:gridSpan w:val="8"/>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Exchange Act of 1934, as Adopted Pursuant to Section 302 of the Sarbanes-Oxley Act of 2002</w:t>
              </w:r>
            </w:hyperlink>
          </w:p>
        </w:tc>
        <w:tc>
          <w:tcPr>
            <w:tcW w:w="2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0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7900" w:type="dxa"/>
            <w:vAlign w:val="bottom"/>
            <w:tcBorders>
              <w:bottom w:val="single" w:sz="8" w:color="0000FF"/>
            </w:tcBorders>
            <w:gridSpan w:val="5"/>
          </w:tcPr>
          <w:p>
            <w:pPr>
              <w:spacing w:after="0" w:line="172" w:lineRule="exact"/>
              <w:rPr>
                <w:rFonts w:ascii="Arial" w:cs="Arial" w:eastAsia="Arial" w:hAnsi="Arial"/>
                <w:sz w:val="17"/>
                <w:szCs w:val="17"/>
                <w:color w:val="0000FF"/>
              </w:rPr>
            </w:pPr>
            <w:hyperlink w:anchor="page258">
              <w:r>
                <w:rPr>
                  <w:rFonts w:ascii="Arial" w:cs="Arial" w:eastAsia="Arial" w:hAnsi="Arial"/>
                  <w:sz w:val="17"/>
                  <w:szCs w:val="17"/>
                  <w:color w:val="0000FF"/>
                </w:rPr>
                <w:t>Certification of Interim Principal Financial Officer Pursuant to Rules 13a-14(a) and 15d-14(a) under the</w:t>
              </w:r>
            </w:hyperlink>
          </w:p>
        </w:tc>
        <w:tc>
          <w:tcPr>
            <w:tcW w:w="6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00" w:type="dxa"/>
            <w:vAlign w:val="bottom"/>
            <w:vMerge w:val="continue"/>
          </w:tcPr>
          <w:p>
            <w:pPr>
              <w:spacing w:after="0"/>
              <w:rPr>
                <w:sz w:val="17"/>
                <w:szCs w:val="17"/>
                <w:color w:val="auto"/>
              </w:rPr>
            </w:pPr>
          </w:p>
        </w:tc>
        <w:tc>
          <w:tcPr>
            <w:tcW w:w="8540" w:type="dxa"/>
            <w:vAlign w:val="bottom"/>
            <w:gridSpan w:val="15"/>
          </w:tcPr>
          <w:p>
            <w:pPr>
              <w:spacing w:after="0"/>
              <w:rPr>
                <w:rFonts w:ascii="Arial" w:cs="Arial" w:eastAsia="Arial" w:hAnsi="Arial"/>
                <w:sz w:val="17"/>
                <w:szCs w:val="17"/>
                <w:u w:val="single" w:color="auto"/>
                <w:color w:val="0000FF"/>
              </w:rPr>
            </w:pPr>
            <w:hyperlink w:anchor="page258">
              <w:r>
                <w:rPr>
                  <w:rFonts w:ascii="Arial" w:cs="Arial" w:eastAsia="Arial" w:hAnsi="Arial"/>
                  <w:sz w:val="17"/>
                  <w:szCs w:val="17"/>
                  <w:u w:val="single" w:color="auto"/>
                  <w:color w:val="0000FF"/>
                </w:rPr>
                <w:t>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171"/>
        </w:trPr>
        <w:tc>
          <w:tcPr>
            <w:tcW w:w="120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8540" w:type="dxa"/>
            <w:vAlign w:val="bottom"/>
            <w:gridSpan w:val="15"/>
          </w:tcPr>
          <w:p>
            <w:pPr>
              <w:spacing w:after="0" w:line="172" w:lineRule="exact"/>
              <w:rPr>
                <w:rFonts w:ascii="Arial" w:cs="Arial" w:eastAsia="Arial" w:hAnsi="Arial"/>
                <w:sz w:val="17"/>
                <w:szCs w:val="17"/>
                <w:color w:val="0000FF"/>
              </w:rPr>
            </w:pPr>
            <w:hyperlink w:anchor="page259">
              <w:r>
                <w:rPr>
                  <w:rFonts w:ascii="Arial" w:cs="Arial" w:eastAsia="Arial" w:hAnsi="Arial"/>
                  <w:sz w:val="17"/>
                  <w:szCs w:val="17"/>
                  <w:color w:val="0000FF"/>
                </w:rPr>
                <w:t>Certification of Principal Executive Officer and Interim Principal Financial Officer Pursuant to 18 U.S.C. Section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520" w:type="dxa"/>
            <w:vAlign w:val="bottom"/>
            <w:tcBorders>
              <w:top w:val="single" w:sz="8" w:color="0000FF"/>
            </w:tcBorders>
            <w:gridSpan w:val="14"/>
          </w:tcPr>
          <w:p>
            <w:pPr>
              <w:spacing w:after="0" w:line="150" w:lineRule="exact"/>
              <w:rPr>
                <w:rFonts w:ascii="Arial" w:cs="Arial" w:eastAsia="Arial" w:hAnsi="Arial"/>
                <w:sz w:val="17"/>
                <w:szCs w:val="17"/>
                <w:color w:val="0000FF"/>
              </w:rPr>
            </w:pPr>
            <w:hyperlink w:anchor="page259">
              <w:r>
                <w:rPr>
                  <w:rFonts w:ascii="Arial" w:cs="Arial" w:eastAsia="Arial" w:hAnsi="Arial"/>
                  <w:sz w:val="17"/>
                  <w:szCs w:val="17"/>
                  <w:color w:val="0000FF"/>
                </w:rPr>
                <w:t>1350, as Adopted Pursuant to Section 906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7"/>
                <w:szCs w:val="17"/>
                <w:color w:val="auto"/>
              </w:rPr>
              <w:t>101.INS*</w:t>
            </w:r>
          </w:p>
        </w:tc>
        <w:tc>
          <w:tcPr>
            <w:tcW w:w="60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Inline XBRL Instance Document</w:t>
            </w:r>
          </w:p>
        </w:tc>
        <w:tc>
          <w:tcPr>
            <w:tcW w:w="25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101.SCH*</w:t>
            </w:r>
          </w:p>
        </w:tc>
        <w:tc>
          <w:tcPr>
            <w:tcW w:w="8540" w:type="dxa"/>
            <w:vAlign w:val="bottom"/>
            <w:gridSpan w:val="15"/>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101.CAL*</w:t>
            </w:r>
          </w:p>
        </w:tc>
        <w:tc>
          <w:tcPr>
            <w:tcW w:w="8540" w:type="dxa"/>
            <w:vAlign w:val="bottom"/>
            <w:gridSpan w:val="15"/>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101.DEF*</w:t>
            </w:r>
          </w:p>
        </w:tc>
        <w:tc>
          <w:tcPr>
            <w:tcW w:w="8540" w:type="dxa"/>
            <w:vAlign w:val="bottom"/>
            <w:gridSpan w:val="15"/>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101.LAB*</w:t>
            </w:r>
          </w:p>
        </w:tc>
        <w:tc>
          <w:tcPr>
            <w:tcW w:w="8540" w:type="dxa"/>
            <w:vAlign w:val="bottom"/>
            <w:gridSpan w:val="1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101.PRE*</w:t>
            </w:r>
          </w:p>
        </w:tc>
        <w:tc>
          <w:tcPr>
            <w:tcW w:w="8540" w:type="dxa"/>
            <w:vAlign w:val="bottom"/>
            <w:gridSpan w:val="15"/>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575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86" w:lineRule="exact"/>
        <w:rPr>
          <w:sz w:val="20"/>
          <w:szCs w:val="20"/>
          <w:color w:val="auto"/>
        </w:rPr>
      </w:pPr>
    </w:p>
    <w:p>
      <w:pPr>
        <w:ind w:left="820" w:hanging="798"/>
        <w:spacing w:after="0"/>
        <w:tabs>
          <w:tab w:leader="none" w:pos="8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7" w:lineRule="exact"/>
        <w:rPr>
          <w:sz w:val="20"/>
          <w:szCs w:val="20"/>
          <w:color w:val="auto"/>
        </w:rPr>
      </w:pPr>
    </w:p>
    <w:p>
      <w:pPr>
        <w:ind w:left="820" w:right="379"/>
        <w:spacing w:after="0" w:line="209" w:lineRule="auto"/>
        <w:rPr>
          <w:sz w:val="20"/>
          <w:szCs w:val="20"/>
          <w:color w:val="auto"/>
        </w:rPr>
      </w:pPr>
      <w:r>
        <w:rPr>
          <w:rFonts w:ascii="Arial" w:cs="Arial" w:eastAsia="Arial" w:hAnsi="Arial"/>
          <w:sz w:val="17"/>
          <w:szCs w:val="17"/>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w:t>
      </w:r>
    </w:p>
    <w:p>
      <w:pPr>
        <w:spacing w:after="0" w:line="1" w:lineRule="exact"/>
        <w:rPr>
          <w:sz w:val="20"/>
          <w:szCs w:val="20"/>
          <w:color w:val="auto"/>
        </w:rPr>
      </w:pPr>
    </w:p>
    <w:p>
      <w:pPr>
        <w:ind w:left="820" w:hanging="798"/>
        <w:spacing w:after="0"/>
        <w:tabs>
          <w:tab w:leader="none" w:pos="8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incorporates it by reference.</w:t>
      </w:r>
    </w:p>
    <w:p>
      <w:pPr>
        <w:spacing w:after="0" w:line="27" w:lineRule="exact"/>
        <w:rPr>
          <w:sz w:val="20"/>
          <w:szCs w:val="20"/>
          <w:color w:val="auto"/>
        </w:rPr>
      </w:pPr>
    </w:p>
    <w:p>
      <w:pPr>
        <w:ind w:left="820" w:hanging="798"/>
        <w:spacing w:after="0"/>
        <w:tabs>
          <w:tab w:leader="none" w:pos="8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Portions of this exhibit (indicated by asterisks) have been omitted in accordance with the rules of the Securities and</w:t>
      </w:r>
    </w:p>
    <w:p>
      <w:pPr>
        <w:ind w:left="820" w:hanging="798"/>
        <w:spacing w:after="0"/>
        <w:tabs>
          <w:tab w:leader="none" w:pos="8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608965</wp:posOffset>
            </wp:positionV>
            <wp:extent cx="713613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351" w:lineRule="exact"/>
        <w:rPr>
          <w:sz w:val="20"/>
          <w:szCs w:val="20"/>
          <w:color w:val="auto"/>
        </w:rPr>
      </w:pPr>
    </w:p>
    <w:p>
      <w:pPr>
        <w:ind w:right="220" w:firstLine="629"/>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17"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PRAXIS PRECISION MEDICINES, INC.</w:t>
      </w:r>
    </w:p>
    <w:p>
      <w:pPr>
        <w:spacing w:after="0" w:line="102"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7"/>
          <w:szCs w:val="17"/>
          <w:color w:val="auto"/>
        </w:rPr>
        <w:t>Date: March 17,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9525</wp:posOffset>
            </wp:positionV>
            <wp:extent cx="26396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7"/>
          <w:szCs w:val="17"/>
          <w:color w:val="auto"/>
        </w:rPr>
        <w:t>Marcio Souza</w:t>
      </w:r>
    </w:p>
    <w:p>
      <w:pPr>
        <w:ind w:left="7060"/>
        <w:spacing w:after="0"/>
        <w:rPr>
          <w:sz w:val="20"/>
          <w:szCs w:val="20"/>
          <w:color w:val="auto"/>
        </w:rPr>
      </w:pPr>
      <w:r>
        <w:rPr>
          <w:rFonts w:ascii="Arial" w:cs="Arial" w:eastAsia="Arial" w:hAnsi="Arial"/>
          <w:sz w:val="17"/>
          <w:szCs w:val="17"/>
          <w:color w:val="auto"/>
        </w:rPr>
        <w:t>Chief Executive Officer</w:t>
      </w: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46" w:lineRule="exact"/>
        <w:rPr>
          <w:sz w:val="20"/>
          <w:szCs w:val="20"/>
          <w:color w:val="auto"/>
        </w:rPr>
      </w:pPr>
    </w:p>
    <w:p>
      <w:pPr>
        <w:ind w:right="240" w:firstLine="629"/>
        <w:spacing w:after="0" w:line="260" w:lineRule="auto"/>
        <w:rPr>
          <w:sz w:val="20"/>
          <w:szCs w:val="20"/>
          <w:color w:val="auto"/>
        </w:rPr>
      </w:pPr>
      <w:r>
        <w:rPr>
          <w:rFonts w:ascii="Arial" w:cs="Arial" w:eastAsia="Arial" w:hAnsi="Arial"/>
          <w:sz w:val="17"/>
          <w:szCs w:val="17"/>
          <w:color w:val="auto"/>
        </w:rPr>
        <w:t>Each person whose individual signature appears below hereby authorizes and appoints Marcio Souza and Alex Nemiroff,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6"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4"/>
                <w:szCs w:val="14"/>
                <w:b w:val="1"/>
                <w:bCs w:val="1"/>
                <w:color w:val="auto"/>
                <w:w w:val="99"/>
              </w:rPr>
              <w:t>Name</w:t>
            </w:r>
          </w:p>
        </w:tc>
        <w:tc>
          <w:tcPr>
            <w:tcW w:w="100" w:type="dxa"/>
            <w:vAlign w:val="bottom"/>
          </w:tcPr>
          <w:p>
            <w:pPr>
              <w:spacing w:after="0"/>
              <w:rPr>
                <w:sz w:val="15"/>
                <w:szCs w:val="15"/>
                <w:color w:val="auto"/>
              </w:rPr>
            </w:pPr>
          </w:p>
        </w:tc>
        <w:tc>
          <w:tcPr>
            <w:tcW w:w="6080" w:type="dxa"/>
            <w:vAlign w:val="bottom"/>
            <w:tcBorders>
              <w:bottom w:val="single" w:sz="8" w:color="auto"/>
            </w:tcBorders>
          </w:tcPr>
          <w:p>
            <w:pPr>
              <w:jc w:val="center"/>
              <w:ind w:left="355"/>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5"/>
                <w:szCs w:val="15"/>
                <w:color w:val="auto"/>
              </w:rPr>
            </w:pPr>
          </w:p>
        </w:tc>
        <w:tc>
          <w:tcPr>
            <w:tcW w:w="18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9"/>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Marcio Souza</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Chief Executive Officer and Director (Principal Executive Officer)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42"/>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Marcio Souza</w:t>
            </w:r>
          </w:p>
        </w:tc>
        <w:tc>
          <w:tcPr>
            <w:tcW w:w="10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2760" w:type="dxa"/>
            <w:vAlign w:val="bottom"/>
            <w:vMerge w:val="restart"/>
          </w:tcPr>
          <w:p>
            <w:pPr>
              <w:jc w:val="center"/>
              <w:ind w:left="354"/>
              <w:spacing w:after="0"/>
              <w:rPr>
                <w:sz w:val="20"/>
                <w:szCs w:val="20"/>
                <w:color w:val="auto"/>
              </w:rPr>
            </w:pPr>
            <w:r>
              <w:rPr>
                <w:rFonts w:ascii="Arial" w:cs="Arial" w:eastAsia="Arial" w:hAnsi="Arial"/>
                <w:sz w:val="17"/>
                <w:szCs w:val="17"/>
                <w:color w:val="auto"/>
              </w:rPr>
              <w:t>/s/ Lauren Mastrocola</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Principal Accounting Officer and Interim Principal Financial Officer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136"/>
        </w:trPr>
        <w:tc>
          <w:tcPr>
            <w:tcW w:w="2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Lauren Mastrocola</w:t>
            </w:r>
          </w:p>
        </w:tc>
        <w:tc>
          <w:tcPr>
            <w:tcW w:w="10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Dean Mitchell</w:t>
            </w:r>
          </w:p>
        </w:tc>
        <w:tc>
          <w:tcPr>
            <w:tcW w:w="100" w:type="dxa"/>
            <w:vAlign w:val="bottom"/>
          </w:tcPr>
          <w:p>
            <w:pPr>
              <w:spacing w:after="0"/>
              <w:rPr>
                <w:sz w:val="24"/>
                <w:szCs w:val="24"/>
                <w:color w:val="auto"/>
              </w:rPr>
            </w:pPr>
          </w:p>
        </w:tc>
        <w:tc>
          <w:tcPr>
            <w:tcW w:w="6180" w:type="dxa"/>
            <w:vAlign w:val="bottom"/>
            <w:gridSpan w:val="2"/>
          </w:tcPr>
          <w:p>
            <w:pPr>
              <w:jc w:val="center"/>
              <w:ind w:left="255"/>
              <w:spacing w:after="0"/>
              <w:rPr>
                <w:sz w:val="20"/>
                <w:szCs w:val="20"/>
                <w:color w:val="auto"/>
              </w:rPr>
            </w:pPr>
            <w:r>
              <w:rPr>
                <w:rFonts w:ascii="Arial" w:cs="Arial" w:eastAsia="Arial" w:hAnsi="Arial"/>
                <w:sz w:val="17"/>
                <w:szCs w:val="17"/>
                <w:color w:val="auto"/>
              </w:rPr>
              <w:t>Chairman of the Board</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Dean Mitchell</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Nicholas Galakatos</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Director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54"/>
              <w:spacing w:after="0"/>
              <w:rPr>
                <w:sz w:val="20"/>
                <w:szCs w:val="20"/>
                <w:color w:val="auto"/>
              </w:rPr>
            </w:pPr>
            <w:r>
              <w:rPr>
                <w:rFonts w:ascii="Arial" w:cs="Arial" w:eastAsia="Arial" w:hAnsi="Arial"/>
                <w:sz w:val="17"/>
                <w:szCs w:val="17"/>
                <w:color w:val="auto"/>
              </w:rPr>
              <w:t>Nicholas Galakatos, Ph.D.</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Gregory Norden</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Director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Gregory Norden</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Kiran Reddy</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Director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Kiran Reddy, M.D.</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Stefan Vitorovic</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Director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Stefan Vitorovic</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76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William Young</w:t>
            </w:r>
          </w:p>
        </w:tc>
        <w:tc>
          <w:tcPr>
            <w:tcW w:w="100" w:type="dxa"/>
            <w:vAlign w:val="bottom"/>
          </w:tcPr>
          <w:p>
            <w:pPr>
              <w:spacing w:after="0"/>
              <w:rPr>
                <w:sz w:val="24"/>
                <w:szCs w:val="24"/>
                <w:color w:val="auto"/>
              </w:rPr>
            </w:pPr>
          </w:p>
        </w:tc>
        <w:tc>
          <w:tcPr>
            <w:tcW w:w="6180" w:type="dxa"/>
            <w:vAlign w:val="bottom"/>
            <w:gridSpan w:val="2"/>
          </w:tcPr>
          <w:p>
            <w:pPr>
              <w:jc w:val="center"/>
              <w:ind w:left="235"/>
              <w:spacing w:after="0"/>
              <w:rPr>
                <w:sz w:val="20"/>
                <w:szCs w:val="20"/>
                <w:color w:val="auto"/>
              </w:rPr>
            </w:pPr>
            <w:r>
              <w:rPr>
                <w:rFonts w:ascii="Arial" w:cs="Arial" w:eastAsia="Arial" w:hAnsi="Arial"/>
                <w:sz w:val="17"/>
                <w:szCs w:val="17"/>
                <w:color w:val="auto"/>
              </w:rPr>
              <w:t>Director</w:t>
            </w:r>
          </w:p>
        </w:tc>
        <w:tc>
          <w:tcPr>
            <w:tcW w:w="1860" w:type="dxa"/>
            <w:vAlign w:val="bottom"/>
          </w:tcPr>
          <w:p>
            <w:pPr>
              <w:ind w:left="720"/>
              <w:spacing w:after="0"/>
              <w:rPr>
                <w:sz w:val="20"/>
                <w:szCs w:val="20"/>
                <w:color w:val="auto"/>
              </w:rPr>
            </w:pPr>
            <w:r>
              <w:rPr>
                <w:rFonts w:ascii="Arial" w:cs="Arial" w:eastAsia="Arial" w:hAnsi="Arial"/>
                <w:sz w:val="17"/>
                <w:szCs w:val="17"/>
                <w:color w:val="auto"/>
                <w:w w:val="94"/>
              </w:rPr>
              <w:t>March 17, 2021</w:t>
            </w:r>
          </w:p>
        </w:tc>
        <w:tc>
          <w:tcPr>
            <w:tcW w:w="0" w:type="dxa"/>
            <w:vAlign w:val="bottom"/>
          </w:tcPr>
          <w:p>
            <w:pPr>
              <w:spacing w:after="0"/>
              <w:rPr>
                <w:sz w:val="1"/>
                <w:szCs w:val="1"/>
                <w:color w:val="auto"/>
              </w:rPr>
            </w:pPr>
          </w:p>
        </w:tc>
      </w:tr>
      <w:tr>
        <w:trPr>
          <w:trHeight w:val="216"/>
        </w:trPr>
        <w:tc>
          <w:tcPr>
            <w:tcW w:w="2760" w:type="dxa"/>
            <w:vAlign w:val="bottom"/>
          </w:tcPr>
          <w:p>
            <w:pPr>
              <w:jc w:val="center"/>
              <w:ind w:left="334"/>
              <w:spacing w:after="0"/>
              <w:rPr>
                <w:sz w:val="20"/>
                <w:szCs w:val="20"/>
                <w:color w:val="auto"/>
              </w:rPr>
            </w:pPr>
            <w:r>
              <w:rPr>
                <w:rFonts w:ascii="Arial" w:cs="Arial" w:eastAsia="Arial" w:hAnsi="Arial"/>
                <w:sz w:val="17"/>
                <w:szCs w:val="17"/>
                <w:color w:val="auto"/>
              </w:rPr>
              <w:t>William Young</w:t>
            </w:r>
          </w:p>
        </w:tc>
        <w:tc>
          <w:tcPr>
            <w:tcW w:w="1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340"/>
          </w:cols>
          <w:pgMar w:left="320" w:top="118" w:right="239" w:bottom="1440" w:gutter="0" w:footer="0" w:header="0"/>
        </w:sectPr>
      </w:pPr>
    </w:p>
    <w:bookmarkStart w:id="202" w:name="page203"/>
    <w:bookmarkEnd w:id="202"/>
    <w:p>
      <w:pPr>
        <w:spacing w:after="0" w:line="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THE REGISTRANT’S SECURITIES REGISTERED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SECTION 12 OF THE SECURITIES EXCHANGE ACT OF 1934, AS AMENDED</w:t>
      </w:r>
    </w:p>
    <w:p>
      <w:pPr>
        <w:spacing w:after="0" w:line="107" w:lineRule="exact"/>
        <w:rPr>
          <w:sz w:val="20"/>
          <w:szCs w:val="20"/>
          <w:color w:val="auto"/>
        </w:rPr>
      </w:pPr>
    </w:p>
    <w:p>
      <w:pPr>
        <w:ind w:right="40" w:firstLine="315"/>
        <w:spacing w:after="0" w:line="283" w:lineRule="auto"/>
        <w:rPr>
          <w:sz w:val="20"/>
          <w:szCs w:val="20"/>
          <w:color w:val="auto"/>
        </w:rPr>
      </w:pPr>
      <w:r>
        <w:rPr>
          <w:rFonts w:ascii="Arial" w:cs="Arial" w:eastAsia="Arial" w:hAnsi="Arial"/>
          <w:sz w:val="16"/>
          <w:szCs w:val="16"/>
          <w:color w:val="auto"/>
        </w:rPr>
        <w:t>The common stock, par value $0.0001 per share (“common stock”), of Praxis Precision Medicines, Inc. (“Praxis,” “we,” or “our”) is registered under Section 12 of the Securities Exchange Act of 1934, as amended.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(our “certificate of incorporation”)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General Corporation Law of the State of Delaware (the “DGCL”).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authorized to issue 150,000,000 shares of common stock and 10,000,000 shares of preferred stock, par value $0.0001 per share (“preferred stock”).</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71" w:lineRule="exact"/>
        <w:rPr>
          <w:sz w:val="20"/>
          <w:szCs w:val="20"/>
          <w:color w:val="auto"/>
        </w:rPr>
      </w:pPr>
    </w:p>
    <w:p>
      <w:pPr>
        <w:ind w:right="640" w:firstLine="315"/>
        <w:spacing w:after="0" w:line="289"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Our board of directors is authorized,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5" w:lineRule="exact"/>
        <w:rPr>
          <w:sz w:val="20"/>
          <w:szCs w:val="20"/>
          <w:color w:val="auto"/>
        </w:rPr>
      </w:pPr>
    </w:p>
    <w:p>
      <w:pPr>
        <w:ind w:right="60" w:firstLine="315"/>
        <w:spacing w:after="0" w:line="298" w:lineRule="auto"/>
        <w:rPr>
          <w:sz w:val="20"/>
          <w:szCs w:val="20"/>
          <w:color w:val="auto"/>
        </w:rPr>
      </w:pPr>
      <w:r>
        <w:rPr>
          <w:rFonts w:ascii="Arial" w:cs="Arial" w:eastAsia="Arial" w:hAnsi="Arial"/>
          <w:sz w:val="16"/>
          <w:szCs w:val="16"/>
          <w:color w:val="auto"/>
        </w:rPr>
        <w:t>Pursuant to the terms of our Fourth Amended and Restated Investors’ Rights Agreement, dated as of July 24, 2020 (our “Investors’ Rights Agreement”), certain of our stockholders are entitled to rights with respect to the registration of their shares (which we refer to herein as “registrable securities”) under the Securities Act of 1933, as amended (the “Securities Act”), including demand registration rights, short-form registration rights and piggyback registration rights.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9" w:lineRule="exact"/>
        <w:rPr>
          <w:sz w:val="20"/>
          <w:szCs w:val="20"/>
          <w:color w:val="auto"/>
        </w:rPr>
      </w:pPr>
    </w:p>
    <w:p>
      <w:pPr>
        <w:ind w:right="40" w:firstLine="315"/>
        <w:spacing w:after="0" w:line="298" w:lineRule="auto"/>
        <w:rPr>
          <w:sz w:val="20"/>
          <w:szCs w:val="20"/>
          <w:color w:val="auto"/>
        </w:rPr>
      </w:pPr>
      <w:r>
        <w:rPr>
          <w:rFonts w:ascii="Arial" w:cs="Arial" w:eastAsia="Arial" w:hAnsi="Arial"/>
          <w:sz w:val="16"/>
          <w:szCs w:val="16"/>
          <w:color w:val="auto"/>
        </w:rPr>
        <w:t>The holders of our registrable securities are entitled to demand registration rights. Under the terms of the Investors’ Rights Agreement, we will be required, upon the written request of holders of at least a majority of the securities eligible for registration then outstanding, and if anticipated aggregate offering price, net of related fees and expenses, would exceed $5 million, we will be required to file a registration statement covering all securities eligible</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5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for registration that our stockholders request to be included in such registration. We are required to effect only two registrations pursuant to this provision of the Investors’ Rights Agreement in any twelve-month period.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Short-Form Registration Rights</w:t>
      </w:r>
    </w:p>
    <w:p>
      <w:pPr>
        <w:spacing w:after="0" w:line="119" w:lineRule="exact"/>
        <w:rPr>
          <w:sz w:val="20"/>
          <w:szCs w:val="20"/>
          <w:color w:val="auto"/>
        </w:rPr>
      </w:pPr>
    </w:p>
    <w:p>
      <w:pPr>
        <w:ind w:right="100" w:firstLine="315"/>
        <w:spacing w:after="0" w:line="264" w:lineRule="auto"/>
        <w:rPr>
          <w:sz w:val="20"/>
          <w:szCs w:val="20"/>
          <w:color w:val="auto"/>
        </w:rPr>
      </w:pPr>
      <w:r>
        <w:rPr>
          <w:rFonts w:ascii="Arial" w:cs="Arial" w:eastAsia="Arial" w:hAnsi="Arial"/>
          <w:sz w:val="17"/>
          <w:szCs w:val="17"/>
          <w:color w:val="auto"/>
        </w:rPr>
        <w:t>The holders of our registrable securities are also entitled to short form registration rights. Pursuant to the Investors’ Rights Agreement, if we are eligible to file a registration statement on Form S-3, upon the written request of stockholders holding at least a majority of the securities eligible for registration then outstanding, we will be required to file a Form S-3 registration restatement with respect to outstanding securities of such stockholders having an anticipated aggregate offering, net of related fees and expenses, of at least $3 million. We are required to effect only two registrations in any twelve-month period pursuant to this provision of the Investors’ Rights Agreement. The right to have such shares registered on Form S-3 is further subject to other specified conditions and limitations.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9"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The holders of our registrable securities are also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ind w:right="100" w:firstLine="315"/>
        <w:spacing w:after="0" w:line="273" w:lineRule="auto"/>
        <w:rPr>
          <w:sz w:val="20"/>
          <w:szCs w:val="20"/>
          <w:color w:val="auto"/>
        </w:rPr>
      </w:pPr>
      <w:r>
        <w:rPr>
          <w:rFonts w:ascii="Arial" w:cs="Arial" w:eastAsia="Arial" w:hAnsi="Arial"/>
          <w:sz w:val="17"/>
          <w:szCs w:val="17"/>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demand registration rights and short-form registration rights granted under the Investors’ Rights Agreement will terminate on the earliest to occur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 on the fifth anniversary of the completion of our initial public offering or (ii) a merger, sale or liquidation of our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Certificate of Incorporation and Bylaws and Delaware Law</w:t>
      </w:r>
    </w:p>
    <w:p>
      <w:pPr>
        <w:spacing w:after="0" w:line="125" w:lineRule="exact"/>
        <w:rPr>
          <w:sz w:val="20"/>
          <w:szCs w:val="20"/>
          <w:color w:val="auto"/>
        </w:rPr>
      </w:pPr>
    </w:p>
    <w:p>
      <w:pPr>
        <w:ind w:right="60" w:firstLine="315"/>
        <w:spacing w:after="0" w:line="273"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19" w:lineRule="exact"/>
        <w:rPr>
          <w:sz w:val="20"/>
          <w:szCs w:val="20"/>
          <w:color w:val="auto"/>
        </w:rPr>
      </w:pPr>
    </w:p>
    <w:p>
      <w:pPr>
        <w:ind w:right="40" w:firstLine="315"/>
        <w:spacing w:after="0" w:line="261"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for Certain Actions</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51"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Our bylaws provide that, unless we consent in writing to an alternative forum, the Court of Chancery of the State of Delaware will be the sole and exclusive forum for state law claims for (i) any derivative action or proceeding brought on our behalf, (ii) any action asserting a claim of breach of a fiduciary duty owed by any of our current or former directors, officers and employees to us or our stockholders, (iii) any action asserting a claim against us or any of our current or former directors, officers, or other employees or stockholders arising pursuant to any provision of the DGCL, our certificate of incorporation or our bylaws, (iv) any action to interpret, apply, enforce or determine the validity of our certificate of incorporation or our bylaws or (v) any action asserting a claim against us or any of our current or former directors or officers or other employees that is governed by the internal affairs doctrine.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119" w:lineRule="exact"/>
        <w:rPr>
          <w:sz w:val="20"/>
          <w:szCs w:val="20"/>
          <w:color w:val="auto"/>
        </w:rPr>
      </w:pPr>
    </w:p>
    <w:p>
      <w:pPr>
        <w:ind w:right="260" w:firstLine="315"/>
        <w:spacing w:after="0" w:line="268" w:lineRule="auto"/>
        <w:rPr>
          <w:sz w:val="20"/>
          <w:szCs w:val="20"/>
          <w:color w:val="auto"/>
        </w:rPr>
      </w:pPr>
      <w:r>
        <w:rPr>
          <w:rFonts w:ascii="Arial" w:cs="Arial" w:eastAsia="Arial" w:hAnsi="Arial"/>
          <w:sz w:val="17"/>
          <w:szCs w:val="17"/>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1" w:lineRule="exact"/>
        <w:rPr>
          <w:sz w:val="20"/>
          <w:szCs w:val="20"/>
          <w:color w:val="auto"/>
        </w:rPr>
      </w:pPr>
    </w:p>
    <w:p>
      <w:pPr>
        <w:ind w:left="640" w:right="420" w:hanging="320"/>
        <w:spacing w:after="0" w:line="289" w:lineRule="auto"/>
        <w:tabs>
          <w:tab w:leader="none" w:pos="63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pacing w:after="0" w:line="53" w:lineRule="exact"/>
        <w:rPr>
          <w:rFonts w:ascii="Arial" w:cs="Arial" w:eastAsia="Arial" w:hAnsi="Arial"/>
          <w:sz w:val="17"/>
          <w:szCs w:val="17"/>
          <w:color w:val="auto"/>
        </w:rPr>
      </w:pPr>
    </w:p>
    <w:p>
      <w:pPr>
        <w:jc w:val="both"/>
        <w:ind w:left="640" w:right="100" w:hanging="320"/>
        <w:spacing w:after="0" w:line="268" w:lineRule="auto"/>
        <w:tabs>
          <w:tab w:leader="none" w:pos="63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1" w:lineRule="exact"/>
        <w:rPr>
          <w:rFonts w:ascii="Arial" w:cs="Arial" w:eastAsia="Arial" w:hAnsi="Arial"/>
          <w:sz w:val="17"/>
          <w:szCs w:val="17"/>
          <w:color w:val="auto"/>
        </w:rPr>
      </w:pPr>
    </w:p>
    <w:p>
      <w:pPr>
        <w:ind w:left="640" w:right="80" w:hanging="320"/>
        <w:spacing w:after="0" w:line="273" w:lineRule="auto"/>
        <w:tabs>
          <w:tab w:leader="none" w:pos="63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119" w:lineRule="exact"/>
        <w:rPr>
          <w:sz w:val="20"/>
          <w:szCs w:val="20"/>
          <w:color w:val="auto"/>
        </w:rPr>
      </w:pPr>
    </w:p>
    <w:p>
      <w:pPr>
        <w:ind w:left="620" w:hanging="300"/>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119" w:lineRule="exact"/>
        <w:rPr>
          <w:rFonts w:ascii="Arial" w:cs="Arial" w:eastAsia="Arial" w:hAnsi="Arial"/>
          <w:sz w:val="17"/>
          <w:szCs w:val="17"/>
          <w:color w:val="auto"/>
        </w:rPr>
      </w:pPr>
    </w:p>
    <w:p>
      <w:pPr>
        <w:ind w:left="640" w:right="660" w:hanging="320"/>
        <w:spacing w:after="0" w:line="289" w:lineRule="auto"/>
        <w:tabs>
          <w:tab w:leader="none" w:pos="63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subject to exceptions, any transaction that results in the issuance or transfer by the corporation of any stock of the corporation to the interested stockholder;</w:t>
      </w:r>
    </w:p>
    <w:p>
      <w:pPr>
        <w:spacing w:after="0" w:line="53" w:lineRule="exact"/>
        <w:rPr>
          <w:rFonts w:ascii="Arial" w:cs="Arial" w:eastAsia="Arial" w:hAnsi="Arial"/>
          <w:sz w:val="17"/>
          <w:szCs w:val="17"/>
          <w:color w:val="auto"/>
        </w:rPr>
      </w:pPr>
    </w:p>
    <w:p>
      <w:pPr>
        <w:ind w:left="640" w:right="360" w:hanging="320"/>
        <w:spacing w:after="0" w:line="289" w:lineRule="auto"/>
        <w:tabs>
          <w:tab w:leader="none" w:pos="63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3" w:lineRule="exact"/>
        <w:rPr>
          <w:rFonts w:ascii="Arial" w:cs="Arial" w:eastAsia="Arial" w:hAnsi="Arial"/>
          <w:sz w:val="17"/>
          <w:szCs w:val="17"/>
          <w:color w:val="auto"/>
        </w:rPr>
      </w:pPr>
    </w:p>
    <w:p>
      <w:pPr>
        <w:ind w:left="640" w:right="240" w:hanging="320"/>
        <w:spacing w:after="0" w:line="289" w:lineRule="auto"/>
        <w:tabs>
          <w:tab w:leader="none" w:pos="63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54" w:lineRule="exact"/>
        <w:rPr>
          <w:sz w:val="20"/>
          <w:szCs w:val="20"/>
          <w:color w:val="auto"/>
        </w:rPr>
      </w:pPr>
    </w:p>
    <w:p>
      <w:pPr>
        <w:ind w:right="120" w:firstLine="315"/>
        <w:spacing w:after="0" w:line="289"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119"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Provisions of our certificate of incorporation and our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51" w:lineRule="exact"/>
        <w:rPr>
          <w:sz w:val="20"/>
          <w:szCs w:val="20"/>
          <w:color w:val="auto"/>
        </w:rPr>
      </w:pPr>
    </w:p>
    <w:p>
      <w:pPr>
        <w:ind w:left="620" w:hanging="300"/>
        <w:spacing w:after="0"/>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permit our board of directors to issue up to 10,000,000 shares of preferred stock, with any rights, preferences and privileges as they may designate;</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provide that the authorized number of directors may be changed only by resolution adopted by a majority of the board of directors;</w:t>
      </w:r>
    </w:p>
    <w:p>
      <w:pPr>
        <w:spacing w:after="0" w:line="119"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provide that the board of directors or any individual director may only be removed with cause and the affirmative vote of the holders of at least 66.67% of the voting power of all of our then outstanding common stock;</w:t>
      </w:r>
    </w:p>
    <w:p>
      <w:pPr>
        <w:spacing w:after="0" w:line="53" w:lineRule="exact"/>
        <w:rPr>
          <w:rFonts w:ascii="Arial" w:cs="Arial" w:eastAsia="Arial" w:hAnsi="Arial"/>
          <w:sz w:val="17"/>
          <w:szCs w:val="17"/>
          <w:color w:val="auto"/>
        </w:rPr>
      </w:pPr>
    </w:p>
    <w:p>
      <w:pPr>
        <w:ind w:left="640" w:right="240" w:hanging="320"/>
        <w:spacing w:after="0" w:line="322" w:lineRule="auto"/>
        <w:tabs>
          <w:tab w:leader="none" w:pos="6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30" w:lineRule="exact"/>
        <w:rPr>
          <w:rFonts w:ascii="Arial" w:cs="Arial" w:eastAsia="Arial" w:hAnsi="Arial"/>
          <w:sz w:val="16"/>
          <w:szCs w:val="16"/>
          <w:color w:val="auto"/>
        </w:rPr>
      </w:pPr>
    </w:p>
    <w:p>
      <w:pPr>
        <w:ind w:left="620" w:hanging="300"/>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divide our board of directors into three classes;</w:t>
      </w:r>
    </w:p>
    <w:p>
      <w:pPr>
        <w:spacing w:after="0" w:line="119" w:lineRule="exact"/>
        <w:rPr>
          <w:rFonts w:ascii="Arial" w:cs="Arial" w:eastAsia="Arial" w:hAnsi="Arial"/>
          <w:sz w:val="17"/>
          <w:szCs w:val="17"/>
          <w:color w:val="auto"/>
        </w:rPr>
      </w:pPr>
    </w:p>
    <w:p>
      <w:pPr>
        <w:ind w:left="640" w:right="120" w:hanging="320"/>
        <w:spacing w:after="0" w:line="289" w:lineRule="auto"/>
        <w:tabs>
          <w:tab w:leader="none" w:pos="63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or electronic transmission;</w:t>
      </w:r>
    </w:p>
    <w:p>
      <w:pPr>
        <w:spacing w:after="0" w:line="53" w:lineRule="exact"/>
        <w:rPr>
          <w:rFonts w:ascii="Arial" w:cs="Arial" w:eastAsia="Arial" w:hAnsi="Arial"/>
          <w:sz w:val="17"/>
          <w:szCs w:val="17"/>
          <w:color w:val="auto"/>
        </w:rPr>
      </w:pPr>
    </w:p>
    <w:p>
      <w:pPr>
        <w:ind w:left="640" w:right="40" w:hanging="320"/>
        <w:spacing w:after="0" w:line="360" w:lineRule="auto"/>
        <w:tabs>
          <w:tab w:leader="none" w:pos="635" w:val="left"/>
        </w:tabs>
        <w:numPr>
          <w:ilvl w:val="0"/>
          <w:numId w:val="110"/>
        </w:numPr>
        <w:rPr>
          <w:rFonts w:ascii="Arial" w:cs="Arial" w:eastAsia="Arial" w:hAnsi="Arial"/>
          <w:sz w:val="15"/>
          <w:szCs w:val="15"/>
          <w:color w:val="auto"/>
        </w:rPr>
      </w:pPr>
      <w:r>
        <w:rPr>
          <w:rFonts w:ascii="Arial" w:cs="Arial" w:eastAsia="Arial" w:hAnsi="Arial"/>
          <w:sz w:val="15"/>
          <w:szCs w:val="15"/>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7" w:lineRule="exact"/>
        <w:rPr>
          <w:rFonts w:ascii="Arial" w:cs="Arial" w:eastAsia="Arial" w:hAnsi="Arial"/>
          <w:sz w:val="15"/>
          <w:szCs w:val="15"/>
          <w:color w:val="auto"/>
        </w:rPr>
      </w:pPr>
    </w:p>
    <w:p>
      <w:pPr>
        <w:ind w:left="640" w:right="80" w:hanging="320"/>
        <w:spacing w:after="0" w:line="289" w:lineRule="auto"/>
        <w:tabs>
          <w:tab w:leader="none" w:pos="63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53" w:lineRule="exact"/>
        <w:rPr>
          <w:rFonts w:ascii="Arial" w:cs="Arial" w:eastAsia="Arial" w:hAnsi="Arial"/>
          <w:sz w:val="17"/>
          <w:szCs w:val="17"/>
          <w:color w:val="auto"/>
        </w:rPr>
      </w:pPr>
    </w:p>
    <w:p>
      <w:pPr>
        <w:ind w:left="640" w:right="680" w:hanging="320"/>
        <w:spacing w:after="0" w:line="289" w:lineRule="auto"/>
        <w:tabs>
          <w:tab w:leader="none" w:pos="63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our board of directors acting pursuant to a resolution approved by the affirmative vote of a majority of the directors then in office; and</w:t>
      </w:r>
    </w:p>
    <w:p>
      <w:pPr>
        <w:spacing w:after="0" w:line="53" w:lineRule="exact"/>
        <w:rPr>
          <w:rFonts w:ascii="Arial" w:cs="Arial" w:eastAsia="Arial" w:hAnsi="Arial"/>
          <w:sz w:val="17"/>
          <w:szCs w:val="17"/>
          <w:color w:val="auto"/>
        </w:rPr>
      </w:pPr>
    </w:p>
    <w:p>
      <w:pPr>
        <w:ind w:left="640" w:hanging="320"/>
        <w:spacing w:after="0" w:line="283" w:lineRule="auto"/>
        <w:tabs>
          <w:tab w:leader="none" w:pos="6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provide that the Court of Chancery of the State of Delaware will be the sole and exclusive forum for state law claims for (i) any derivative action or proceeding brought on our behalf, (ii) any action asserting a claim of breach of a fiduciary duty owed by any of our current or former directors, officers and employees to us or our stockholders, (iii) any action asserting a claim against us or any of our current or former directors, officers, or other employees or stockholders arising pursuant to any provision of the DGCL, our certificate of incorporation or our bylaws, (iv) any action to interpret, apply, enforce or determine the validity of our certificate of incorporation or our bylaws or (v) any action asserting a claim against us or any of our current or former directors or officers or other employees that is governed by the internal affairs doctrine.</w:t>
      </w:r>
    </w:p>
    <w:p>
      <w:pPr>
        <w:spacing w:after="0" w:line="62" w:lineRule="exact"/>
        <w:rPr>
          <w:sz w:val="20"/>
          <w:szCs w:val="20"/>
          <w:color w:val="auto"/>
        </w:rPr>
      </w:pPr>
    </w:p>
    <w:p>
      <w:pPr>
        <w:ind w:right="260" w:firstLine="315"/>
        <w:spacing w:after="0" w:line="268" w:lineRule="auto"/>
        <w:rPr>
          <w:sz w:val="20"/>
          <w:szCs w:val="20"/>
          <w:color w:val="auto"/>
        </w:rPr>
      </w:pPr>
      <w:r>
        <w:rPr>
          <w:rFonts w:ascii="Arial" w:cs="Arial" w:eastAsia="Arial" w:hAnsi="Arial"/>
          <w:sz w:val="17"/>
          <w:szCs w:val="17"/>
          <w:color w:val="auto"/>
        </w:rPr>
        <w:t>The amendment of any of these provisions included in our certificate of incorporation, with the exception of the ability of our board of directors to issue shares of preferred stock and designate any rights, preferences and privileges thereto, would require the affirmative vote of the majority of all of our then outstanding common stock. The amendment of any of these provisions included in our bylaws would require the affirmative vote of the holders of at least 66.67% of the voting power of our then outstanding common stock.</w:t>
      </w:r>
    </w:p>
    <w:p>
      <w:pPr>
        <w:sectPr>
          <w:pgSz w:w="11900" w:h="16838" w:orient="portrait"/>
          <w:cols w:equalWidth="0" w:num="1">
            <w:col w:w="11220"/>
          </w:cols>
          <w:pgMar w:left="320" w:top="1440" w:right="3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10.3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PRAXIS PRECISION MEDICINES,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2017 STOCK INCENTIVE PLAN</w:t>
      </w:r>
    </w:p>
    <w:p>
      <w:pPr>
        <w:spacing w:after="0" w:line="224" w:lineRule="exact"/>
        <w:rPr>
          <w:sz w:val="20"/>
          <w:szCs w:val="20"/>
          <w:color w:val="auto"/>
        </w:rPr>
      </w:pPr>
    </w:p>
    <w:p>
      <w:pPr>
        <w:ind w:left="180" w:hanging="175"/>
        <w:spacing w:after="0"/>
        <w:tabs>
          <w:tab w:leader="none" w:pos="18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Purpose</w:t>
      </w:r>
    </w:p>
    <w:p>
      <w:pPr>
        <w:spacing w:after="0" w:line="119"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The purpose of this 2017 Stock Incentive Plan (the “Plan”) of Praxis Precision Medicines,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71" w:lineRule="exact"/>
        <w:rPr>
          <w:sz w:val="20"/>
          <w:szCs w:val="20"/>
          <w:color w:val="auto"/>
        </w:rPr>
      </w:pPr>
    </w:p>
    <w:p>
      <w:pPr>
        <w:ind w:left="180" w:hanging="175"/>
        <w:spacing w:after="0"/>
        <w:tabs>
          <w:tab w:leader="none" w:pos="18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119" w:lineRule="exact"/>
        <w:rPr>
          <w:sz w:val="20"/>
          <w:szCs w:val="20"/>
          <w:color w:val="auto"/>
        </w:rPr>
      </w:pPr>
    </w:p>
    <w:p>
      <w:pPr>
        <w:ind w:right="160" w:firstLine="629"/>
        <w:spacing w:after="0" w:line="360" w:lineRule="auto"/>
        <w:rPr>
          <w:sz w:val="20"/>
          <w:szCs w:val="20"/>
          <w:color w:val="auto"/>
        </w:rPr>
      </w:pPr>
      <w:r>
        <w:rPr>
          <w:rFonts w:ascii="Arial" w:cs="Arial" w:eastAsia="Arial" w:hAnsi="Arial"/>
          <w:sz w:val="15"/>
          <w:szCs w:val="15"/>
          <w:color w:val="auto"/>
        </w:rPr>
        <w:t>All of the Company’s employees, officers, directors, consultants and advisors are eligible to be granted options, restricted stock, restricted stock units (“RSUs”) and other stock-based awards (each, an “Award”) under the Plan. Each person who receives an Award under the Plan is deemed a “Participant”.</w:t>
      </w:r>
    </w:p>
    <w:p>
      <w:pPr>
        <w:spacing w:after="0" w:line="112" w:lineRule="exact"/>
        <w:rPr>
          <w:sz w:val="20"/>
          <w:szCs w:val="20"/>
          <w:color w:val="auto"/>
        </w:rPr>
      </w:pPr>
    </w:p>
    <w:p>
      <w:pPr>
        <w:ind w:left="180" w:hanging="175"/>
        <w:spacing w:after="0"/>
        <w:tabs>
          <w:tab w:leader="none" w:pos="1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Administration and Delegation</w:t>
      </w:r>
    </w:p>
    <w:p>
      <w:pPr>
        <w:spacing w:after="0" w:line="119" w:lineRule="exact"/>
        <w:rPr>
          <w:rFonts w:ascii="Arial" w:cs="Arial" w:eastAsia="Arial" w:hAnsi="Arial"/>
          <w:sz w:val="17"/>
          <w:szCs w:val="17"/>
          <w:color w:val="auto"/>
        </w:rPr>
      </w:pPr>
    </w:p>
    <w:p>
      <w:pPr>
        <w:ind w:right="120" w:firstLine="634"/>
        <w:spacing w:after="0" w:line="262" w:lineRule="auto"/>
        <w:tabs>
          <w:tab w:leader="none" w:pos="867"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 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79" w:lineRule="exact"/>
        <w:rPr>
          <w:rFonts w:ascii="Arial" w:cs="Arial" w:eastAsia="Arial" w:hAnsi="Arial"/>
          <w:sz w:val="17"/>
          <w:szCs w:val="17"/>
          <w:color w:val="auto"/>
        </w:rPr>
      </w:pPr>
    </w:p>
    <w:p>
      <w:pPr>
        <w:ind w:right="120" w:firstLine="634"/>
        <w:spacing w:after="0" w:line="268" w:lineRule="auto"/>
        <w:tabs>
          <w:tab w:leader="none" w:pos="877"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 The Board may abolish any Committee at any time and re-vest in itself any previously delegated authority.</w:t>
      </w:r>
    </w:p>
    <w:p>
      <w:pPr>
        <w:spacing w:after="0" w:line="202" w:lineRule="exact"/>
        <w:rPr>
          <w:rFonts w:ascii="Arial" w:cs="Arial" w:eastAsia="Arial" w:hAnsi="Arial"/>
          <w:sz w:val="17"/>
          <w:szCs w:val="17"/>
          <w:color w:val="auto"/>
        </w:rPr>
      </w:pPr>
    </w:p>
    <w:p>
      <w:pPr>
        <w:ind w:right="40" w:firstLine="634"/>
        <w:spacing w:after="0" w:line="303" w:lineRule="auto"/>
        <w:tabs>
          <w:tab w:leader="none" w:pos="867" w:val="left"/>
        </w:tabs>
        <w:numPr>
          <w:ilvl w:val="1"/>
          <w:numId w:val="113"/>
        </w:numPr>
        <w:rPr>
          <w:rFonts w:ascii="Arial" w:cs="Arial" w:eastAsia="Arial" w:hAnsi="Arial"/>
          <w:sz w:val="15"/>
          <w:szCs w:val="15"/>
          <w:color w:val="auto"/>
        </w:rPr>
      </w:pPr>
      <w:r>
        <w:rPr>
          <w:rFonts w:ascii="Arial" w:cs="Arial" w:eastAsia="Arial" w:hAnsi="Arial"/>
          <w:sz w:val="15"/>
          <w:szCs w:val="15"/>
          <w:u w:val="single" w:color="auto"/>
          <w:color w:val="auto"/>
        </w:rPr>
        <w:t>Delegation to Officers</w:t>
      </w:r>
      <w:r>
        <w:rPr>
          <w:rFonts w:ascii="Arial" w:cs="Arial" w:eastAsia="Arial" w:hAnsi="Arial"/>
          <w:sz w:val="15"/>
          <w:szCs w:val="15"/>
          <w:color w:val="auto"/>
        </w:rPr>
        <w:t xml:space="preserve">.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5"/>
          <w:szCs w:val="15"/>
          <w:i w:val="1"/>
          <w:iCs w:val="1"/>
          <w:color w:val="auto"/>
        </w:rPr>
        <w:t>provided further, however</w:t>
      </w:r>
      <w:r>
        <w:rPr>
          <w:rFonts w:ascii="Arial" w:cs="Arial" w:eastAsia="Arial" w:hAnsi="Arial"/>
          <w:sz w:val="15"/>
          <w:szCs w:val="15"/>
          <w:color w:val="auto"/>
        </w:rPr>
        <w:t>, that no officer shall be authorized to grant Awards to any “executive officer” of the Company (as defined by Rule 3b-7 under the Securities Exchange Act of 1934, as amended (the “Exchange Act”)) or to any “officer” of the Company (as defined by Rule 16a-1 under the Exchange Act). The Board may rescind any such delegation at any time and re-vest in itself any previously delegated authority.</w:t>
      </w:r>
    </w:p>
    <w:p>
      <w:pPr>
        <w:spacing w:after="0" w:line="154" w:lineRule="exact"/>
        <w:rPr>
          <w:rFonts w:ascii="Arial" w:cs="Arial" w:eastAsia="Arial" w:hAnsi="Arial"/>
          <w:sz w:val="15"/>
          <w:szCs w:val="15"/>
          <w:color w:val="auto"/>
        </w:rPr>
      </w:pPr>
    </w:p>
    <w:p>
      <w:pPr>
        <w:ind w:left="180" w:hanging="175"/>
        <w:spacing w:after="0"/>
        <w:tabs>
          <w:tab w:leader="none" w:pos="1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ectPr>
          <w:pgSz w:w="11900" w:h="16838" w:orient="portrait"/>
          <w:cols w:equalWidth="0" w:num="1">
            <w:col w:w="11240"/>
          </w:cols>
          <w:pgMar w:left="320" w:top="1380" w:right="339" w:bottom="1440" w:gutter="0" w:footer="0" w:header="0"/>
        </w:sectPr>
      </w:pPr>
    </w:p>
    <w:bookmarkStart w:id="207" w:name="page208"/>
    <w:bookmarkEnd w:id="207"/>
    <w:p>
      <w:pPr>
        <w:spacing w:after="0" w:line="51" w:lineRule="exact"/>
        <w:rPr>
          <w:sz w:val="20"/>
          <w:szCs w:val="20"/>
          <w:color w:val="auto"/>
        </w:rPr>
      </w:pPr>
    </w:p>
    <w:p>
      <w:pPr>
        <w:ind w:left="-5" w:right="20" w:firstLine="634"/>
        <w:spacing w:after="0" w:line="277" w:lineRule="auto"/>
        <w:tabs>
          <w:tab w:leader="none" w:pos="86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8 hereof, Awards may be made under the Plan covering up to five hundred twenty-five thousand (525,000) shares of common stock of the Company (the “Common Stock”).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66" w:lineRule="exact"/>
        <w:rPr>
          <w:rFonts w:ascii="Arial" w:cs="Arial" w:eastAsia="Arial" w:hAnsi="Arial"/>
          <w:sz w:val="16"/>
          <w:szCs w:val="16"/>
          <w:color w:val="auto"/>
        </w:rPr>
      </w:pPr>
    </w:p>
    <w:p>
      <w:pPr>
        <w:ind w:left="-5" w:firstLine="634"/>
        <w:spacing w:after="0" w:line="265" w:lineRule="auto"/>
        <w:tabs>
          <w:tab w:leader="none" w:pos="872"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w:t>
      </w:r>
    </w:p>
    <w:p>
      <w:pPr>
        <w:spacing w:after="0" w:line="205" w:lineRule="exact"/>
        <w:rPr>
          <w:rFonts w:ascii="Arial" w:cs="Arial" w:eastAsia="Arial" w:hAnsi="Arial"/>
          <w:sz w:val="17"/>
          <w:szCs w:val="17"/>
          <w:color w:val="auto"/>
        </w:rPr>
      </w:pPr>
    </w:p>
    <w:p>
      <w:pPr>
        <w:ind w:left="175" w:hanging="175"/>
        <w:spacing w:after="0"/>
        <w:tabs>
          <w:tab w:leader="none" w:pos="17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Stock Options</w:t>
      </w:r>
    </w:p>
    <w:p>
      <w:pPr>
        <w:spacing w:after="0" w:line="119" w:lineRule="exact"/>
        <w:rPr>
          <w:rFonts w:ascii="Arial" w:cs="Arial" w:eastAsia="Arial" w:hAnsi="Arial"/>
          <w:sz w:val="17"/>
          <w:szCs w:val="17"/>
          <w:color w:val="auto"/>
        </w:rPr>
      </w:pPr>
    </w:p>
    <w:p>
      <w:pPr>
        <w:ind w:left="-5" w:right="20" w:firstLine="634"/>
        <w:spacing w:after="0" w:line="268" w:lineRule="auto"/>
        <w:tabs>
          <w:tab w:leader="none" w:pos="862"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71" w:lineRule="exact"/>
        <w:rPr>
          <w:rFonts w:ascii="Arial" w:cs="Arial" w:eastAsia="Arial" w:hAnsi="Arial"/>
          <w:sz w:val="17"/>
          <w:szCs w:val="17"/>
          <w:color w:val="auto"/>
        </w:rPr>
      </w:pPr>
    </w:p>
    <w:p>
      <w:pPr>
        <w:ind w:left="-5" w:right="160" w:firstLine="634"/>
        <w:spacing w:after="0" w:line="277" w:lineRule="auto"/>
        <w:tabs>
          <w:tab w:leader="none" w:pos="872"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the Company, any of the Company’s present or future parent or subsidiary corporations as defined in Sections 424(e) or (f) of the Code, and any other entities the employees of which are eligible to receive Incentive Stock Options under the Code. All Options intended to qualify as Incentive Stock Options shall be subject to and shall be construed consistently with the requirements of Section 422 of the Code, and without limiting generality of the foregoing, such Options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Neither the Company nor the Board shall have any liability to a Participant, or any other party, (i) if an Option (or any part thereof) which is intended to qualify as an Incentive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75" w:hanging="102"/>
        <w:spacing w:after="0"/>
        <w:tabs>
          <w:tab w:leader="none" w:pos="5575" w:val="left"/>
        </w:tabs>
        <w:numPr>
          <w:ilvl w:val="2"/>
          <w:numId w:val="115"/>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1235"/>
          </w:cols>
          <w:pgMar w:left="325" w:top="1440" w:right="339" w:bottom="1440" w:gutter="0" w:footer="0" w:header="0"/>
        </w:sectPr>
      </w:pPr>
    </w:p>
    <w:bookmarkStart w:id="208" w:name="page209"/>
    <w:bookmarkEnd w:id="208"/>
    <w:p>
      <w:pPr>
        <w:spacing w:after="0" w:line="52" w:lineRule="exact"/>
        <w:rPr>
          <w:sz w:val="20"/>
          <w:szCs w:val="20"/>
          <w:color w:val="auto"/>
        </w:rPr>
      </w:pPr>
    </w:p>
    <w:p>
      <w:pPr>
        <w:jc w:val="both"/>
        <w:ind w:right="440"/>
        <w:spacing w:after="0" w:line="273" w:lineRule="auto"/>
        <w:rPr>
          <w:sz w:val="20"/>
          <w:szCs w:val="20"/>
          <w:color w:val="auto"/>
        </w:rPr>
      </w:pPr>
      <w:r>
        <w:rPr>
          <w:rFonts w:ascii="Arial" w:cs="Arial" w:eastAsia="Arial" w:hAnsi="Arial"/>
          <w:sz w:val="17"/>
          <w:szCs w:val="17"/>
          <w:color w:val="auto"/>
        </w:rPr>
        <w:t>Stock Option fails to qualify as such or (ii) for any action or omission by the Company or Board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w:t>
      </w:r>
    </w:p>
    <w:p>
      <w:pPr>
        <w:spacing w:after="0" w:line="67" w:lineRule="exact"/>
        <w:rPr>
          <w:sz w:val="20"/>
          <w:szCs w:val="20"/>
          <w:color w:val="auto"/>
        </w:rPr>
      </w:pPr>
    </w:p>
    <w:p>
      <w:pPr>
        <w:ind w:right="80" w:firstLine="634"/>
        <w:spacing w:after="0" w:line="286" w:lineRule="auto"/>
        <w:tabs>
          <w:tab w:leader="none" w:pos="867"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88" w:lineRule="exact"/>
        <w:rPr>
          <w:rFonts w:ascii="Arial" w:cs="Arial" w:eastAsia="Arial" w:hAnsi="Arial"/>
          <w:sz w:val="16"/>
          <w:szCs w:val="16"/>
          <w:color w:val="auto"/>
        </w:rPr>
      </w:pPr>
    </w:p>
    <w:p>
      <w:pPr>
        <w:ind w:right="120" w:firstLine="634"/>
        <w:spacing w:after="0" w:line="265" w:lineRule="auto"/>
        <w:tabs>
          <w:tab w:leader="none" w:pos="877"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Duration of Options</w:t>
      </w:r>
      <w:r>
        <w:rPr>
          <w:rFonts w:ascii="Arial" w:cs="Arial" w:eastAsia="Arial" w:hAnsi="Arial"/>
          <w:sz w:val="17"/>
          <w:szCs w:val="17"/>
          <w:color w:val="auto"/>
        </w:rPr>
        <w:t xml:space="preserve">. Each Option shall be exercisable at such times and subject to such terms and conditions as the Board may specify in the applicable option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74" w:lineRule="exact"/>
        <w:rPr>
          <w:rFonts w:ascii="Arial" w:cs="Arial" w:eastAsia="Arial" w:hAnsi="Arial"/>
          <w:sz w:val="17"/>
          <w:szCs w:val="17"/>
          <w:color w:val="auto"/>
        </w:rPr>
      </w:pPr>
    </w:p>
    <w:p>
      <w:pPr>
        <w:ind w:firstLine="634"/>
        <w:spacing w:after="0" w:line="261" w:lineRule="auto"/>
        <w:tabs>
          <w:tab w:leader="none" w:pos="867"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Exercise of Option; Notification of Disposition</w:t>
      </w:r>
      <w:r>
        <w:rPr>
          <w:rFonts w:ascii="Arial" w:cs="Arial" w:eastAsia="Arial" w:hAnsi="Arial"/>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 share of Common Stock. Shares of Common Stock subject to the Option will be delivered by the Company as soon as practicable following exercise.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w:t>
      </w:r>
    </w:p>
    <w:p>
      <w:pPr>
        <w:spacing w:after="0" w:line="80" w:lineRule="exact"/>
        <w:rPr>
          <w:rFonts w:ascii="Arial" w:cs="Arial" w:eastAsia="Arial" w:hAnsi="Arial"/>
          <w:sz w:val="17"/>
          <w:szCs w:val="17"/>
          <w:color w:val="auto"/>
        </w:rPr>
      </w:pPr>
    </w:p>
    <w:p>
      <w:pPr>
        <w:ind w:left="860" w:hanging="226"/>
        <w:spacing w:after="0"/>
        <w:tabs>
          <w:tab w:leader="none" w:pos="86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Payment Upon Exercise</w:t>
      </w:r>
      <w:r>
        <w:rPr>
          <w:rFonts w:ascii="Arial" w:cs="Arial" w:eastAsia="Arial" w:hAnsi="Arial"/>
          <w:sz w:val="17"/>
          <w:szCs w:val="17"/>
          <w:color w:val="auto"/>
        </w:rPr>
        <w:t>. Common Stock purchased upon the exercise of an Option granted under the Plan shall be paid for as follows:</w:t>
      </w:r>
    </w:p>
    <w:p>
      <w:pPr>
        <w:spacing w:after="0" w:line="119" w:lineRule="exact"/>
        <w:rPr>
          <w:rFonts w:ascii="Arial" w:cs="Arial" w:eastAsia="Arial" w:hAnsi="Arial"/>
          <w:sz w:val="17"/>
          <w:szCs w:val="17"/>
          <w:color w:val="auto"/>
        </w:rPr>
      </w:pPr>
    </w:p>
    <w:p>
      <w:pPr>
        <w:ind w:left="1520" w:hanging="256"/>
        <w:spacing w:after="0"/>
        <w:tabs>
          <w:tab w:leader="none" w:pos="15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in cash or by check, payable to the order of the Company;</w:t>
      </w:r>
    </w:p>
    <w:p>
      <w:pPr>
        <w:spacing w:after="0" w:line="119" w:lineRule="exact"/>
        <w:rPr>
          <w:rFonts w:ascii="Arial" w:cs="Arial" w:eastAsia="Arial" w:hAnsi="Arial"/>
          <w:sz w:val="17"/>
          <w:szCs w:val="17"/>
          <w:color w:val="auto"/>
        </w:rPr>
      </w:pPr>
    </w:p>
    <w:p>
      <w:pPr>
        <w:ind w:left="640" w:right="160" w:firstLine="624"/>
        <w:spacing w:after="0" w:line="265" w:lineRule="auto"/>
        <w:tabs>
          <w:tab w:leader="none" w:pos="151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when the Common Stock is registered under the Exchange Act, except as may otherwise be provided in the applicable option agreement, by (i) delivery of an irrevocable and unconditional undertaking by a creditworthy broker acceptable to the Company to deliver promptly to the Company sufficient funds to pay the exercise price and any required tax withholding or (ii) delivery by the Participant to the Company of a copy of irrevocable and unconditional instructions to a creditworthy broker acceptable to the Company to deliver promptly to the Company cash or a check sufficient to pay the exercise price and any required tax withholding;</w:t>
      </w:r>
    </w:p>
    <w:p>
      <w:pPr>
        <w:spacing w:after="0" w:line="74" w:lineRule="exact"/>
        <w:rPr>
          <w:rFonts w:ascii="Arial" w:cs="Arial" w:eastAsia="Arial" w:hAnsi="Arial"/>
          <w:sz w:val="17"/>
          <w:szCs w:val="17"/>
          <w:color w:val="auto"/>
        </w:rPr>
      </w:pPr>
    </w:p>
    <w:p>
      <w:pPr>
        <w:ind w:left="640" w:right="60" w:firstLine="624"/>
        <w:spacing w:after="0" w:line="264" w:lineRule="auto"/>
        <w:tabs>
          <w:tab w:leader="none" w:pos="151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5580" w:hanging="102"/>
        <w:spacing w:after="0"/>
        <w:tabs>
          <w:tab w:leader="none" w:pos="5580" w:val="left"/>
        </w:tabs>
        <w:numPr>
          <w:ilvl w:val="2"/>
          <w:numId w:val="116"/>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240"/>
          </w:cols>
          <w:pgMar w:left="320" w:top="1440" w:right="339" w:bottom="1440" w:gutter="0" w:footer="0" w:header="0"/>
        </w:sectPr>
      </w:pPr>
    </w:p>
    <w:bookmarkStart w:id="209" w:name="page210"/>
    <w:bookmarkEnd w:id="209"/>
    <w:p>
      <w:pPr>
        <w:ind w:left="635" w:right="420" w:firstLine="624"/>
        <w:spacing w:after="0" w:line="273" w:lineRule="auto"/>
        <w:tabs>
          <w:tab w:leader="none" w:pos="1512"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67" w:lineRule="exact"/>
        <w:rPr>
          <w:rFonts w:ascii="Arial" w:cs="Arial" w:eastAsia="Arial" w:hAnsi="Arial"/>
          <w:sz w:val="17"/>
          <w:szCs w:val="17"/>
          <w:color w:val="auto"/>
        </w:rPr>
      </w:pPr>
    </w:p>
    <w:p>
      <w:pPr>
        <w:ind w:left="1515" w:hanging="256"/>
        <w:spacing w:after="0"/>
        <w:tabs>
          <w:tab w:leader="none" w:pos="1515" w:val="left"/>
        </w:tabs>
        <w:numPr>
          <w:ilvl w:val="2"/>
          <w:numId w:val="117"/>
        </w:numPr>
        <w:rPr>
          <w:rFonts w:ascii="Arial" w:cs="Arial" w:eastAsia="Arial" w:hAnsi="Arial"/>
          <w:sz w:val="17"/>
          <w:szCs w:val="17"/>
          <w:color w:val="auto"/>
        </w:rPr>
      </w:pPr>
      <w:r>
        <w:rPr>
          <w:rFonts w:ascii="Arial" w:cs="Arial" w:eastAsia="Arial" w:hAnsi="Arial"/>
          <w:sz w:val="17"/>
          <w:szCs w:val="17"/>
          <w:color w:val="auto"/>
        </w:rPr>
        <w:t>by any combination of the above permitted forms of payment.</w:t>
      </w:r>
    </w:p>
    <w:p>
      <w:pPr>
        <w:spacing w:after="0" w:line="119" w:lineRule="exact"/>
        <w:rPr>
          <w:rFonts w:ascii="Arial" w:cs="Arial" w:eastAsia="Arial" w:hAnsi="Arial"/>
          <w:sz w:val="17"/>
          <w:szCs w:val="17"/>
          <w:color w:val="auto"/>
        </w:rPr>
      </w:pPr>
    </w:p>
    <w:p>
      <w:pPr>
        <w:ind w:left="-5" w:right="20" w:firstLine="634"/>
        <w:spacing w:after="0" w:line="268" w:lineRule="auto"/>
        <w:tabs>
          <w:tab w:leader="none" w:pos="87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Early Exercise of Options.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w:t>
      </w:r>
    </w:p>
    <w:p>
      <w:pPr>
        <w:spacing w:after="0" w:line="175" w:lineRule="exact"/>
        <w:rPr>
          <w:rFonts w:ascii="Arial" w:cs="Arial" w:eastAsia="Arial" w:hAnsi="Arial"/>
          <w:sz w:val="17"/>
          <w:szCs w:val="17"/>
          <w:color w:val="auto"/>
        </w:rPr>
      </w:pPr>
    </w:p>
    <w:p>
      <w:pPr>
        <w:ind w:left="175" w:hanging="175"/>
        <w:spacing w:after="0"/>
        <w:tabs>
          <w:tab w:leader="none" w:pos="17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Restricted Stock; Restricted Stock Units</w:t>
      </w:r>
    </w:p>
    <w:p>
      <w:pPr>
        <w:spacing w:after="0" w:line="119" w:lineRule="exact"/>
        <w:rPr>
          <w:rFonts w:ascii="Arial" w:cs="Arial" w:eastAsia="Arial" w:hAnsi="Arial"/>
          <w:sz w:val="17"/>
          <w:szCs w:val="17"/>
          <w:color w:val="auto"/>
        </w:rPr>
      </w:pPr>
    </w:p>
    <w:p>
      <w:pPr>
        <w:ind w:left="-5" w:firstLine="634"/>
        <w:spacing w:after="0" w:line="264" w:lineRule="auto"/>
        <w:tabs>
          <w:tab w:leader="none" w:pos="862"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73" w:lineRule="exact"/>
        <w:rPr>
          <w:rFonts w:ascii="Arial" w:cs="Arial" w:eastAsia="Arial" w:hAnsi="Arial"/>
          <w:sz w:val="17"/>
          <w:szCs w:val="17"/>
          <w:color w:val="auto"/>
        </w:rPr>
      </w:pPr>
    </w:p>
    <w:p>
      <w:pPr>
        <w:ind w:left="-5" w:right="240" w:firstLine="634"/>
        <w:spacing w:after="0" w:line="289" w:lineRule="auto"/>
        <w:tabs>
          <w:tab w:leader="none" w:pos="872"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Terms and Conditions for All Restricted Stock Awards</w:t>
      </w:r>
      <w:r>
        <w:rPr>
          <w:rFonts w:ascii="Arial" w:cs="Arial" w:eastAsia="Arial" w:hAnsi="Arial"/>
          <w:sz w:val="17"/>
          <w:szCs w:val="17"/>
          <w:color w:val="auto"/>
        </w:rPr>
        <w:t>. The Board shall determine and set forth in the applicable award agreement the terms and conditions of a Restricted Stock Award, including the conditions for vesting and repurchase (or forfeiture) and the issue price, if any.</w:t>
      </w:r>
    </w:p>
    <w:p>
      <w:pPr>
        <w:spacing w:after="0" w:line="53" w:lineRule="exact"/>
        <w:rPr>
          <w:rFonts w:ascii="Arial" w:cs="Arial" w:eastAsia="Arial" w:hAnsi="Arial"/>
          <w:sz w:val="17"/>
          <w:szCs w:val="17"/>
          <w:color w:val="auto"/>
        </w:rPr>
      </w:pPr>
    </w:p>
    <w:p>
      <w:pPr>
        <w:ind w:left="875" w:hanging="246"/>
        <w:spacing w:after="0"/>
        <w:tabs>
          <w:tab w:leader="none" w:pos="875"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Restricted Stock</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35" w:right="20" w:firstLine="624"/>
        <w:spacing w:after="0" w:line="280" w:lineRule="auto"/>
        <w:tabs>
          <w:tab w:leader="none" w:pos="1512" w:val="left"/>
        </w:tabs>
        <w:numPr>
          <w:ilvl w:val="2"/>
          <w:numId w:val="119"/>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Common Stock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w:t>
      </w:r>
    </w:p>
    <w:p>
      <w:pPr>
        <w:spacing w:after="0" w:line="197" w:lineRule="exact"/>
        <w:rPr>
          <w:rFonts w:ascii="Arial" w:cs="Arial" w:eastAsia="Arial" w:hAnsi="Arial"/>
          <w:sz w:val="16"/>
          <w:szCs w:val="16"/>
          <w:color w:val="auto"/>
        </w:rPr>
      </w:pPr>
    </w:p>
    <w:p>
      <w:pPr>
        <w:ind w:left="635" w:right="140" w:firstLine="624"/>
        <w:spacing w:after="0" w:line="264" w:lineRule="auto"/>
        <w:tabs>
          <w:tab w:leader="none" w:pos="1512" w:val="left"/>
        </w:tabs>
        <w:numPr>
          <w:ilvl w:val="2"/>
          <w:numId w:val="119"/>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73" w:lineRule="exact"/>
        <w:rPr>
          <w:rFonts w:ascii="Arial" w:cs="Arial" w:eastAsia="Arial" w:hAnsi="Arial"/>
          <w:sz w:val="17"/>
          <w:szCs w:val="17"/>
          <w:color w:val="auto"/>
        </w:rPr>
      </w:pPr>
    </w:p>
    <w:p>
      <w:pPr>
        <w:ind w:left="875" w:hanging="246"/>
        <w:spacing w:after="0"/>
        <w:tabs>
          <w:tab w:leader="none" w:pos="875"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Restricted Stock Units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35" w:right="40" w:firstLine="624"/>
        <w:spacing w:after="0" w:line="268" w:lineRule="auto"/>
        <w:tabs>
          <w:tab w:leader="none" w:pos="1512" w:val="left"/>
        </w:tabs>
        <w:numPr>
          <w:ilvl w:val="2"/>
          <w:numId w:val="119"/>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Upon the vesting of a Restricted Stock Unit, the Participant shall be entitled to receive from the Company one share of Common Stock or an amount of cash or other property equal to the Fair Market Value of one share of Common Stock on the settlement date, as the Board shall determine and as provided in the applicable award agreement. The Board may provide that settlement of Restricted Stock Units shall occur upon or as soon as reasonably practicable after the vesting of the Restricted Stock Units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9" w:lineRule="exact"/>
        <w:rPr>
          <w:rFonts w:ascii="Arial" w:cs="Arial" w:eastAsia="Arial" w:hAnsi="Arial"/>
          <w:sz w:val="17"/>
          <w:szCs w:val="17"/>
          <w:color w:val="auto"/>
        </w:rPr>
      </w:pPr>
    </w:p>
    <w:p>
      <w:pPr>
        <w:ind w:left="5575" w:hanging="102"/>
        <w:spacing w:after="0"/>
        <w:tabs>
          <w:tab w:leader="none" w:pos="5575" w:val="left"/>
        </w:tabs>
        <w:numPr>
          <w:ilvl w:val="3"/>
          <w:numId w:val="119"/>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1235"/>
          </w:cols>
          <w:pgMar w:left="325" w:top="1386" w:right="339" w:bottom="1440" w:gutter="0" w:footer="0" w:header="0"/>
        </w:sectPr>
      </w:pPr>
    </w:p>
    <w:bookmarkStart w:id="210" w:name="page211"/>
    <w:bookmarkEnd w:id="210"/>
    <w:p>
      <w:pPr>
        <w:spacing w:after="0" w:line="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shall instead be deferred, on a mandatory basis or at the election of the Participant, in a manner that complies with Section 409A of the Code.</w:t>
      </w:r>
    </w:p>
    <w:p>
      <w:pPr>
        <w:spacing w:after="0" w:line="131" w:lineRule="exact"/>
        <w:rPr>
          <w:sz w:val="20"/>
          <w:szCs w:val="20"/>
          <w:color w:val="auto"/>
        </w:rPr>
      </w:pPr>
    </w:p>
    <w:p>
      <w:pPr>
        <w:ind w:left="640" w:right="120" w:firstLine="624"/>
        <w:spacing w:after="0" w:line="289" w:lineRule="auto"/>
        <w:tabs>
          <w:tab w:leader="none" w:pos="1517"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A Participant shall have no voting rights with respect to any Restricted Stock Units unless and until shares are delivered in settlement thereof.</w:t>
      </w:r>
    </w:p>
    <w:p>
      <w:pPr>
        <w:spacing w:after="0" w:line="53" w:lineRule="exact"/>
        <w:rPr>
          <w:rFonts w:ascii="Arial" w:cs="Arial" w:eastAsia="Arial" w:hAnsi="Arial"/>
          <w:sz w:val="17"/>
          <w:szCs w:val="17"/>
          <w:color w:val="auto"/>
        </w:rPr>
      </w:pPr>
    </w:p>
    <w:p>
      <w:pPr>
        <w:ind w:left="640" w:right="140" w:firstLine="624"/>
        <w:spacing w:after="0" w:line="264" w:lineRule="auto"/>
        <w:tabs>
          <w:tab w:leader="none" w:pos="1517"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To the extent provided by the Board,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“Dividend Equivalents” means a right granted to a Participant to receive the equivalent value (in cash or shares of Common Stock) of dividends paid on shares of Common Stock.</w:t>
      </w:r>
    </w:p>
    <w:p>
      <w:pPr>
        <w:spacing w:after="0" w:line="178" w:lineRule="exact"/>
        <w:rPr>
          <w:rFonts w:ascii="Arial" w:cs="Arial" w:eastAsia="Arial" w:hAnsi="Arial"/>
          <w:sz w:val="17"/>
          <w:szCs w:val="17"/>
          <w:color w:val="auto"/>
        </w:rPr>
      </w:pPr>
    </w:p>
    <w:p>
      <w:pPr>
        <w:ind w:left="180" w:hanging="175"/>
        <w:spacing w:after="0"/>
        <w:tabs>
          <w:tab w:leader="none" w:pos="18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Other Stock-Based Awards</w:t>
      </w:r>
    </w:p>
    <w:p>
      <w:pPr>
        <w:spacing w:after="0" w:line="119"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Other Awards of shares of Common Stock, and other Awards that are valued in whole or in part by reference to, or are otherwise based on, shares of Common Stock or other property, may be granted hereunder to Participants (“Other Stock-Based Awards”), including without limitation stock appreciation rights (“SARs”)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transfer restrictions, vesting conditions and other terms and conditions applicable thereto.</w:t>
      </w:r>
    </w:p>
    <w:p>
      <w:pPr>
        <w:spacing w:after="0" w:line="185" w:lineRule="exact"/>
        <w:rPr>
          <w:sz w:val="20"/>
          <w:szCs w:val="20"/>
          <w:color w:val="auto"/>
        </w:rPr>
      </w:pPr>
    </w:p>
    <w:p>
      <w:pPr>
        <w:ind w:left="180" w:hanging="175"/>
        <w:spacing w:after="0"/>
        <w:tabs>
          <w:tab w:leader="none" w:pos="18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Common Stock and Certain Other Events</w:t>
      </w:r>
    </w:p>
    <w:p>
      <w:pPr>
        <w:spacing w:after="0" w:line="119" w:lineRule="exact"/>
        <w:rPr>
          <w:rFonts w:ascii="Arial" w:cs="Arial" w:eastAsia="Arial" w:hAnsi="Arial"/>
          <w:sz w:val="17"/>
          <w:szCs w:val="17"/>
          <w:color w:val="auto"/>
        </w:rPr>
      </w:pPr>
    </w:p>
    <w:p>
      <w:pPr>
        <w:ind w:firstLine="634"/>
        <w:spacing w:after="0" w:line="278" w:lineRule="auto"/>
        <w:tabs>
          <w:tab w:leader="none" w:pos="86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determined by the Board, such changes to the Options shall comply with section 1.424-1 of the Treasury Regulations.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68" w:lineRule="exact"/>
        <w:rPr>
          <w:rFonts w:ascii="Arial" w:cs="Arial" w:eastAsia="Arial" w:hAnsi="Arial"/>
          <w:sz w:val="16"/>
          <w:szCs w:val="16"/>
          <w:color w:val="auto"/>
        </w:rPr>
      </w:pPr>
    </w:p>
    <w:p>
      <w:pPr>
        <w:ind w:left="880" w:hanging="246"/>
        <w:spacing w:after="0"/>
        <w:tabs>
          <w:tab w:leader="none" w:pos="880"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Reorganization Events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40" w:right="40" w:firstLine="624"/>
        <w:spacing w:after="0" w:line="262" w:lineRule="auto"/>
        <w:tabs>
          <w:tab w:leader="none" w:pos="1517" w:val="left"/>
        </w:tabs>
        <w:numPr>
          <w:ilvl w:val="2"/>
          <w:numId w:val="122"/>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A “Reorganization Event”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a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first firm commitment underwritten public offering pursuant to an effective registration statement under the Securities Act of 1933, as amended, covering the offer and sale by the Company of its equity securities,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4" w:lineRule="exact"/>
        <w:rPr>
          <w:rFonts w:ascii="Arial" w:cs="Arial" w:eastAsia="Arial" w:hAnsi="Arial"/>
          <w:sz w:val="17"/>
          <w:szCs w:val="17"/>
          <w:color w:val="auto"/>
        </w:rPr>
      </w:pPr>
    </w:p>
    <w:p>
      <w:pPr>
        <w:ind w:left="5580" w:hanging="102"/>
        <w:spacing w:after="0"/>
        <w:tabs>
          <w:tab w:leader="none" w:pos="5580" w:val="left"/>
        </w:tabs>
        <w:numPr>
          <w:ilvl w:val="3"/>
          <w:numId w:val="122"/>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51" w:lineRule="exact"/>
        <w:rPr>
          <w:sz w:val="20"/>
          <w:szCs w:val="20"/>
          <w:color w:val="auto"/>
        </w:rPr>
      </w:pPr>
    </w:p>
    <w:p>
      <w:pPr>
        <w:ind w:left="635" w:right="520"/>
        <w:spacing w:after="0" w:line="289" w:lineRule="auto"/>
        <w:rPr>
          <w:sz w:val="20"/>
          <w:szCs w:val="20"/>
          <w:color w:val="auto"/>
        </w:rPr>
      </w:pPr>
      <w:r>
        <w:rPr>
          <w:rFonts w:ascii="Arial" w:cs="Arial" w:eastAsia="Arial" w:hAnsi="Arial"/>
          <w:sz w:val="17"/>
          <w:szCs w:val="17"/>
          <w:color w:val="auto"/>
        </w:rPr>
        <w:t>as a result of or following which the Common Stock shall be public, any subsequent public offering or another capital raising event, or a merger effected solely to change the Company’s domicile shall not constitute a “Reorganization Event.”</w:t>
      </w:r>
    </w:p>
    <w:p>
      <w:pPr>
        <w:spacing w:after="0" w:line="54" w:lineRule="exact"/>
        <w:rPr>
          <w:sz w:val="20"/>
          <w:szCs w:val="20"/>
          <w:color w:val="auto"/>
        </w:rPr>
      </w:pPr>
    </w:p>
    <w:p>
      <w:pPr>
        <w:ind w:left="635" w:firstLine="624"/>
        <w:spacing w:after="0" w:line="276" w:lineRule="auto"/>
        <w:tabs>
          <w:tab w:leader="none" w:pos="151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provided that, unless otherwise determined by the Board, such assumption or substitution of the Options shall comply with section 1.424-1 of the Treasury Regulations,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w:t>
      </w:r>
    </w:p>
    <w:p>
      <w:pPr>
        <w:spacing w:after="0" w:line="77" w:lineRule="exact"/>
        <w:rPr>
          <w:sz w:val="20"/>
          <w:szCs w:val="20"/>
          <w:color w:val="auto"/>
        </w:rPr>
      </w:pPr>
    </w:p>
    <w:p>
      <w:pPr>
        <w:ind w:left="635" w:firstLine="629"/>
        <w:spacing w:after="0" w:line="300" w:lineRule="auto"/>
        <w:rPr>
          <w:sz w:val="20"/>
          <w:szCs w:val="20"/>
          <w:color w:val="auto"/>
        </w:rPr>
      </w:pPr>
      <w:r>
        <w:rPr>
          <w:rFonts w:ascii="Arial" w:cs="Arial" w:eastAsia="Arial" w:hAnsi="Arial"/>
          <w:sz w:val="15"/>
          <w:szCs w:val="15"/>
          <w:color w:val="auto"/>
        </w:rPr>
        <w:t xml:space="preserve">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53" w:lineRule="exact"/>
        <w:rPr>
          <w:sz w:val="20"/>
          <w:szCs w:val="20"/>
          <w:color w:val="auto"/>
        </w:rPr>
      </w:pPr>
    </w:p>
    <w:p>
      <w:pPr>
        <w:ind w:left="635" w:right="40" w:firstLine="624"/>
        <w:spacing w:after="0" w:line="262" w:lineRule="auto"/>
        <w:tabs>
          <w:tab w:leader="none" w:pos="1512"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 Awards</w:t>
      </w:r>
      <w:r>
        <w:rPr>
          <w:rFonts w:ascii="Arial" w:cs="Arial" w:eastAsia="Arial" w:hAnsi="Arial"/>
          <w:sz w:val="17"/>
          <w:szCs w:val="17"/>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 wards then outstanding shall automatically be deemed terminated or satisfied.</w:t>
      </w:r>
    </w:p>
    <w:p>
      <w:pPr>
        <w:spacing w:after="0" w:line="207" w:lineRule="exact"/>
        <w:rPr>
          <w:rFonts w:ascii="Arial" w:cs="Arial" w:eastAsia="Arial" w:hAnsi="Arial"/>
          <w:sz w:val="17"/>
          <w:szCs w:val="17"/>
          <w:color w:val="auto"/>
        </w:rPr>
      </w:pPr>
    </w:p>
    <w:p>
      <w:pPr>
        <w:ind w:left="175" w:hanging="175"/>
        <w:spacing w:after="0"/>
        <w:tabs>
          <w:tab w:leader="none" w:pos="175"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General Provisions Applicable to Awards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7" w:lineRule="exact"/>
        <w:rPr>
          <w:rFonts w:ascii="Arial" w:cs="Arial" w:eastAsia="Arial" w:hAnsi="Arial"/>
          <w:sz w:val="17"/>
          <w:szCs w:val="17"/>
          <w:color w:val="auto"/>
        </w:rPr>
      </w:pPr>
    </w:p>
    <w:p>
      <w:pPr>
        <w:ind w:left="5575" w:hanging="102"/>
        <w:spacing w:after="0"/>
        <w:tabs>
          <w:tab w:leader="none" w:pos="5575" w:val="left"/>
        </w:tabs>
        <w:numPr>
          <w:ilvl w:val="2"/>
          <w:numId w:val="125"/>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1215"/>
          </w:cols>
          <w:pgMar w:left="325" w:top="1440" w:right="359" w:bottom="1440" w:gutter="0" w:footer="0" w:header="0"/>
        </w:sectPr>
      </w:pPr>
    </w:p>
    <w:bookmarkStart w:id="212" w:name="page213"/>
    <w:bookmarkEnd w:id="212"/>
    <w:p>
      <w:pPr>
        <w:spacing w:after="0" w:line="51" w:lineRule="exact"/>
        <w:rPr>
          <w:sz w:val="20"/>
          <w:szCs w:val="20"/>
          <w:color w:val="auto"/>
        </w:rPr>
      </w:pPr>
    </w:p>
    <w:p>
      <w:pPr>
        <w:jc w:val="both"/>
        <w:ind w:left="-5" w:right="140" w:firstLine="634"/>
        <w:spacing w:after="0" w:line="314" w:lineRule="auto"/>
        <w:tabs>
          <w:tab w:leader="none" w:pos="862"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41" w:lineRule="exact"/>
        <w:rPr>
          <w:rFonts w:ascii="Arial" w:cs="Arial" w:eastAsia="Arial" w:hAnsi="Arial"/>
          <w:sz w:val="15"/>
          <w:szCs w:val="15"/>
          <w:color w:val="auto"/>
        </w:rPr>
      </w:pPr>
    </w:p>
    <w:p>
      <w:pPr>
        <w:ind w:left="-5" w:right="420" w:firstLine="634"/>
        <w:spacing w:after="0" w:line="289" w:lineRule="auto"/>
        <w:tabs>
          <w:tab w:leader="none" w:pos="872"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Each Award shall be evidenced in such form (written, electronic or otherwise) as the Board shall determine. Each Award may contain terms and conditions in addition to those set forth in the Plan.</w:t>
      </w:r>
    </w:p>
    <w:p>
      <w:pPr>
        <w:spacing w:after="0" w:line="53" w:lineRule="exact"/>
        <w:rPr>
          <w:rFonts w:ascii="Arial" w:cs="Arial" w:eastAsia="Arial" w:hAnsi="Arial"/>
          <w:sz w:val="17"/>
          <w:szCs w:val="17"/>
          <w:color w:val="auto"/>
        </w:rPr>
      </w:pPr>
    </w:p>
    <w:p>
      <w:pPr>
        <w:ind w:left="-5" w:right="200" w:firstLine="634"/>
        <w:spacing w:after="0" w:line="289" w:lineRule="auto"/>
        <w:tabs>
          <w:tab w:leader="none" w:pos="862"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53" w:lineRule="exact"/>
        <w:rPr>
          <w:rFonts w:ascii="Arial" w:cs="Arial" w:eastAsia="Arial" w:hAnsi="Arial"/>
          <w:sz w:val="17"/>
          <w:szCs w:val="17"/>
          <w:color w:val="auto"/>
        </w:rPr>
      </w:pPr>
    </w:p>
    <w:p>
      <w:pPr>
        <w:ind w:left="-5" w:right="440" w:firstLine="634"/>
        <w:spacing w:after="0" w:line="326" w:lineRule="auto"/>
        <w:tabs>
          <w:tab w:leader="none" w:pos="872"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31" w:lineRule="exact"/>
        <w:rPr>
          <w:rFonts w:ascii="Arial" w:cs="Arial" w:eastAsia="Arial" w:hAnsi="Arial"/>
          <w:sz w:val="15"/>
          <w:szCs w:val="15"/>
          <w:color w:val="auto"/>
        </w:rPr>
      </w:pPr>
    </w:p>
    <w:p>
      <w:pPr>
        <w:ind w:left="-5" w:right="100" w:firstLine="634"/>
        <w:spacing w:after="0" w:line="278" w:lineRule="auto"/>
        <w:tabs>
          <w:tab w:leader="none" w:pos="86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limited to additional withholding on the Participant’s salary or wages, or from proceeds from the sale of Common Stock issued pursuant to an Award; (iv) delivery of shares of Common Stock, including shares retained from the Award creating the tax obligation, valued at their Fair Market Value;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and </w:t>
      </w:r>
      <w:r>
        <w:rPr>
          <w:rFonts w:ascii="Arial" w:cs="Arial" w:eastAsia="Arial" w:hAnsi="Arial"/>
          <w:sz w:val="16"/>
          <w:szCs w:val="16"/>
          <w:i w:val="1"/>
          <w:iCs w:val="1"/>
          <w:color w:val="auto"/>
        </w:rPr>
        <w:t>provided, further</w:t>
      </w:r>
      <w:r>
        <w:rPr>
          <w:rFonts w:ascii="Arial" w:cs="Arial" w:eastAsia="Arial" w:hAnsi="Arial"/>
          <w:sz w:val="16"/>
          <w:szCs w:val="16"/>
          <w:color w:val="auto"/>
        </w:rPr>
        <w:t>, shares surrendered to satisfy tax withholding requirements cannot be subject to any repurchase, forfeiture, unfulfilled vesting or other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or (v) by such other method as determined by the Board.</w:t>
      </w:r>
    </w:p>
    <w:p>
      <w:pPr>
        <w:spacing w:after="0" w:line="199" w:lineRule="exact"/>
        <w:rPr>
          <w:rFonts w:ascii="Arial" w:cs="Arial" w:eastAsia="Arial" w:hAnsi="Arial"/>
          <w:sz w:val="16"/>
          <w:szCs w:val="16"/>
          <w:color w:val="auto"/>
        </w:rPr>
      </w:pPr>
    </w:p>
    <w:p>
      <w:pPr>
        <w:ind w:left="855" w:hanging="226"/>
        <w:spacing w:after="0"/>
        <w:tabs>
          <w:tab w:leader="none" w:pos="855"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35" w:firstLine="624"/>
        <w:spacing w:after="0" w:line="265" w:lineRule="auto"/>
        <w:tabs>
          <w:tab w:leader="none" w:pos="1512"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(ii) the change is permitted under Section 8 hereof, or (iii) the change is to ensure that an Option intended to qualify as an Incentive Stock Option qualifies as such.</w:t>
      </w:r>
    </w:p>
    <w:p>
      <w:pPr>
        <w:spacing w:after="0" w:line="74" w:lineRule="exact"/>
        <w:rPr>
          <w:rFonts w:ascii="Arial" w:cs="Arial" w:eastAsia="Arial" w:hAnsi="Arial"/>
          <w:sz w:val="17"/>
          <w:szCs w:val="17"/>
          <w:color w:val="auto"/>
        </w:rPr>
      </w:pPr>
    </w:p>
    <w:p>
      <w:pPr>
        <w:ind w:left="635" w:right="20" w:firstLine="624"/>
        <w:spacing w:after="0" w:line="265" w:lineRule="auto"/>
        <w:tabs>
          <w:tab w:leader="none" w:pos="1512"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74" w:lineRule="exact"/>
        <w:rPr>
          <w:rFonts w:ascii="Arial" w:cs="Arial" w:eastAsia="Arial" w:hAnsi="Arial"/>
          <w:sz w:val="17"/>
          <w:szCs w:val="17"/>
          <w:color w:val="auto"/>
        </w:rPr>
      </w:pPr>
    </w:p>
    <w:p>
      <w:pPr>
        <w:ind w:left="-5" w:right="180" w:firstLine="634"/>
        <w:spacing w:after="0" w:line="300" w:lineRule="auto"/>
        <w:tabs>
          <w:tab w:leader="none" w:pos="872"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left="255" w:hanging="255"/>
        <w:spacing w:after="0"/>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the opinion of the Company’s counsel, all other legal matters in connection with the issuance and delivery of such shares have been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5575" w:hanging="102"/>
        <w:spacing w:after="0"/>
        <w:tabs>
          <w:tab w:leader="none" w:pos="5575" w:val="left"/>
        </w:tabs>
        <w:numPr>
          <w:ilvl w:val="3"/>
          <w:numId w:val="127"/>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1235"/>
          </w:cols>
          <w:pgMar w:left="325" w:top="1440" w:right="339" w:bottom="1440" w:gutter="0" w:footer="0" w:header="0"/>
        </w:sectPr>
      </w:pPr>
    </w:p>
    <w:bookmarkStart w:id="213" w:name="page214"/>
    <w:bookmarkEnd w:id="213"/>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at to which such requisite authority shall not have been obtained.</w:t>
      </w:r>
    </w:p>
    <w:p>
      <w:pPr>
        <w:spacing w:after="0" w:line="75" w:lineRule="exact"/>
        <w:rPr>
          <w:sz w:val="20"/>
          <w:szCs w:val="20"/>
          <w:color w:val="auto"/>
        </w:rPr>
      </w:pPr>
    </w:p>
    <w:p>
      <w:pPr>
        <w:ind w:right="560" w:firstLine="634"/>
        <w:spacing w:after="0" w:line="289" w:lineRule="auto"/>
        <w:tabs>
          <w:tab w:leader="none" w:pos="877"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 The Board may at any time provide that any Award shall become immediately exercisable in full or in part, free of some or all restrictions or conditions, or otherwise realizable in full or in part, as the case may be.</w:t>
      </w:r>
    </w:p>
    <w:p>
      <w:pPr>
        <w:spacing w:after="0" w:line="158" w:lineRule="exact"/>
        <w:rPr>
          <w:rFonts w:ascii="Arial" w:cs="Arial" w:eastAsia="Arial" w:hAnsi="Arial"/>
          <w:sz w:val="17"/>
          <w:szCs w:val="17"/>
          <w:color w:val="auto"/>
        </w:rPr>
      </w:pPr>
    </w:p>
    <w:p>
      <w:pPr>
        <w:ind w:left="260" w:hanging="255"/>
        <w:spacing w:after="0"/>
        <w:tabs>
          <w:tab w:leader="none" w:pos="26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119" w:lineRule="exact"/>
        <w:rPr>
          <w:rFonts w:ascii="Arial" w:cs="Arial" w:eastAsia="Arial" w:hAnsi="Arial"/>
          <w:sz w:val="17"/>
          <w:szCs w:val="17"/>
          <w:color w:val="auto"/>
        </w:rPr>
      </w:pPr>
    </w:p>
    <w:p>
      <w:pPr>
        <w:jc w:val="both"/>
        <w:ind w:right="120" w:firstLine="634"/>
        <w:spacing w:after="0" w:line="268" w:lineRule="auto"/>
        <w:tabs>
          <w:tab w:leader="none" w:pos="867"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02" w:lineRule="exact"/>
        <w:rPr>
          <w:rFonts w:ascii="Arial" w:cs="Arial" w:eastAsia="Arial" w:hAnsi="Arial"/>
          <w:sz w:val="17"/>
          <w:szCs w:val="17"/>
          <w:color w:val="auto"/>
        </w:rPr>
      </w:pPr>
    </w:p>
    <w:p>
      <w:pPr>
        <w:ind w:right="60" w:firstLine="634"/>
        <w:spacing w:after="0" w:line="283" w:lineRule="auto"/>
        <w:tabs>
          <w:tab w:leader="none" w:pos="877"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Board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Board in order to comply with applicable laws.</w:t>
      </w:r>
    </w:p>
    <w:p>
      <w:pPr>
        <w:spacing w:after="0" w:line="62" w:lineRule="exact"/>
        <w:rPr>
          <w:rFonts w:ascii="Arial" w:cs="Arial" w:eastAsia="Arial" w:hAnsi="Arial"/>
          <w:sz w:val="16"/>
          <w:szCs w:val="16"/>
          <w:color w:val="auto"/>
        </w:rPr>
      </w:pPr>
    </w:p>
    <w:p>
      <w:pPr>
        <w:ind w:right="100" w:firstLine="634"/>
        <w:spacing w:after="0" w:line="273" w:lineRule="auto"/>
        <w:tabs>
          <w:tab w:leader="none" w:pos="867"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67" w:lineRule="exact"/>
        <w:rPr>
          <w:rFonts w:ascii="Arial" w:cs="Arial" w:eastAsia="Arial" w:hAnsi="Arial"/>
          <w:sz w:val="17"/>
          <w:szCs w:val="17"/>
          <w:color w:val="auto"/>
        </w:rPr>
      </w:pPr>
    </w:p>
    <w:p>
      <w:pPr>
        <w:ind w:right="100" w:firstLine="634"/>
        <w:spacing w:after="0" w:line="264" w:lineRule="auto"/>
        <w:tabs>
          <w:tab w:leader="none" w:pos="877"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Amendment of Plan</w:t>
      </w:r>
      <w:r>
        <w:rPr>
          <w:rFonts w:ascii="Arial" w:cs="Arial" w:eastAsia="Arial" w:hAnsi="Arial"/>
          <w:sz w:val="17"/>
          <w:szCs w:val="17"/>
          <w:color w:val="auto"/>
        </w:rPr>
        <w:t xml:space="preserve">. The Board may amend, suspend or terminate the Plan or any 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approval of a Company stockholder is required as to any modification or amendment under Section 422 of the Code or any successor provision with respect to Incentive Stock Options, the Board may not effect such modification or amendment without the consent of the affected Participant.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73" w:lineRule="exact"/>
        <w:rPr>
          <w:rFonts w:ascii="Arial" w:cs="Arial" w:eastAsia="Arial" w:hAnsi="Arial"/>
          <w:sz w:val="17"/>
          <w:szCs w:val="17"/>
          <w:color w:val="auto"/>
        </w:rPr>
      </w:pPr>
    </w:p>
    <w:p>
      <w:pPr>
        <w:ind w:right="20" w:firstLine="634"/>
        <w:spacing w:after="0" w:line="264" w:lineRule="auto"/>
        <w:tabs>
          <w:tab w:leader="none" w:pos="867"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Authorization of Sub-Plans</w:t>
      </w:r>
      <w:r>
        <w:rPr>
          <w:rFonts w:ascii="Arial" w:cs="Arial" w:eastAsia="Arial" w:hAnsi="Arial"/>
          <w:sz w:val="17"/>
          <w:szCs w:val="17"/>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3" w:lineRule="exact"/>
        <w:rPr>
          <w:rFonts w:ascii="Arial" w:cs="Arial" w:eastAsia="Arial" w:hAnsi="Arial"/>
          <w:sz w:val="17"/>
          <w:szCs w:val="17"/>
          <w:color w:val="auto"/>
        </w:rPr>
      </w:pPr>
    </w:p>
    <w:p>
      <w:pPr>
        <w:jc w:val="both"/>
        <w:ind w:right="140" w:firstLine="634"/>
        <w:spacing w:after="0" w:line="298" w:lineRule="auto"/>
        <w:tabs>
          <w:tab w:leader="none" w:pos="848"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7" w:lineRule="exact"/>
        <w:rPr>
          <w:rFonts w:ascii="Arial" w:cs="Arial" w:eastAsia="Arial" w:hAnsi="Arial"/>
          <w:sz w:val="16"/>
          <w:szCs w:val="16"/>
          <w:color w:val="auto"/>
        </w:rPr>
      </w:pPr>
    </w:p>
    <w:p>
      <w:pPr>
        <w:ind w:left="5580" w:hanging="102"/>
        <w:spacing w:after="0"/>
        <w:tabs>
          <w:tab w:leader="none" w:pos="558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5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therefore subject to Section 409A of the Code, the Award will incorporate the terms and conditions necessary to avoid the consequences specified in 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w:t>
      </w:r>
    </w:p>
    <w:p>
      <w:pPr>
        <w:spacing w:after="0" w:line="64" w:lineRule="exact"/>
        <w:rPr>
          <w:sz w:val="20"/>
          <w:szCs w:val="20"/>
          <w:color w:val="auto"/>
        </w:rPr>
      </w:pPr>
    </w:p>
    <w:p>
      <w:pPr>
        <w:ind w:right="40" w:firstLine="634"/>
        <w:spacing w:after="0" w:line="273" w:lineRule="auto"/>
        <w:tabs>
          <w:tab w:leader="none" w:pos="877"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67" w:lineRule="exact"/>
        <w:rPr>
          <w:rFonts w:ascii="Arial" w:cs="Arial" w:eastAsia="Arial" w:hAnsi="Arial"/>
          <w:sz w:val="17"/>
          <w:szCs w:val="17"/>
          <w:color w:val="auto"/>
        </w:rPr>
      </w:pPr>
    </w:p>
    <w:p>
      <w:pPr>
        <w:ind w:firstLine="634"/>
        <w:spacing w:after="0" w:line="276" w:lineRule="auto"/>
        <w:tabs>
          <w:tab w:leader="none" w:pos="877"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“Data”).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71" w:lineRule="exact"/>
        <w:rPr>
          <w:rFonts w:ascii="Arial" w:cs="Arial" w:eastAsia="Arial" w:hAnsi="Arial"/>
          <w:sz w:val="16"/>
          <w:szCs w:val="16"/>
          <w:color w:val="auto"/>
        </w:rPr>
      </w:pPr>
    </w:p>
    <w:p>
      <w:pPr>
        <w:ind w:right="20" w:firstLine="634"/>
        <w:spacing w:after="0" w:line="283" w:lineRule="auto"/>
        <w:tabs>
          <w:tab w:leader="none" w:pos="83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Restrictions on Shares; Claw-back Provisions</w:t>
      </w:r>
      <w:r>
        <w:rPr>
          <w:rFonts w:ascii="Arial" w:cs="Arial" w:eastAsia="Arial" w:hAnsi="Arial"/>
          <w:sz w:val="16"/>
          <w:szCs w:val="16"/>
          <w:color w:val="auto"/>
        </w:rPr>
        <w:t>. Shares of Common Stock acquired in respect of Awards shall be subject to such terms and conditions as the Board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stockholders’ agreement or in such other agreement as the Board shall determine, in each case in a form determined by the Board. The issuance of such shares of Common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0" w:lineRule="exact"/>
        <w:rPr>
          <w:rFonts w:ascii="Arial" w:cs="Arial" w:eastAsia="Arial" w:hAnsi="Arial"/>
          <w:sz w:val="16"/>
          <w:szCs w:val="16"/>
          <w:color w:val="auto"/>
        </w:rPr>
      </w:pPr>
    </w:p>
    <w:p>
      <w:pPr>
        <w:ind w:left="5580" w:hanging="102"/>
        <w:spacing w:after="0"/>
        <w:tabs>
          <w:tab w:leader="none" w:pos="55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52"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320" w:top="1440" w:right="35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7"/>
          <w:szCs w:val="17"/>
          <w:color w:val="auto"/>
        </w:rPr>
        <w:t>PRAXIS PRECISION MEDICINES,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2017 STOCK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CALIFORNIA SUPPLEMENT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Section 10(e) of the Plan, the Board has adopted this supplement for purposes of satisfying the requirements of Section 25102(o)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California Law:</w:t>
      </w:r>
    </w:p>
    <w:p>
      <w:pPr>
        <w:spacing w:after="0" w:line="107"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Any Awards granted under the Plan to a Participant who is a resident of the State of California on the date of grant (a “California Participant”) shall be subject to the following additional limitations, terms and conditions:</w:t>
      </w:r>
    </w:p>
    <w:p>
      <w:pPr>
        <w:spacing w:after="0" w:line="54" w:lineRule="exact"/>
        <w:rPr>
          <w:sz w:val="20"/>
          <w:szCs w:val="20"/>
          <w:color w:val="auto"/>
        </w:rPr>
      </w:pPr>
    </w:p>
    <w:p>
      <w:pPr>
        <w:ind w:left="180" w:hanging="175"/>
        <w:spacing w:after="0"/>
        <w:tabs>
          <w:tab w:leader="none" w:pos="18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Additional Limitations on Options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120" w:firstLine="634"/>
        <w:spacing w:after="0" w:line="265" w:lineRule="auto"/>
        <w:tabs>
          <w:tab w:leader="none" w:pos="867"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Minimum Vesting Rate</w:t>
      </w:r>
      <w:r>
        <w:rPr>
          <w:rFonts w:ascii="Arial" w:cs="Arial" w:eastAsia="Arial" w:hAnsi="Arial"/>
          <w:sz w:val="17"/>
          <w:szCs w:val="17"/>
          <w:color w:val="auto"/>
        </w:rPr>
        <w:t xml:space="preserve">. Except in the case of Options granted to California Participants who are officers, directors, managers, consultants or advisors of the Company or its affiliates (which Options may become exercisable at whatever rate is determined by the Board), Options granted to California Participants shall become exercisable at a rate of not less than 20% per year over five years from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such Options may be subject to such reasonable forfeiture conditions as the Board may choose to impose and which are not inconsistent with Section 260.140.41 of the California Regulations.</w:t>
      </w:r>
    </w:p>
    <w:p>
      <w:pPr>
        <w:spacing w:after="0" w:line="74" w:lineRule="exact"/>
        <w:rPr>
          <w:rFonts w:ascii="Arial" w:cs="Arial" w:eastAsia="Arial" w:hAnsi="Arial"/>
          <w:sz w:val="17"/>
          <w:szCs w:val="17"/>
          <w:color w:val="auto"/>
        </w:rPr>
      </w:pPr>
    </w:p>
    <w:p>
      <w:pPr>
        <w:jc w:val="both"/>
        <w:ind w:right="20" w:firstLine="634"/>
        <w:spacing w:after="0" w:line="265" w:lineRule="auto"/>
        <w:tabs>
          <w:tab w:leader="none" w:pos="877"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Minimum Exercise Price</w:t>
      </w:r>
      <w:r>
        <w:rPr>
          <w:rFonts w:ascii="Arial" w:cs="Arial" w:eastAsia="Arial" w:hAnsi="Arial"/>
          <w:sz w:val="17"/>
          <w:szCs w:val="17"/>
          <w:color w:val="auto"/>
        </w:rPr>
        <w:t xml:space="preserve">. The exercise price of Options granted to California Participants may not be less than 85% of the Fair Market Value of the Common Stock on the date of grant in the case of a Nonstatutory Stock Option or less than 100% of the Fair Market Value of the Common Stock on the date of grant in the case of an Incentive Stock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California Participant is a person who owns stock possessing more than 10% of the total combined voting power of all classes of stock of the Company or its parent or subsidiary corporations, the exercise price shall be not less than 110% of the Fair Market Value of the Common Stock on the date of grant.</w:t>
      </w:r>
    </w:p>
    <w:p>
      <w:pPr>
        <w:spacing w:after="0" w:line="74" w:lineRule="exact"/>
        <w:rPr>
          <w:rFonts w:ascii="Arial" w:cs="Arial" w:eastAsia="Arial" w:hAnsi="Arial"/>
          <w:sz w:val="17"/>
          <w:szCs w:val="17"/>
          <w:color w:val="auto"/>
        </w:rPr>
      </w:pPr>
    </w:p>
    <w:p>
      <w:pPr>
        <w:ind w:left="880" w:hanging="246"/>
        <w:spacing w:after="0"/>
        <w:tabs>
          <w:tab w:leader="none" w:pos="88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Maximum Duration of Options</w:t>
      </w:r>
      <w:r>
        <w:rPr>
          <w:rFonts w:ascii="Arial" w:cs="Arial" w:eastAsia="Arial" w:hAnsi="Arial"/>
          <w:sz w:val="16"/>
          <w:szCs w:val="16"/>
          <w:color w:val="auto"/>
        </w:rPr>
        <w:t>. No Options granted to California Participants shall have a term in excess of 10 years measured from the Option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grant date.</w:t>
      </w:r>
    </w:p>
    <w:p>
      <w:pPr>
        <w:spacing w:after="0" w:line="107" w:lineRule="exact"/>
        <w:rPr>
          <w:rFonts w:ascii="Arial" w:cs="Arial" w:eastAsia="Arial" w:hAnsi="Arial"/>
          <w:sz w:val="16"/>
          <w:szCs w:val="16"/>
          <w:color w:val="auto"/>
        </w:rPr>
      </w:pPr>
    </w:p>
    <w:p>
      <w:pPr>
        <w:ind w:firstLine="634"/>
        <w:spacing w:after="0" w:line="262" w:lineRule="auto"/>
        <w:tabs>
          <w:tab w:leader="none" w:pos="877"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Minimum Exercise Period Following Termination</w:t>
      </w:r>
      <w:r>
        <w:rPr>
          <w:rFonts w:ascii="Arial" w:cs="Arial" w:eastAsia="Arial" w:hAnsi="Arial"/>
          <w:sz w:val="17"/>
          <w:szCs w:val="17"/>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w:t>
      </w:r>
    </w:p>
    <w:p>
      <w:pPr>
        <w:spacing w:after="0" w:line="79" w:lineRule="exact"/>
        <w:rPr>
          <w:rFonts w:ascii="Arial" w:cs="Arial" w:eastAsia="Arial" w:hAnsi="Arial"/>
          <w:sz w:val="17"/>
          <w:szCs w:val="17"/>
          <w:color w:val="auto"/>
        </w:rPr>
      </w:pPr>
    </w:p>
    <w:p>
      <w:pPr>
        <w:ind w:right="320" w:firstLine="634"/>
        <w:spacing w:after="0" w:line="273" w:lineRule="auto"/>
        <w:tabs>
          <w:tab w:leader="none" w:pos="867" w:val="left"/>
        </w:tabs>
        <w:numPr>
          <w:ilvl w:val="1"/>
          <w:numId w:val="131"/>
        </w:numPr>
        <w:rPr>
          <w:rFonts w:ascii="Arial" w:cs="Arial" w:eastAsia="Arial" w:hAnsi="Arial"/>
          <w:sz w:val="17"/>
          <w:szCs w:val="17"/>
          <w:color w:val="auto"/>
        </w:rPr>
      </w:pPr>
      <w:r>
        <w:rPr>
          <w:rFonts w:ascii="Arial" w:cs="Arial" w:eastAsia="Arial" w:hAnsi="Arial"/>
          <w:sz w:val="17"/>
          <w:szCs w:val="17"/>
          <w:color w:val="auto"/>
        </w:rPr>
        <w:t>Limitation on Repurchase Rights. If an Option granted to a California Participant gives the Company the right to repurchase shares of Common Stock issued pursuant to the Plan upon termination of employment of such Participant, the terms of such repurchase right must comply with Section 260.140.41(k) of the California Regulations.</w:t>
      </w:r>
    </w:p>
    <w:p>
      <w:pPr>
        <w:spacing w:after="0" w:line="67" w:lineRule="exact"/>
        <w:rPr>
          <w:rFonts w:ascii="Arial" w:cs="Arial" w:eastAsia="Arial" w:hAnsi="Arial"/>
          <w:sz w:val="17"/>
          <w:szCs w:val="17"/>
          <w:color w:val="auto"/>
        </w:rPr>
      </w:pPr>
    </w:p>
    <w:p>
      <w:pPr>
        <w:ind w:left="180" w:hanging="175"/>
        <w:spacing w:after="0"/>
        <w:tabs>
          <w:tab w:leader="none" w:pos="18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Additional Limitations for Restricted Stock Awards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40" w:firstLine="634"/>
        <w:spacing w:after="0" w:line="286" w:lineRule="auto"/>
        <w:tabs>
          <w:tab w:leader="none" w:pos="867"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Minimum Purchase Price</w:t>
      </w:r>
      <w:r>
        <w:rPr>
          <w:rFonts w:ascii="Arial" w:cs="Arial" w:eastAsia="Arial" w:hAnsi="Arial"/>
          <w:sz w:val="16"/>
          <w:szCs w:val="16"/>
          <w:color w:val="auto"/>
        </w:rPr>
        <w:t xml:space="preserve">. The purchase price for a Restricted Stock Award granted to a California Participant shall be not less than 85% of the Fair Market Value of the Common Stock at the time such Participant is granted the right to purchase shares under the Plan or at the time the purchase is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Participant is a person who owns stock possessing more than 10% of the total combined voting power or value of all classes of stock of the Company or its parent or subsidiary corporations, the purchase price shall be not less than 100% of the Fair Market Value of the Common Stock at the time such Participant is granted the right to purchase shares under the Plan or at the time the purchase is consummated.</w:t>
      </w:r>
    </w:p>
    <w:p>
      <w:pPr>
        <w:spacing w:after="0" w:line="57" w:lineRule="exact"/>
        <w:rPr>
          <w:rFonts w:ascii="Arial" w:cs="Arial" w:eastAsia="Arial" w:hAnsi="Arial"/>
          <w:sz w:val="16"/>
          <w:szCs w:val="16"/>
          <w:color w:val="auto"/>
        </w:rPr>
      </w:pPr>
    </w:p>
    <w:p>
      <w:pPr>
        <w:ind w:right="140" w:firstLine="634"/>
        <w:spacing w:after="0" w:line="289" w:lineRule="auto"/>
        <w:tabs>
          <w:tab w:leader="none" w:pos="877" w:val="left"/>
        </w:tabs>
        <w:numPr>
          <w:ilvl w:val="1"/>
          <w:numId w:val="131"/>
        </w:numPr>
        <w:rPr>
          <w:rFonts w:ascii="Arial" w:cs="Arial" w:eastAsia="Arial" w:hAnsi="Arial"/>
          <w:sz w:val="17"/>
          <w:szCs w:val="17"/>
          <w:color w:val="auto"/>
        </w:rPr>
      </w:pPr>
      <w:r>
        <w:rPr>
          <w:rFonts w:ascii="Arial" w:cs="Arial" w:eastAsia="Arial" w:hAnsi="Arial"/>
          <w:sz w:val="17"/>
          <w:szCs w:val="17"/>
          <w:color w:val="auto"/>
        </w:rPr>
        <w:t>Limitation of Repurchase Rights. If a Restricted Stock Award granted to a California Participant gives the Company the right to repurchase shares of Common Stock issued pursuant to the Plan upon termination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- 1</w:t>
      </w:r>
    </w:p>
    <w:p>
      <w:pPr>
        <w:sectPr>
          <w:pgSz w:w="11900" w:h="16838" w:orient="portrait"/>
          <w:cols w:equalWidth="0" w:num="1">
            <w:col w:w="11240"/>
          </w:cols>
          <w:pgMar w:left="320" w:top="1386" w:right="339" w:bottom="1440" w:gutter="0" w:footer="0" w:header="0"/>
        </w:sectPr>
      </w:pPr>
    </w:p>
    <w:bookmarkStart w:id="217" w:name="page218"/>
    <w:bookmarkEnd w:id="217"/>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employment of such Participant, the terms of such repurchase right must comply with Section 260.140.42(h) of the California Regulations.</w:t>
      </w:r>
    </w:p>
    <w:p>
      <w:pPr>
        <w:spacing w:after="0" w:line="119" w:lineRule="exact"/>
        <w:rPr>
          <w:sz w:val="20"/>
          <w:szCs w:val="20"/>
          <w:color w:val="auto"/>
        </w:rPr>
      </w:pPr>
    </w:p>
    <w:p>
      <w:pPr>
        <w:ind w:right="120" w:firstLine="5"/>
        <w:spacing w:after="0" w:line="289" w:lineRule="auto"/>
        <w:tabs>
          <w:tab w:leader="none" w:pos="17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Additional Limitations for Other Stock-Based Awards</w:t>
      </w:r>
      <w:r>
        <w:rPr>
          <w:rFonts w:ascii="Arial" w:cs="Arial" w:eastAsia="Arial" w:hAnsi="Arial"/>
          <w:sz w:val="17"/>
          <w:szCs w:val="17"/>
          <w:color w:val="auto"/>
        </w:rPr>
        <w:t>. The terms of all Awards granted to a California Participant under Section 7 of the Plan shall comply, to the extent applicable, with Section 260.140.41 or Section 260.140.42 of the California Regulations.</w:t>
      </w:r>
    </w:p>
    <w:p>
      <w:pPr>
        <w:spacing w:after="0" w:line="53" w:lineRule="exact"/>
        <w:rPr>
          <w:rFonts w:ascii="Arial" w:cs="Arial" w:eastAsia="Arial" w:hAnsi="Arial"/>
          <w:sz w:val="17"/>
          <w:szCs w:val="17"/>
          <w:color w:val="auto"/>
        </w:rPr>
      </w:pPr>
    </w:p>
    <w:p>
      <w:pPr>
        <w:ind w:right="100" w:firstLine="5"/>
        <w:spacing w:after="0" w:line="268" w:lineRule="auto"/>
        <w:tabs>
          <w:tab w:leader="none" w:pos="17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Additional Requirement to Provide Information to California Participants</w:t>
      </w:r>
      <w:r>
        <w:rPr>
          <w:rFonts w:ascii="Arial" w:cs="Arial" w:eastAsia="Arial" w:hAnsi="Arial"/>
          <w:sz w:val="17"/>
          <w:szCs w:val="17"/>
          <w:color w:val="auto"/>
        </w:rPr>
        <w:t>.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w:t>
      </w:r>
    </w:p>
    <w:p>
      <w:pPr>
        <w:spacing w:after="0" w:line="71" w:lineRule="exact"/>
        <w:rPr>
          <w:rFonts w:ascii="Arial" w:cs="Arial" w:eastAsia="Arial" w:hAnsi="Arial"/>
          <w:sz w:val="17"/>
          <w:szCs w:val="17"/>
          <w:color w:val="auto"/>
        </w:rPr>
      </w:pPr>
    </w:p>
    <w:p>
      <w:pPr>
        <w:ind w:firstLine="5"/>
        <w:spacing w:after="0" w:line="273" w:lineRule="auto"/>
        <w:tabs>
          <w:tab w:leader="none" w:pos="17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Additional Limitations on Timing of Awards</w:t>
      </w:r>
      <w:r>
        <w:rPr>
          <w:rFonts w:ascii="Arial" w:cs="Arial" w:eastAsia="Arial" w:hAnsi="Arial"/>
          <w:sz w:val="17"/>
          <w:szCs w:val="17"/>
          <w:color w:val="auto"/>
        </w:rPr>
        <w:t>. 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w:t>
      </w:r>
    </w:p>
    <w:p>
      <w:pPr>
        <w:spacing w:after="0" w:line="67" w:lineRule="exact"/>
        <w:rPr>
          <w:rFonts w:ascii="Arial" w:cs="Arial" w:eastAsia="Arial" w:hAnsi="Arial"/>
          <w:sz w:val="17"/>
          <w:szCs w:val="17"/>
          <w:color w:val="auto"/>
        </w:rPr>
      </w:pPr>
    </w:p>
    <w:p>
      <w:pPr>
        <w:ind w:right="200" w:firstLine="5"/>
        <w:spacing w:after="0" w:line="289" w:lineRule="auto"/>
        <w:tabs>
          <w:tab w:leader="none" w:pos="17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Additional Limitations Relating to Definition of Fair Market Value</w:t>
      </w:r>
      <w:r>
        <w:rPr>
          <w:rFonts w:ascii="Arial" w:cs="Arial" w:eastAsia="Arial" w:hAnsi="Arial"/>
          <w:sz w:val="17"/>
          <w:szCs w:val="17"/>
          <w:color w:val="auto"/>
        </w:rPr>
        <w:t>. For purposes of Section 1(b) and 2(a) of this supplement, “Fair Market Value” shall be determined in a manner not inconsistent with Section 260.140.50 of the California Regulations.</w:t>
      </w:r>
    </w:p>
    <w:p>
      <w:pPr>
        <w:spacing w:after="0" w:line="53" w:lineRule="exact"/>
        <w:rPr>
          <w:rFonts w:ascii="Arial" w:cs="Arial" w:eastAsia="Arial" w:hAnsi="Arial"/>
          <w:sz w:val="17"/>
          <w:szCs w:val="17"/>
          <w:color w:val="auto"/>
        </w:rPr>
      </w:pPr>
    </w:p>
    <w:p>
      <w:pPr>
        <w:ind w:right="140" w:firstLine="5"/>
        <w:spacing w:after="0" w:line="298" w:lineRule="auto"/>
        <w:tabs>
          <w:tab w:leader="none" w:pos="17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Additional Restriction Regarding Recapitalizations, Stock Splits, Etc</w:t>
      </w:r>
      <w:r>
        <w:rPr>
          <w:rFonts w:ascii="Arial" w:cs="Arial" w:eastAsia="Arial" w:hAnsi="Arial"/>
          <w:sz w:val="16"/>
          <w:szCs w:val="16"/>
          <w:color w:val="auto"/>
        </w:rPr>
        <w:t>. 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 - 2</w:t>
      </w:r>
    </w:p>
    <w:p>
      <w:pPr>
        <w:sectPr>
          <w:pgSz w:w="11900" w:h="16838" w:orient="portrait"/>
          <w:cols w:equalWidth="0" w:num="1">
            <w:col w:w="11200"/>
          </w:cols>
          <w:pgMar w:left="320" w:top="1440" w:right="379" w:bottom="1440" w:gutter="0" w:footer="0" w:header="0"/>
        </w:sectPr>
      </w:pPr>
    </w:p>
    <w:bookmarkStart w:id="218" w:name="page219"/>
    <w:bookmarkEnd w:id="218"/>
    <w:p>
      <w:pPr>
        <w:jc w:val="center"/>
        <w:ind w:right="-79"/>
        <w:spacing w:after="0"/>
        <w:rPr>
          <w:sz w:val="20"/>
          <w:szCs w:val="20"/>
          <w:color w:val="auto"/>
        </w:rPr>
      </w:pPr>
      <w:r>
        <w:rPr>
          <w:rFonts w:ascii="Arial" w:cs="Arial" w:eastAsia="Arial" w:hAnsi="Arial"/>
          <w:sz w:val="17"/>
          <w:szCs w:val="17"/>
          <w:b w:val="1"/>
          <w:bCs w:val="1"/>
          <w:color w:val="auto"/>
        </w:rPr>
        <w:t>PRAXIS PRECISION MEDICINES,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AMENDMENT NO. 1 TO</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2017 STOCK INCENTIVE PLAN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Praxis Precision Medicines, Inc. 2017 Stock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as follows: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4(a) of the Plan is hereby amended to increase the total number of Shares (as defined in the Plan) reserved and available for issuance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Plan such that Section 4(a) of the Plan, as so amended, shall read in its entirety as follows:</w:t>
      </w:r>
    </w:p>
    <w:p>
      <w:pPr>
        <w:spacing w:after="0" w:line="212" w:lineRule="exact"/>
        <w:rPr>
          <w:sz w:val="20"/>
          <w:szCs w:val="20"/>
          <w:color w:val="auto"/>
        </w:rPr>
      </w:pPr>
    </w:p>
    <w:p>
      <w:pPr>
        <w:ind w:left="180" w:hanging="175"/>
        <w:spacing w:after="0"/>
        <w:tabs>
          <w:tab w:leader="none" w:pos="180"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20" w:firstLine="634"/>
        <w:spacing w:after="0" w:line="277" w:lineRule="auto"/>
        <w:tabs>
          <w:tab w:leader="none" w:pos="867"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8 hereof, Awards may be made under the Plan covering up to 4,794,211 shares of common stock of the Company (the “Common Stock”).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ADOPTED BY BOARD OF DIRECTORS: October 2, 2018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ADOPTED BY STOCKHOLDERS: October 2, 2018</w:t>
      </w:r>
    </w:p>
    <w:p>
      <w:pPr>
        <w:sectPr>
          <w:pgSz w:w="11900" w:h="16838" w:orient="portrait"/>
          <w:cols w:equalWidth="0" w:num="1">
            <w:col w:w="11180"/>
          </w:cols>
          <w:pgMar w:left="320" w:top="1380" w:right="399" w:bottom="1440" w:gutter="0" w:footer="0" w:header="0"/>
        </w:sectPr>
      </w:pPr>
    </w:p>
    <w:bookmarkStart w:id="219" w:name="page220"/>
    <w:bookmarkEnd w:id="219"/>
    <w:p>
      <w:pPr>
        <w:jc w:val="center"/>
        <w:ind w:right="-79"/>
        <w:spacing w:after="0"/>
        <w:rPr>
          <w:sz w:val="20"/>
          <w:szCs w:val="20"/>
          <w:color w:val="auto"/>
        </w:rPr>
      </w:pPr>
      <w:r>
        <w:rPr>
          <w:rFonts w:ascii="Arial" w:cs="Arial" w:eastAsia="Arial" w:hAnsi="Arial"/>
          <w:sz w:val="17"/>
          <w:szCs w:val="17"/>
          <w:b w:val="1"/>
          <w:bCs w:val="1"/>
          <w:color w:val="auto"/>
        </w:rPr>
        <w:t>PRAXIS PRECISION MEDICINES,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AMENDMENT NO. 2 TO</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2017 STOCK INCENTIVE PLAN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Praxis Precision Medicines, Inc. 2017 Stock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as follows: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4(a) of the Plan is hereby amended to increase the total number of Shares (as defined in the Plan) reserved and available for issuance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Plan such that Section 4(a) of the Plan, as so amended, shall read in its entirety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pacing w:after="0" w:line="119" w:lineRule="exact"/>
        <w:rPr>
          <w:sz w:val="20"/>
          <w:szCs w:val="20"/>
          <w:color w:val="auto"/>
        </w:rPr>
      </w:pPr>
    </w:p>
    <w:p>
      <w:pPr>
        <w:ind w:right="20" w:firstLine="634"/>
        <w:spacing w:after="0" w:line="277" w:lineRule="auto"/>
        <w:tabs>
          <w:tab w:leader="none" w:pos="86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8 hereof, Awards may be made under the Plan covering up to 5,043,824 shares of common stock of the Company (the “Common Stock”).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ADOPTED BY BOARD OF DIRECTORS: November 18,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ADOPTED BY STOCKHOLDERS: November 18, 2019</w:t>
      </w:r>
    </w:p>
    <w:p>
      <w:pPr>
        <w:sectPr>
          <w:pgSz w:w="11900" w:h="16838" w:orient="portrait"/>
          <w:cols w:equalWidth="0" w:num="1">
            <w:col w:w="11180"/>
          </w:cols>
          <w:pgMar w:left="320" w:top="1380" w:right="399" w:bottom="1440" w:gutter="0" w:footer="0" w:header="0"/>
        </w:sectPr>
      </w:pPr>
    </w:p>
    <w:bookmarkStart w:id="220" w:name="page221"/>
    <w:bookmarkEnd w:id="220"/>
    <w:p>
      <w:pPr>
        <w:jc w:val="center"/>
        <w:ind w:right="-139"/>
        <w:spacing w:after="0"/>
        <w:rPr>
          <w:sz w:val="20"/>
          <w:szCs w:val="20"/>
          <w:color w:val="auto"/>
        </w:rPr>
      </w:pPr>
      <w:r>
        <w:rPr>
          <w:rFonts w:ascii="Arial" w:cs="Arial" w:eastAsia="Arial" w:hAnsi="Arial"/>
          <w:sz w:val="17"/>
          <w:szCs w:val="17"/>
          <w:b w:val="1"/>
          <w:bCs w:val="1"/>
          <w:color w:val="auto"/>
        </w:rPr>
        <w:t>PRAXIS PRECISION MEDICINES, INC.</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AMENDMENT NO. 3 TO</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2017 STOCK INCENTIVE PLAN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Praxis Precision Medicines, Inc. 2017 Stock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as follows: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Section 8(b)(2) of the Plan is hereby amended by adding the following sentence at the end of such Section 8(b)(2):</w:t>
      </w:r>
    </w:p>
    <w:p>
      <w:pPr>
        <w:spacing w:after="0" w:line="22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For purposes of clauses (i) and (iv) above, any escrow, holdback, indemnification, earn-out or similar provisions in the definitive documents effecting such Reorganization Event may apply to any assumed Awards or payments in respect of Awards to the same extent and in the same manner as such provisions apply to holders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ADOPTED BY BOARD OF DIRECTORS: December 10,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ADOPTED BY STOCKHOLDERS: December 10, 2019</w:t>
      </w:r>
    </w:p>
    <w:p>
      <w:pPr>
        <w:sectPr>
          <w:pgSz w:w="11900" w:h="16838" w:orient="portrait"/>
          <w:cols w:equalWidth="0" w:num="1">
            <w:col w:w="11100"/>
          </w:cols>
          <w:pgMar w:left="320" w:top="1380" w:right="479" w:bottom="1440" w:gutter="0" w:footer="0" w:header="0"/>
        </w:sectPr>
      </w:pPr>
    </w:p>
    <w:bookmarkStart w:id="221" w:name="page222"/>
    <w:bookmarkEnd w:id="221"/>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NO. 4 TO</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2017 STOCK INCENTIVE PLAN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Praxis Precision Medicines, Inc. 2017 Stock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4(a) of the Plan is hereby amended to increase the total number of Shares (as defined in the Plan) reserved and available for issuance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Plan such that Section 4(a) of the Plan, as so amended, shall read in its entirety as follows:</w:t>
      </w:r>
    </w:p>
    <w:p>
      <w:pPr>
        <w:spacing w:after="0" w:line="94" w:lineRule="exact"/>
        <w:rPr>
          <w:sz w:val="20"/>
          <w:szCs w:val="20"/>
          <w:color w:val="auto"/>
        </w:rPr>
      </w:pPr>
    </w:p>
    <w:p>
      <w:pPr>
        <w:ind w:left="180" w:hanging="175"/>
        <w:spacing w:after="0"/>
        <w:tabs>
          <w:tab w:leader="none" w:pos="18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8 hereof, Awards may be</w:t>
      </w:r>
    </w:p>
    <w:p>
      <w:pPr>
        <w:spacing w:after="0" w:line="2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under the Plan covering up to 8,366,813 shares of common stock of the Company (the "Common Stock").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ADOPTED BY BOARD OF DIRECTORS: June 3, 2020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ADOPTED BY STOCKHOLDERS: June 5, 2020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CHARTER AMENDMENT APPROVED: June 5, 2020</w:t>
      </w:r>
    </w:p>
    <w:p>
      <w:pPr>
        <w:sectPr>
          <w:pgSz w:w="11900" w:h="16838" w:orient="portrait"/>
          <w:cols w:equalWidth="0" w:num="1">
            <w:col w:w="11200"/>
          </w:cols>
          <w:pgMar w:left="320" w:top="1440" w:right="379" w:bottom="1440" w:gutter="0" w:footer="0" w:header="0"/>
        </w:sectPr>
      </w:pPr>
    </w:p>
    <w:bookmarkStart w:id="222" w:name="page223"/>
    <w:bookmarkEnd w:id="222"/>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NO. 5 TO</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2017 STOCK INCENTIVE PLAN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Praxis Precision Medicines, Inc. 2017 Stock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4(a) of the Plan is hereby amended to increase the total number of Shares (as defined in the Plan) reserved and available for issuance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Plan such that Section 4(a) of the Plan, as so amended, shall read in its entirety as follows:</w:t>
      </w:r>
    </w:p>
    <w:p>
      <w:pPr>
        <w:spacing w:after="0" w:line="94" w:lineRule="exact"/>
        <w:rPr>
          <w:sz w:val="20"/>
          <w:szCs w:val="20"/>
          <w:color w:val="auto"/>
        </w:rPr>
      </w:pPr>
    </w:p>
    <w:p>
      <w:pPr>
        <w:ind w:left="180" w:hanging="175"/>
        <w:spacing w:after="0"/>
        <w:tabs>
          <w:tab w:leader="none" w:pos="18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8 hereof, Awards may be</w:t>
      </w:r>
    </w:p>
    <w:p>
      <w:pPr>
        <w:spacing w:after="0" w:line="2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under the Plan covering up to 12,706,813 shares of common stock of the Company (the "Common Stock").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ADOPTED BY BOARD OF DIRECTORS: September 2, 2020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ADOPTED BY STOCKHOLDERS: September 2, 2020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CHARTER AMENDMENT APPROVED: September 2, 2020</w:t>
      </w:r>
    </w:p>
    <w:p>
      <w:pPr>
        <w:sectPr>
          <w:pgSz w:w="11900" w:h="16838" w:orient="portrait"/>
          <w:cols w:equalWidth="0" w:num="1">
            <w:col w:w="11200"/>
          </w:cols>
          <w:pgMar w:left="320" w:top="1440" w:right="37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7"/>
          <w:szCs w:val="17"/>
          <w:color w:val="auto"/>
        </w:rPr>
        <w:t>PRAXIS PRECISION MEDICINES,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Restricted Stock Agreement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Granted Under 2017 Stock Incentive Plan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AGREEMENT made this [____] day of [_____________, 20[</w:t>
      </w:r>
      <w:r>
        <w:rPr>
          <w:rFonts w:ascii="Arial" w:cs="Arial" w:eastAsia="Arial" w:hAnsi="Arial"/>
          <w:sz w:val="16"/>
          <w:szCs w:val="16"/>
          <w:u w:val="single" w:color="auto"/>
          <w:color w:val="auto"/>
        </w:rPr>
        <w:t>●</w:t>
      </w:r>
      <w:r>
        <w:rPr>
          <w:rFonts w:ascii="Arial" w:cs="Arial" w:eastAsia="Arial" w:hAnsi="Arial"/>
          <w:sz w:val="16"/>
          <w:szCs w:val="16"/>
          <w:color w:val="auto"/>
        </w:rPr>
        <w:t>], between Praxis Precision Medicines, Inc., a Delaware corporation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 [________________] (the “Participant”).</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valuable consideration, receipt of which is acknowledged, the parties hereto agree as follows:</w:t>
      </w:r>
    </w:p>
    <w:p>
      <w:pPr>
        <w:spacing w:after="0" w:line="96" w:lineRule="exact"/>
        <w:rPr>
          <w:sz w:val="20"/>
          <w:szCs w:val="20"/>
          <w:color w:val="auto"/>
        </w:rPr>
      </w:pPr>
    </w:p>
    <w:p>
      <w:pPr>
        <w:ind w:left="1000" w:hanging="558"/>
        <w:spacing w:after="0"/>
        <w:tabs>
          <w:tab w:leader="none" w:pos="1000" w:val="left"/>
        </w:tabs>
        <w:numPr>
          <w:ilvl w:val="0"/>
          <w:numId w:val="137"/>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Purchase of Shares</w:t>
      </w:r>
      <w:r>
        <w:rPr>
          <w:rFonts w:ascii="Arial" w:cs="Arial" w:eastAsia="Arial" w:hAnsi="Arial"/>
          <w:sz w:val="17"/>
          <w:szCs w:val="17"/>
          <w:color w:val="auto"/>
        </w:rPr>
        <w:t>.</w:t>
      </w:r>
    </w:p>
    <w:p>
      <w:pPr>
        <w:spacing w:after="0" w:line="316" w:lineRule="exact"/>
        <w:rPr>
          <w:sz w:val="20"/>
          <w:szCs w:val="20"/>
          <w:color w:val="auto"/>
        </w:rPr>
      </w:pPr>
    </w:p>
    <w:p>
      <w:pPr>
        <w:ind w:right="80" w:firstLine="629"/>
        <w:spacing w:after="0" w:line="300" w:lineRule="auto"/>
        <w:rPr>
          <w:sz w:val="20"/>
          <w:szCs w:val="20"/>
          <w:color w:val="auto"/>
        </w:rPr>
      </w:pPr>
      <w:r>
        <w:rPr>
          <w:rFonts w:ascii="Arial" w:cs="Arial" w:eastAsia="Arial" w:hAnsi="Arial"/>
          <w:sz w:val="15"/>
          <w:szCs w:val="15"/>
          <w:color w:val="auto"/>
        </w:rPr>
        <w:t>The Company shall issue and sell to the Participant, and the Participant shall purchase from the Company, subject to the terms and conditions set forth in this Agreement and in the Company’s 2017 Stock Incentive Plan (the “Plan”), [______] shares (the “Shares”) of common stock of the Company (“Common</w:t>
      </w:r>
    </w:p>
    <w:p>
      <w:pPr>
        <w:spacing w:after="0" w:line="278" w:lineRule="auto"/>
        <w:rPr>
          <w:sz w:val="20"/>
          <w:szCs w:val="20"/>
          <w:color w:val="auto"/>
        </w:rPr>
      </w:pPr>
      <w:r>
        <w:rPr>
          <w:rFonts w:ascii="Arial" w:cs="Arial" w:eastAsia="Arial" w:hAnsi="Arial"/>
          <w:sz w:val="16"/>
          <w:szCs w:val="16"/>
          <w:color w:val="auto"/>
        </w:rPr>
        <w:t>Stock”), at a purchase price of $[___] per share. The aggregate purchase price for the Shares shall be paid by the Participant by check payable to the order of the Company or such other method as may be acceptable to the Company. Upon receipt by the Company of payment for the Shares, the Company shall issue to the Participant one or more certificates in the name of the Participant for that number of Shares purchased by the Participant. The Participant agrees that the Shares shall be subject to the purchase options set forth in Sections 2 and 5 of this Agreement and the restrictions on Transfer (as defined below) set forth in Section 4 of this Agreement. Subject to applicable law, the Participant agrees to become party to any voting agreement, drag along agreement, right of first refusal and co-sale agreement, or any other agreement approved by the Board of Directors of the Company and creating obligations of or among any stockholder of the Company that holds in the aggregate shares of Common Stock equal to or greater than the aggregate number of shares of Common Stock held by the Participant, in each case calculated on a fully-diluted basis, as the Company may request.</w:t>
      </w:r>
    </w:p>
    <w:p>
      <w:pPr>
        <w:spacing w:after="0" w:line="43" w:lineRule="exact"/>
        <w:rPr>
          <w:sz w:val="20"/>
          <w:szCs w:val="20"/>
          <w:color w:val="auto"/>
        </w:rPr>
      </w:pPr>
    </w:p>
    <w:p>
      <w:pPr>
        <w:ind w:left="1000" w:hanging="558"/>
        <w:spacing w:after="0"/>
        <w:tabs>
          <w:tab w:leader="none" w:pos="1000" w:val="left"/>
        </w:tabs>
        <w:numPr>
          <w:ilvl w:val="0"/>
          <w:numId w:val="138"/>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Purchase Option</w:t>
      </w:r>
      <w:r>
        <w:rPr>
          <w:rFonts w:ascii="Arial" w:cs="Arial" w:eastAsia="Arial" w:hAnsi="Arial"/>
          <w:sz w:val="17"/>
          <w:szCs w:val="17"/>
          <w:color w:val="auto"/>
        </w:rPr>
        <w:t>.</w:t>
      </w:r>
    </w:p>
    <w:p>
      <w:pPr>
        <w:spacing w:after="0" w:line="302" w:lineRule="exact"/>
        <w:rPr>
          <w:rFonts w:ascii="Arial" w:cs="Arial" w:eastAsia="Arial" w:hAnsi="Arial"/>
          <w:sz w:val="35"/>
          <w:szCs w:val="35"/>
          <w:color w:val="auto"/>
          <w:vertAlign w:val="superscript"/>
        </w:rPr>
      </w:pPr>
    </w:p>
    <w:p>
      <w:pPr>
        <w:ind w:right="80" w:firstLine="634"/>
        <w:spacing w:after="0" w:line="273" w:lineRule="auto"/>
        <w:tabs>
          <w:tab w:leader="none" w:pos="867"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In the event that the Participant ceases to be employed by the Company for any reason or no reason, with or without cause, prior to the fourth anniversary of the Vesting Commencement Date (as defined below), the Company shall have the right and option (the “Purchase Option”) to purchase from the Participant, for a sum of $[_____] per share (the “Option Price”), some or all of the Unvested Shares (as defined below).</w:t>
      </w:r>
    </w:p>
    <w:p>
      <w:pPr>
        <w:spacing w:after="0" w:line="67" w:lineRule="exact"/>
        <w:rPr>
          <w:sz w:val="20"/>
          <w:szCs w:val="20"/>
          <w:color w:val="auto"/>
        </w:rPr>
      </w:pPr>
    </w:p>
    <w:p>
      <w:pPr>
        <w:ind w:firstLine="629"/>
        <w:spacing w:after="0" w:line="286" w:lineRule="auto"/>
        <w:rPr>
          <w:sz w:val="20"/>
          <w:szCs w:val="20"/>
          <w:color w:val="auto"/>
        </w:rPr>
      </w:pPr>
      <w:r>
        <w:rPr>
          <w:rFonts w:ascii="Arial" w:cs="Arial" w:eastAsia="Arial" w:hAnsi="Arial"/>
          <w:sz w:val="16"/>
          <w:szCs w:val="16"/>
          <w:color w:val="auto"/>
        </w:rPr>
        <w:t>“Unvested Shares” means the total number of Shares multiplied by the Applicable Percentage at the time the Purchase Option becomes exercisable by the Company, with the resulting number of Shares rounded down to the nearest whole Share. The “Applicable Percentage” shall be (i) 100% during the period ending on the first anniversary of the Vesting Commencement Date, (ii) 75% less 2.0833% for each month of employment completed by the Participant with the Company from and after the first anniversary of the Vesting Commencement Date, and (iii) zero on or after the fourth anniversary of the Vesting Commencement Date. For purposes of this Agreement, “Vesting Commencement Date” shall mean [________________].</w:t>
      </w:r>
    </w:p>
    <w:p>
      <w:pPr>
        <w:spacing w:after="0" w:line="58" w:lineRule="exact"/>
        <w:rPr>
          <w:sz w:val="20"/>
          <w:szCs w:val="20"/>
          <w:color w:val="auto"/>
        </w:rPr>
      </w:pPr>
    </w:p>
    <w:p>
      <w:pPr>
        <w:ind w:right="180" w:firstLine="62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provision at the discretion of the Board:</w:t>
      </w:r>
      <w:r>
        <w:rPr>
          <w:rFonts w:ascii="Arial" w:cs="Arial" w:eastAsia="Arial" w:hAnsi="Arial"/>
          <w:sz w:val="17"/>
          <w:szCs w:val="17"/>
          <w:color w:val="auto"/>
        </w:rPr>
        <w:t xml:space="preserve"> Additionally, if following a Company Sale (as defined below), the Participant is terminated without Cause (as defined below), then 100% of the Shares that are not then vested shall become vested.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76" w:lineRule="exact"/>
        <w:rPr>
          <w:sz w:val="20"/>
          <w:szCs w:val="20"/>
          <w:color w:val="auto"/>
        </w:rPr>
      </w:pPr>
    </w:p>
    <w:p>
      <w:pPr>
        <w:ind w:right="320" w:firstLine="634"/>
        <w:spacing w:after="0" w:line="289" w:lineRule="auto"/>
        <w:tabs>
          <w:tab w:leader="none" w:pos="87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Participant is employed by a parent or subsidiary of the Company, any references in this Agreement to employment with the Company or termination of employment by or with the Company shall instead be deemed to refer to such parent or subsidiary.</w:t>
      </w:r>
    </w:p>
    <w:p>
      <w:pPr>
        <w:sectPr>
          <w:pgSz w:w="11900" w:h="16838" w:orient="portrait"/>
          <w:cols w:equalWidth="0" w:num="1">
            <w:col w:w="11220"/>
          </w:cols>
          <w:pgMar w:left="320" w:top="1386" w:right="359" w:bottom="1440" w:gutter="0" w:footer="0" w:header="0"/>
        </w:sectPr>
      </w:pPr>
    </w:p>
    <w:bookmarkStart w:id="224" w:name="page225"/>
    <w:bookmarkEnd w:id="224"/>
    <w:p>
      <w:pPr>
        <w:spacing w:after="0" w:line="369" w:lineRule="exact"/>
        <w:rPr>
          <w:sz w:val="20"/>
          <w:szCs w:val="20"/>
          <w:color w:val="auto"/>
        </w:rPr>
      </w:pPr>
    </w:p>
    <w:p>
      <w:pPr>
        <w:ind w:left="558" w:hanging="558"/>
        <w:spacing w:after="0"/>
        <w:tabs>
          <w:tab w:leader="none" w:pos="558" w:val="left"/>
        </w:tabs>
        <w:numPr>
          <w:ilvl w:val="0"/>
          <w:numId w:val="140"/>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Exercise of Purchase Option and Closing</w:t>
      </w:r>
      <w:r>
        <w:rPr>
          <w:rFonts w:ascii="Arial" w:cs="Arial" w:eastAsia="Arial" w:hAnsi="Arial"/>
          <w:sz w:val="17"/>
          <w:szCs w:val="17"/>
          <w:color w:val="auto"/>
        </w:rPr>
        <w:t>.</w:t>
      </w:r>
    </w:p>
    <w:p>
      <w:pPr>
        <w:spacing w:after="0" w:line="315" w:lineRule="exact"/>
        <w:rPr>
          <w:rFonts w:ascii="Arial" w:cs="Arial" w:eastAsia="Arial" w:hAnsi="Arial"/>
          <w:sz w:val="35"/>
          <w:szCs w:val="35"/>
          <w:color w:val="auto"/>
          <w:vertAlign w:val="superscript"/>
        </w:rPr>
      </w:pPr>
    </w:p>
    <w:p>
      <w:pPr>
        <w:ind w:left="-442" w:right="100" w:firstLine="634"/>
        <w:spacing w:after="0" w:line="264" w:lineRule="auto"/>
        <w:tabs>
          <w:tab w:leader="none" w:pos="42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Company may exercise the Purchase Option by delivering or mailing to the Participant (or his estate) a written notice of exercise of the Purchase Option in connection with or following Participant’s termination of employment or service with the Company (an “Exercise Notice”). Such Exercise Notice shall specify the number of Shares to be purchased and may not be given after the 90 day period following a written request from the Participant (following Participant’s termination of employment or service with the Company) that the Company indicate whether or not it plans to exercise the Purchase Option. If and to the extent the Purchase Option is not exercised within such 90-day period (if requested by the Participant pursuant to the foregoing sentence), the Purchase Option shall expire and terminate effective upon the expiration of such 90-day period.</w:t>
      </w:r>
    </w:p>
    <w:p>
      <w:pPr>
        <w:spacing w:after="0" w:line="73" w:lineRule="exact"/>
        <w:rPr>
          <w:rFonts w:ascii="Arial" w:cs="Arial" w:eastAsia="Arial" w:hAnsi="Arial"/>
          <w:sz w:val="17"/>
          <w:szCs w:val="17"/>
          <w:color w:val="auto"/>
        </w:rPr>
      </w:pPr>
    </w:p>
    <w:p>
      <w:pPr>
        <w:ind w:left="-442" w:firstLine="634"/>
        <w:spacing w:after="0" w:line="264" w:lineRule="auto"/>
        <w:tabs>
          <w:tab w:leader="none" w:pos="43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Within 10 days after delivery to the Participant of the Exercise Notice pursuant to subsection (a) above, the Participant (or his estate) shall, pursuant to the provisions of the Joint Escrow Instructions referred to in Section 7 below, tender to the Company at its principal offices the certificate or certificates representing the Shares which the Company has elected to purchase in accordance with the terms of this Agreement, duly endorsed in blank or with duly endorsed stock powers attached thereto, all in form suitable for the Transfer of such Shares to the Company. Promptly following its receipt of such certificate or certificates, the Company shall pay to the Participant the aggregate Option Price for such Shares (provided that any delay in making such payment shall not invalidate the Company’s exercise of the Purchase Option with respect to such Shares).</w:t>
      </w:r>
    </w:p>
    <w:p>
      <w:pPr>
        <w:spacing w:after="0" w:line="73" w:lineRule="exact"/>
        <w:rPr>
          <w:rFonts w:ascii="Arial" w:cs="Arial" w:eastAsia="Arial" w:hAnsi="Arial"/>
          <w:sz w:val="17"/>
          <w:szCs w:val="17"/>
          <w:color w:val="auto"/>
        </w:rPr>
      </w:pPr>
    </w:p>
    <w:p>
      <w:pPr>
        <w:ind w:left="-442" w:right="140" w:firstLine="634"/>
        <w:spacing w:after="0" w:line="298" w:lineRule="auto"/>
        <w:tabs>
          <w:tab w:leader="none" w:pos="42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After the time at which any Shares are required to be delivered to the Company for Transfer to the Company pursuant to subsection (b) above, the Company shall not pay any dividend to the Participant on account of such Shares or permit the Participant to exercise any of the privileges or rights of a stockholder with respect to such Shares, but shall, in so far as permitted by law, treat the Company as the owner of such Shares.</w:t>
      </w:r>
    </w:p>
    <w:p>
      <w:pPr>
        <w:spacing w:after="0" w:line="49" w:lineRule="exact"/>
        <w:rPr>
          <w:rFonts w:ascii="Arial" w:cs="Arial" w:eastAsia="Arial" w:hAnsi="Arial"/>
          <w:sz w:val="16"/>
          <w:szCs w:val="16"/>
          <w:color w:val="auto"/>
        </w:rPr>
      </w:pPr>
    </w:p>
    <w:p>
      <w:pPr>
        <w:ind w:left="-442" w:right="760" w:firstLine="634"/>
        <w:spacing w:after="0" w:line="289" w:lineRule="auto"/>
        <w:tabs>
          <w:tab w:leader="none" w:pos="43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Option Price may be payable, at the option of the Company, in cancellation of all or a portion of any outstanding indebtedness of the Participant to the Company or in cash (by check) or both.</w:t>
      </w:r>
    </w:p>
    <w:p>
      <w:pPr>
        <w:spacing w:after="0" w:line="53" w:lineRule="exact"/>
        <w:rPr>
          <w:rFonts w:ascii="Arial" w:cs="Arial" w:eastAsia="Arial" w:hAnsi="Arial"/>
          <w:sz w:val="17"/>
          <w:szCs w:val="17"/>
          <w:color w:val="auto"/>
        </w:rPr>
      </w:pPr>
    </w:p>
    <w:p>
      <w:pPr>
        <w:ind w:left="-442" w:right="500" w:firstLine="634"/>
        <w:spacing w:after="0" w:line="360" w:lineRule="auto"/>
        <w:tabs>
          <w:tab w:leader="none" w:pos="425"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 Company shall not purchase any fraction of a Share upon exercise of the Purchase Option, and any fraction of a Share resulting from a computation made pursuant to Section 2 of this Agreement shall be rounded to the nearest whole Share (with any one-half Share being rounded upward).</w:t>
      </w:r>
    </w:p>
    <w:p>
      <w:pPr>
        <w:spacing w:after="0" w:line="7" w:lineRule="exact"/>
        <w:rPr>
          <w:rFonts w:ascii="Arial" w:cs="Arial" w:eastAsia="Arial" w:hAnsi="Arial"/>
          <w:sz w:val="15"/>
          <w:szCs w:val="15"/>
          <w:color w:val="auto"/>
        </w:rPr>
      </w:pPr>
    </w:p>
    <w:p>
      <w:pPr>
        <w:ind w:left="418" w:hanging="226"/>
        <w:spacing w:after="0"/>
        <w:tabs>
          <w:tab w:leader="none" w:pos="41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Company may assign its Purchase Option to one or more persons or entities.</w:t>
      </w:r>
    </w:p>
    <w:p>
      <w:pPr>
        <w:spacing w:after="0" w:line="95" w:lineRule="exact"/>
        <w:rPr>
          <w:rFonts w:ascii="Arial" w:cs="Arial" w:eastAsia="Arial" w:hAnsi="Arial"/>
          <w:sz w:val="17"/>
          <w:szCs w:val="17"/>
          <w:color w:val="auto"/>
        </w:rPr>
      </w:pPr>
    </w:p>
    <w:p>
      <w:pPr>
        <w:ind w:left="558" w:hanging="558"/>
        <w:spacing w:after="0"/>
        <w:tabs>
          <w:tab w:leader="none" w:pos="558" w:val="left"/>
        </w:tabs>
        <w:numPr>
          <w:ilvl w:val="0"/>
          <w:numId w:val="140"/>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302" w:lineRule="exact"/>
        <w:rPr>
          <w:rFonts w:ascii="Arial" w:cs="Arial" w:eastAsia="Arial" w:hAnsi="Arial"/>
          <w:sz w:val="35"/>
          <w:szCs w:val="35"/>
          <w:color w:val="auto"/>
          <w:vertAlign w:val="superscript"/>
        </w:rPr>
      </w:pPr>
    </w:p>
    <w:p>
      <w:pPr>
        <w:ind w:left="-442" w:right="160" w:firstLine="634"/>
        <w:spacing w:after="0" w:line="279" w:lineRule="auto"/>
        <w:tabs>
          <w:tab w:leader="none" w:pos="42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The Participant shall not sell, assign, transfer, pledge, hypothecate or otherwise dispose of, by operation of law or otherwise (collectively “Transfer”) any Shares, or any interest therein, that are subject to the Purchase Option, except that the Participant may Transfer such Shares (i) to or for the benefit of any spouse, children, parents, uncles, aunts, siblings, grandchildren and any other relatives approved by the Board of Directors (collectively, “Approved Relatives”) or to a trust established solely for the benefit of the Participant and/or Approved Relatives,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Shares shall remain subject to this Agreement (including without limitation the restrictions on Transfer set forth in this Section 4, the Purchase Option and the right of first refusal set forth in Section 5) and such permitted transferee shall, as a condition to such Transfer, deliver to the Company a written instrument confirming that such transferee shall be bound by all of the terms and conditions of this Agreement or (ii) subject to Section 9(b) hereof, as part of the sale of all or substantially all of the shares of capital stock of the Company (including pursuant to a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accordance with the Plan, the securities or other property received by the Participant in connection with such transaction shall remain subject to this Agreement.</w:t>
      </w:r>
    </w:p>
    <w:p>
      <w:pPr>
        <w:spacing w:after="0" w:line="68" w:lineRule="exact"/>
        <w:rPr>
          <w:rFonts w:ascii="Arial" w:cs="Arial" w:eastAsia="Arial" w:hAnsi="Arial"/>
          <w:sz w:val="16"/>
          <w:szCs w:val="16"/>
          <w:color w:val="auto"/>
        </w:rPr>
      </w:pPr>
    </w:p>
    <w:p>
      <w:pPr>
        <w:ind w:left="-442" w:right="180" w:firstLine="634"/>
        <w:spacing w:after="0" w:line="289" w:lineRule="auto"/>
        <w:tabs>
          <w:tab w:leader="none" w:pos="43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Participant shall not Transfer any Shares, or any interest therein, that are no longer subject to the Purchase Option, except in accordance with Section 5 below.</w:t>
      </w:r>
    </w:p>
    <w:p>
      <w:pPr>
        <w:spacing w:after="0" w:line="53" w:lineRule="exact"/>
        <w:rPr>
          <w:rFonts w:ascii="Arial" w:cs="Arial" w:eastAsia="Arial" w:hAnsi="Arial"/>
          <w:sz w:val="17"/>
          <w:szCs w:val="17"/>
          <w:color w:val="auto"/>
        </w:rPr>
      </w:pPr>
    </w:p>
    <w:p>
      <w:pPr>
        <w:jc w:val="both"/>
        <w:ind w:left="-442" w:right="160" w:firstLine="634"/>
        <w:spacing w:after="0" w:line="273" w:lineRule="auto"/>
        <w:tabs>
          <w:tab w:leader="none" w:pos="42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Company shall not be required (1) to Transfer on its books any of the Shares which shall have been sold or Transferred in violation of any of the provisions set forth in this Agreement or the Company’s Bylaws, or (2) to treat as owner of such Shares or to pay dividends to any transferee to whom any such Shares shall have been so sold or Transferred.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6" w:lineRule="exact"/>
        <w:rPr>
          <w:rFonts w:ascii="Arial" w:cs="Arial" w:eastAsia="Arial" w:hAnsi="Arial"/>
          <w:sz w:val="17"/>
          <w:szCs w:val="17"/>
          <w:color w:val="auto"/>
        </w:rPr>
      </w:pPr>
    </w:p>
    <w:p>
      <w:pPr>
        <w:ind w:left="5138" w:hanging="102"/>
        <w:spacing w:after="0"/>
        <w:tabs>
          <w:tab w:leader="none" w:pos="5138" w:val="left"/>
        </w:tabs>
        <w:numPr>
          <w:ilvl w:val="2"/>
          <w:numId w:val="140"/>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0778"/>
          </w:cols>
          <w:pgMar w:left="762" w:top="1440" w:right="359" w:bottom="1440" w:gutter="0" w:footer="0" w:header="0"/>
        </w:sectPr>
      </w:pPr>
    </w:p>
    <w:bookmarkStart w:id="225" w:name="page226"/>
    <w:bookmarkEnd w:id="225"/>
    <w:p>
      <w:pPr>
        <w:spacing w:after="0" w:line="369" w:lineRule="exact"/>
        <w:rPr>
          <w:sz w:val="20"/>
          <w:szCs w:val="20"/>
          <w:color w:val="auto"/>
        </w:rPr>
      </w:pPr>
    </w:p>
    <w:p>
      <w:pPr>
        <w:ind w:left="1000" w:hanging="558"/>
        <w:spacing w:after="0"/>
        <w:tabs>
          <w:tab w:leader="none" w:pos="1000" w:val="left"/>
        </w:tabs>
        <w:numPr>
          <w:ilvl w:val="0"/>
          <w:numId w:val="141"/>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Right of First Refusal</w:t>
      </w:r>
      <w:r>
        <w:rPr>
          <w:rFonts w:ascii="Arial" w:cs="Arial" w:eastAsia="Arial" w:hAnsi="Arial"/>
          <w:sz w:val="17"/>
          <w:szCs w:val="17"/>
          <w:color w:val="auto"/>
        </w:rPr>
        <w:t>.</w:t>
      </w:r>
    </w:p>
    <w:p>
      <w:pPr>
        <w:spacing w:after="0" w:line="315" w:lineRule="exact"/>
        <w:rPr>
          <w:rFonts w:ascii="Arial" w:cs="Arial" w:eastAsia="Arial" w:hAnsi="Arial"/>
          <w:sz w:val="35"/>
          <w:szCs w:val="35"/>
          <w:color w:val="auto"/>
          <w:vertAlign w:val="superscript"/>
        </w:rPr>
      </w:pPr>
    </w:p>
    <w:p>
      <w:pPr>
        <w:ind w:right="80" w:firstLine="634"/>
        <w:spacing w:after="0" w:line="268" w:lineRule="auto"/>
        <w:tabs>
          <w:tab w:leader="none" w:pos="86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the Participant proposes to Transfer any Shares that are no longer subject to the Purchase Option (either because they are no longer Unvested Shares or because the Purchase Option expired unexercised), then the Participant shall first give 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71" w:lineRule="exact"/>
        <w:rPr>
          <w:rFonts w:ascii="Arial" w:cs="Arial" w:eastAsia="Arial" w:hAnsi="Arial"/>
          <w:sz w:val="17"/>
          <w:szCs w:val="17"/>
          <w:color w:val="auto"/>
        </w:rPr>
      </w:pPr>
    </w:p>
    <w:p>
      <w:pPr>
        <w:ind w:right="60" w:firstLine="634"/>
        <w:spacing w:after="0" w:line="261" w:lineRule="auto"/>
        <w:tabs>
          <w:tab w:leader="none" w:pos="87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delay in making such payment shall not invalidate the Company’s exercise of its option to purchase the Offered Shares.</w:t>
      </w:r>
    </w:p>
    <w:p>
      <w:pPr>
        <w:spacing w:after="0" w:line="80" w:lineRule="exact"/>
        <w:rPr>
          <w:rFonts w:ascii="Arial" w:cs="Arial" w:eastAsia="Arial" w:hAnsi="Arial"/>
          <w:sz w:val="17"/>
          <w:szCs w:val="17"/>
          <w:color w:val="auto"/>
        </w:rPr>
      </w:pPr>
    </w:p>
    <w:p>
      <w:pPr>
        <w:ind w:firstLine="634"/>
        <w:spacing w:after="0" w:line="283" w:lineRule="auto"/>
        <w:tabs>
          <w:tab w:leader="none" w:pos="86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Transfer shall not be on terms and conditions more favorable to the transferee than those contained in the Transfer Notice. Notwithstanding any of the above, all Offered Shares Transferred pursuant to this Section 5 shall remain subject to this Agreement (including without limitation the restrictions on Transfer set forth in Section 4 and the right of first refusal set forth in this Section 5) and such transferee shall, as a condition to such Transfer, deliver to the Company a written instrument confirming that such transferee shall be bound by all of the terms and conditions of this Agreement.</w:t>
      </w:r>
    </w:p>
    <w:p>
      <w:pPr>
        <w:spacing w:after="0" w:line="62" w:lineRule="exact"/>
        <w:rPr>
          <w:rFonts w:ascii="Arial" w:cs="Arial" w:eastAsia="Arial" w:hAnsi="Arial"/>
          <w:sz w:val="16"/>
          <w:szCs w:val="16"/>
          <w:color w:val="auto"/>
        </w:rPr>
      </w:pPr>
    </w:p>
    <w:p>
      <w:pPr>
        <w:ind w:firstLine="634"/>
        <w:spacing w:after="0" w:line="298" w:lineRule="auto"/>
        <w:tabs>
          <w:tab w:leader="none" w:pos="87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49" w:lineRule="exact"/>
        <w:rPr>
          <w:rFonts w:ascii="Arial" w:cs="Arial" w:eastAsia="Arial" w:hAnsi="Arial"/>
          <w:sz w:val="16"/>
          <w:szCs w:val="16"/>
          <w:color w:val="auto"/>
        </w:rPr>
      </w:pPr>
    </w:p>
    <w:p>
      <w:pPr>
        <w:ind w:left="880" w:hanging="246"/>
        <w:spacing w:after="0"/>
        <w:tabs>
          <w:tab w:leader="none" w:pos="8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following transactions shall be exempt from the provisions of this Section 5:</w:t>
      </w:r>
    </w:p>
    <w:p>
      <w:pPr>
        <w:spacing w:after="0" w:line="119" w:lineRule="exact"/>
        <w:rPr>
          <w:rFonts w:ascii="Arial" w:cs="Arial" w:eastAsia="Arial" w:hAnsi="Arial"/>
          <w:sz w:val="17"/>
          <w:szCs w:val="17"/>
          <w:color w:val="auto"/>
        </w:rPr>
      </w:pPr>
    </w:p>
    <w:p>
      <w:pPr>
        <w:ind w:left="640" w:right="60" w:firstLine="624"/>
        <w:spacing w:after="0" w:line="289" w:lineRule="auto"/>
        <w:tabs>
          <w:tab w:leader="none" w:pos="151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 Transfer of Shares to or for the benefit of any Approved Relatives, or to a trust established solely for the benefit of the Participant and/or Approved Relatives;</w:t>
      </w:r>
    </w:p>
    <w:p>
      <w:pPr>
        <w:spacing w:after="0" w:line="53" w:lineRule="exact"/>
        <w:rPr>
          <w:rFonts w:ascii="Arial" w:cs="Arial" w:eastAsia="Arial" w:hAnsi="Arial"/>
          <w:sz w:val="17"/>
          <w:szCs w:val="17"/>
          <w:color w:val="auto"/>
        </w:rPr>
      </w:pPr>
    </w:p>
    <w:p>
      <w:pPr>
        <w:ind w:left="640" w:right="520" w:firstLine="624"/>
        <w:spacing w:after="0" w:line="289" w:lineRule="auto"/>
        <w:tabs>
          <w:tab w:leader="none" w:pos="151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any Transfer pursuant to an effective registration statement filed by the Company under the Securities Act of 1933, as amended (the “Securities Act”); and</w:t>
      </w:r>
    </w:p>
    <w:p>
      <w:pPr>
        <w:spacing w:after="0" w:line="53" w:lineRule="exact"/>
        <w:rPr>
          <w:rFonts w:ascii="Arial" w:cs="Arial" w:eastAsia="Arial" w:hAnsi="Arial"/>
          <w:sz w:val="17"/>
          <w:szCs w:val="17"/>
          <w:color w:val="auto"/>
        </w:rPr>
      </w:pPr>
    </w:p>
    <w:p>
      <w:pPr>
        <w:ind w:left="640" w:right="960" w:firstLine="624"/>
        <w:spacing w:after="0" w:line="289" w:lineRule="auto"/>
        <w:tabs>
          <w:tab w:leader="none" w:pos="151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 consolidation);</w:t>
      </w:r>
    </w:p>
    <w:p>
      <w:pPr>
        <w:spacing w:after="0" w:line="54"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a Transfer pursuant to clause (1) above, such Shares shall remain subject to this Agreement (including without limitation the restrictions on Transfer set forth in Section 4 and the right of first refusal set forth in this Section 5) and such transferee shall, as a condition to such Transfer, deliver to the Company a written instrument confirming that such transferee shall be bound by all of the terms and conditions of this Agreement.</w:t>
      </w:r>
    </w:p>
    <w:p>
      <w:pPr>
        <w:spacing w:after="0" w:line="49" w:lineRule="exact"/>
        <w:rPr>
          <w:sz w:val="20"/>
          <w:szCs w:val="20"/>
          <w:color w:val="auto"/>
        </w:rPr>
      </w:pPr>
    </w:p>
    <w:p>
      <w:pPr>
        <w:ind w:left="860" w:hanging="226"/>
        <w:spacing w:after="0"/>
        <w:tabs>
          <w:tab w:leader="none" w:pos="8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Company may assign its rights to purchase Offered Shares in any particular transaction under this Section 5 to one or more persons or entities.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1" w:lineRule="exact"/>
        <w:rPr>
          <w:rFonts w:ascii="Arial" w:cs="Arial" w:eastAsia="Arial" w:hAnsi="Arial"/>
          <w:sz w:val="15"/>
          <w:szCs w:val="15"/>
          <w:color w:val="auto"/>
        </w:rPr>
      </w:pPr>
    </w:p>
    <w:p>
      <w:pPr>
        <w:ind w:left="5580" w:hanging="102"/>
        <w:spacing w:after="0"/>
        <w:tabs>
          <w:tab w:leader="none" w:pos="55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51" w:lineRule="exact"/>
        <w:rPr>
          <w:sz w:val="20"/>
          <w:szCs w:val="20"/>
          <w:color w:val="auto"/>
        </w:rPr>
      </w:pPr>
    </w:p>
    <w:p>
      <w:pPr>
        <w:ind w:left="880" w:hanging="246"/>
        <w:spacing w:after="0"/>
        <w:tabs>
          <w:tab w:leader="none" w:pos="8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provisions of this Section 5 shall terminate upon the earlier of the following events:</w:t>
      </w:r>
    </w:p>
    <w:p>
      <w:pPr>
        <w:spacing w:after="0" w:line="119" w:lineRule="exact"/>
        <w:rPr>
          <w:rFonts w:ascii="Arial" w:cs="Arial" w:eastAsia="Arial" w:hAnsi="Arial"/>
          <w:sz w:val="17"/>
          <w:szCs w:val="17"/>
          <w:color w:val="auto"/>
        </w:rPr>
      </w:pPr>
    </w:p>
    <w:p>
      <w:pPr>
        <w:ind w:left="640" w:right="180" w:firstLine="624"/>
        <w:spacing w:after="0" w:line="289" w:lineRule="auto"/>
        <w:tabs>
          <w:tab w:leader="none" w:pos="1517"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closing of the sale of shares of Common Stock in an underwritten public offering pursuant to an effective registration statement filed by the Company under the Securities Act; or</w:t>
      </w:r>
    </w:p>
    <w:p>
      <w:pPr>
        <w:spacing w:after="0" w:line="53" w:lineRule="exact"/>
        <w:rPr>
          <w:rFonts w:ascii="Arial" w:cs="Arial" w:eastAsia="Arial" w:hAnsi="Arial"/>
          <w:sz w:val="17"/>
          <w:szCs w:val="17"/>
          <w:color w:val="auto"/>
        </w:rPr>
      </w:pPr>
    </w:p>
    <w:p>
      <w:pPr>
        <w:ind w:left="640" w:right="100" w:firstLine="624"/>
        <w:spacing w:after="0" w:line="265" w:lineRule="auto"/>
        <w:tabs>
          <w:tab w:leader="none" w:pos="1517"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a majority (determined on an as-converted basis) of the outstanding securities entitled to vote generally in the election of directors of the resulting, surviving or acquiring corporation in such transaction) (a “Company Sale”).</w:t>
      </w:r>
    </w:p>
    <w:p>
      <w:pPr>
        <w:spacing w:after="0" w:line="75" w:lineRule="exact"/>
        <w:rPr>
          <w:sz w:val="20"/>
          <w:szCs w:val="20"/>
          <w:color w:val="auto"/>
        </w:rPr>
      </w:pPr>
    </w:p>
    <w:p>
      <w:pPr>
        <w:ind w:left="800" w:hanging="166"/>
        <w:spacing w:after="0"/>
        <w:tabs>
          <w:tab w:leader="none" w:pos="80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Agreement in Connection with Initial Public Offering</w:t>
      </w:r>
      <w:r>
        <w:rPr>
          <w:rFonts w:ascii="Arial" w:cs="Arial" w:eastAsia="Arial" w:hAnsi="Arial"/>
          <w:sz w:val="17"/>
          <w:szCs w:val="17"/>
          <w:color w:val="auto"/>
        </w:rPr>
        <w:t>.</w:t>
      </w:r>
    </w:p>
    <w:p>
      <w:pPr>
        <w:spacing w:after="0" w:line="119"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The Participant hereby agrees that it will not, without the prior written consent of the managing underwriter, during the period commencing on the effective date of any registration statement of the Company filed under the Securities Act and ending on the date specified by the Company and the representative of the underwriters of Common Stock (or other securities) of the Company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w:t>
      </w:r>
    </w:p>
    <w:p>
      <w:pPr>
        <w:spacing w:after="0" w:line="69"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representative of the underwriters of Common Stock (or other securities) which are consistent with the foregoing or which are necessary to give further effect thereto. In addition, if requested by the Company or the representative of the underwriters of Common Stock (or other securities) of the Company, Participant shall provide, within ten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6 shall not apply to a registration relating solely to employee benefit plans on Form S-1 or Form S-8 or similar forms that may be promulgated in the future, or a registration relating solely to a Securities and Exchange Commission (“SEC”)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Shares shall be bound by this Section 6.</w:t>
      </w:r>
    </w:p>
    <w:p>
      <w:pPr>
        <w:spacing w:after="0" w:line="68"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The foregoing provisions of this Section 6 shall not apply to the sale of any shares to an underwriter pursuant to an underwriting agreement, or the Transfer of any shares to any trust for the direct or indirect benefit of the Participant or the immediate family of the Participant, provided that the trustee of the trust agrees to be bound in writing by the restrictions set forth herein, and provided further that any such Transfer shall not involve a disposition for value. The underwriters in connection with such registration are intended third party beneficiaries of this Section 6 and shall have the right, power and authority to enforce the provisions hereof as though they were a party hereto.</w:t>
      </w:r>
    </w:p>
    <w:p>
      <w:pPr>
        <w:spacing w:after="0" w:line="75" w:lineRule="exact"/>
        <w:rPr>
          <w:sz w:val="20"/>
          <w:szCs w:val="20"/>
          <w:color w:val="auto"/>
        </w:rPr>
      </w:pPr>
    </w:p>
    <w:p>
      <w:pPr>
        <w:ind w:left="800" w:hanging="166"/>
        <w:spacing w:after="0"/>
        <w:tabs>
          <w:tab w:leader="none" w:pos="80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Escrow</w:t>
      </w:r>
      <w:r>
        <w:rPr>
          <w:rFonts w:ascii="Arial" w:cs="Arial" w:eastAsia="Arial" w:hAnsi="Arial"/>
          <w:sz w:val="17"/>
          <w:szCs w:val="17"/>
          <w:color w:val="auto"/>
        </w:rPr>
        <w:t>.</w:t>
      </w:r>
    </w:p>
    <w:p>
      <w:pPr>
        <w:spacing w:after="0" w:line="11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The Participant shall, upon the execution of this Agreement, execute Joint Escrow Instructions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Joint Escrow Instructions shall be delivered to the Secretary of the Company, as escrow agent thereunder. The Participant shall deliver to such escrow agent a stock assignment duly endorsed in blank, in the form attached to this Agreement as </w:t>
      </w:r>
      <w:r>
        <w:rPr>
          <w:rFonts w:ascii="Arial" w:cs="Arial" w:eastAsia="Arial" w:hAnsi="Arial"/>
          <w:sz w:val="17"/>
          <w:szCs w:val="17"/>
          <w:u w:val="single" w:color="auto"/>
          <w:color w:val="auto"/>
        </w:rPr>
        <w:t>Exhibit B</w:t>
      </w:r>
      <w:r>
        <w:rPr>
          <w:rFonts w:ascii="Arial" w:cs="Arial" w:eastAsia="Arial" w:hAnsi="Arial"/>
          <w:sz w:val="17"/>
          <w:szCs w:val="17"/>
          <w:color w:val="auto"/>
        </w:rPr>
        <w:t>, and hereby instructs the Company to deliver to such escrow agent, on behalf of the Participant, the certificate(s) evidencing the Shares issued hereunder.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5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materials shall be held by such escrow agent pursuant to the terms of such Joint Escrow Instructions. As a further condition to the Company’s obligations under this Agreement, the spouse or registered domestic partner of Participant, if any, shall execute and deliver to the Company the Consent of Spouse or Domestic Partner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67" w:lineRule="exact"/>
        <w:rPr>
          <w:sz w:val="20"/>
          <w:szCs w:val="20"/>
          <w:color w:val="auto"/>
        </w:rPr>
      </w:pPr>
    </w:p>
    <w:p>
      <w:pPr>
        <w:ind w:left="800" w:hanging="166"/>
        <w:spacing w:after="0"/>
        <w:tabs>
          <w:tab w:leader="none" w:pos="80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Restrictive Legends</w:t>
      </w:r>
      <w:r>
        <w:rPr>
          <w:rFonts w:ascii="Arial" w:cs="Arial" w:eastAsia="Arial" w:hAnsi="Arial"/>
          <w:sz w:val="17"/>
          <w:szCs w:val="17"/>
          <w:color w:val="auto"/>
        </w:rPr>
        <w:t>.</w:t>
      </w:r>
    </w:p>
    <w:p>
      <w:pPr>
        <w:spacing w:after="0" w:line="11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All certificates representing Shares shall have affixed thereto legends in substantially the following form, in addition to any other legends that may be required under federal or state securities laws:</w:t>
      </w:r>
    </w:p>
    <w:p>
      <w:pPr>
        <w:spacing w:after="0" w:line="54"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“The shares of stock represented by this certificate are subject to restrictions on transfer and an option to purchase set forth in a certain Restricted Stock Agreement between the Company and the registered owner of these shares (or his predecessor in interest). Such restrictions on transfer and option to purchase are binding upon transferees of these securities, and such Restricted Stock Agreement is available for inspection without charge at the office of the Secretary of the company.”</w:t>
      </w:r>
    </w:p>
    <w:p>
      <w:pPr>
        <w:spacing w:after="0" w:line="71" w:lineRule="exact"/>
        <w:rPr>
          <w:sz w:val="20"/>
          <w:szCs w:val="20"/>
          <w:color w:val="auto"/>
        </w:rPr>
      </w:pPr>
    </w:p>
    <w:p>
      <w:pPr>
        <w:jc w:val="both"/>
        <w:ind w:left="640" w:right="340"/>
        <w:spacing w:after="0" w:line="273"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(the “Act”), and may not be sold, transferred or otherwise disposed of in the absence of an effective registration statement related thereto under the Act or an opinion of counsel in a form satisfactory to the company to the effect that such registration is not required under the Act.”</w:t>
      </w:r>
    </w:p>
    <w:p>
      <w:pPr>
        <w:spacing w:after="0" w:line="67" w:lineRule="exact"/>
        <w:rPr>
          <w:sz w:val="20"/>
          <w:szCs w:val="20"/>
          <w:color w:val="auto"/>
        </w:rPr>
      </w:pPr>
    </w:p>
    <w:p>
      <w:pPr>
        <w:ind w:right="280" w:firstLine="629"/>
        <w:spacing w:after="0" w:line="268" w:lineRule="auto"/>
        <w:rPr>
          <w:sz w:val="20"/>
          <w:szCs w:val="20"/>
          <w:color w:val="auto"/>
        </w:rPr>
      </w:pPr>
      <w:r>
        <w:rPr>
          <w:rFonts w:ascii="Arial" w:cs="Arial" w:eastAsia="Arial" w:hAnsi="Arial"/>
          <w:sz w:val="17"/>
          <w:szCs w:val="17"/>
          <w:color w:val="auto"/>
        </w:rPr>
        <w:t>The Company may be authorized from time to time pursuant to its certificate of incorporation to issue more than one (1) class or series of stock. In such case and at any time or from time to time thereafter the Company will furnish without charge to you upon request the powers, designations, preferences and relative participating, optional or other special rights of each class of stock or series thereof and the qualifications, limitations or restrictions of such preferences and/or rights.</w:t>
      </w:r>
    </w:p>
    <w:p>
      <w:pPr>
        <w:spacing w:after="0" w:line="71" w:lineRule="exact"/>
        <w:rPr>
          <w:sz w:val="20"/>
          <w:szCs w:val="20"/>
          <w:color w:val="auto"/>
        </w:rPr>
      </w:pPr>
    </w:p>
    <w:p>
      <w:pPr>
        <w:ind w:left="800" w:hanging="166"/>
        <w:spacing w:after="0"/>
        <w:tabs>
          <w:tab w:leader="none" w:pos="8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w:t>
      </w:r>
    </w:p>
    <w:p>
      <w:pPr>
        <w:spacing w:after="0" w:line="119" w:lineRule="exact"/>
        <w:rPr>
          <w:sz w:val="20"/>
          <w:szCs w:val="20"/>
          <w:color w:val="auto"/>
        </w:rPr>
      </w:pPr>
    </w:p>
    <w:p>
      <w:pPr>
        <w:ind w:left="880" w:hanging="246"/>
        <w:spacing w:after="0"/>
        <w:tabs>
          <w:tab w:leader="none" w:pos="8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This Agreement is subject to the provisions of the Plan, a copy of which is furnished to the Participant with this Agreement.</w:t>
      </w:r>
    </w:p>
    <w:p>
      <w:pPr>
        <w:spacing w:after="0" w:line="119" w:lineRule="exact"/>
        <w:rPr>
          <w:rFonts w:ascii="Arial" w:cs="Arial" w:eastAsia="Arial" w:hAnsi="Arial"/>
          <w:sz w:val="17"/>
          <w:szCs w:val="17"/>
          <w:color w:val="auto"/>
        </w:rPr>
      </w:pPr>
    </w:p>
    <w:p>
      <w:pPr>
        <w:ind w:right="40" w:firstLine="634"/>
        <w:spacing w:after="0" w:line="262" w:lineRule="auto"/>
        <w:tabs>
          <w:tab w:leader="none" w:pos="87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As provided in the Plan, upon the occurrence of a Reorganization Event (as defined in the Plan), the repurchase and other rights of the Company hereunder shall inure to the benefit of the Company’s successor and shall apply to the cash, securities or other property into which the Shares were converted or for which the Shares were exchanged pursuant to such Reorganization Event, in the same manner and to the same extent as they applied to the Shares under this Agreement. If, in connection with a Reorganization Event, a portion of the cash, securities and/or other property received upon the conversion or exchange of the Shares is to be placed into escrow to secure indemnification or similar obligations, the mix between the vested and unvested portion of such cash, securities and/or other property that is placed into escrow shall be the same as the mix between the vested and unvested portion of such cash, securities and/or other property that is not subject to escrow.</w:t>
      </w:r>
    </w:p>
    <w:p>
      <w:pPr>
        <w:spacing w:after="0" w:line="80" w:lineRule="exact"/>
        <w:rPr>
          <w:sz w:val="20"/>
          <w:szCs w:val="20"/>
          <w:color w:val="auto"/>
        </w:rPr>
      </w:pPr>
    </w:p>
    <w:p>
      <w:pPr>
        <w:ind w:left="900" w:hanging="266"/>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Participant represents, warrants and covenants as follows:</w:t>
      </w:r>
    </w:p>
    <w:p>
      <w:pPr>
        <w:spacing w:after="0" w:line="119" w:lineRule="exact"/>
        <w:rPr>
          <w:sz w:val="20"/>
          <w:szCs w:val="20"/>
          <w:color w:val="auto"/>
        </w:rPr>
      </w:pPr>
    </w:p>
    <w:p>
      <w:pPr>
        <w:ind w:right="600" w:firstLine="634"/>
        <w:spacing w:after="0" w:line="289" w:lineRule="auto"/>
        <w:tabs>
          <w:tab w:leader="none" w:pos="8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Participant is purchasing the Shares for his own account for investment only, and not with a view to, or for sale in connection with, any distribution of the Shares in violation of the Securities Act, or any rule or regulation under the Securities Act.</w:t>
      </w:r>
    </w:p>
    <w:p>
      <w:pPr>
        <w:spacing w:after="0" w:line="53" w:lineRule="exact"/>
        <w:rPr>
          <w:rFonts w:ascii="Arial" w:cs="Arial" w:eastAsia="Arial" w:hAnsi="Arial"/>
          <w:sz w:val="17"/>
          <w:szCs w:val="17"/>
          <w:color w:val="auto"/>
        </w:rPr>
      </w:pPr>
    </w:p>
    <w:p>
      <w:pPr>
        <w:ind w:right="680" w:firstLine="634"/>
        <w:spacing w:after="0" w:line="289" w:lineRule="auto"/>
        <w:tabs>
          <w:tab w:leader="none" w:pos="87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Participant has had such opportunity as he has deemed adequate to obtain from representatives of the Company such information as is necessary to permit him to evaluate the merits and risks of his investment in the Company.</w:t>
      </w:r>
    </w:p>
    <w:p>
      <w:pPr>
        <w:spacing w:after="0" w:line="53" w:lineRule="exact"/>
        <w:rPr>
          <w:rFonts w:ascii="Arial" w:cs="Arial" w:eastAsia="Arial" w:hAnsi="Arial"/>
          <w:sz w:val="17"/>
          <w:szCs w:val="17"/>
          <w:color w:val="auto"/>
        </w:rPr>
      </w:pPr>
    </w:p>
    <w:p>
      <w:pPr>
        <w:ind w:right="240" w:firstLine="634"/>
        <w:spacing w:after="0" w:line="289" w:lineRule="auto"/>
        <w:tabs>
          <w:tab w:leader="none" w:pos="8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Participant has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Arial" w:cs="Arial" w:eastAsia="Arial" w:hAnsi="Arial"/>
          <w:sz w:val="17"/>
          <w:szCs w:val="17"/>
          <w:color w:val="auto"/>
        </w:rPr>
      </w:pPr>
    </w:p>
    <w:p>
      <w:pPr>
        <w:ind w:left="880" w:hanging="246"/>
        <w:spacing w:after="0"/>
        <w:tabs>
          <w:tab w:leader="none" w:pos="8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Participant can afford a complete loss of the value of the Shares and is able to bear the economic risk of holding such Shares for an indefinite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5580" w:hanging="102"/>
        <w:spacing w:after="0"/>
        <w:tabs>
          <w:tab w:leader="none" w:pos="55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51" w:lineRule="exact"/>
        <w:rPr>
          <w:sz w:val="20"/>
          <w:szCs w:val="20"/>
          <w:color w:val="auto"/>
        </w:rPr>
      </w:pPr>
    </w:p>
    <w:p>
      <w:pPr>
        <w:ind w:right="80" w:firstLine="634"/>
        <w:spacing w:after="0" w:line="262" w:lineRule="auto"/>
        <w:tabs>
          <w:tab w:leader="none" w:pos="86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80" w:lineRule="exact"/>
        <w:rPr>
          <w:sz w:val="20"/>
          <w:szCs w:val="20"/>
          <w:color w:val="auto"/>
        </w:rPr>
      </w:pPr>
    </w:p>
    <w:p>
      <w:pPr>
        <w:ind w:left="880" w:hanging="246"/>
        <w:spacing w:after="0"/>
        <w:tabs>
          <w:tab w:leader="none" w:pos="88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Withholding Taxes; Section 83(b) Election</w:t>
      </w:r>
      <w:r>
        <w:rPr>
          <w:rFonts w:ascii="Arial" w:cs="Arial" w:eastAsia="Arial" w:hAnsi="Arial"/>
          <w:sz w:val="17"/>
          <w:szCs w:val="17"/>
          <w:color w:val="auto"/>
        </w:rPr>
        <w:t>.</w:t>
      </w:r>
    </w:p>
    <w:p>
      <w:pPr>
        <w:spacing w:after="0" w:line="119" w:lineRule="exact"/>
        <w:rPr>
          <w:sz w:val="20"/>
          <w:szCs w:val="20"/>
          <w:color w:val="auto"/>
        </w:rPr>
      </w:pPr>
    </w:p>
    <w:p>
      <w:pPr>
        <w:jc w:val="both"/>
        <w:ind w:firstLine="634"/>
        <w:spacing w:after="0" w:line="268" w:lineRule="auto"/>
        <w:tabs>
          <w:tab w:leader="none" w:pos="86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purchase of the Shares by the Participant or the lapse of the Purchase Option. No Shares will be released from the Purchase Option pursuant to this Agreement unless and until the Company satisfies all applicable federal, state, and local or other income and employment tax withholding obligations as described in the Plan.</w:t>
      </w:r>
    </w:p>
    <w:p>
      <w:pPr>
        <w:spacing w:after="0" w:line="71" w:lineRule="exact"/>
        <w:rPr>
          <w:rFonts w:ascii="Arial" w:cs="Arial" w:eastAsia="Arial" w:hAnsi="Arial"/>
          <w:sz w:val="17"/>
          <w:szCs w:val="17"/>
          <w:color w:val="auto"/>
        </w:rPr>
      </w:pPr>
    </w:p>
    <w:p>
      <w:pPr>
        <w:ind w:right="60" w:firstLine="634"/>
        <w:spacing w:after="0" w:line="281" w:lineRule="auto"/>
        <w:tabs>
          <w:tab w:leader="none" w:pos="87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it may be beneficial in many circumstances to elect to be taxed at the time the Shares are purchased rather than when and as the Company’s Purchase Option expires by electing to be taxed currently on the difference between the purchase price of the Shares and their Fair Market Value on the date of purchase by filing an election under Section 83(b) of the Internal Revenue Code of 1986 with the I.R.S. </w:t>
      </w:r>
      <w:r>
        <w:rPr>
          <w:rFonts w:ascii="Arial" w:cs="Arial" w:eastAsia="Arial" w:hAnsi="Arial"/>
          <w:sz w:val="16"/>
          <w:szCs w:val="16"/>
          <w:u w:val="single" w:color="auto"/>
          <w:color w:val="auto"/>
        </w:rPr>
        <w:t>within 30 days</w:t>
      </w:r>
      <w:r>
        <w:rPr>
          <w:rFonts w:ascii="Arial" w:cs="Arial" w:eastAsia="Arial" w:hAnsi="Arial"/>
          <w:sz w:val="16"/>
          <w:szCs w:val="16"/>
          <w:color w:val="auto"/>
        </w:rPr>
        <w:t xml:space="preserve"> from the date of purchase of the Shares.</w:t>
      </w:r>
    </w:p>
    <w:p>
      <w:pPr>
        <w:spacing w:after="0" w:line="60"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b w:val="1"/>
          <w:bCs w:val="1"/>
          <w:color w:val="auto"/>
        </w:rPr>
        <w:t>PARTICIPANT ACKNOWLEDGES THAT IT IS PARTICIPANT’S SOLE RESPONSIBILITY AND NOT THE COMPANY’S TO FILE TIMELY THE ELECTION UNDER SECTION 83(b), EVEN IF PARTICIPANT REQUESTS THE COMPANY OR ITS REPRESENTATIVES TO MAKE THIS FILING ON PARTICIPANT’S BEHALF.</w:t>
      </w:r>
    </w:p>
    <w:p>
      <w:pPr>
        <w:spacing w:after="0" w:line="64" w:lineRule="exact"/>
        <w:rPr>
          <w:sz w:val="20"/>
          <w:szCs w:val="20"/>
          <w:color w:val="auto"/>
        </w:rPr>
      </w:pPr>
    </w:p>
    <w:p>
      <w:pPr>
        <w:ind w:left="900" w:hanging="266"/>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9" w:lineRule="exact"/>
        <w:rPr>
          <w:sz w:val="20"/>
          <w:szCs w:val="20"/>
          <w:color w:val="auto"/>
        </w:rPr>
      </w:pPr>
    </w:p>
    <w:p>
      <w:pPr>
        <w:ind w:right="60" w:firstLine="634"/>
        <w:spacing w:after="0" w:line="268" w:lineRule="auto"/>
        <w:tabs>
          <w:tab w:leader="none" w:pos="867"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No Rights to Employment</w:t>
      </w:r>
      <w:r>
        <w:rPr>
          <w:rFonts w:ascii="Arial" w:cs="Arial" w:eastAsia="Arial" w:hAnsi="Arial"/>
          <w:sz w:val="17"/>
          <w:szCs w:val="17"/>
          <w:color w:val="auto"/>
        </w:rPr>
        <w:t>. The Participant acknowledges and agrees that the vesting of the Shares pursuant to Section 2 hereof is earned only by continuing service as an employee at the will of the Company (not through the act of being hired or purchasing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spacing w:after="0" w:line="71" w:lineRule="exact"/>
        <w:rPr>
          <w:rFonts w:ascii="Arial" w:cs="Arial" w:eastAsia="Arial" w:hAnsi="Arial"/>
          <w:sz w:val="17"/>
          <w:szCs w:val="17"/>
          <w:color w:val="auto"/>
        </w:rPr>
      </w:pPr>
    </w:p>
    <w:p>
      <w:pPr>
        <w:ind w:right="540" w:firstLine="634"/>
        <w:spacing w:after="0" w:line="322" w:lineRule="auto"/>
        <w:tabs>
          <w:tab w:leader="none" w:pos="877"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0" w:lineRule="exact"/>
        <w:rPr>
          <w:rFonts w:ascii="Arial" w:cs="Arial" w:eastAsia="Arial" w:hAnsi="Arial"/>
          <w:sz w:val="16"/>
          <w:szCs w:val="16"/>
          <w:color w:val="auto"/>
        </w:rPr>
      </w:pPr>
    </w:p>
    <w:p>
      <w:pPr>
        <w:ind w:firstLine="634"/>
        <w:spacing w:after="0" w:line="289" w:lineRule="auto"/>
        <w:tabs>
          <w:tab w:leader="none" w:pos="867"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provision for the benefit of the Company contained in this Agreement may be waived, either generally or in any particular instance, by the Board of Directors of the Company.</w:t>
      </w:r>
    </w:p>
    <w:p>
      <w:pPr>
        <w:spacing w:after="0" w:line="53" w:lineRule="exact"/>
        <w:rPr>
          <w:rFonts w:ascii="Arial" w:cs="Arial" w:eastAsia="Arial" w:hAnsi="Arial"/>
          <w:sz w:val="17"/>
          <w:szCs w:val="17"/>
          <w:color w:val="auto"/>
        </w:rPr>
      </w:pPr>
    </w:p>
    <w:p>
      <w:pPr>
        <w:ind w:right="240" w:firstLine="634"/>
        <w:spacing w:after="0" w:line="360" w:lineRule="auto"/>
        <w:tabs>
          <w:tab w:leader="none" w:pos="877"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shall be binding upon and inure to the benefit of the Company and the Participant and their respective heirs, executors, administrators, legal representatives, successors and assigns, subject to the restrictions on Transfer set forth in Sections 4 and 5 of this Agreement.</w:t>
      </w:r>
    </w:p>
    <w:p>
      <w:pPr>
        <w:spacing w:after="0" w:line="7" w:lineRule="exact"/>
        <w:rPr>
          <w:rFonts w:ascii="Arial" w:cs="Arial" w:eastAsia="Arial" w:hAnsi="Arial"/>
          <w:sz w:val="15"/>
          <w:szCs w:val="15"/>
          <w:color w:val="auto"/>
        </w:rPr>
      </w:pPr>
    </w:p>
    <w:p>
      <w:pPr>
        <w:ind w:right="40" w:firstLine="634"/>
        <w:spacing w:after="0" w:line="326" w:lineRule="auto"/>
        <w:tabs>
          <w:tab w:leader="none" w:pos="867"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12(e).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0" w:lineRule="exact"/>
        <w:rPr>
          <w:rFonts w:ascii="Arial" w:cs="Arial" w:eastAsia="Arial" w:hAnsi="Arial"/>
          <w:sz w:val="15"/>
          <w:szCs w:val="15"/>
          <w:color w:val="auto"/>
        </w:rPr>
      </w:pPr>
    </w:p>
    <w:p>
      <w:pPr>
        <w:ind w:left="5580" w:hanging="102"/>
        <w:spacing w:after="0"/>
        <w:tabs>
          <w:tab w:leader="none" w:pos="55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51" w:lineRule="exact"/>
        <w:rPr>
          <w:sz w:val="20"/>
          <w:szCs w:val="20"/>
          <w:color w:val="auto"/>
        </w:rPr>
      </w:pPr>
    </w:p>
    <w:p>
      <w:pPr>
        <w:ind w:right="120" w:firstLine="634"/>
        <w:spacing w:after="0" w:line="289" w:lineRule="auto"/>
        <w:tabs>
          <w:tab w:leader="none" w:pos="84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Pronouns</w:t>
      </w:r>
      <w:r>
        <w:rPr>
          <w:rFonts w:ascii="Arial" w:cs="Arial" w:eastAsia="Arial" w:hAnsi="Arial"/>
          <w:sz w:val="17"/>
          <w:szCs w:val="17"/>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53" w:lineRule="exact"/>
        <w:rPr>
          <w:rFonts w:ascii="Arial" w:cs="Arial" w:eastAsia="Arial" w:hAnsi="Arial"/>
          <w:sz w:val="17"/>
          <w:szCs w:val="17"/>
          <w:color w:val="auto"/>
        </w:rPr>
      </w:pPr>
    </w:p>
    <w:p>
      <w:pPr>
        <w:ind w:right="480" w:firstLine="634"/>
        <w:spacing w:after="0" w:line="289" w:lineRule="auto"/>
        <w:tabs>
          <w:tab w:leader="none" w:pos="87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constitute the entire agreement between the parties, and supersedes all prior agreements and understandings, relating to the subject matter of this Agreement.</w:t>
      </w:r>
    </w:p>
    <w:p>
      <w:pPr>
        <w:spacing w:after="0" w:line="53" w:lineRule="exact"/>
        <w:rPr>
          <w:rFonts w:ascii="Arial" w:cs="Arial" w:eastAsia="Arial" w:hAnsi="Arial"/>
          <w:sz w:val="17"/>
          <w:szCs w:val="17"/>
          <w:color w:val="auto"/>
        </w:rPr>
      </w:pPr>
    </w:p>
    <w:p>
      <w:pPr>
        <w:ind w:left="880" w:hanging="246"/>
        <w:spacing w:after="0"/>
        <w:tabs>
          <w:tab w:leader="none" w:pos="88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the Participant.</w:t>
      </w:r>
    </w:p>
    <w:p>
      <w:pPr>
        <w:spacing w:after="0" w:line="130" w:lineRule="exact"/>
        <w:rPr>
          <w:rFonts w:ascii="Arial" w:cs="Arial" w:eastAsia="Arial" w:hAnsi="Arial"/>
          <w:sz w:val="16"/>
          <w:szCs w:val="16"/>
          <w:color w:val="auto"/>
        </w:rPr>
      </w:pPr>
    </w:p>
    <w:p>
      <w:pPr>
        <w:ind w:firstLine="634"/>
        <w:spacing w:after="0" w:line="289" w:lineRule="auto"/>
        <w:tabs>
          <w:tab w:leader="none" w:pos="83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Further Instruments</w:t>
      </w:r>
      <w:r>
        <w:rPr>
          <w:rFonts w:ascii="Arial" w:cs="Arial" w:eastAsia="Arial" w:hAnsi="Arial"/>
          <w:sz w:val="17"/>
          <w:szCs w:val="17"/>
          <w:color w:val="auto"/>
        </w:rPr>
        <w:t>. Participant hereby agrees to execute such further instruments and to take such further action as may be reasonably necessary to carry out the purposes and intent of this Agreement.</w:t>
      </w:r>
    </w:p>
    <w:p>
      <w:pPr>
        <w:spacing w:after="0" w:line="53" w:lineRule="exact"/>
        <w:rPr>
          <w:rFonts w:ascii="Arial" w:cs="Arial" w:eastAsia="Arial" w:hAnsi="Arial"/>
          <w:sz w:val="17"/>
          <w:szCs w:val="17"/>
          <w:color w:val="auto"/>
        </w:rPr>
      </w:pPr>
    </w:p>
    <w:p>
      <w:pPr>
        <w:ind w:right="60" w:firstLine="634"/>
        <w:spacing w:after="0" w:line="289" w:lineRule="auto"/>
        <w:tabs>
          <w:tab w:leader="none" w:pos="83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interpreted and enforced in accordance with the internal laws of the State of Delaware without regard to any applicable conflicts of laws.</w:t>
      </w:r>
    </w:p>
    <w:p>
      <w:pPr>
        <w:spacing w:after="0" w:line="53" w:lineRule="exact"/>
        <w:rPr>
          <w:rFonts w:ascii="Arial" w:cs="Arial" w:eastAsia="Arial" w:hAnsi="Arial"/>
          <w:sz w:val="17"/>
          <w:szCs w:val="17"/>
          <w:color w:val="auto"/>
        </w:rPr>
      </w:pPr>
    </w:p>
    <w:p>
      <w:pPr>
        <w:ind w:firstLine="634"/>
        <w:spacing w:after="0" w:line="262" w:lineRule="auto"/>
        <w:tabs>
          <w:tab w:leader="none" w:pos="87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Tax Indemnity</w:t>
      </w:r>
      <w:r>
        <w:rPr>
          <w:rFonts w:ascii="Arial" w:cs="Arial" w:eastAsia="Arial" w:hAnsi="Arial"/>
          <w:sz w:val="17"/>
          <w:szCs w:val="17"/>
          <w:color w:val="auto"/>
        </w:rPr>
        <w:t>. Participant shall, if required by the Company, enter into an election with the Company or a subsidiary (in a form approved by the Company) under which any liability to the Company’s (or a subsidiary’s) Tax Liability, including, but not limited to, National Insurance Contributions (“</w:t>
      </w:r>
      <w:r>
        <w:rPr>
          <w:rFonts w:ascii="Arial" w:cs="Arial" w:eastAsia="Arial" w:hAnsi="Arial"/>
          <w:sz w:val="17"/>
          <w:szCs w:val="17"/>
          <w:u w:val="single" w:color="auto"/>
          <w:color w:val="auto"/>
        </w:rPr>
        <w:t>NICs</w:t>
      </w:r>
      <w:r>
        <w:rPr>
          <w:rFonts w:ascii="Arial" w:cs="Arial" w:eastAsia="Arial" w:hAnsi="Arial"/>
          <w:sz w:val="17"/>
          <w:szCs w:val="17"/>
          <w:color w:val="auto"/>
        </w:rPr>
        <w:t>”) and Fringe Benefit Tax (“</w:t>
      </w:r>
      <w:r>
        <w:rPr>
          <w:rFonts w:ascii="Arial" w:cs="Arial" w:eastAsia="Arial" w:hAnsi="Arial"/>
          <w:sz w:val="17"/>
          <w:szCs w:val="17"/>
          <w:u w:val="single" w:color="auto"/>
          <w:color w:val="auto"/>
        </w:rPr>
        <w:t>FBT</w:t>
      </w:r>
      <w:r>
        <w:rPr>
          <w:rFonts w:ascii="Arial" w:cs="Arial" w:eastAsia="Arial" w:hAnsi="Arial"/>
          <w:sz w:val="17"/>
          <w:szCs w:val="17"/>
          <w:color w:val="auto"/>
        </w:rPr>
        <w:t>”), is transferred to and met by Participant. For purposes of this Section 13(k), Tax Liability shall mean any and all liability under applicable non-U.S. laws, rules or regulations from any income tax, the Company’s (or a subsidiary’s) NICs, FBT or similar liability and Participant’s NICs, FBT or similar liability under non-U.S. laws that are attributable to: (A) the grant of, or any other benefit derived by the Participant from the Shares; (B) the acquisition by Participant of the Shares; or (C) the disposal of any Shares acquired. Participant shall indemnify and hold harmless the Company and any of its subsidiaries from any and all Tax Liability.</w:t>
      </w:r>
    </w:p>
    <w:p>
      <w:pPr>
        <w:spacing w:after="0" w:line="79" w:lineRule="exact"/>
        <w:rPr>
          <w:rFonts w:ascii="Arial" w:cs="Arial" w:eastAsia="Arial" w:hAnsi="Arial"/>
          <w:sz w:val="17"/>
          <w:szCs w:val="17"/>
          <w:color w:val="auto"/>
        </w:rPr>
      </w:pPr>
    </w:p>
    <w:p>
      <w:pPr>
        <w:ind w:right="20" w:firstLine="634"/>
        <w:spacing w:after="0" w:line="281" w:lineRule="auto"/>
        <w:tabs>
          <w:tab w:leader="none" w:pos="83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Participant’s Acknowledgments</w:t>
      </w:r>
      <w:r>
        <w:rPr>
          <w:rFonts w:ascii="Arial" w:cs="Arial" w:eastAsia="Arial" w:hAnsi="Arial"/>
          <w:sz w:val="16"/>
          <w:szCs w:val="16"/>
          <w:color w:val="auto"/>
        </w:rPr>
        <w:t xml:space="preserve">.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(v) to the extent the Shares are issued in uncertificated form, agrees that this Agreement constitutes the notice required by Section 151(f) of the Delaware General Corporation Law; (vi) understands that the law firm of Faber Daeufer &amp; Itrato PC, is acting as counsel to the Company in connection with the transactions contemplated by the Agreement, and is not acting as counsel for the Participant, and (vii) if Participant is married or in a registered domestic partnership, his or her spouse or registered domestic partner has signed the Consent of Spouse or Domestic Partner attached to this Agreement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1200"/>
          </w:cols>
          <w:pgMar w:left="320" w:top="1440" w:right="379" w:bottom="1440" w:gutter="0" w:footer="0" w:header="0"/>
        </w:sectPr>
      </w:pPr>
    </w:p>
    <w:bookmarkStart w:id="230" w:name="page231"/>
    <w:bookmarkEnd w:id="230"/>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PRAXIS PRECISION MEDICINES, INC.</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Address: 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Name of Participant</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- 8 -</w:t>
      </w:r>
    </w:p>
    <w:p>
      <w:pPr>
        <w:sectPr>
          <w:pgSz w:w="11900" w:h="16838" w:orient="portrait"/>
          <w:cols w:equalWidth="0" w:num="1">
            <w:col w:w="10119"/>
          </w:cols>
          <w:pgMar w:left="340" w:top="1440" w:right="1440" w:bottom="1440" w:gutter="0" w:footer="0" w:header="0"/>
        </w:sectPr>
      </w:pPr>
    </w:p>
    <w:bookmarkStart w:id="231" w:name="page232"/>
    <w:bookmarkEnd w:id="231"/>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Joint Escrow Instructions</w:t>
      </w:r>
    </w:p>
    <w:p>
      <w:pPr>
        <w:spacing w:after="0" w:line="11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___________, [●]</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Precision Medicines,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Secretary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Dear Sir:</w:t>
      </w:r>
    </w:p>
    <w:p>
      <w:pPr>
        <w:spacing w:after="0" w:line="11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As Escrow Agent for Praxis Precision Medicines, Inc., a Delaware corporation, and its successors in interest under the Restricted Stock Agreement (the “Agreement”) of even date herewith, to which a copy of these Joint Escrow Instructions is attached (the “Company”), and the undersigned person (“Holder”), you are hereby authorized and directed to hold the documents delivered to you pursuant to the terms of the Agreement in accordance with the following instructions:</w:t>
      </w:r>
    </w:p>
    <w:p>
      <w:pPr>
        <w:spacing w:after="0" w:line="71" w:lineRule="exact"/>
        <w:rPr>
          <w:sz w:val="20"/>
          <w:szCs w:val="20"/>
          <w:color w:val="auto"/>
        </w:rPr>
      </w:pPr>
    </w:p>
    <w:p>
      <w:pPr>
        <w:ind w:right="20" w:firstLine="634"/>
        <w:spacing w:after="0" w:line="264" w:lineRule="auto"/>
        <w:tabs>
          <w:tab w:leader="none" w:pos="804"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Holder irrevocably authorizes the Company to deposit with you any certificates evidencing Shares (as defined in the Agreement) to be held by you hereunder and any additions and substitutions to said Shares. For purposes of these Joint Escrow Instructions, “Shares” shall be deemed to include any additional or substitute property. Holder does hereby irrevocably constitute and appoint you as his attorney-in-fact and agent for the term of this escrow to execute with respect to such Shares all documents necessary or appropriate to make such Shares negotiable and to complete any transaction herein contemplated. Subject to the provisions of this Section 1 and the terms of the Agreement, Holder shall exercise all rights and privileges of a stockholder of the Company while the Shares are held by you.</w:t>
      </w:r>
    </w:p>
    <w:p>
      <w:pPr>
        <w:spacing w:after="0" w:line="73" w:lineRule="exact"/>
        <w:rPr>
          <w:rFonts w:ascii="Arial" w:cs="Arial" w:eastAsia="Arial" w:hAnsi="Arial"/>
          <w:sz w:val="17"/>
          <w:szCs w:val="17"/>
          <w:color w:val="auto"/>
        </w:rPr>
      </w:pPr>
    </w:p>
    <w:p>
      <w:pPr>
        <w:ind w:left="800" w:hanging="166"/>
        <w:spacing w:after="0"/>
        <w:tabs>
          <w:tab w:leader="none" w:pos="8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Closing of Purchase</w:t>
      </w:r>
      <w:r>
        <w:rPr>
          <w:rFonts w:ascii="Arial" w:cs="Arial" w:eastAsia="Arial" w:hAnsi="Arial"/>
          <w:sz w:val="17"/>
          <w:szCs w:val="17"/>
          <w:color w:val="auto"/>
        </w:rPr>
        <w:t>.</w:t>
      </w:r>
    </w:p>
    <w:p>
      <w:pPr>
        <w:spacing w:after="0" w:line="119" w:lineRule="exact"/>
        <w:rPr>
          <w:sz w:val="20"/>
          <w:szCs w:val="20"/>
          <w:color w:val="auto"/>
        </w:rPr>
      </w:pPr>
    </w:p>
    <w:p>
      <w:pPr>
        <w:ind w:firstLine="634"/>
        <w:spacing w:after="0" w:line="268" w:lineRule="auto"/>
        <w:tabs>
          <w:tab w:leader="none" w:pos="86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Upon any purchase by the Company of the Shares pursuant to the Agreement, the Company shall give to Holder and you a written notice specifying the number of Shares to be purchased, the purchase price for the Shares, as determined pursuant to the Agreement, and the time for a closing hereunder (the “Closing”) at the principal office of the Company. Holder and the Company hereby irrevocably authorize and direct you to close the transaction contemplated by such notice in accordance with the terms of said notice.</w:t>
      </w:r>
    </w:p>
    <w:p>
      <w:pPr>
        <w:spacing w:after="0" w:line="71" w:lineRule="exact"/>
        <w:rPr>
          <w:rFonts w:ascii="Arial" w:cs="Arial" w:eastAsia="Arial" w:hAnsi="Arial"/>
          <w:sz w:val="17"/>
          <w:szCs w:val="17"/>
          <w:color w:val="auto"/>
        </w:rPr>
      </w:pPr>
    </w:p>
    <w:p>
      <w:pPr>
        <w:ind w:firstLine="634"/>
        <w:spacing w:after="0" w:line="298" w:lineRule="auto"/>
        <w:tabs>
          <w:tab w:leader="none" w:pos="87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At the Closing, you are directed (i) to date the stock assignment form or forms necessary for the Transfer of the Shares, (ii) to fill in on such form or forms the number of Shares being Transferred, and (iii) to deliver the same, together with the certificate or certificates evidencing the Shares to be Transferred, to the Company against the simultaneous delivery to you of the purchase price for the Shares being purchased pursuant to the Agreement.</w:t>
      </w:r>
    </w:p>
    <w:p>
      <w:pPr>
        <w:spacing w:after="0" w:line="49" w:lineRule="exact"/>
        <w:rPr>
          <w:sz w:val="20"/>
          <w:szCs w:val="20"/>
          <w:color w:val="auto"/>
        </w:rPr>
      </w:pPr>
    </w:p>
    <w:p>
      <w:pPr>
        <w:ind w:firstLine="634"/>
        <w:spacing w:after="0" w:line="289" w:lineRule="auto"/>
        <w:tabs>
          <w:tab w:leader="none" w:pos="80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The Holder shall have the right to withdraw from this escrow any Shares as to which the Purchase Option (as defined in the Agreement) has terminated or expired.</w:t>
      </w:r>
    </w:p>
    <w:p>
      <w:pPr>
        <w:spacing w:after="0" w:line="53" w:lineRule="exact"/>
        <w:rPr>
          <w:rFonts w:ascii="Arial" w:cs="Arial" w:eastAsia="Arial" w:hAnsi="Arial"/>
          <w:sz w:val="17"/>
          <w:szCs w:val="17"/>
          <w:color w:val="auto"/>
        </w:rPr>
      </w:pPr>
    </w:p>
    <w:p>
      <w:pPr>
        <w:ind w:left="800" w:hanging="166"/>
        <w:spacing w:after="0"/>
        <w:tabs>
          <w:tab w:leader="none" w:pos="80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Duties of Escrow Agent</w:t>
      </w:r>
      <w:r>
        <w:rPr>
          <w:rFonts w:ascii="Arial" w:cs="Arial" w:eastAsia="Arial" w:hAnsi="Arial"/>
          <w:sz w:val="17"/>
          <w:szCs w:val="17"/>
          <w:color w:val="auto"/>
        </w:rPr>
        <w:t>.</w:t>
      </w:r>
    </w:p>
    <w:p>
      <w:pPr>
        <w:spacing w:after="0" w:line="119" w:lineRule="exact"/>
        <w:rPr>
          <w:sz w:val="20"/>
          <w:szCs w:val="20"/>
          <w:color w:val="auto"/>
        </w:rPr>
      </w:pPr>
    </w:p>
    <w:p>
      <w:pPr>
        <w:ind w:left="880" w:hanging="246"/>
        <w:spacing w:after="0"/>
        <w:tabs>
          <w:tab w:leader="none" w:pos="8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119" w:lineRule="exact"/>
        <w:rPr>
          <w:rFonts w:ascii="Arial" w:cs="Arial" w:eastAsia="Arial" w:hAnsi="Arial"/>
          <w:sz w:val="17"/>
          <w:szCs w:val="17"/>
          <w:color w:val="auto"/>
        </w:rPr>
      </w:pPr>
    </w:p>
    <w:p>
      <w:pPr>
        <w:ind w:right="100" w:firstLine="634"/>
        <w:spacing w:after="0" w:line="265" w:lineRule="auto"/>
        <w:tabs>
          <w:tab w:leader="none" w:pos="87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74" w:lineRule="exact"/>
        <w:rPr>
          <w:rFonts w:ascii="Arial" w:cs="Arial" w:eastAsia="Arial" w:hAnsi="Arial"/>
          <w:sz w:val="17"/>
          <w:szCs w:val="17"/>
          <w:color w:val="auto"/>
        </w:rPr>
      </w:pPr>
    </w:p>
    <w:p>
      <w:pPr>
        <w:ind w:right="60" w:firstLine="634"/>
        <w:spacing w:after="0" w:line="273" w:lineRule="auto"/>
        <w:tabs>
          <w:tab w:leader="none" w:pos="86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If you are uncertain of any actions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6" w:lineRule="exact"/>
        <w:rPr>
          <w:rFonts w:ascii="Arial" w:cs="Arial" w:eastAsia="Arial" w:hAnsi="Arial"/>
          <w:sz w:val="17"/>
          <w:szCs w:val="17"/>
          <w:color w:val="auto"/>
        </w:rPr>
      </w:pPr>
    </w:p>
    <w:p>
      <w:pPr>
        <w:ind w:left="5580" w:hanging="102"/>
        <w:spacing w:after="0"/>
        <w:tabs>
          <w:tab w:leader="none" w:pos="558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52"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be taken or instructions to be followed, you may refuse to act in the absence of an order, judgment or decrees of a court. In case you obey or comply with any such order, judgment or decree of any court, you shall not be liable to any of the parties hereto or to any other person or entity, by reason of such compliance, notwithstanding any such order, judgment or decree being subsequently reversed, modified, annulled, set aside, vacated or found to have been entered without jurisdiction.</w:t>
      </w:r>
    </w:p>
    <w:p>
      <w:pPr>
        <w:spacing w:after="0" w:line="71" w:lineRule="exact"/>
        <w:rPr>
          <w:sz w:val="20"/>
          <w:szCs w:val="20"/>
          <w:color w:val="auto"/>
        </w:rPr>
      </w:pPr>
    </w:p>
    <w:p>
      <w:pPr>
        <w:ind w:firstLine="634"/>
        <w:spacing w:after="0" w:line="289" w:lineRule="auto"/>
        <w:tabs>
          <w:tab w:leader="none" w:pos="8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53" w:lineRule="exact"/>
        <w:rPr>
          <w:rFonts w:ascii="Arial" w:cs="Arial" w:eastAsia="Arial" w:hAnsi="Arial"/>
          <w:sz w:val="17"/>
          <w:szCs w:val="17"/>
          <w:color w:val="auto"/>
        </w:rPr>
      </w:pPr>
    </w:p>
    <w:p>
      <w:pPr>
        <w:ind w:right="220" w:firstLine="634"/>
        <w:spacing w:after="0" w:line="289" w:lineRule="auto"/>
        <w:tabs>
          <w:tab w:leader="none" w:pos="86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properly to advise you in connection with your obligations hereunder and may rely upon the advice of such counsel.</w:t>
      </w:r>
    </w:p>
    <w:p>
      <w:pPr>
        <w:spacing w:after="0" w:line="53" w:lineRule="exact"/>
        <w:rPr>
          <w:rFonts w:ascii="Arial" w:cs="Arial" w:eastAsia="Arial" w:hAnsi="Arial"/>
          <w:sz w:val="17"/>
          <w:szCs w:val="17"/>
          <w:color w:val="auto"/>
        </w:rPr>
      </w:pPr>
    </w:p>
    <w:p>
      <w:pPr>
        <w:ind w:right="80" w:firstLine="634"/>
        <w:spacing w:after="0" w:line="273" w:lineRule="auto"/>
        <w:tabs>
          <w:tab w:leader="none" w:pos="84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Your rights and responsibilities as Escrow Agent hereunder shall terminate if (i) you cease to be Secretary of the Company or (ii) you resign by written notice to each party. In the event of a termination under clause (i), your successor as Secretary shall become Escrow Agent hereunder; in the event of a termination under clause (ii), the Company shall appoint a successor Escrow Agent hereunder.</w:t>
      </w:r>
    </w:p>
    <w:p>
      <w:pPr>
        <w:spacing w:after="0" w:line="67" w:lineRule="exact"/>
        <w:rPr>
          <w:rFonts w:ascii="Arial" w:cs="Arial" w:eastAsia="Arial" w:hAnsi="Arial"/>
          <w:sz w:val="17"/>
          <w:szCs w:val="17"/>
          <w:color w:val="auto"/>
        </w:rPr>
      </w:pPr>
    </w:p>
    <w:p>
      <w:pPr>
        <w:ind w:right="460" w:firstLine="634"/>
        <w:spacing w:after="0" w:line="289" w:lineRule="auto"/>
        <w:tabs>
          <w:tab w:leader="none" w:pos="8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you reasonably require other or further instruments in connection with these Joint Escrow Instructions or obligations in respect hereto, the necessary parties hereto shall join in furnishing such instruments.</w:t>
      </w:r>
    </w:p>
    <w:p>
      <w:pPr>
        <w:spacing w:after="0" w:line="53" w:lineRule="exact"/>
        <w:rPr>
          <w:rFonts w:ascii="Arial" w:cs="Arial" w:eastAsia="Arial" w:hAnsi="Arial"/>
          <w:sz w:val="17"/>
          <w:szCs w:val="17"/>
          <w:color w:val="auto"/>
        </w:rPr>
      </w:pPr>
    </w:p>
    <w:p>
      <w:pPr>
        <w:ind w:right="40" w:firstLine="634"/>
        <w:spacing w:after="0" w:line="265" w:lineRule="auto"/>
        <w:tabs>
          <w:tab w:leader="none" w:pos="8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It is understood and agreed that if you believe a dispute has arisen with respect to the delivery and/or ownership or right of possession of the securities held 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74" w:lineRule="exact"/>
        <w:rPr>
          <w:rFonts w:ascii="Arial" w:cs="Arial" w:eastAsia="Arial" w:hAnsi="Arial"/>
          <w:sz w:val="17"/>
          <w:szCs w:val="17"/>
          <w:color w:val="auto"/>
        </w:rPr>
      </w:pPr>
    </w:p>
    <w:p>
      <w:pPr>
        <w:ind w:right="160" w:firstLine="634"/>
        <w:spacing w:after="0" w:line="289" w:lineRule="auto"/>
        <w:tabs>
          <w:tab w:leader="none" w:pos="8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These Joint Escrow Instructions set forth your sole duties with respect to any and all matters pertinent hereto and no implied duties or obligations shall be read into these Joint Escrow Instructions against you.</w:t>
      </w:r>
    </w:p>
    <w:p>
      <w:pPr>
        <w:spacing w:after="0" w:line="53" w:lineRule="exact"/>
        <w:rPr>
          <w:rFonts w:ascii="Arial" w:cs="Arial" w:eastAsia="Arial" w:hAnsi="Arial"/>
          <w:sz w:val="17"/>
          <w:szCs w:val="17"/>
          <w:color w:val="auto"/>
        </w:rPr>
      </w:pPr>
    </w:p>
    <w:p>
      <w:pPr>
        <w:ind w:right="20" w:firstLine="634"/>
        <w:spacing w:after="0" w:line="268" w:lineRule="auto"/>
        <w:tabs>
          <w:tab w:leader="none" w:pos="8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 shall indemnify you and hold you harmless against any and all damages, losses, liabilities, costs, and expenses, including attorneys’ fees and disbursements, (including without limitation the fees of counsel retained pursuant to Section 4(e) above, for anything done or omitted to be done by you as Escrow Agent in connection with this Agreement or the performance of your duties hereunder, except such as shall result from your gross negligence or willful misconduct.</w:t>
      </w:r>
    </w:p>
    <w:p>
      <w:pPr>
        <w:spacing w:after="0" w:line="71" w:lineRule="exact"/>
        <w:rPr>
          <w:sz w:val="20"/>
          <w:szCs w:val="20"/>
          <w:color w:val="auto"/>
        </w:rPr>
      </w:pPr>
    </w:p>
    <w:p>
      <w:pPr>
        <w:ind w:firstLine="634"/>
        <w:spacing w:after="0" w:line="326" w:lineRule="auto"/>
        <w:tabs>
          <w:tab w:leader="none" w:pos="804"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ectPr>
          <w:pgSz w:w="11900" w:h="16838" w:orient="portrait"/>
          <w:cols w:equalWidth="0" w:num="1">
            <w:col w:w="11160"/>
          </w:cols>
          <w:pgMar w:left="320" w:top="1440" w:right="419" w:bottom="1440" w:gutter="0" w:footer="0" w:header="0"/>
        </w:sectPr>
      </w:pP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Notices to the Company shall be sent to the address set forth in the salutation hereto, Attn: President</w:t>
      </w:r>
    </w:p>
    <w:p>
      <w:pPr>
        <w:spacing w:after="0" w:line="211" w:lineRule="exact"/>
        <w:rPr>
          <w:sz w:val="20"/>
          <w:szCs w:val="20"/>
          <w:color w:val="auto"/>
        </w:rPr>
      </w:pPr>
    </w:p>
    <w:p>
      <w:pPr>
        <w:sectPr>
          <w:pgSz w:w="11900" w:h="16838" w:orient="portrait"/>
          <w:cols w:equalWidth="0" w:num="2">
            <w:col w:w="2580" w:space="720"/>
            <w:col w:w="7860"/>
          </w:cols>
          <w:pgMar w:left="320" w:top="1440" w:right="419" w:bottom="1440" w:gutter="0" w:footer="0" w:header="0"/>
          <w:type w:val="continuous"/>
        </w:sectPr>
      </w:pP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Notices to Holder shall be sent to the address set forth below Holder’s signature below.</w:t>
      </w:r>
    </w:p>
    <w:p>
      <w:pPr>
        <w:spacing w:after="0" w:line="211" w:lineRule="exact"/>
        <w:rPr>
          <w:sz w:val="20"/>
          <w:szCs w:val="20"/>
          <w:color w:val="auto"/>
        </w:rPr>
      </w:pPr>
    </w:p>
    <w:p>
      <w:pPr>
        <w:sectPr>
          <w:pgSz w:w="11900" w:h="16838" w:orient="portrait"/>
          <w:cols w:equalWidth="0" w:num="2">
            <w:col w:w="2580" w:space="720"/>
            <w:col w:w="7860"/>
          </w:cols>
          <w:pgMar w:left="320" w:top="1440" w:right="419" w:bottom="1440" w:gutter="0" w:footer="0" w:header="0"/>
          <w:type w:val="continuous"/>
        </w:sectPr>
      </w:pP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ESCROW AGENT: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Notices to the Escrow Agent shall be sent to the address set forth in the salutation hereto.</w:t>
      </w:r>
    </w:p>
    <w:p>
      <w:pPr>
        <w:spacing w:after="0" w:line="211" w:lineRule="exact"/>
        <w:rPr>
          <w:sz w:val="20"/>
          <w:szCs w:val="20"/>
          <w:color w:val="auto"/>
        </w:rPr>
      </w:pPr>
    </w:p>
    <w:p>
      <w:pPr>
        <w:sectPr>
          <w:pgSz w:w="11900" w:h="16838" w:orient="portrait"/>
          <w:cols w:equalWidth="0" w:num="2">
            <w:col w:w="2580" w:space="720"/>
            <w:col w:w="7860"/>
          </w:cols>
          <w:pgMar w:left="320" w:top="1440" w:right="419" w:bottom="1440" w:gutter="0" w:footer="0" w:header="0"/>
          <w:type w:val="continuous"/>
        </w:sectPr>
      </w:pPr>
    </w:p>
    <w:p>
      <w:pPr>
        <w:spacing w:after="0" w:line="49" w:lineRule="exact"/>
        <w:rPr>
          <w:sz w:val="20"/>
          <w:szCs w:val="20"/>
          <w:color w:val="auto"/>
        </w:rPr>
      </w:pPr>
    </w:p>
    <w:p>
      <w:pPr>
        <w:ind w:left="800" w:hanging="166"/>
        <w:spacing w:after="0"/>
        <w:tabs>
          <w:tab w:leader="none" w:pos="80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9" w:lineRule="exact"/>
        <w:rPr>
          <w:sz w:val="20"/>
          <w:szCs w:val="20"/>
          <w:color w:val="auto"/>
        </w:rPr>
      </w:pPr>
    </w:p>
    <w:p>
      <w:pPr>
        <w:ind w:right="440" w:firstLine="634"/>
        <w:spacing w:after="0" w:line="289" w:lineRule="auto"/>
        <w:tabs>
          <w:tab w:leader="none" w:pos="86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By signing these Joint Escrow Instructions, you become a party hereto only for the purpose of said Joint Escrow Instructions, and you do not become a party to the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2" w:lineRule="exact"/>
        <w:rPr>
          <w:rFonts w:ascii="Arial" w:cs="Arial" w:eastAsia="Arial" w:hAnsi="Arial"/>
          <w:sz w:val="17"/>
          <w:szCs w:val="17"/>
          <w:color w:val="auto"/>
        </w:rPr>
      </w:pPr>
    </w:p>
    <w:p>
      <w:pPr>
        <w:ind w:left="5540" w:hanging="105"/>
        <w:spacing w:after="0"/>
        <w:tabs>
          <w:tab w:leader="none" w:pos="55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1160"/>
          </w:cols>
          <w:pgMar w:left="320" w:top="1440" w:right="419" w:bottom="1440" w:gutter="0" w:footer="0" w:header="0"/>
          <w:type w:val="continuous"/>
        </w:sectPr>
      </w:pPr>
    </w:p>
    <w:bookmarkStart w:id="233" w:name="page234"/>
    <w:bookmarkEnd w:id="233"/>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 This instrument shall be binding upon and inure to the benefit of the parties hereto and their respective successors and permitted assigns.</w:t>
      </w:r>
    </w:p>
    <w:p>
      <w:pPr>
        <w:sectPr>
          <w:pgSz w:w="11900" w:h="16838" w:orient="portrait"/>
          <w:cols w:equalWidth="0" w:num="1">
            <w:col w:w="9800"/>
          </w:cols>
          <w:pgMar w:left="96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800"/>
          </w:cols>
          <w:pgMar w:left="960" w:top="1440" w:right="1139" w:bottom="1440" w:gutter="0" w:footer="0" w:header="0"/>
          <w:type w:val="continuous"/>
        </w:sectPr>
      </w:pPr>
    </w:p>
    <w:bookmarkStart w:id="234" w:name="page235"/>
    <w:bookmarkEnd w:id="234"/>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Very truly yours,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PRAXIS PRECISION MEDICINES, INC.</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_______________________________</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______________________________</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HOLDER:</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(Signature)</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Print Name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Address: </w:t>
      </w:r>
      <w:r>
        <w:rPr>
          <w:rFonts w:ascii="Arial" w:cs="Arial" w:eastAsia="Arial" w:hAnsi="Arial"/>
          <w:sz w:val="17"/>
          <w:szCs w:val="17"/>
          <w:u w:val="single" w:color="auto"/>
          <w:color w:val="auto"/>
        </w:rPr>
        <w:t>___________________________</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___________________________________</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Date Signed: </w:t>
      </w:r>
      <w:r>
        <w:rPr>
          <w:rFonts w:ascii="Arial" w:cs="Arial" w:eastAsia="Arial" w:hAnsi="Arial"/>
          <w:sz w:val="17"/>
          <w:szCs w:val="17"/>
          <w:u w:val="single" w:color="auto"/>
          <w:color w:val="auto"/>
        </w:rPr>
        <w:t>________________________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ESCROW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139"/>
          </w:cols>
          <w:pgMar w:left="320" w:top="1440" w:right="1440" w:bottom="1440" w:gutter="0" w:footer="0" w:header="0"/>
        </w:sectPr>
      </w:pPr>
    </w:p>
    <w:bookmarkStart w:id="235" w:name="page236"/>
    <w:bookmarkEnd w:id="235"/>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(STOCK ASSIGNMENT SEPARATE FROM CERTIFICATE)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VALUE RECEIVED, I hereby sell, assign and transfer unto __________________ (_________) shares of Common Stock, $0.0001 par value per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share, of Precision Medicines, Inc. (the “Company”) standing in my name on the books of the Company represented by Certificate(s) Number __________</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herewith, and do hereby irrevocably constitute and appoint ______________________ attorney to transfer the said stock on the books of the Company with full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power of substitution in the premises.</w:t>
      </w:r>
    </w:p>
    <w:p>
      <w:pPr>
        <w:spacing w:after="0" w:line="200" w:lineRule="exact"/>
        <w:rPr>
          <w:sz w:val="20"/>
          <w:szCs w:val="20"/>
          <w:color w:val="auto"/>
        </w:rPr>
      </w:pPr>
    </w:p>
    <w:p>
      <w:pPr>
        <w:spacing w:after="0" w:line="22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Dated:</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 PRESENCE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NOTICE: The signature(s) to this assignment must correspond with the name as written upon the face of the certificate, in every particular, without alteration, enlargement, or any change whatever and must be guaranteed by a commercial bank, trust company or member firm of the Boston, New York or Midwest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00"/>
          </w:cols>
          <w:pgMar w:left="320" w:top="1440" w:right="379" w:bottom="1440" w:gutter="0" w:footer="0" w:header="0"/>
        </w:sectPr>
      </w:pPr>
    </w:p>
    <w:bookmarkStart w:id="236" w:name="page237"/>
    <w:bookmarkEnd w:id="236"/>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SPOUSE OR DOMESTIC PARTNER</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____________________, spouse or registered domestic partner of ____________________, have read and approve the Restricted Stock Agreement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 _____, between my spouse or registered domestic partner and Praxis Precision Medicines, Inc. In consideration of granting of the right to</w:t>
      </w:r>
    </w:p>
    <w:p>
      <w:pPr>
        <w:spacing w:after="0" w:line="2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my spouse or registered domestic partner to purchase shares of common stock of Precision Medicines, Inc. set forth in the Restricted Stock Agreement, I hereby appoint my spouse or registered domestic partner as my attorney-in-fact in respect to the exercise of any rights under the Agreement and agree to be bound by the provisions of the Restricted Stock Agreement insofar as I may have any rights in said Restricted Stock Agreement or any shares issued pursuant thereto under the community property laws or similar laws relating to marital property in effect in the state of our residence as of the date of the signing of the foregoing Restricted Stock Agreement.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Dated: </w:t>
      </w:r>
      <w:r>
        <w:rPr>
          <w:rFonts w:ascii="Arial" w:cs="Arial" w:eastAsia="Arial" w:hAnsi="Arial"/>
          <w:sz w:val="17"/>
          <w:szCs w:val="17"/>
          <w:u w:val="single" w:color="auto"/>
          <w:color w:val="auto"/>
        </w:rPr>
        <w:t>_________</w:t>
      </w:r>
      <w:r>
        <w:rPr>
          <w:rFonts w:ascii="Arial" w:cs="Arial" w:eastAsia="Arial" w:hAnsi="Arial"/>
          <w:sz w:val="17"/>
          <w:szCs w:val="17"/>
          <w:color w:val="auto"/>
        </w:rPr>
        <w:t>,_______</w:t>
      </w:r>
    </w:p>
    <w:p>
      <w:pPr>
        <w:spacing w:after="0" w:line="119"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___________________________________________</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Signature of Spouse or Registered Domestic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Nonstatutory Stock Option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Granted Under 2017 Stock Incentive Plan</w:t>
      </w:r>
    </w:p>
    <w:p>
      <w:pPr>
        <w:spacing w:after="0" w:line="119" w:lineRule="exact"/>
        <w:rPr>
          <w:sz w:val="20"/>
          <w:szCs w:val="20"/>
          <w:color w:val="auto"/>
        </w:rPr>
      </w:pPr>
    </w:p>
    <w:p>
      <w:pPr>
        <w:ind w:left="180" w:hanging="175"/>
        <w:spacing w:after="0"/>
        <w:tabs>
          <w:tab w:leader="none" w:pos="18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agreement evidences the grant by Praxis Precision Medicines, Inc., a Delaware corporation (the “Company”), on [_____________] (the “Grant</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Date”) to [ ], an employee, consultant or director of the Company (the “Participant”), of an option to purchase, in whole or in part, on the terms provided herein and in the Company’s 2017 Stock Incentive Plan (the “Plan”), a total of [ ] shares (the “Shares”) of common stock of the Company (“Common Stock”) at $[ </w:t>
      </w:r>
      <w:r>
        <w:rPr>
          <w:rFonts w:ascii="Arial" w:cs="Arial" w:eastAsia="Arial" w:hAnsi="Arial"/>
          <w:sz w:val="16"/>
          <w:szCs w:val="16"/>
          <w:b w:val="1"/>
          <w:bCs w:val="1"/>
          <w:color w:val="auto"/>
        </w:rPr>
        <w:t>]</w:t>
      </w:r>
      <w:r>
        <w:rPr>
          <w:rFonts w:ascii="Arial" w:cs="Arial" w:eastAsia="Arial" w:hAnsi="Arial"/>
          <w:sz w:val="16"/>
          <w:szCs w:val="16"/>
          <w:color w:val="auto"/>
        </w:rPr>
        <w:t xml:space="preserve"> per Share. Unless earlier terminated, this option shall expire at 5:00 p.m., Eastern time, on [_______] (the “Final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-314325</wp:posOffset>
            </wp:positionV>
            <wp:extent cx="279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-180975</wp:posOffset>
            </wp:positionV>
            <wp:extent cx="647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6938010</wp:posOffset>
            </wp:positionH>
            <wp:positionV relativeFrom="paragraph">
              <wp:posOffset>-180975</wp:posOffset>
            </wp:positionV>
            <wp:extent cx="279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35"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67" w:lineRule="exact"/>
        <w:rPr>
          <w:sz w:val="20"/>
          <w:szCs w:val="20"/>
          <w:color w:val="auto"/>
        </w:rPr>
      </w:pPr>
    </w:p>
    <w:p>
      <w:pPr>
        <w:ind w:left="180" w:hanging="175"/>
        <w:spacing w:after="0"/>
        <w:tabs>
          <w:tab w:leader="none" w:pos="18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19"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[Subject to Section 3(b) below, this option will become exercisable (“vest”) as to 25% of the original number of Shares on the first anniversary of the Vesting Commencement Date (as defined below) and as to an additional 2.0833% of the original number of Shares at the end of each successive month following the first anniversary of the Vesting Commencement Date until the fourth anniversary of the Vesting Commencement Date.] In determining the number of vested Shares at the time of any exercise, the number of Shares shall be rounded down to the nearest whole Share. For purposes of this Agreement, “Vesting Commencement Date” shall mean [_____________].</w:t>
      </w:r>
    </w:p>
    <w:p>
      <w:pPr>
        <w:spacing w:after="0" w:line="75"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[Additionally, if within 12 months following a Company Sale (as defined below), the Participant is terminated without Cause (as defined below), then 100% of the Shares that are not then vested shall become vested.]</w:t>
      </w:r>
    </w:p>
    <w:p>
      <w:pPr>
        <w:spacing w:after="0" w:line="5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67" w:lineRule="exact"/>
        <w:rPr>
          <w:sz w:val="20"/>
          <w:szCs w:val="20"/>
          <w:color w:val="auto"/>
        </w:rPr>
      </w:pPr>
    </w:p>
    <w:p>
      <w:pPr>
        <w:ind w:left="180" w:hanging="175"/>
        <w:spacing w:after="0"/>
        <w:tabs>
          <w:tab w:leader="none" w:pos="18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40" w:firstLine="634"/>
        <w:spacing w:after="0" w:line="261" w:lineRule="auto"/>
        <w:tabs>
          <w:tab w:leader="none" w:pos="867"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xml:space="preserve">. Each election to exercise this option shall be accompanied by a completed Notice of Stock Option Exercise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signed by the Participant, and when applicable, a signed and completed Consent of Spouse or Domestic Partner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 Subject to applicable law and as a condition to the exercise of this option and the issuance of any shares hereunder, the Participant agrees to become party to any voting agreement, drag along agreement, right of first refusal and co-sale agreement, or any other agreement approved by the Board of Directors of the Company (the “Board”) and creating obligations of or among any stockholder of the Company that holds in the aggregate shares of Common Stock equal to or greater than the aggregate number of shares of Common Stock held by the Participant, in each case calculated on a fully-diluted basis, as the Company may request.</w:t>
      </w:r>
    </w:p>
    <w:p>
      <w:pPr>
        <w:spacing w:after="0" w:line="80" w:lineRule="exact"/>
        <w:rPr>
          <w:rFonts w:ascii="Arial" w:cs="Arial" w:eastAsia="Arial" w:hAnsi="Arial"/>
          <w:sz w:val="17"/>
          <w:szCs w:val="17"/>
          <w:color w:val="auto"/>
        </w:rPr>
      </w:pPr>
    </w:p>
    <w:p>
      <w:pPr>
        <w:ind w:firstLine="634"/>
        <w:spacing w:after="0" w:line="268" w:lineRule="auto"/>
        <w:tabs>
          <w:tab w:leader="none" w:pos="877"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Time for Exercise of Certain Options</w:t>
      </w:r>
      <w:r>
        <w:rPr>
          <w:rFonts w:ascii="Arial" w:cs="Arial" w:eastAsia="Arial" w:hAnsi="Arial"/>
          <w:sz w:val="17"/>
          <w:szCs w:val="17"/>
          <w:color w:val="auto"/>
        </w:rPr>
        <w:t>. With respect to any option that constitutes a plan for the deferral of compensation within the meaning of Section 409A of the Code, such option may only be exercised for vested Shares upon the earliest to occur of the following events (all terms within the meaning of Section 409A of the Code): (i) the Participant’s separation from service; (ii) the Participant’s death or disability; or (iii) a change in the ownership or effective control of the Company, or in the ownership of a substantial portion of the assets of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5580" w:hanging="102"/>
        <w:spacing w:after="0"/>
        <w:tabs>
          <w:tab w:leader="none" w:pos="5580" w:val="left"/>
        </w:tabs>
        <w:numPr>
          <w:ilvl w:val="2"/>
          <w:numId w:val="167"/>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51" w:lineRule="exact"/>
        <w:rPr>
          <w:sz w:val="20"/>
          <w:szCs w:val="20"/>
          <w:color w:val="auto"/>
        </w:rPr>
      </w:pPr>
    </w:p>
    <w:p>
      <w:pPr>
        <w:ind w:right="180" w:firstLine="634"/>
        <w:spacing w:after="0" w:line="268" w:lineRule="auto"/>
        <w:tabs>
          <w:tab w:leader="none" w:pos="867"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w:t>
      </w:r>
    </w:p>
    <w:p>
      <w:pPr>
        <w:spacing w:after="0" w:line="71" w:lineRule="exact"/>
        <w:rPr>
          <w:rFonts w:ascii="Arial" w:cs="Arial" w:eastAsia="Arial" w:hAnsi="Arial"/>
          <w:sz w:val="17"/>
          <w:szCs w:val="17"/>
          <w:color w:val="auto"/>
        </w:rPr>
      </w:pPr>
    </w:p>
    <w:p>
      <w:pPr>
        <w:jc w:val="both"/>
        <w:ind w:right="240" w:firstLine="634"/>
        <w:spacing w:after="0" w:line="278" w:lineRule="auto"/>
        <w:tabs>
          <w:tab w:leader="none" w:pos="87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with the Company</w:t>
      </w:r>
      <w:r>
        <w:rPr>
          <w:rFonts w:ascii="Arial" w:cs="Arial" w:eastAsia="Arial" w:hAnsi="Arial"/>
          <w:sz w:val="16"/>
          <w:szCs w:val="16"/>
          <w:color w:val="auto"/>
        </w:rPr>
        <w:t xml:space="preserve">. If the Participant ceases to be an Eligible Participant for any reason, then, except as provided in paragraphs (e) and (f) below, the right to exercise this option shall terminate three months after such cessation (but in no event after the Final Exercise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the Participant was entitled to exercise this option on the date of such cessation.</w:t>
      </w:r>
    </w:p>
    <w:p>
      <w:pPr>
        <w:spacing w:after="0" w:line="2" w:lineRule="exact"/>
        <w:rPr>
          <w:rFonts w:ascii="Arial" w:cs="Arial" w:eastAsia="Arial" w:hAnsi="Arial"/>
          <w:sz w:val="16"/>
          <w:szCs w:val="16"/>
          <w:color w:val="auto"/>
        </w:rPr>
      </w:pPr>
    </w:p>
    <w:p>
      <w:pPr>
        <w:ind w:right="20"/>
        <w:spacing w:after="0" w:line="266" w:lineRule="auto"/>
        <w:rPr>
          <w:rFonts w:ascii="Arial" w:cs="Arial" w:eastAsia="Arial" w:hAnsi="Arial"/>
          <w:sz w:val="16"/>
          <w:szCs w:val="16"/>
          <w:color w:val="auto"/>
        </w:rPr>
      </w:pPr>
      <w:r>
        <w:rPr>
          <w:rFonts w:ascii="Arial" w:cs="Arial" w:eastAsia="Arial" w:hAnsi="Arial"/>
          <w:sz w:val="17"/>
          <w:szCs w:val="17"/>
          <w:color w:val="auto"/>
        </w:rPr>
        <w:t>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72" w:lineRule="exact"/>
        <w:rPr>
          <w:rFonts w:ascii="Arial" w:cs="Arial" w:eastAsia="Arial" w:hAnsi="Arial"/>
          <w:sz w:val="16"/>
          <w:szCs w:val="16"/>
          <w:color w:val="auto"/>
        </w:rPr>
      </w:pPr>
    </w:p>
    <w:p>
      <w:pPr>
        <w:ind w:firstLine="634"/>
        <w:spacing w:after="0" w:line="265" w:lineRule="auto"/>
        <w:tabs>
          <w:tab w:leader="none" w:pos="867"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Exercise Period Upon Death or Disability</w:t>
      </w:r>
      <w:r>
        <w:rPr>
          <w:rFonts w:ascii="Arial" w:cs="Arial" w:eastAsia="Arial" w:hAnsi="Arial"/>
          <w:sz w:val="17"/>
          <w:szCs w:val="17"/>
          <w:color w:val="auto"/>
        </w:rPr>
        <w:t xml:space="preserve">. If the Participant dies or becomes disabled (within the meaning of Section 22(e)(3) of the Code) prior to the Final Exercise Date while he or she is an Eligible Participant and the Company has not terminated such relationship for Cause (as defined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74" w:lineRule="exact"/>
        <w:rPr>
          <w:rFonts w:ascii="Arial" w:cs="Arial" w:eastAsia="Arial" w:hAnsi="Arial"/>
          <w:sz w:val="17"/>
          <w:szCs w:val="17"/>
          <w:color w:val="auto"/>
        </w:rPr>
      </w:pPr>
    </w:p>
    <w:p>
      <w:pPr>
        <w:ind w:right="60" w:firstLine="634"/>
        <w:spacing w:after="0" w:line="295" w:lineRule="auto"/>
        <w:tabs>
          <w:tab w:leader="none" w:pos="848"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If, prior to the Final Exercise Date, the Participant’s employment is terminated by the Company for Cause,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w:t>
      </w:r>
    </w:p>
    <w:p>
      <w:pPr>
        <w:ind w:firstLine="5"/>
        <w:spacing w:after="0" w:line="279" w:lineRule="auto"/>
        <w:tabs>
          <w:tab w:leader="none" w:pos="25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64" w:lineRule="exact"/>
        <w:rPr>
          <w:sz w:val="20"/>
          <w:szCs w:val="20"/>
          <w:color w:val="auto"/>
        </w:rPr>
      </w:pPr>
    </w:p>
    <w:p>
      <w:pPr>
        <w:ind w:left="180" w:hanging="175"/>
        <w:spacing w:after="0"/>
        <w:tabs>
          <w:tab w:leader="none" w:pos="18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Company Right of First Refusal</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20" w:firstLine="634"/>
        <w:spacing w:after="0" w:line="290" w:lineRule="auto"/>
        <w:tabs>
          <w:tab w:leader="none" w:pos="867"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54" w:lineRule="exact"/>
        <w:rPr>
          <w:rFonts w:ascii="Arial" w:cs="Arial" w:eastAsia="Arial" w:hAnsi="Arial"/>
          <w:sz w:val="16"/>
          <w:szCs w:val="16"/>
          <w:color w:val="auto"/>
        </w:rPr>
      </w:pPr>
    </w:p>
    <w:p>
      <w:pPr>
        <w:ind w:right="20" w:firstLine="634"/>
        <w:spacing w:after="0" w:line="264" w:lineRule="auto"/>
        <w:tabs>
          <w:tab w:leader="none" w:pos="877"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Company Right to Purchase</w:t>
      </w:r>
      <w:r>
        <w:rPr>
          <w:rFonts w:ascii="Arial" w:cs="Arial" w:eastAsia="Arial" w:hAnsi="Arial"/>
          <w:sz w:val="17"/>
          <w:szCs w:val="17"/>
          <w:color w:val="auto"/>
        </w:rPr>
        <w:t>.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ind w:left="5580" w:hanging="102"/>
        <w:spacing w:after="0"/>
        <w:tabs>
          <w:tab w:leader="none" w:pos="5580" w:val="left"/>
        </w:tabs>
        <w:numPr>
          <w:ilvl w:val="2"/>
          <w:numId w:val="170"/>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1220"/>
          </w:cols>
          <w:pgMar w:left="320" w:top="1440" w:right="359" w:bottom="1440" w:gutter="0" w:footer="0" w:header="0"/>
        </w:sectPr>
      </w:pPr>
    </w:p>
    <w:bookmarkStart w:id="239" w:name="page240"/>
    <w:bookmarkEnd w:id="239"/>
    <w:p>
      <w:pPr>
        <w:spacing w:after="0" w:line="5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following receipt of such certificate or certificates, the Company shall deliver or mail to the Participant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delay in making such payment shall not invalidate the Company’s exercise of its option to purchase the Offered Shares.</w:t>
      </w:r>
    </w:p>
    <w:p>
      <w:pPr>
        <w:spacing w:after="0" w:line="71" w:lineRule="exact"/>
        <w:rPr>
          <w:sz w:val="20"/>
          <w:szCs w:val="20"/>
          <w:color w:val="auto"/>
        </w:rPr>
      </w:pPr>
    </w:p>
    <w:p>
      <w:pPr>
        <w:ind w:firstLine="634"/>
        <w:spacing w:after="0" w:line="264" w:lineRule="auto"/>
        <w:tabs>
          <w:tab w:leader="none" w:pos="86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73" w:lineRule="exact"/>
        <w:rPr>
          <w:rFonts w:ascii="Arial" w:cs="Arial" w:eastAsia="Arial" w:hAnsi="Arial"/>
          <w:sz w:val="17"/>
          <w:szCs w:val="17"/>
          <w:color w:val="auto"/>
        </w:rPr>
      </w:pPr>
    </w:p>
    <w:p>
      <w:pPr>
        <w:jc w:val="both"/>
        <w:ind w:right="540" w:firstLine="634"/>
        <w:spacing w:after="0" w:line="268" w:lineRule="auto"/>
        <w:tabs>
          <w:tab w:leader="none" w:pos="87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Consequences of Non-Delivery</w:t>
      </w:r>
      <w:r>
        <w:rPr>
          <w:rFonts w:ascii="Arial" w:cs="Arial" w:eastAsia="Arial" w:hAnsi="Arial"/>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71" w:lineRule="exact"/>
        <w:rPr>
          <w:rFonts w:ascii="Arial" w:cs="Arial" w:eastAsia="Arial" w:hAnsi="Arial"/>
          <w:sz w:val="17"/>
          <w:szCs w:val="17"/>
          <w:color w:val="auto"/>
        </w:rPr>
      </w:pPr>
    </w:p>
    <w:p>
      <w:pPr>
        <w:ind w:left="880" w:hanging="246"/>
        <w:spacing w:after="0"/>
        <w:tabs>
          <w:tab w:leader="none" w:pos="88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Exempt Transactions</w:t>
      </w:r>
      <w:r>
        <w:rPr>
          <w:rFonts w:ascii="Arial" w:cs="Arial" w:eastAsia="Arial" w:hAnsi="Arial"/>
          <w:sz w:val="17"/>
          <w:szCs w:val="17"/>
          <w:color w:val="auto"/>
        </w:rPr>
        <w:t>. The following transactions shall be exempt from the provisions of this Section 4:</w:t>
      </w:r>
    </w:p>
    <w:p>
      <w:pPr>
        <w:spacing w:after="0" w:line="119" w:lineRule="exact"/>
        <w:rPr>
          <w:rFonts w:ascii="Arial" w:cs="Arial" w:eastAsia="Arial" w:hAnsi="Arial"/>
          <w:sz w:val="17"/>
          <w:szCs w:val="17"/>
          <w:color w:val="auto"/>
        </w:rPr>
      </w:pPr>
    </w:p>
    <w:p>
      <w:pPr>
        <w:ind w:left="1520" w:hanging="256"/>
        <w:spacing w:after="0"/>
        <w:tabs>
          <w:tab w:leader="none" w:pos="15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119" w:lineRule="exact"/>
        <w:rPr>
          <w:rFonts w:ascii="Arial" w:cs="Arial" w:eastAsia="Arial" w:hAnsi="Arial"/>
          <w:sz w:val="17"/>
          <w:szCs w:val="17"/>
          <w:color w:val="auto"/>
        </w:rPr>
      </w:pPr>
    </w:p>
    <w:p>
      <w:pPr>
        <w:ind w:left="640" w:right="540" w:firstLine="624"/>
        <w:spacing w:after="0" w:line="289" w:lineRule="auto"/>
        <w:tabs>
          <w:tab w:leader="none" w:pos="151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transfer pursuant to an effective registration statement filed by the Company under the Securities Act of 1933, as amended (the “Securities Act”); and</w:t>
      </w:r>
    </w:p>
    <w:p>
      <w:pPr>
        <w:spacing w:after="0" w:line="53" w:lineRule="exact"/>
        <w:rPr>
          <w:rFonts w:ascii="Arial" w:cs="Arial" w:eastAsia="Arial" w:hAnsi="Arial"/>
          <w:sz w:val="17"/>
          <w:szCs w:val="17"/>
          <w:color w:val="auto"/>
        </w:rPr>
      </w:pPr>
    </w:p>
    <w:p>
      <w:pPr>
        <w:ind w:left="640" w:right="940" w:firstLine="624"/>
        <w:spacing w:after="0" w:line="289" w:lineRule="auto"/>
        <w:tabs>
          <w:tab w:leader="none" w:pos="151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 consolidation);</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pursuant to clause (1) above, such Shares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67" w:lineRule="exact"/>
        <w:rPr>
          <w:sz w:val="20"/>
          <w:szCs w:val="20"/>
          <w:color w:val="auto"/>
        </w:rPr>
      </w:pPr>
    </w:p>
    <w:p>
      <w:pPr>
        <w:ind w:right="80" w:firstLine="634"/>
        <w:spacing w:after="0" w:line="289" w:lineRule="auto"/>
        <w:tabs>
          <w:tab w:leader="none" w:pos="84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Assignment of Company Right</w:t>
      </w:r>
      <w:r>
        <w:rPr>
          <w:rFonts w:ascii="Arial" w:cs="Arial" w:eastAsia="Arial" w:hAnsi="Arial"/>
          <w:sz w:val="17"/>
          <w:szCs w:val="17"/>
          <w:color w:val="auto"/>
        </w:rPr>
        <w:t>. The Company may assign its rights to purchase Offered Shares in any particular transaction under this Section 4 to one or more persons or entities.</w:t>
      </w:r>
    </w:p>
    <w:p>
      <w:pPr>
        <w:spacing w:after="0" w:line="53" w:lineRule="exact"/>
        <w:rPr>
          <w:rFonts w:ascii="Arial" w:cs="Arial" w:eastAsia="Arial" w:hAnsi="Arial"/>
          <w:sz w:val="17"/>
          <w:szCs w:val="17"/>
          <w:color w:val="auto"/>
        </w:rPr>
      </w:pPr>
    </w:p>
    <w:p>
      <w:pPr>
        <w:ind w:left="880" w:hanging="246"/>
        <w:spacing w:after="0"/>
        <w:tabs>
          <w:tab w:leader="none" w:pos="88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provisions of this Section 4 shall terminate upon the earlier of the following events:</w:t>
      </w:r>
    </w:p>
    <w:p>
      <w:pPr>
        <w:spacing w:after="0" w:line="119" w:lineRule="exact"/>
        <w:rPr>
          <w:rFonts w:ascii="Arial" w:cs="Arial" w:eastAsia="Arial" w:hAnsi="Arial"/>
          <w:sz w:val="17"/>
          <w:szCs w:val="17"/>
          <w:color w:val="auto"/>
        </w:rPr>
      </w:pPr>
    </w:p>
    <w:p>
      <w:pPr>
        <w:ind w:left="640" w:right="180" w:firstLine="624"/>
        <w:spacing w:after="0" w:line="289" w:lineRule="auto"/>
        <w:tabs>
          <w:tab w:leader="none" w:pos="1517"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closing of the sale of shares of Common Stock in an underwritten public offering pursuant to an effective registration statement filed by the Company under the Securities Act; or</w:t>
      </w:r>
    </w:p>
    <w:p>
      <w:pPr>
        <w:spacing w:after="0" w:line="53" w:lineRule="exact"/>
        <w:rPr>
          <w:rFonts w:ascii="Arial" w:cs="Arial" w:eastAsia="Arial" w:hAnsi="Arial"/>
          <w:sz w:val="17"/>
          <w:szCs w:val="17"/>
          <w:color w:val="auto"/>
        </w:rPr>
      </w:pPr>
    </w:p>
    <w:p>
      <w:pPr>
        <w:ind w:left="640" w:right="100" w:firstLine="624"/>
        <w:spacing w:after="0" w:line="265" w:lineRule="auto"/>
        <w:tabs>
          <w:tab w:leader="none" w:pos="1517"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a majority (determined on an as-converted basis) of the outstanding securities entitled to vote generally in the election of directors of the resulting, surviving or acquiring corporation in such transaction) (a “Company Sale”).</w:t>
      </w:r>
    </w:p>
    <w:p>
      <w:pPr>
        <w:spacing w:after="0" w:line="74" w:lineRule="exact"/>
        <w:rPr>
          <w:rFonts w:ascii="Arial" w:cs="Arial" w:eastAsia="Arial" w:hAnsi="Arial"/>
          <w:sz w:val="17"/>
          <w:szCs w:val="17"/>
          <w:color w:val="auto"/>
        </w:rPr>
      </w:pPr>
    </w:p>
    <w:p>
      <w:pPr>
        <w:ind w:right="280" w:firstLine="634"/>
        <w:spacing w:after="0" w:line="273" w:lineRule="auto"/>
        <w:tabs>
          <w:tab w:leader="none" w:pos="87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 Obligation to Recognize Invalid Transfer</w:t>
      </w:r>
      <w:r>
        <w:rPr>
          <w:rFonts w:ascii="Arial" w:cs="Arial" w:eastAsia="Arial" w:hAnsi="Arial"/>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67" w:lineRule="exact"/>
        <w:rPr>
          <w:rFonts w:ascii="Arial" w:cs="Arial" w:eastAsia="Arial" w:hAnsi="Arial"/>
          <w:sz w:val="17"/>
          <w:szCs w:val="17"/>
          <w:color w:val="auto"/>
        </w:rPr>
      </w:pPr>
    </w:p>
    <w:p>
      <w:pPr>
        <w:ind w:right="380" w:firstLine="634"/>
        <w:spacing w:after="0" w:line="289" w:lineRule="auto"/>
        <w:tabs>
          <w:tab w:leader="none" w:pos="83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2" w:lineRule="exact"/>
        <w:rPr>
          <w:rFonts w:ascii="Arial" w:cs="Arial" w:eastAsia="Arial" w:hAnsi="Arial"/>
          <w:sz w:val="17"/>
          <w:szCs w:val="17"/>
          <w:color w:val="auto"/>
        </w:rPr>
      </w:pPr>
    </w:p>
    <w:p>
      <w:pPr>
        <w:ind w:left="5580" w:hanging="102"/>
        <w:spacing w:after="0"/>
        <w:tabs>
          <w:tab w:leader="none" w:pos="558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51" w:lineRule="exact"/>
        <w:rPr>
          <w:sz w:val="20"/>
          <w:szCs w:val="20"/>
          <w:color w:val="auto"/>
        </w:rPr>
      </w:pPr>
    </w:p>
    <w:p>
      <w:pPr>
        <w:ind w:left="1260" w:right="120"/>
        <w:spacing w:after="0" w:line="289" w:lineRule="auto"/>
        <w:rPr>
          <w:sz w:val="20"/>
          <w:szCs w:val="20"/>
          <w:color w:val="auto"/>
        </w:rPr>
      </w:pPr>
      <w:r>
        <w:rPr>
          <w:rFonts w:ascii="Arial" w:cs="Arial" w:eastAsia="Arial" w:hAnsi="Arial"/>
          <w:sz w:val="17"/>
          <w:szCs w:val="17"/>
          <w:color w:val="auto"/>
        </w:rPr>
        <w:t>“The shares represented by this certificate are subject to a right of first refusal in favor of the Company, as provided in a certain stock option agreement with the Company.”</w:t>
      </w:r>
    </w:p>
    <w:p>
      <w:pPr>
        <w:spacing w:after="0" w:line="54" w:lineRule="exact"/>
        <w:rPr>
          <w:sz w:val="20"/>
          <w:szCs w:val="20"/>
          <w:color w:val="auto"/>
        </w:rPr>
      </w:pPr>
    </w:p>
    <w:p>
      <w:pPr>
        <w:ind w:left="180" w:hanging="175"/>
        <w:spacing w:after="0"/>
        <w:tabs>
          <w:tab w:leader="none" w:pos="18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Agreement in Connection with Initial Public Offering</w:t>
      </w:r>
      <w:r>
        <w:rPr>
          <w:rFonts w:ascii="Arial" w:cs="Arial" w:eastAsia="Arial" w:hAnsi="Arial"/>
          <w:sz w:val="17"/>
          <w:szCs w:val="17"/>
          <w:color w:val="auto"/>
        </w:rPr>
        <w:t>.</w:t>
      </w:r>
    </w:p>
    <w:p>
      <w:pPr>
        <w:spacing w:after="0" w:line="119"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83" w:lineRule="exact"/>
        <w:rPr>
          <w:sz w:val="20"/>
          <w:szCs w:val="20"/>
          <w:color w:val="auto"/>
        </w:rPr>
      </w:pPr>
    </w:p>
    <w:p>
      <w:pPr>
        <w:ind w:left="180" w:hanging="175"/>
        <w:spacing w:after="0"/>
        <w:tabs>
          <w:tab w:leader="none" w:pos="18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11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No Shares will be issued pursuant to the exercise of this option unless and until the Company satisfies all applicable federal, state, and local or other income and employment tax withholding obligations as described in the Plan.</w:t>
      </w:r>
    </w:p>
    <w:p>
      <w:pPr>
        <w:spacing w:after="0" w:line="54" w:lineRule="exact"/>
        <w:rPr>
          <w:sz w:val="20"/>
          <w:szCs w:val="20"/>
          <w:color w:val="auto"/>
        </w:rPr>
      </w:pPr>
    </w:p>
    <w:p>
      <w:pPr>
        <w:ind w:left="180" w:hanging="175"/>
        <w:spacing w:after="0"/>
        <w:tabs>
          <w:tab w:leader="none" w:pos="1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180" w:firstLine="634"/>
        <w:spacing w:after="0" w:line="322" w:lineRule="auto"/>
        <w:tabs>
          <w:tab w:leader="none" w:pos="86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30" w:lineRule="exact"/>
        <w:rPr>
          <w:rFonts w:ascii="Arial" w:cs="Arial" w:eastAsia="Arial" w:hAnsi="Arial"/>
          <w:sz w:val="16"/>
          <w:szCs w:val="16"/>
          <w:color w:val="auto"/>
        </w:rPr>
      </w:pPr>
    </w:p>
    <w:p>
      <w:pPr>
        <w:ind w:right="20" w:firstLine="634"/>
        <w:spacing w:after="0" w:line="290" w:lineRule="auto"/>
        <w:tabs>
          <w:tab w:leader="none" w:pos="87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54" w:lineRule="exact"/>
        <w:rPr>
          <w:rFonts w:ascii="Arial" w:cs="Arial" w:eastAsia="Arial" w:hAnsi="Arial"/>
          <w:sz w:val="16"/>
          <w:szCs w:val="16"/>
          <w:color w:val="auto"/>
        </w:rPr>
      </w:pPr>
    </w:p>
    <w:p>
      <w:pPr>
        <w:ind w:left="180" w:hanging="175"/>
        <w:spacing w:after="0"/>
        <w:tabs>
          <w:tab w:leader="none" w:pos="1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w:t>
      </w:r>
    </w:p>
    <w:p>
      <w:pPr>
        <w:spacing w:after="0" w:line="11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This option is subject to the provisions of the Plan (including the provisions relating to amendments to the Plan), a copy of which is furnished to the Participant with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200"/>
          </w:cols>
          <w:pgMar w:left="320" w:top="1440" w:right="379" w:bottom="1440" w:gutter="0" w:footer="0" w:header="0"/>
        </w:sectPr>
      </w:pPr>
    </w:p>
    <w:bookmarkStart w:id="241" w:name="page242"/>
    <w:bookmarkEnd w:id="241"/>
    <w:p>
      <w:pPr>
        <w:spacing w:after="0" w:line="5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IN WITNESS WHEREOF, the Company has caused this option to be executed under its corporate seal by its duly authorized officer. This option shall take effect as a sealed instrument.</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PRAXIS PRECISION MEDICINES, INC.</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Name: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1140"/>
          </w:cols>
          <w:pgMar w:left="320" w:top="1440" w:right="439" w:bottom="1440" w:gutter="0" w:footer="0" w:header="0"/>
        </w:sectPr>
      </w:pPr>
    </w:p>
    <w:bookmarkStart w:id="242" w:name="page243"/>
    <w:bookmarkEnd w:id="242"/>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PARTICIPANT’S ACCEPTANCE</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undersigned hereby accepts the foregoing option and agrees to the terms and conditions thereof. The undersigned hereby acknowledges receipt of a copy of the Company’s 2017 Stock Incentive Plan.</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1200"/>
          </w:cols>
          <w:pgMar w:left="320" w:top="1440" w:right="379" w:bottom="1440" w:gutter="0" w:footer="0" w:header="0"/>
        </w:sectPr>
      </w:pPr>
    </w:p>
    <w:bookmarkStart w:id="243" w:name="page244"/>
    <w:bookmarkEnd w:id="243"/>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STOCK OPTION EXERCISE</w:t>
      </w:r>
    </w:p>
    <w:p>
      <w:pPr>
        <w:spacing w:after="0" w:line="11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Date: ____________</w:t>
      </w:r>
      <w:r>
        <w:rPr>
          <w:rFonts w:ascii="Arial" w:cs="Arial" w:eastAsia="Arial" w:hAnsi="Arial"/>
          <w:sz w:val="22"/>
          <w:szCs w:val="22"/>
          <w:color w:val="auto"/>
          <w:vertAlign w:val="superscript"/>
        </w:rPr>
        <w:t>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Praxis Precision Medicines,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 am the holder of _________</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Stock Option granted to me under the Praxis Precision Medicines, Inc. (the “Company”) 2017 Stock Incentive Plan on</w:t>
      </w:r>
    </w:p>
    <w:p>
      <w:pPr>
        <w:spacing w:after="0"/>
        <w:rPr>
          <w:sz w:val="20"/>
          <w:szCs w:val="20"/>
          <w:color w:val="auto"/>
        </w:rPr>
      </w:pPr>
      <w:r>
        <w:rPr>
          <w:rFonts w:ascii="Arial" w:cs="Arial" w:eastAsia="Arial" w:hAnsi="Arial"/>
          <w:sz w:val="17"/>
          <w:szCs w:val="17"/>
          <w:color w:val="auto"/>
        </w:rPr>
        <w:t>__________</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for the purchase of __________</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shares of Common Stock of the Company at a purchase price of $__________</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 hereby exercise my option to purchase _________</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shares of Common Stock (the “Shares”), for which I have enclosed __________</w:t>
      </w:r>
      <w:r>
        <w:rPr>
          <w:rFonts w:ascii="Arial" w:cs="Arial" w:eastAsia="Arial" w:hAnsi="Arial"/>
          <w:sz w:val="20"/>
          <w:szCs w:val="20"/>
          <w:color w:val="auto"/>
          <w:vertAlign w:val="superscript"/>
        </w:rPr>
        <w:t>7</w:t>
      </w:r>
      <w:r>
        <w:rPr>
          <w:rFonts w:ascii="Arial" w:cs="Arial" w:eastAsia="Arial" w:hAnsi="Arial"/>
          <w:sz w:val="16"/>
          <w:szCs w:val="16"/>
          <w:color w:val="auto"/>
        </w:rPr>
        <w:t xml:space="preserve"> in the amount of</w:t>
      </w:r>
    </w:p>
    <w:p>
      <w:pPr>
        <w:spacing w:after="0"/>
        <w:rPr>
          <w:sz w:val="20"/>
          <w:szCs w:val="20"/>
          <w:color w:val="auto"/>
        </w:rPr>
      </w:pPr>
      <w:r>
        <w:rPr>
          <w:rFonts w:ascii="Arial" w:cs="Arial" w:eastAsia="Arial" w:hAnsi="Arial"/>
          <w:sz w:val="17"/>
          <w:szCs w:val="17"/>
          <w:color w:val="auto"/>
        </w:rPr>
        <w:t>________</w:t>
      </w:r>
      <w:r>
        <w:rPr>
          <w:rFonts w:ascii="Arial" w:cs="Arial" w:eastAsia="Arial" w:hAnsi="Arial"/>
          <w:sz w:val="22"/>
          <w:szCs w:val="22"/>
          <w:color w:val="auto"/>
          <w:vertAlign w:val="superscript"/>
        </w:rPr>
        <w:t>8</w:t>
      </w:r>
      <w:r>
        <w:rPr>
          <w:rFonts w:ascii="Arial" w:cs="Arial" w:eastAsia="Arial" w:hAnsi="Arial"/>
          <w:sz w:val="17"/>
          <w:szCs w:val="17"/>
          <w:color w:val="auto"/>
        </w:rPr>
        <w:t>. Please register my stock certificate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20" w:type="dxa"/>
            <w:vAlign w:val="bottom"/>
            <w:vMerge w:val="restart"/>
          </w:tcPr>
          <w:p>
            <w:pPr>
              <w:ind w:left="1580"/>
              <w:spacing w:after="0"/>
              <w:rPr>
                <w:sz w:val="20"/>
                <w:szCs w:val="20"/>
                <w:color w:val="auto"/>
              </w:rPr>
            </w:pPr>
            <w:r>
              <w:rPr>
                <w:rFonts w:ascii="Arial" w:cs="Arial" w:eastAsia="Arial" w:hAnsi="Arial"/>
                <w:sz w:val="17"/>
                <w:szCs w:val="17"/>
                <w:color w:val="auto"/>
              </w:rPr>
              <w:t>Name(s): ___________</w:t>
            </w:r>
          </w:p>
        </w:tc>
        <w:tc>
          <w:tcPr>
            <w:tcW w:w="500" w:type="dxa"/>
            <w:vAlign w:val="bottom"/>
          </w:tcPr>
          <w:p>
            <w:pPr>
              <w:ind w:left="36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97"/>
        </w:trPr>
        <w:tc>
          <w:tcPr>
            <w:tcW w:w="36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3620" w:type="dxa"/>
            <w:vAlign w:val="bottom"/>
          </w:tcPr>
          <w:p>
            <w:pPr>
              <w:ind w:left="1580"/>
              <w:spacing w:after="0"/>
              <w:rPr>
                <w:sz w:val="20"/>
                <w:szCs w:val="20"/>
                <w:color w:val="auto"/>
              </w:rPr>
            </w:pPr>
            <w:r>
              <w:rPr>
                <w:rFonts w:ascii="Arial" w:cs="Arial" w:eastAsia="Arial" w:hAnsi="Arial"/>
                <w:sz w:val="17"/>
                <w:szCs w:val="17"/>
                <w:color w:val="auto"/>
              </w:rPr>
              <w:t>___________</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620" w:type="dxa"/>
            <w:vAlign w:val="bottom"/>
          </w:tcPr>
          <w:p>
            <w:pPr>
              <w:ind w:left="1580"/>
              <w:spacing w:after="0"/>
              <w:rPr>
                <w:sz w:val="20"/>
                <w:szCs w:val="20"/>
                <w:color w:val="auto"/>
              </w:rPr>
            </w:pPr>
            <w:r>
              <w:rPr>
                <w:rFonts w:ascii="Arial" w:cs="Arial" w:eastAsia="Arial" w:hAnsi="Arial"/>
                <w:sz w:val="17"/>
                <w:szCs w:val="17"/>
                <w:color w:val="auto"/>
              </w:rPr>
              <w:t>Address: ___________</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620" w:type="dxa"/>
            <w:vAlign w:val="bottom"/>
          </w:tcPr>
          <w:p>
            <w:pPr>
              <w:ind w:left="1580"/>
              <w:spacing w:after="0"/>
              <w:rPr>
                <w:sz w:val="20"/>
                <w:szCs w:val="20"/>
                <w:color w:val="auto"/>
              </w:rPr>
            </w:pPr>
            <w:r>
              <w:rPr>
                <w:rFonts w:ascii="Arial" w:cs="Arial" w:eastAsia="Arial" w:hAnsi="Arial"/>
                <w:sz w:val="17"/>
                <w:szCs w:val="17"/>
                <w:color w:val="auto"/>
              </w:rPr>
              <w:t>Tax I.D. #: __________</w:t>
            </w:r>
          </w:p>
        </w:tc>
        <w:tc>
          <w:tcPr>
            <w:tcW w:w="500" w:type="dxa"/>
            <w:vAlign w:val="bottom"/>
            <w:vMerge w:val="restart"/>
          </w:tcPr>
          <w:p>
            <w:pPr>
              <w:ind w:left="360"/>
              <w:spacing w:after="0"/>
              <w:rPr>
                <w:sz w:val="20"/>
                <w:szCs w:val="20"/>
                <w:color w:val="auto"/>
              </w:rPr>
            </w:pPr>
            <w:r>
              <w:rPr>
                <w:rFonts w:ascii="Arial" w:cs="Arial" w:eastAsia="Arial" w:hAnsi="Arial"/>
                <w:sz w:val="14"/>
                <w:szCs w:val="14"/>
                <w:color w:val="auto"/>
                <w:w w:val="76"/>
              </w:rPr>
              <w:t>10</w:t>
            </w: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3"/>
        </w:trPr>
        <w:tc>
          <w:tcPr>
            <w:tcW w:w="3620" w:type="dxa"/>
            <w:vAlign w:val="bottom"/>
          </w:tcPr>
          <w:p>
            <w:pPr>
              <w:spacing w:after="0"/>
              <w:rPr>
                <w:sz w:val="20"/>
                <w:szCs w:val="20"/>
                <w:color w:val="auto"/>
              </w:rPr>
            </w:pPr>
            <w:r>
              <w:rPr>
                <w:rFonts w:ascii="Arial" w:cs="Arial" w:eastAsia="Arial" w:hAnsi="Arial"/>
                <w:sz w:val="21"/>
                <w:szCs w:val="21"/>
                <w:color w:val="auto"/>
                <w:w w:val="99"/>
              </w:rPr>
              <w:t>_______________________________</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1576070</wp:posOffset>
            </wp:positionV>
            <wp:extent cx="16656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hanging="95"/>
        <w:spacing w:after="0"/>
        <w:tabs>
          <w:tab w:leader="none" w:pos="100" w:val="left"/>
        </w:tabs>
        <w:numPr>
          <w:ilvl w:val="0"/>
          <w:numId w:val="176"/>
        </w:numPr>
        <w:rPr>
          <w:rFonts w:ascii="Arial" w:cs="Arial" w:eastAsia="Arial" w:hAnsi="Arial"/>
          <w:sz w:val="23"/>
          <w:szCs w:val="23"/>
          <w:color w:val="auto"/>
          <w:vertAlign w:val="superscript"/>
        </w:rPr>
      </w:pPr>
      <w:r>
        <w:rPr>
          <w:rFonts w:ascii="Arial" w:cs="Arial" w:eastAsia="Arial" w:hAnsi="Arial"/>
          <w:sz w:val="17"/>
          <w:szCs w:val="17"/>
          <w:color w:val="auto"/>
        </w:rPr>
        <w:t>Enter the date of exercise.</w:t>
      </w:r>
    </w:p>
    <w:p>
      <w:pPr>
        <w:ind w:left="100" w:hanging="95"/>
        <w:spacing w:after="0" w:line="198" w:lineRule="auto"/>
        <w:tabs>
          <w:tab w:leader="none" w:pos="100" w:val="left"/>
        </w:tabs>
        <w:numPr>
          <w:ilvl w:val="0"/>
          <w:numId w:val="177"/>
        </w:numPr>
        <w:rPr>
          <w:rFonts w:ascii="Arial" w:cs="Arial" w:eastAsia="Arial" w:hAnsi="Arial"/>
          <w:sz w:val="23"/>
          <w:szCs w:val="23"/>
          <w:color w:val="auto"/>
          <w:vertAlign w:val="superscript"/>
        </w:rPr>
      </w:pPr>
      <w:r>
        <w:rPr>
          <w:rFonts w:ascii="Arial" w:cs="Arial" w:eastAsia="Arial" w:hAnsi="Arial"/>
          <w:sz w:val="17"/>
          <w:szCs w:val="17"/>
          <w:color w:val="auto"/>
        </w:rPr>
        <w:t>Enter either “an Incentive” or “a Nonstatutory”.</w:t>
      </w:r>
    </w:p>
    <w:p>
      <w:pPr>
        <w:spacing w:after="0" w:line="2" w:lineRule="exact"/>
        <w:rPr>
          <w:rFonts w:ascii="Arial" w:cs="Arial" w:eastAsia="Arial" w:hAnsi="Arial"/>
          <w:sz w:val="23"/>
          <w:szCs w:val="23"/>
          <w:color w:val="auto"/>
          <w:vertAlign w:val="superscript"/>
        </w:rPr>
      </w:pPr>
    </w:p>
    <w:p>
      <w:pPr>
        <w:spacing w:after="0" w:line="19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3</w:t>
      </w:r>
      <w:r>
        <w:rPr>
          <w:rFonts w:ascii="Arial" w:cs="Arial" w:eastAsia="Arial" w:hAnsi="Arial"/>
          <w:sz w:val="17"/>
          <w:szCs w:val="17"/>
          <w:color w:val="auto"/>
        </w:rPr>
        <w:t xml:space="preserve"> Enter the date of grant.</w:t>
      </w:r>
    </w:p>
    <w:p>
      <w:pPr>
        <w:spacing w:after="0" w:line="19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4</w:t>
      </w:r>
      <w:r>
        <w:rPr>
          <w:rFonts w:ascii="Arial" w:cs="Arial" w:eastAsia="Arial" w:hAnsi="Arial"/>
          <w:sz w:val="17"/>
          <w:szCs w:val="17"/>
          <w:color w:val="auto"/>
        </w:rPr>
        <w:t xml:space="preserve"> Enter the total number of shares of Common Stock for which the option was granted.</w:t>
      </w:r>
    </w:p>
    <w:p>
      <w:pPr>
        <w:spacing w:after="0" w:line="19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5</w:t>
      </w:r>
      <w:r>
        <w:rPr>
          <w:rFonts w:ascii="Arial" w:cs="Arial" w:eastAsia="Arial" w:hAnsi="Arial"/>
          <w:sz w:val="17"/>
          <w:szCs w:val="17"/>
          <w:color w:val="auto"/>
        </w:rPr>
        <w:t xml:space="preserve"> Enter the option exercise price per share of Common Stock.</w:t>
      </w:r>
    </w:p>
    <w:p>
      <w:pPr>
        <w:spacing w:after="0" w:line="19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6</w:t>
      </w:r>
      <w:r>
        <w:rPr>
          <w:rFonts w:ascii="Arial" w:cs="Arial" w:eastAsia="Arial" w:hAnsi="Arial"/>
          <w:sz w:val="17"/>
          <w:szCs w:val="17"/>
          <w:color w:val="auto"/>
        </w:rPr>
        <w:t xml:space="preserve"> Enter the number of shares of Common Stock to be purchased upon exercise of all or part of the option.</w:t>
      </w:r>
    </w:p>
    <w:p>
      <w:pPr>
        <w:spacing w:after="0" w:line="19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7</w:t>
      </w:r>
      <w:r>
        <w:rPr>
          <w:rFonts w:ascii="Arial" w:cs="Arial" w:eastAsia="Arial" w:hAnsi="Arial"/>
          <w:sz w:val="17"/>
          <w:szCs w:val="17"/>
          <w:color w:val="auto"/>
        </w:rPr>
        <w:t xml:space="preserve"> Enter “cash”, “personal check” or if permitted by the option or Plan, “stock certificates No. XXXX and XXXX”.</w:t>
      </w:r>
    </w:p>
    <w:p>
      <w:pPr>
        <w:ind w:right="140"/>
        <w:spacing w:after="0" w:line="242"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8</w:t>
      </w:r>
      <w:r>
        <w:rPr>
          <w:rFonts w:ascii="Arial" w:cs="Arial" w:eastAsia="Arial" w:hAnsi="Arial"/>
          <w:sz w:val="16"/>
          <w:szCs w:val="16"/>
          <w:color w:val="auto"/>
        </w:rPr>
        <w:t xml:space="preserve"> 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221"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9</w:t>
      </w:r>
      <w:r>
        <w:rPr>
          <w:rFonts w:ascii="Arial" w:cs="Arial" w:eastAsia="Arial" w:hAnsi="Arial"/>
          <w:sz w:val="16"/>
          <w:szCs w:val="16"/>
          <w:color w:val="auto"/>
        </w:rPr>
        <w:t xml:space="preserve"> Enter name(s) to appear on stock certificate: (a) Your name only; (b) Your name and other name (i.e., John Doe and Jane Doe, Joint Tenants With Right of</w:t>
      </w:r>
    </w:p>
    <w:p>
      <w:pPr>
        <w:ind w:right="160"/>
        <w:spacing w:after="0" w:line="256" w:lineRule="auto"/>
        <w:rPr>
          <w:rFonts w:ascii="Arial" w:cs="Arial" w:eastAsia="Arial" w:hAnsi="Arial"/>
          <w:sz w:val="23"/>
          <w:szCs w:val="23"/>
          <w:color w:val="auto"/>
          <w:vertAlign w:val="superscript"/>
        </w:rPr>
      </w:pPr>
      <w:r>
        <w:rPr>
          <w:rFonts w:ascii="Arial" w:cs="Arial" w:eastAsia="Arial" w:hAnsi="Arial"/>
          <w:sz w:val="17"/>
          <w:szCs w:val="17"/>
          <w:color w:val="auto"/>
        </w:rPr>
        <w:t>Survivorship); or (c) In the case of a Nonstatutory option only, a Child’s name, with you as custodian (i.e., Jane Doe, Custodian for Tommy Doe). Note: There may be income and/or gift tax consequences of registering shares in a Child’s name.</w:t>
      </w:r>
    </w:p>
    <w:p>
      <w:pPr>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10</w:t>
      </w:r>
      <w:r>
        <w:rPr>
          <w:rFonts w:ascii="Arial" w:cs="Arial" w:eastAsia="Arial" w:hAnsi="Arial"/>
          <w:sz w:val="17"/>
          <w:szCs w:val="17"/>
          <w:color w:val="auto"/>
        </w:rPr>
        <w:t xml:space="preserve"> Social Security Number of Holder(s).</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51" w:lineRule="exact"/>
        <w:rPr>
          <w:sz w:val="20"/>
          <w:szCs w:val="20"/>
          <w:color w:val="auto"/>
        </w:rPr>
      </w:pPr>
    </w:p>
    <w:p>
      <w:pPr>
        <w:ind w:left="635"/>
        <w:spacing w:after="0"/>
        <w:rPr>
          <w:sz w:val="20"/>
          <w:szCs w:val="20"/>
          <w:color w:val="auto"/>
        </w:rPr>
      </w:pPr>
      <w:r>
        <w:rPr>
          <w:rFonts w:ascii="Arial" w:cs="Arial" w:eastAsia="Arial" w:hAnsi="Arial"/>
          <w:sz w:val="17"/>
          <w:szCs w:val="17"/>
          <w:color w:val="auto"/>
        </w:rPr>
        <w:t>I represent, warrant and covenant as follows:</w:t>
      </w:r>
    </w:p>
    <w:p>
      <w:pPr>
        <w:spacing w:after="0" w:line="119" w:lineRule="exact"/>
        <w:rPr>
          <w:sz w:val="20"/>
          <w:szCs w:val="20"/>
          <w:color w:val="auto"/>
        </w:rPr>
      </w:pPr>
    </w:p>
    <w:p>
      <w:pPr>
        <w:ind w:left="-5" w:right="140" w:firstLine="5"/>
        <w:spacing w:after="0" w:line="289" w:lineRule="auto"/>
        <w:tabs>
          <w:tab w:leader="none" w:pos="17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53" w:lineRule="exact"/>
        <w:rPr>
          <w:rFonts w:ascii="Arial" w:cs="Arial" w:eastAsia="Arial" w:hAnsi="Arial"/>
          <w:sz w:val="17"/>
          <w:szCs w:val="17"/>
          <w:color w:val="auto"/>
        </w:rPr>
      </w:pPr>
    </w:p>
    <w:p>
      <w:pPr>
        <w:ind w:left="-5" w:right="400" w:firstLine="5"/>
        <w:spacing w:after="0" w:line="289" w:lineRule="auto"/>
        <w:tabs>
          <w:tab w:leader="none" w:pos="17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53" w:lineRule="exact"/>
        <w:rPr>
          <w:rFonts w:ascii="Arial" w:cs="Arial" w:eastAsia="Arial" w:hAnsi="Arial"/>
          <w:sz w:val="17"/>
          <w:szCs w:val="17"/>
          <w:color w:val="auto"/>
        </w:rPr>
      </w:pPr>
    </w:p>
    <w:p>
      <w:pPr>
        <w:ind w:left="-5" w:right="120" w:firstLine="5"/>
        <w:spacing w:after="0" w:line="289" w:lineRule="auto"/>
        <w:tabs>
          <w:tab w:leader="none" w:pos="17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Arial" w:cs="Arial" w:eastAsia="Arial" w:hAnsi="Arial"/>
          <w:sz w:val="17"/>
          <w:szCs w:val="17"/>
          <w:color w:val="auto"/>
        </w:rPr>
      </w:pPr>
    </w:p>
    <w:p>
      <w:pPr>
        <w:ind w:left="175" w:hanging="175"/>
        <w:spacing w:after="0"/>
        <w:tabs>
          <w:tab w:leader="none" w:pos="17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119" w:lineRule="exact"/>
        <w:rPr>
          <w:rFonts w:ascii="Arial" w:cs="Arial" w:eastAsia="Arial" w:hAnsi="Arial"/>
          <w:sz w:val="17"/>
          <w:szCs w:val="17"/>
          <w:color w:val="auto"/>
        </w:rPr>
      </w:pPr>
    </w:p>
    <w:p>
      <w:pPr>
        <w:ind w:left="-5" w:firstLine="5"/>
        <w:spacing w:after="0" w:line="305" w:lineRule="auto"/>
        <w:tabs>
          <w:tab w:leader="none" w:pos="17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363" w:lineRule="exact"/>
        <w:rPr>
          <w:sz w:val="20"/>
          <w:szCs w:val="20"/>
          <w:color w:val="auto"/>
        </w:rPr>
      </w:pPr>
    </w:p>
    <w:p>
      <w:pPr>
        <w:ind w:left="15"/>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391" w:lineRule="exact"/>
        <w:rPr>
          <w:sz w:val="20"/>
          <w:szCs w:val="20"/>
          <w:color w:val="auto"/>
        </w:rPr>
      </w:pPr>
    </w:p>
    <w:p>
      <w:pPr>
        <w:ind w:left="15"/>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175"/>
          </w:cols>
          <w:pgMar w:left="325" w:top="1440" w:right="399" w:bottom="1440" w:gutter="0" w:footer="0" w:header="0"/>
        </w:sectPr>
      </w:pPr>
    </w:p>
    <w:bookmarkStart w:id="245" w:name="page246"/>
    <w:bookmarkEnd w:id="245"/>
    <w:p>
      <w:pPr>
        <w:spacing w:after="0" w:line="46"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B</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SPOUSE OR DOMESTIC PARTNER</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 ____________________, spouse or registered domestic partner of ____________________, have read and approve the Nonstatutory Stock Option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___________, _____, between my spouse or registered domestic partner and Praxis Precision Medicines, Inc. (the “Agreement”). In</w:t>
      </w:r>
    </w:p>
    <w:p>
      <w:pPr>
        <w:spacing w:after="0" w:line="2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consideration of granting an option to my spouse or registered domestic partner to purchase shares of Common Stock of Praxis Precision Medicines, Inc. set forth in the Agreement, I hereby appoint my spouse or registered domestic partner as my attorney-in-fact in respect to the exercise of any rights under the Agreement and agree to be bound by the provisions of the Agreement insofar as I may have any rights in said Agreement or any shares issued pursuant thereto under the community property laws or similar laws relating to marital property in effect in the state of our residence as of the date of the signing of the foregoing Agreement.</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w:t>
      </w:r>
    </w:p>
    <w:p>
      <w:pPr>
        <w:spacing w:after="0" w:line="32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Signature of Spouse or Registered Domestic Partner</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PRAXIS PRECISION MEDICINES, INC.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Incentive Stock Option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Granted Under 2017 Stock Incentive Plan</w:t>
      </w:r>
    </w:p>
    <w:p>
      <w:pPr>
        <w:spacing w:after="0" w:line="119" w:lineRule="exact"/>
        <w:rPr>
          <w:sz w:val="20"/>
          <w:szCs w:val="20"/>
          <w:color w:val="auto"/>
        </w:rPr>
      </w:pPr>
    </w:p>
    <w:p>
      <w:pPr>
        <w:ind w:left="180" w:hanging="175"/>
        <w:spacing w:after="0"/>
        <w:tabs>
          <w:tab w:leader="none" w:pos="18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agreement evidences the grant by Praxis Precision Medicines, Inc., a Delaware corporation (the “Company”), on [_____________] (the “Grant</w:t>
      </w:r>
    </w:p>
    <w:p>
      <w:pPr>
        <w:spacing w:after="0" w:line="38"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 xml:space="preserve">Date”) to [ ], an employee of the Company (the “Participant”), of an option to purchase, in whole or in part, on the terms provided herein and in the Company’s 2017 Stock Incentive Plan (the “Plan”), a total of [ ] shares (the “Shares”) of common stock of the Company (“Common Stock”) at $[ </w:t>
      </w:r>
      <w:r>
        <w:rPr>
          <w:rFonts w:ascii="Arial" w:cs="Arial" w:eastAsia="Arial" w:hAnsi="Arial"/>
          <w:sz w:val="17"/>
          <w:szCs w:val="17"/>
          <w:b w:val="1"/>
          <w:bCs w:val="1"/>
          <w:color w:val="auto"/>
        </w:rPr>
        <w:t>]</w:t>
      </w:r>
      <w:r>
        <w:rPr>
          <w:rFonts w:ascii="Arial" w:cs="Arial" w:eastAsia="Arial" w:hAnsi="Arial"/>
          <w:sz w:val="17"/>
          <w:szCs w:val="17"/>
          <w:color w:val="auto"/>
        </w:rPr>
        <w:t>per Share. Unless earlier terminated, this option shall expire at 5:00 p.m., Eastern time, on [_______] (the “Final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-303530</wp:posOffset>
            </wp:positionV>
            <wp:extent cx="647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-170180</wp:posOffset>
            </wp:positionV>
            <wp:extent cx="647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-170180</wp:posOffset>
            </wp:positionV>
            <wp:extent cx="279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52" w:lineRule="exact"/>
        <w:rPr>
          <w:sz w:val="20"/>
          <w:szCs w:val="20"/>
          <w:color w:val="auto"/>
        </w:rPr>
      </w:pPr>
    </w:p>
    <w:p>
      <w:pPr>
        <w:ind w:right="100" w:firstLine="629"/>
        <w:spacing w:after="0" w:line="298" w:lineRule="auto"/>
        <w:rPr>
          <w:sz w:val="20"/>
          <w:szCs w:val="20"/>
          <w:color w:val="auto"/>
        </w:rPr>
      </w:pPr>
      <w:r>
        <w:rPr>
          <w:rFonts w:ascii="Arial" w:cs="Arial" w:eastAsia="Arial" w:hAnsi="Arial"/>
          <w:sz w:val="16"/>
          <w:szCs w:val="16"/>
          <w:color w:val="auto"/>
        </w:rPr>
        <w:t>It is intended that the option evidenced by this agreement shall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49" w:lineRule="exact"/>
        <w:rPr>
          <w:sz w:val="20"/>
          <w:szCs w:val="20"/>
          <w:color w:val="auto"/>
        </w:rPr>
      </w:pPr>
    </w:p>
    <w:p>
      <w:pPr>
        <w:ind w:left="180" w:hanging="175"/>
        <w:spacing w:after="0"/>
        <w:tabs>
          <w:tab w:leader="none" w:pos="18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19" w:lineRule="exact"/>
        <w:rPr>
          <w:sz w:val="20"/>
          <w:szCs w:val="20"/>
          <w:color w:val="auto"/>
        </w:rPr>
      </w:pPr>
    </w:p>
    <w:p>
      <w:pPr>
        <w:jc w:val="both"/>
        <w:ind w:right="120" w:firstLine="629"/>
        <w:spacing w:after="0" w:line="265" w:lineRule="auto"/>
        <w:rPr>
          <w:sz w:val="20"/>
          <w:szCs w:val="20"/>
          <w:color w:val="auto"/>
        </w:rPr>
      </w:pPr>
      <w:r>
        <w:rPr>
          <w:rFonts w:ascii="Arial" w:cs="Arial" w:eastAsia="Arial" w:hAnsi="Arial"/>
          <w:sz w:val="17"/>
          <w:szCs w:val="17"/>
          <w:color w:val="auto"/>
        </w:rPr>
        <w:t>[This option will become exercisable (“vest”) as to 25% of the original number of Shares on the first anniversary of the Vesting Commencement Date (as defined below) and as to an additional 2.0833% of the original number of Shares at the end of each successive month following the first anniversary of the Vesting Commencement Date until the fourth anniversary of the Vesting Commencement Date.] In determining the number of vested Shares at the time of any exercise, the number of Shares shall be rounded down to the nearest whole Share. For purposes of this Agreement, “Vesting Commencement Date” shall mean [_____________].</w:t>
      </w:r>
    </w:p>
    <w:p>
      <w:pPr>
        <w:spacing w:after="0" w:line="75" w:lineRule="exact"/>
        <w:rPr>
          <w:sz w:val="20"/>
          <w:szCs w:val="20"/>
          <w:color w:val="auto"/>
        </w:rPr>
      </w:pPr>
    </w:p>
    <w:p>
      <w:pPr>
        <w:jc w:val="both"/>
        <w:ind w:right="100" w:firstLine="629"/>
        <w:spacing w:after="0" w:line="289" w:lineRule="auto"/>
        <w:rPr>
          <w:sz w:val="20"/>
          <w:szCs w:val="20"/>
          <w:color w:val="auto"/>
        </w:rPr>
      </w:pPr>
      <w:r>
        <w:rPr>
          <w:rFonts w:ascii="Arial" w:cs="Arial" w:eastAsia="Arial" w:hAnsi="Arial"/>
          <w:sz w:val="17"/>
          <w:szCs w:val="17"/>
          <w:color w:val="auto"/>
        </w:rPr>
        <w:t>[Additionally, if within 12 months following a Company Sale (as defined below), the Participant is terminated without Cause (as defined below), then 100% of the Shares that are not then vested shall become vested.]</w:t>
      </w:r>
    </w:p>
    <w:p>
      <w:pPr>
        <w:spacing w:after="0" w:line="5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67" w:lineRule="exact"/>
        <w:rPr>
          <w:sz w:val="20"/>
          <w:szCs w:val="20"/>
          <w:color w:val="auto"/>
        </w:rPr>
      </w:pPr>
    </w:p>
    <w:p>
      <w:pPr>
        <w:ind w:left="180" w:hanging="175"/>
        <w:spacing w:after="0"/>
        <w:tabs>
          <w:tab w:leader="none" w:pos="18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40" w:firstLine="634"/>
        <w:spacing w:after="0" w:line="298" w:lineRule="auto"/>
        <w:tabs>
          <w:tab w:leader="none" w:pos="867"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Each election to exercise this option shall be accompanied by a completed Notice of Stock Option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signed by the Participant, and when applicable, a signed and completed Consent of Spouse or Domestic Partner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received by the Company at its principal office, accompanied by this agreement, and payment in full in the manner provided in the Plan.</w:t>
      </w:r>
    </w:p>
    <w:p>
      <w:pPr>
        <w:spacing w:after="0" w:line="49" w:lineRule="exact"/>
        <w:rPr>
          <w:sz w:val="20"/>
          <w:szCs w:val="20"/>
          <w:color w:val="auto"/>
        </w:rPr>
      </w:pPr>
    </w:p>
    <w:p>
      <w:pPr>
        <w:ind w:firstLine="629"/>
        <w:spacing w:after="0" w:line="264" w:lineRule="auto"/>
        <w:rPr>
          <w:sz w:val="20"/>
          <w:szCs w:val="20"/>
          <w:color w:val="auto"/>
        </w:rPr>
      </w:pPr>
      <w:r>
        <w:rPr>
          <w:rFonts w:ascii="Arial" w:cs="Arial" w:eastAsia="Arial" w:hAnsi="Arial"/>
          <w:sz w:val="17"/>
          <w:szCs w:val="17"/>
          <w:color w:val="auto"/>
        </w:rPr>
        <w:t>The Participant may purchase less than the number of Shares covered hereby, provided that no partial exercise of this option may be for any fractional share or for fewer than ten whole shares. Subject to applicable law and as a condition to the exercise of this option and the issuance of any shares hereunder, the Participant agrees to become party to any voting agreement, drag along agreement, right of first refusal and co-sale agreement, or any other agreement approved by the Board of Directors of the Company (the “Board”) and creating obligations of or among any stockholder of the Company that holds in the aggregate shares of Common Stock equal to or greater than the aggregate number of shares of Common Stock held by the Participant, in each case calculated on a fully-diluted basis, as the Company may request.</w:t>
      </w:r>
    </w:p>
    <w:p>
      <w:pPr>
        <w:spacing w:after="0" w:line="74" w:lineRule="exact"/>
        <w:rPr>
          <w:sz w:val="20"/>
          <w:szCs w:val="20"/>
          <w:color w:val="auto"/>
        </w:rPr>
      </w:pPr>
    </w:p>
    <w:p>
      <w:pPr>
        <w:ind w:right="160" w:firstLine="634"/>
        <w:spacing w:after="0" w:line="298" w:lineRule="auto"/>
        <w:tabs>
          <w:tab w:leader="none" w:pos="877"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Continuous Relationship with the Company Required</w:t>
      </w:r>
      <w:r>
        <w:rPr>
          <w:rFonts w:ascii="Arial" w:cs="Arial" w:eastAsia="Arial" w:hAnsi="Arial"/>
          <w:sz w:val="16"/>
          <w:szCs w:val="16"/>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parent or subsidiary of the Company as defined in Section 424(e) or (f) of the Code (an “Eligible Participant”).</w:t>
      </w:r>
    </w:p>
    <w:p>
      <w:pPr>
        <w:spacing w:after="0" w:line="49" w:lineRule="exact"/>
        <w:rPr>
          <w:rFonts w:ascii="Arial" w:cs="Arial" w:eastAsia="Arial" w:hAnsi="Arial"/>
          <w:sz w:val="16"/>
          <w:szCs w:val="16"/>
          <w:color w:val="auto"/>
        </w:rPr>
      </w:pPr>
    </w:p>
    <w:p>
      <w:pPr>
        <w:ind w:right="280" w:firstLine="634"/>
        <w:spacing w:after="0" w:line="289" w:lineRule="auto"/>
        <w:tabs>
          <w:tab w:leader="none" w:pos="867"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the Company</w:t>
      </w:r>
      <w:r>
        <w:rPr>
          <w:rFonts w:ascii="Arial" w:cs="Arial" w:eastAsia="Arial" w:hAnsi="Arial"/>
          <w:sz w:val="17"/>
          <w:szCs w:val="17"/>
          <w:color w:val="auto"/>
        </w:rPr>
        <w:t>. If the Participant ceases to be an Eligible Participant for any reason, then, except as provided in paragraphs (d) and (e) below, the right to exercise this option shall terminate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2" w:lineRule="exact"/>
        <w:rPr>
          <w:rFonts w:ascii="Arial" w:cs="Arial" w:eastAsia="Arial" w:hAnsi="Arial"/>
          <w:sz w:val="17"/>
          <w:szCs w:val="17"/>
          <w:color w:val="auto"/>
        </w:rPr>
      </w:pPr>
    </w:p>
    <w:p>
      <w:pPr>
        <w:ind w:left="5580" w:hanging="102"/>
        <w:spacing w:after="0"/>
        <w:tabs>
          <w:tab w:leader="none" w:pos="558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71" w:lineRule="exact"/>
        <w:rPr>
          <w:sz w:val="20"/>
          <w:szCs w:val="20"/>
          <w:color w:val="auto"/>
        </w:rPr>
      </w:pPr>
    </w:p>
    <w:p>
      <w:pPr>
        <w:ind w:firstLine="634"/>
        <w:spacing w:after="0" w:line="265" w:lineRule="auto"/>
        <w:tabs>
          <w:tab w:leader="none" w:pos="877"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Exercise Period Upon Death or Disability</w:t>
      </w:r>
      <w:r>
        <w:rPr>
          <w:rFonts w:ascii="Arial" w:cs="Arial" w:eastAsia="Arial" w:hAnsi="Arial"/>
          <w:sz w:val="17"/>
          <w:szCs w:val="17"/>
          <w:color w:val="auto"/>
        </w:rPr>
        <w:t xml:space="preserve">. If the Participant dies or becomes disabled (within the meaning of Section 22(e)(3) of the Code) prior to the Final Exercise Date while he or she is an Eligible Participant and the Company has not terminated such relationship for Cause (as defined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74" w:lineRule="exact"/>
        <w:rPr>
          <w:rFonts w:ascii="Arial" w:cs="Arial" w:eastAsia="Arial" w:hAnsi="Arial"/>
          <w:sz w:val="17"/>
          <w:szCs w:val="17"/>
          <w:color w:val="auto"/>
        </w:rPr>
      </w:pPr>
    </w:p>
    <w:p>
      <w:pPr>
        <w:ind w:right="60" w:firstLine="634"/>
        <w:spacing w:after="0" w:line="295" w:lineRule="auto"/>
        <w:tabs>
          <w:tab w:leader="none" w:pos="867"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If, prior to the Final Exercise Date, the Participant’s employment is terminated by the Company for Cause,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w:t>
      </w:r>
    </w:p>
    <w:p>
      <w:pPr>
        <w:ind w:firstLine="5"/>
        <w:spacing w:after="0" w:line="279" w:lineRule="auto"/>
        <w:tabs>
          <w:tab w:leader="none" w:pos="25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64" w:lineRule="exact"/>
        <w:rPr>
          <w:sz w:val="20"/>
          <w:szCs w:val="20"/>
          <w:color w:val="auto"/>
        </w:rPr>
      </w:pPr>
    </w:p>
    <w:p>
      <w:pPr>
        <w:ind w:left="180" w:hanging="175"/>
        <w:spacing w:after="0"/>
        <w:tabs>
          <w:tab w:leader="none" w:pos="18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Company Right of First Refusal</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20" w:firstLine="634"/>
        <w:spacing w:after="0" w:line="290" w:lineRule="auto"/>
        <w:tabs>
          <w:tab w:leader="none" w:pos="867"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54" w:lineRule="exact"/>
        <w:rPr>
          <w:rFonts w:ascii="Arial" w:cs="Arial" w:eastAsia="Arial" w:hAnsi="Arial"/>
          <w:sz w:val="16"/>
          <w:szCs w:val="16"/>
          <w:color w:val="auto"/>
        </w:rPr>
      </w:pPr>
    </w:p>
    <w:p>
      <w:pPr>
        <w:ind w:right="20" w:firstLine="634"/>
        <w:spacing w:after="0" w:line="279" w:lineRule="auto"/>
        <w:tabs>
          <w:tab w:leader="none" w:pos="877"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68" w:lineRule="exact"/>
        <w:rPr>
          <w:rFonts w:ascii="Arial" w:cs="Arial" w:eastAsia="Arial" w:hAnsi="Arial"/>
          <w:sz w:val="16"/>
          <w:szCs w:val="16"/>
          <w:color w:val="auto"/>
        </w:rPr>
      </w:pPr>
    </w:p>
    <w:p>
      <w:pPr>
        <w:ind w:right="400" w:firstLine="634"/>
        <w:spacing w:after="0" w:line="289" w:lineRule="auto"/>
        <w:tabs>
          <w:tab w:leader="none" w:pos="867"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If the Company does not elect to acquire all of the Offered Shares, the Participant may, within the 30-day period following the expiration of the option granted to the Company under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2" w:lineRule="exact"/>
        <w:rPr>
          <w:rFonts w:ascii="Arial" w:cs="Arial" w:eastAsia="Arial" w:hAnsi="Arial"/>
          <w:sz w:val="17"/>
          <w:szCs w:val="17"/>
          <w:color w:val="auto"/>
        </w:rPr>
      </w:pPr>
    </w:p>
    <w:p>
      <w:pPr>
        <w:ind w:left="5580" w:hanging="102"/>
        <w:spacing w:after="0"/>
        <w:tabs>
          <w:tab w:leader="none" w:pos="5580" w:val="left"/>
        </w:tabs>
        <w:numPr>
          <w:ilvl w:val="2"/>
          <w:numId w:val="185"/>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1220"/>
          </w:cols>
          <w:pgMar w:left="320" w:top="1440" w:right="359" w:bottom="1440" w:gutter="0" w:footer="0" w:header="0"/>
        </w:sectPr>
      </w:pPr>
    </w:p>
    <w:bookmarkStart w:id="248" w:name="page249"/>
    <w:bookmarkEnd w:id="248"/>
    <w:p>
      <w:pPr>
        <w:spacing w:after="0" w:line="5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subsection (b) above, transfer the Offered Shares which the Company has not elected to acquire to the proposed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42" w:lineRule="exact"/>
        <w:rPr>
          <w:sz w:val="20"/>
          <w:szCs w:val="20"/>
          <w:color w:val="auto"/>
        </w:rPr>
      </w:pPr>
    </w:p>
    <w:p>
      <w:pPr>
        <w:jc w:val="both"/>
        <w:ind w:right="540" w:firstLine="634"/>
        <w:spacing w:after="0" w:line="268" w:lineRule="auto"/>
        <w:tabs>
          <w:tab w:leader="none" w:pos="87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Consequences of Non-Delivery</w:t>
      </w:r>
      <w:r>
        <w:rPr>
          <w:rFonts w:ascii="Arial" w:cs="Arial" w:eastAsia="Arial" w:hAnsi="Arial"/>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71" w:lineRule="exact"/>
        <w:rPr>
          <w:rFonts w:ascii="Arial" w:cs="Arial" w:eastAsia="Arial" w:hAnsi="Arial"/>
          <w:sz w:val="17"/>
          <w:szCs w:val="17"/>
          <w:color w:val="auto"/>
        </w:rPr>
      </w:pPr>
    </w:p>
    <w:p>
      <w:pPr>
        <w:ind w:left="880" w:hanging="246"/>
        <w:spacing w:after="0"/>
        <w:tabs>
          <w:tab w:leader="none" w:pos="88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Exempt Transactions</w:t>
      </w:r>
      <w:r>
        <w:rPr>
          <w:rFonts w:ascii="Arial" w:cs="Arial" w:eastAsia="Arial" w:hAnsi="Arial"/>
          <w:sz w:val="17"/>
          <w:szCs w:val="17"/>
          <w:color w:val="auto"/>
        </w:rPr>
        <w:t>. The following transactions shall be exempt from the provisions of this Section 4:</w:t>
      </w:r>
    </w:p>
    <w:p>
      <w:pPr>
        <w:spacing w:after="0" w:line="119" w:lineRule="exact"/>
        <w:rPr>
          <w:rFonts w:ascii="Arial" w:cs="Arial" w:eastAsia="Arial" w:hAnsi="Arial"/>
          <w:sz w:val="17"/>
          <w:szCs w:val="17"/>
          <w:color w:val="auto"/>
        </w:rPr>
      </w:pPr>
    </w:p>
    <w:p>
      <w:pPr>
        <w:ind w:left="1520" w:hanging="256"/>
        <w:spacing w:after="0"/>
        <w:tabs>
          <w:tab w:leader="none" w:pos="152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119" w:lineRule="exact"/>
        <w:rPr>
          <w:rFonts w:ascii="Arial" w:cs="Arial" w:eastAsia="Arial" w:hAnsi="Arial"/>
          <w:sz w:val="17"/>
          <w:szCs w:val="17"/>
          <w:color w:val="auto"/>
        </w:rPr>
      </w:pPr>
    </w:p>
    <w:p>
      <w:pPr>
        <w:ind w:left="640" w:right="540" w:firstLine="624"/>
        <w:spacing w:after="0" w:line="289" w:lineRule="auto"/>
        <w:tabs>
          <w:tab w:leader="none" w:pos="151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any transfer pursuant to an effective registration statement filed by the Company under the Securities Act of 1933, as amended (the “Securities Act”); and</w:t>
      </w:r>
    </w:p>
    <w:p>
      <w:pPr>
        <w:spacing w:after="0" w:line="53" w:lineRule="exact"/>
        <w:rPr>
          <w:rFonts w:ascii="Arial" w:cs="Arial" w:eastAsia="Arial" w:hAnsi="Arial"/>
          <w:sz w:val="17"/>
          <w:szCs w:val="17"/>
          <w:color w:val="auto"/>
        </w:rPr>
      </w:pPr>
    </w:p>
    <w:p>
      <w:pPr>
        <w:ind w:left="640" w:right="940" w:firstLine="624"/>
        <w:spacing w:after="0" w:line="289" w:lineRule="auto"/>
        <w:tabs>
          <w:tab w:leader="none" w:pos="151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 consolidation);</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pursuant to clause (1) above, such Shares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67" w:lineRule="exact"/>
        <w:rPr>
          <w:sz w:val="20"/>
          <w:szCs w:val="20"/>
          <w:color w:val="auto"/>
        </w:rPr>
      </w:pPr>
    </w:p>
    <w:p>
      <w:pPr>
        <w:ind w:right="80" w:firstLine="634"/>
        <w:spacing w:after="0" w:line="289" w:lineRule="auto"/>
        <w:tabs>
          <w:tab w:leader="none" w:pos="848"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Assignment of Company Right</w:t>
      </w:r>
      <w:r>
        <w:rPr>
          <w:rFonts w:ascii="Arial" w:cs="Arial" w:eastAsia="Arial" w:hAnsi="Arial"/>
          <w:sz w:val="17"/>
          <w:szCs w:val="17"/>
          <w:color w:val="auto"/>
        </w:rPr>
        <w:t>. The Company may assign its rights to purchase Offered Shares in any particular transaction under this Section 4 to one or more persons or entities.</w:t>
      </w:r>
    </w:p>
    <w:p>
      <w:pPr>
        <w:spacing w:after="0" w:line="53" w:lineRule="exact"/>
        <w:rPr>
          <w:rFonts w:ascii="Arial" w:cs="Arial" w:eastAsia="Arial" w:hAnsi="Arial"/>
          <w:sz w:val="17"/>
          <w:szCs w:val="17"/>
          <w:color w:val="auto"/>
        </w:rPr>
      </w:pPr>
    </w:p>
    <w:p>
      <w:pPr>
        <w:ind w:left="880" w:hanging="246"/>
        <w:spacing w:after="0"/>
        <w:tabs>
          <w:tab w:leader="none" w:pos="88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provisions of this Section 4 shall terminate upon the earlier of the following events:</w:t>
      </w:r>
    </w:p>
    <w:p>
      <w:pPr>
        <w:spacing w:after="0" w:line="119" w:lineRule="exact"/>
        <w:rPr>
          <w:rFonts w:ascii="Arial" w:cs="Arial" w:eastAsia="Arial" w:hAnsi="Arial"/>
          <w:sz w:val="17"/>
          <w:szCs w:val="17"/>
          <w:color w:val="auto"/>
        </w:rPr>
      </w:pPr>
    </w:p>
    <w:p>
      <w:pPr>
        <w:ind w:left="640" w:right="180" w:firstLine="624"/>
        <w:spacing w:after="0" w:line="289" w:lineRule="auto"/>
        <w:tabs>
          <w:tab w:leader="none" w:pos="151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closing of the sale of shares of Common Stock in an underwritten public offering pursuant to an effective registration statement filed by the Company under the Securities Act; or</w:t>
      </w:r>
    </w:p>
    <w:p>
      <w:pPr>
        <w:spacing w:after="0" w:line="53" w:lineRule="exact"/>
        <w:rPr>
          <w:rFonts w:ascii="Arial" w:cs="Arial" w:eastAsia="Arial" w:hAnsi="Arial"/>
          <w:sz w:val="17"/>
          <w:szCs w:val="17"/>
          <w:color w:val="auto"/>
        </w:rPr>
      </w:pPr>
    </w:p>
    <w:p>
      <w:pPr>
        <w:ind w:left="640" w:right="100" w:firstLine="624"/>
        <w:spacing w:after="0" w:line="265" w:lineRule="auto"/>
        <w:tabs>
          <w:tab w:leader="none" w:pos="151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a majority (determined on an as-converted basis) of the outstanding securities entitled to vote generally in the election of directors of the resulting, surviving or acquiring corporation in such transaction) (a “</w:t>
      </w:r>
      <w:r>
        <w:rPr>
          <w:rFonts w:ascii="Arial" w:cs="Arial" w:eastAsia="Arial" w:hAnsi="Arial"/>
          <w:sz w:val="17"/>
          <w:szCs w:val="17"/>
          <w:u w:val="single" w:color="auto"/>
          <w:color w:val="auto"/>
        </w:rPr>
        <w:t>Company Sale</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280" w:firstLine="634"/>
        <w:spacing w:after="0" w:line="273" w:lineRule="auto"/>
        <w:tabs>
          <w:tab w:leader="none" w:pos="877"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No Obligation to Recognize Invalid Transfer</w:t>
      </w:r>
      <w:r>
        <w:rPr>
          <w:rFonts w:ascii="Arial" w:cs="Arial" w:eastAsia="Arial" w:hAnsi="Arial"/>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67" w:lineRule="exact"/>
        <w:rPr>
          <w:rFonts w:ascii="Arial" w:cs="Arial" w:eastAsia="Arial" w:hAnsi="Arial"/>
          <w:sz w:val="17"/>
          <w:szCs w:val="17"/>
          <w:color w:val="auto"/>
        </w:rPr>
      </w:pPr>
    </w:p>
    <w:p>
      <w:pPr>
        <w:ind w:right="380" w:firstLine="634"/>
        <w:spacing w:after="0" w:line="289" w:lineRule="auto"/>
        <w:tabs>
          <w:tab w:leader="none" w:pos="838"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54"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“The shares represented by this certificate are subject to a right of first refusal in favor of the Company, as provided in a certain stock option agreement with the Company.”</w:t>
      </w:r>
    </w:p>
    <w:p>
      <w:pPr>
        <w:spacing w:after="0" w:line="54" w:lineRule="exact"/>
        <w:rPr>
          <w:sz w:val="20"/>
          <w:szCs w:val="20"/>
          <w:color w:val="auto"/>
        </w:rPr>
      </w:pPr>
    </w:p>
    <w:p>
      <w:pPr>
        <w:ind w:left="180" w:hanging="175"/>
        <w:spacing w:after="0"/>
        <w:tabs>
          <w:tab w:leader="none" w:pos="18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Agreement in Connection with Initial Public Offering</w:t>
      </w:r>
      <w:r>
        <w:rPr>
          <w:rFonts w:ascii="Arial" w:cs="Arial" w:eastAsia="Arial" w:hAnsi="Arial"/>
          <w:sz w:val="17"/>
          <w:szCs w:val="17"/>
          <w:color w:val="auto"/>
        </w:rPr>
        <w:t>.</w:t>
      </w:r>
    </w:p>
    <w:p>
      <w:pPr>
        <w:spacing w:after="0" w:line="119"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5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80" w:lineRule="exact"/>
        <w:rPr>
          <w:sz w:val="20"/>
          <w:szCs w:val="20"/>
          <w:color w:val="auto"/>
        </w:rPr>
      </w:pPr>
    </w:p>
    <w:p>
      <w:pPr>
        <w:ind w:left="180" w:hanging="175"/>
        <w:spacing w:after="0"/>
        <w:tabs>
          <w:tab w:leader="none" w:pos="18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firstLine="634"/>
        <w:spacing w:after="0" w:line="289" w:lineRule="auto"/>
        <w:tabs>
          <w:tab w:leader="none" w:pos="867"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No Shares will be issued pursuant to the exercise of this option unless and until the Company satisfies all applicable federal, state, and local or other income and employment tax withholding obligations as described in the Plan.</w:t>
      </w:r>
    </w:p>
    <w:p>
      <w:pPr>
        <w:spacing w:after="0" w:line="53" w:lineRule="exact"/>
        <w:rPr>
          <w:rFonts w:ascii="Arial" w:cs="Arial" w:eastAsia="Arial" w:hAnsi="Arial"/>
          <w:sz w:val="17"/>
          <w:szCs w:val="17"/>
          <w:color w:val="auto"/>
        </w:rPr>
      </w:pPr>
    </w:p>
    <w:p>
      <w:pPr>
        <w:ind w:right="140" w:firstLine="634"/>
        <w:spacing w:after="0" w:line="322" w:lineRule="auto"/>
        <w:tabs>
          <w:tab w:leader="none" w:pos="877"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Disqualifying Disposition</w:t>
      </w:r>
      <w:r>
        <w:rPr>
          <w:rFonts w:ascii="Arial" w:cs="Arial" w:eastAsia="Arial" w:hAnsi="Arial"/>
          <w:sz w:val="16"/>
          <w:szCs w:val="16"/>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30" w:lineRule="exact"/>
        <w:rPr>
          <w:rFonts w:ascii="Arial" w:cs="Arial" w:eastAsia="Arial" w:hAnsi="Arial"/>
          <w:sz w:val="16"/>
          <w:szCs w:val="16"/>
          <w:color w:val="auto"/>
        </w:rPr>
      </w:pPr>
    </w:p>
    <w:p>
      <w:pPr>
        <w:ind w:left="180" w:hanging="175"/>
        <w:spacing w:after="0"/>
        <w:tabs>
          <w:tab w:leader="none" w:pos="18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200" w:firstLine="634"/>
        <w:spacing w:after="0" w:line="322" w:lineRule="auto"/>
        <w:tabs>
          <w:tab w:leader="none" w:pos="86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30" w:lineRule="exact"/>
        <w:rPr>
          <w:rFonts w:ascii="Arial" w:cs="Arial" w:eastAsia="Arial" w:hAnsi="Arial"/>
          <w:sz w:val="16"/>
          <w:szCs w:val="16"/>
          <w:color w:val="auto"/>
        </w:rPr>
      </w:pPr>
    </w:p>
    <w:p>
      <w:pPr>
        <w:ind w:right="40" w:firstLine="634"/>
        <w:spacing w:after="0" w:line="290" w:lineRule="auto"/>
        <w:tabs>
          <w:tab w:leader="none" w:pos="87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54" w:lineRule="exact"/>
        <w:rPr>
          <w:rFonts w:ascii="Arial" w:cs="Arial" w:eastAsia="Arial" w:hAnsi="Arial"/>
          <w:sz w:val="16"/>
          <w:szCs w:val="16"/>
          <w:color w:val="auto"/>
        </w:rPr>
      </w:pPr>
    </w:p>
    <w:p>
      <w:pPr>
        <w:ind w:left="180" w:hanging="175"/>
        <w:spacing w:after="0"/>
        <w:tabs>
          <w:tab w:leader="none" w:pos="18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w:t>
      </w:r>
    </w:p>
    <w:p>
      <w:pPr>
        <w:spacing w:after="0" w:line="11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This option is subject to the provisions of the Plan (including the provisions relating to amendments to the Plan), a copy of which is furnished to the Participant with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 WITNESS WHEREOF, the Company has caused this option to be executed under its corporate seal by its duly authorized officer. This option shall take effect as a sealed instrument.</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PRAXIS PRECISION MEDICINES,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254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Name:</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860"/>
          </w:cols>
          <w:pgMar w:left="320" w:top="1440" w:right="719" w:bottom="1440" w:gutter="0" w:footer="0" w:header="0"/>
        </w:sectPr>
      </w:pPr>
    </w:p>
    <w:bookmarkStart w:id="251" w:name="page252"/>
    <w:bookmarkEnd w:id="251"/>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PARTICIPANT’S ACCEPTANCE</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undersigned hereby accepts the foregoing option and agrees to the terms and conditions thereof. The undersigned hereby acknowledges receipt of a copy of the Company’s 2017 Stock Incentive Plan.</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PARTICIPANT:</w:t>
      </w: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1200"/>
          </w:cols>
          <w:pgMar w:left="320" w:top="1440" w:right="379" w:bottom="1440" w:gutter="0" w:footer="0" w:header="0"/>
        </w:sectPr>
      </w:pPr>
    </w:p>
    <w:bookmarkStart w:id="252" w:name="page253"/>
    <w:bookmarkEnd w:id="252"/>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STOCK OPTION EXERCISE</w:t>
      </w:r>
    </w:p>
    <w:p>
      <w:pPr>
        <w:spacing w:after="0" w:line="118"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Date: ____________</w:t>
      </w:r>
      <w:r>
        <w:rPr>
          <w:rFonts w:ascii="Arial" w:cs="Arial" w:eastAsia="Arial" w:hAnsi="Arial"/>
          <w:sz w:val="22"/>
          <w:szCs w:val="22"/>
          <w:color w:val="auto"/>
          <w:vertAlign w:val="superscript"/>
        </w:rPr>
        <w:t>11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Praxis Precision Medicines,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I am the holder of _________</w:t>
      </w:r>
      <w:r>
        <w:rPr>
          <w:rFonts w:ascii="Arial" w:cs="Arial" w:eastAsia="Arial" w:hAnsi="Arial"/>
          <w:sz w:val="21"/>
          <w:szCs w:val="21"/>
          <w:color w:val="auto"/>
          <w:vertAlign w:val="superscript"/>
        </w:rPr>
        <w:t>12</w:t>
      </w:r>
      <w:r>
        <w:rPr>
          <w:rFonts w:ascii="Arial" w:cs="Arial" w:eastAsia="Arial" w:hAnsi="Arial"/>
          <w:sz w:val="17"/>
          <w:szCs w:val="17"/>
          <w:color w:val="auto"/>
        </w:rPr>
        <w:t xml:space="preserve"> Stock Option granted to me under the Praxis Precision Medicines, Inc. (the “Company”) 2017 Stock Incentive Plan on</w:t>
      </w:r>
    </w:p>
    <w:p>
      <w:pPr>
        <w:spacing w:after="0"/>
        <w:rPr>
          <w:sz w:val="20"/>
          <w:szCs w:val="20"/>
          <w:color w:val="auto"/>
        </w:rPr>
      </w:pPr>
      <w:r>
        <w:rPr>
          <w:rFonts w:ascii="Arial" w:cs="Arial" w:eastAsia="Arial" w:hAnsi="Arial"/>
          <w:sz w:val="17"/>
          <w:szCs w:val="17"/>
          <w:color w:val="auto"/>
        </w:rPr>
        <w:t>__________</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for the purchase of __________</w:t>
      </w:r>
      <w:r>
        <w:rPr>
          <w:rFonts w:ascii="Arial" w:cs="Arial" w:eastAsia="Arial" w:hAnsi="Arial"/>
          <w:sz w:val="22"/>
          <w:szCs w:val="22"/>
          <w:color w:val="auto"/>
          <w:vertAlign w:val="superscript"/>
        </w:rPr>
        <w:t>14</w:t>
      </w:r>
      <w:r>
        <w:rPr>
          <w:rFonts w:ascii="Arial" w:cs="Arial" w:eastAsia="Arial" w:hAnsi="Arial"/>
          <w:sz w:val="17"/>
          <w:szCs w:val="17"/>
          <w:color w:val="auto"/>
        </w:rPr>
        <w:t xml:space="preserve"> shares of Common Stock of the Company at a purchase price of $__________</w:t>
      </w:r>
      <w:r>
        <w:rPr>
          <w:rFonts w:ascii="Arial" w:cs="Arial" w:eastAsia="Arial" w:hAnsi="Arial"/>
          <w:sz w:val="22"/>
          <w:szCs w:val="22"/>
          <w:color w:val="auto"/>
          <w:vertAlign w:val="superscript"/>
        </w:rPr>
        <w:t>15</w:t>
      </w:r>
      <w:r>
        <w:rPr>
          <w:rFonts w:ascii="Arial" w:cs="Arial" w:eastAsia="Arial" w:hAnsi="Arial"/>
          <w:sz w:val="17"/>
          <w:szCs w:val="17"/>
          <w:color w:val="auto"/>
        </w:rPr>
        <w:t xml:space="preserve">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 hereby exercise my option to purchase _________</w:t>
      </w:r>
      <w:r>
        <w:rPr>
          <w:rFonts w:ascii="Arial" w:cs="Arial" w:eastAsia="Arial" w:hAnsi="Arial"/>
          <w:sz w:val="20"/>
          <w:szCs w:val="20"/>
          <w:color w:val="auto"/>
          <w:vertAlign w:val="superscript"/>
        </w:rPr>
        <w:t>16</w:t>
      </w:r>
      <w:r>
        <w:rPr>
          <w:rFonts w:ascii="Arial" w:cs="Arial" w:eastAsia="Arial" w:hAnsi="Arial"/>
          <w:sz w:val="16"/>
          <w:szCs w:val="16"/>
          <w:color w:val="auto"/>
        </w:rPr>
        <w:t xml:space="preserve"> shares of Common Stock (the “Shares”), for which I have enclosed __________</w:t>
      </w:r>
      <w:r>
        <w:rPr>
          <w:rFonts w:ascii="Arial" w:cs="Arial" w:eastAsia="Arial" w:hAnsi="Arial"/>
          <w:sz w:val="20"/>
          <w:szCs w:val="20"/>
          <w:color w:val="auto"/>
          <w:vertAlign w:val="superscript"/>
        </w:rPr>
        <w:t>17</w:t>
      </w:r>
      <w:r>
        <w:rPr>
          <w:rFonts w:ascii="Arial" w:cs="Arial" w:eastAsia="Arial" w:hAnsi="Arial"/>
          <w:sz w:val="16"/>
          <w:szCs w:val="16"/>
          <w:color w:val="auto"/>
        </w:rPr>
        <w:t xml:space="preserve"> in the amount of</w:t>
      </w:r>
    </w:p>
    <w:p>
      <w:pPr>
        <w:spacing w:after="0"/>
        <w:rPr>
          <w:sz w:val="20"/>
          <w:szCs w:val="20"/>
          <w:color w:val="auto"/>
        </w:rPr>
      </w:pPr>
      <w:r>
        <w:rPr>
          <w:rFonts w:ascii="Arial" w:cs="Arial" w:eastAsia="Arial" w:hAnsi="Arial"/>
          <w:sz w:val="17"/>
          <w:szCs w:val="17"/>
          <w:color w:val="auto"/>
        </w:rPr>
        <w:t>________</w:t>
      </w:r>
      <w:r>
        <w:rPr>
          <w:rFonts w:ascii="Arial" w:cs="Arial" w:eastAsia="Arial" w:hAnsi="Arial"/>
          <w:sz w:val="22"/>
          <w:szCs w:val="22"/>
          <w:color w:val="auto"/>
          <w:vertAlign w:val="superscript"/>
        </w:rPr>
        <w:t>18</w:t>
      </w:r>
      <w:r>
        <w:rPr>
          <w:rFonts w:ascii="Arial" w:cs="Arial" w:eastAsia="Arial" w:hAnsi="Arial"/>
          <w:sz w:val="17"/>
          <w:szCs w:val="17"/>
          <w:color w:val="auto"/>
        </w:rPr>
        <w:t>. Please register my stock certificate as follows:</w:t>
      </w:r>
    </w:p>
    <w:p>
      <w:pPr>
        <w:sectPr>
          <w:pgSz w:w="11900" w:h="16838" w:orient="portrait"/>
          <w:cols w:equalWidth="0" w:num="1">
            <w:col w:w="11240"/>
          </w:cols>
          <w:pgMar w:left="320" w:top="1440" w:right="339" w:bottom="1440" w:gutter="0" w:footer="0" w:header="0"/>
        </w:sect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r>
        <w:rPr>
          <w:rFonts w:ascii="Arial" w:cs="Arial" w:eastAsia="Arial" w:hAnsi="Arial"/>
          <w:sz w:val="8"/>
          <w:szCs w:val="8"/>
          <w:color w:val="auto"/>
        </w:rPr>
        <w:t>19</w:t>
      </w:r>
    </w:p>
    <w:p>
      <w:pPr>
        <w:spacing w:after="0" w:line="237" w:lineRule="exact"/>
        <w:rPr>
          <w:sz w:val="20"/>
          <w:szCs w:val="20"/>
          <w:color w:val="auto"/>
        </w:rPr>
      </w:pPr>
    </w:p>
    <w:p>
      <w:pPr>
        <w:sectPr>
          <w:pgSz w:w="11900" w:h="16838" w:orient="portrait"/>
          <w:cols w:equalWidth="0" w:num="2">
            <w:col w:w="680" w:space="600"/>
            <w:col w:w="9960"/>
          </w:cols>
          <w:pgMar w:left="320" w:top="1440" w:right="339" w:bottom="1440" w:gutter="0" w:footer="0" w:header="0"/>
          <w:type w:val="continuous"/>
        </w:sectPr>
      </w:pPr>
    </w:p>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11240"/>
          </w:cols>
          <w:pgMar w:left="320" w:top="1440" w:right="339" w:bottom="1440" w:gutter="0" w:footer="0" w:header="0"/>
          <w:type w:val="continuous"/>
        </w:sect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I.D.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r>
        <w:rPr>
          <w:rFonts w:ascii="Arial" w:cs="Arial" w:eastAsia="Arial" w:hAnsi="Arial"/>
          <w:sz w:val="8"/>
          <w:szCs w:val="8"/>
          <w:color w:val="auto"/>
        </w:rPr>
        <w:t>20</w:t>
      </w:r>
    </w:p>
    <w:p>
      <w:pPr>
        <w:spacing w:after="0" w:line="237" w:lineRule="exact"/>
        <w:rPr>
          <w:sz w:val="20"/>
          <w:szCs w:val="20"/>
          <w:color w:val="auto"/>
        </w:rPr>
      </w:pPr>
    </w:p>
    <w:p>
      <w:pPr>
        <w:sectPr>
          <w:pgSz w:w="11900" w:h="16838" w:orient="portrait"/>
          <w:cols w:equalWidth="0" w:num="2">
            <w:col w:w="780" w:space="500"/>
            <w:col w:w="99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hanging="438"/>
        <w:spacing w:after="0"/>
        <w:tabs>
          <w:tab w:leader="none" w:pos="460" w:val="left"/>
        </w:tabs>
        <w:numPr>
          <w:ilvl w:val="0"/>
          <w:numId w:val="190"/>
        </w:numPr>
        <w:rPr>
          <w:rFonts w:ascii="Arial" w:cs="Arial" w:eastAsia="Arial" w:hAnsi="Arial"/>
          <w:sz w:val="15"/>
          <w:szCs w:val="15"/>
          <w:color w:val="auto"/>
        </w:rPr>
      </w:pPr>
      <w:r>
        <w:rPr>
          <w:rFonts w:ascii="Arial" w:cs="Arial" w:eastAsia="Arial" w:hAnsi="Arial"/>
          <w:sz w:val="17"/>
          <w:szCs w:val="17"/>
          <w:color w:val="auto"/>
        </w:rPr>
        <w:t>Social Security Number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633095</wp:posOffset>
            </wp:positionV>
            <wp:extent cx="16656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hanging="155"/>
        <w:spacing w:after="0"/>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date of exercise.</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either “an Incentive” or “a Nonstatutory”.</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date of grant.</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total number of shares of Common Stock for which the option was granted.</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option exercise price per share of Common Stock.</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number of shares of Common Stock to be purchased upon exercise of all or part of the option.</w:t>
      </w:r>
    </w:p>
    <w:p>
      <w:pPr>
        <w:spacing w:after="0" w:line="2" w:lineRule="exact"/>
        <w:rPr>
          <w:rFonts w:ascii="Arial" w:cs="Arial" w:eastAsia="Arial" w:hAnsi="Arial"/>
          <w:sz w:val="20"/>
          <w:szCs w:val="20"/>
          <w:color w:val="auto"/>
          <w:vertAlign w:val="superscript"/>
        </w:rPr>
      </w:pPr>
    </w:p>
    <w:p>
      <w:pPr>
        <w:ind w:left="160" w:hanging="155"/>
        <w:spacing w:after="0" w:line="216"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“cash”, “personal check” or if permitted by the option or Plan, “stock certificates No. XXXX and XXXX”.</w:t>
      </w:r>
    </w:p>
    <w:p>
      <w:pPr>
        <w:spacing w:after="0" w:line="2" w:lineRule="exact"/>
        <w:rPr>
          <w:rFonts w:ascii="Arial" w:cs="Arial" w:eastAsia="Arial" w:hAnsi="Arial"/>
          <w:sz w:val="20"/>
          <w:szCs w:val="20"/>
          <w:color w:val="auto"/>
          <w:vertAlign w:val="superscript"/>
        </w:rPr>
      </w:pPr>
    </w:p>
    <w:p>
      <w:pPr>
        <w:ind w:right="80" w:firstLine="5"/>
        <w:spacing w:after="0" w:line="249" w:lineRule="auto"/>
        <w:tabs>
          <w:tab w:leader="none" w:pos="157"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ind w:right="160" w:firstLine="5"/>
        <w:spacing w:after="0" w:line="262" w:lineRule="auto"/>
        <w:tabs>
          <w:tab w:leader="none" w:pos="157"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 Tommy Doe). Note: There may be income and/or gift tax consequences of registering shares in a Child’s name.</w:t>
      </w:r>
    </w:p>
    <w:p>
      <w:pPr>
        <w:spacing w:after="0" w:line="1" w:lineRule="exact"/>
        <w:rPr>
          <w:rFonts w:ascii="Arial" w:cs="Arial" w:eastAsia="Arial" w:hAnsi="Arial"/>
          <w:sz w:val="20"/>
          <w:szCs w:val="20"/>
          <w:color w:val="auto"/>
          <w:vertAlign w:val="superscript"/>
        </w:rPr>
      </w:pPr>
    </w:p>
    <w:p>
      <w:pPr>
        <w:ind w:left="160" w:hanging="155"/>
        <w:spacing w:after="0" w:line="218" w:lineRule="auto"/>
        <w:tabs>
          <w:tab w:leader="none" w:pos="16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Social Security Number of Holder(s).</w:t>
      </w:r>
    </w:p>
    <w:p>
      <w:pPr>
        <w:sectPr>
          <w:pgSz w:w="11900" w:h="16838" w:orient="portrait"/>
          <w:cols w:equalWidth="0" w:num="1">
            <w:col w:w="11240"/>
          </w:cols>
          <w:pgMar w:left="320" w:top="1440" w:right="339" w:bottom="1440" w:gutter="0" w:footer="0" w:header="0"/>
          <w:type w:val="continuous"/>
        </w:sectPr>
      </w:pPr>
    </w:p>
    <w:bookmarkStart w:id="253" w:name="page254"/>
    <w:bookmarkEnd w:id="253"/>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I represent, warrant and covenant as follows:</w:t>
      </w:r>
    </w:p>
    <w:p>
      <w:pPr>
        <w:spacing w:after="0" w:line="119" w:lineRule="exact"/>
        <w:rPr>
          <w:sz w:val="20"/>
          <w:szCs w:val="20"/>
          <w:color w:val="auto"/>
        </w:rPr>
      </w:pPr>
    </w:p>
    <w:p>
      <w:pPr>
        <w:ind w:right="140" w:firstLine="5"/>
        <w:spacing w:after="0" w:line="289" w:lineRule="auto"/>
        <w:tabs>
          <w:tab w:leader="none" w:pos="1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53" w:lineRule="exact"/>
        <w:rPr>
          <w:rFonts w:ascii="Arial" w:cs="Arial" w:eastAsia="Arial" w:hAnsi="Arial"/>
          <w:sz w:val="17"/>
          <w:szCs w:val="17"/>
          <w:color w:val="auto"/>
        </w:rPr>
      </w:pPr>
    </w:p>
    <w:p>
      <w:pPr>
        <w:ind w:right="400" w:firstLine="5"/>
        <w:spacing w:after="0" w:line="289" w:lineRule="auto"/>
        <w:tabs>
          <w:tab w:leader="none" w:pos="1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53" w:lineRule="exact"/>
        <w:rPr>
          <w:rFonts w:ascii="Arial" w:cs="Arial" w:eastAsia="Arial" w:hAnsi="Arial"/>
          <w:sz w:val="17"/>
          <w:szCs w:val="17"/>
          <w:color w:val="auto"/>
        </w:rPr>
      </w:pPr>
    </w:p>
    <w:p>
      <w:pPr>
        <w:ind w:right="120" w:firstLine="5"/>
        <w:spacing w:after="0" w:line="289" w:lineRule="auto"/>
        <w:tabs>
          <w:tab w:leader="none" w:pos="1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Arial" w:cs="Arial" w:eastAsia="Arial" w:hAnsi="Arial"/>
          <w:sz w:val="17"/>
          <w:szCs w:val="17"/>
          <w:color w:val="auto"/>
        </w:rPr>
      </w:pPr>
    </w:p>
    <w:p>
      <w:pPr>
        <w:ind w:left="180" w:hanging="175"/>
        <w:spacing w:after="0"/>
        <w:tabs>
          <w:tab w:leader="none" w:pos="1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119" w:lineRule="exact"/>
        <w:rPr>
          <w:rFonts w:ascii="Arial" w:cs="Arial" w:eastAsia="Arial" w:hAnsi="Arial"/>
          <w:sz w:val="17"/>
          <w:szCs w:val="17"/>
          <w:color w:val="auto"/>
        </w:rPr>
      </w:pPr>
    </w:p>
    <w:p>
      <w:pPr>
        <w:ind w:firstLine="5"/>
        <w:spacing w:after="0" w:line="305" w:lineRule="auto"/>
        <w:tabs>
          <w:tab w:leader="none" w:pos="17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Very truly yours,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180"/>
          </w:cols>
          <w:pgMar w:left="320" w:top="1440" w:right="399" w:bottom="1440" w:gutter="0" w:footer="0" w:header="0"/>
        </w:sectPr>
      </w:pPr>
    </w:p>
    <w:bookmarkStart w:id="254" w:name="page255"/>
    <w:bookmarkEnd w:id="254"/>
    <w:p>
      <w:pPr>
        <w:spacing w:after="0" w:line="46"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B</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SPOUSE OR DOMESTIC PARTNER</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 ____________________, spouse or registered domestic partner of ____________________, have read and approve the Incentive Stock Option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___________, _____, between my spouse or registered domestic partner and Praxis Precision Medicines, Inc. (the “Agreement”). In</w:t>
      </w:r>
    </w:p>
    <w:p>
      <w:pPr>
        <w:spacing w:after="0" w:line="2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consideration of granting an option to my spouse or registered domestic partner to purchase shares of Common Stock of Praxis Precision Medicines, Inc. set forth in the Agreement, I hereby appoint my spouse or registered domestic partner as my attorney-in-fact in respect to the exercise of any rights under the Agreement and agree to be bound by the provisions of the Agreement insofar as I may have any rights in said Agreement or any shares issued pursuant thereto under the community property laws or similar laws relating to marital property in effect in the state of our residence as of the date of the signing of the foregoing Agreement.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 ______</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Signature of Spouse or Registered Domestic Partner</w:t>
      </w:r>
    </w:p>
    <w:p>
      <w:pPr>
        <w:sectPr>
          <w:pgSz w:w="11900" w:h="16838" w:orient="portrait"/>
          <w:cols w:equalWidth="0" w:num="1">
            <w:col w:w="11240"/>
          </w:cols>
          <w:pgMar w:left="320" w:top="1440"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7"/>
          <w:szCs w:val="17"/>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333333"/>
        </w:rPr>
        <w:t>We consent to the incorporation by reference in the Registration Statement (Form S-8 No. 333-249522) pertaining to the 2017 Stock Incentive Plan, 2020 Stock Option and Incentive Plan, and 2020 Employee Stock Purchase Plan of Praxis Precision Medicines, Inc. of our report dated March 17, 2021, with respect to the consolidated financial statements of Praxis Precision Medicines, Inc. included in this Annual Report (Form 10-K)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33333"/>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333333"/>
        </w:rPr>
        <w:t>March 17, 2021</w:t>
      </w:r>
    </w:p>
    <w:p>
      <w:pPr>
        <w:sectPr>
          <w:pgSz w:w="11900" w:h="16838" w:orient="portrait"/>
          <w:cols w:equalWidth="0" w:num="1">
            <w:col w:w="11240"/>
          </w:cols>
          <w:pgMar w:left="320" w:top="1380"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Marcio Souza, certify that:</w:t>
      </w:r>
    </w:p>
    <w:p>
      <w:pPr>
        <w:spacing w:after="0" w:line="185" w:lineRule="exact"/>
        <w:rPr>
          <w:sz w:val="20"/>
          <w:szCs w:val="20"/>
          <w:color w:val="auto"/>
        </w:rPr>
      </w:pPr>
    </w:p>
    <w:p>
      <w:pPr>
        <w:ind w:left="460" w:hanging="438"/>
        <w:spacing w:after="0"/>
        <w:tabs>
          <w:tab w:leader="none" w:pos="4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Praxis Precision Medicines, Inc.;</w:t>
      </w:r>
    </w:p>
    <w:p>
      <w:pPr>
        <w:spacing w:after="0" w:line="289" w:lineRule="exact"/>
        <w:rPr>
          <w:rFonts w:ascii="Arial" w:cs="Arial" w:eastAsia="Arial" w:hAnsi="Arial"/>
          <w:sz w:val="17"/>
          <w:szCs w:val="17"/>
          <w:color w:val="auto"/>
        </w:rPr>
      </w:pPr>
    </w:p>
    <w:p>
      <w:pPr>
        <w:jc w:val="both"/>
        <w:ind w:left="460" w:right="620" w:hanging="438"/>
        <w:spacing w:after="0" w:line="273" w:lineRule="auto"/>
        <w:tabs>
          <w:tab w:leader="none" w:pos="4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7"/>
          <w:szCs w:val="17"/>
          <w:color w:val="auto"/>
        </w:rPr>
      </w:pPr>
    </w:p>
    <w:p>
      <w:pPr>
        <w:ind w:left="480" w:right="560" w:hanging="431"/>
        <w:spacing w:after="0" w:line="289" w:lineRule="auto"/>
        <w:tabs>
          <w:tab w:leader="none" w:pos="48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600" w:hanging="431"/>
        <w:spacing w:after="0" w:line="289" w:lineRule="auto"/>
        <w:tabs>
          <w:tab w:leader="none" w:pos="48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9" w:lineRule="exact"/>
        <w:rPr>
          <w:rFonts w:ascii="Arial" w:cs="Arial" w:eastAsia="Arial" w:hAnsi="Arial"/>
          <w:sz w:val="17"/>
          <w:szCs w:val="17"/>
          <w:color w:val="auto"/>
        </w:rPr>
      </w:pPr>
    </w:p>
    <w:p>
      <w:pPr>
        <w:ind w:left="1040" w:right="300" w:hanging="572"/>
        <w:spacing w:after="0" w:line="273" w:lineRule="auto"/>
        <w:tabs>
          <w:tab w:leader="none" w:pos="1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040" w:hanging="572"/>
        <w:spacing w:after="0"/>
        <w:tabs>
          <w:tab w:leader="none" w:pos="1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184" w:lineRule="exact"/>
        <w:rPr>
          <w:rFonts w:ascii="Arial" w:cs="Arial" w:eastAsia="Arial" w:hAnsi="Arial"/>
          <w:sz w:val="17"/>
          <w:szCs w:val="17"/>
          <w:color w:val="auto"/>
        </w:rPr>
      </w:pPr>
    </w:p>
    <w:p>
      <w:pPr>
        <w:jc w:val="both"/>
        <w:ind w:left="1040" w:right="760" w:hanging="572"/>
        <w:spacing w:after="0" w:line="360" w:lineRule="auto"/>
        <w:tabs>
          <w:tab w:leader="none" w:pos="1040" w:val="left"/>
        </w:tabs>
        <w:numPr>
          <w:ilvl w:val="2"/>
          <w:numId w:val="19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5"/>
          <w:szCs w:val="15"/>
          <w:color w:val="auto"/>
        </w:rPr>
      </w:pPr>
    </w:p>
    <w:p>
      <w:pPr>
        <w:ind w:left="1040" w:right="280" w:hanging="572"/>
        <w:spacing w:after="0" w:line="273" w:lineRule="auto"/>
        <w:tabs>
          <w:tab w:leader="none" w:pos="1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480" w:right="300" w:hanging="431"/>
        <w:spacing w:after="0" w:line="322" w:lineRule="auto"/>
        <w:tabs>
          <w:tab w:leader="none" w:pos="4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40" w:right="240" w:hanging="572"/>
        <w:spacing w:after="0" w:line="289" w:lineRule="auto"/>
        <w:tabs>
          <w:tab w:leader="none" w:pos="1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40" w:right="740" w:hanging="572"/>
        <w:spacing w:after="0" w:line="289" w:lineRule="auto"/>
        <w:tabs>
          <w:tab w:leader="none" w:pos="1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40" w:val="left"/>
          <w:tab w:leader="none" w:pos="7760" w:val="left"/>
        </w:tabs>
        <w:rPr>
          <w:sz w:val="20"/>
          <w:szCs w:val="20"/>
          <w:color w:val="auto"/>
        </w:rPr>
      </w:pPr>
      <w:r>
        <w:rPr>
          <w:rFonts w:ascii="Arial" w:cs="Arial" w:eastAsia="Arial" w:hAnsi="Arial"/>
          <w:sz w:val="17"/>
          <w:szCs w:val="17"/>
          <w:color w:val="auto"/>
        </w:rPr>
        <w:t>Date: March 17,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33655</wp:posOffset>
            </wp:positionV>
            <wp:extent cx="31311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60"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Marcio Souza</w:t>
      </w:r>
    </w:p>
    <w:p>
      <w:pPr>
        <w:spacing w:after="0" w:line="67"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Chief Executive Officer and Director</w:t>
      </w:r>
    </w:p>
    <w:p>
      <w:pPr>
        <w:spacing w:after="0" w:line="67"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380"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Lauren Mastrocola, certify that:</w:t>
      </w:r>
    </w:p>
    <w:p>
      <w:pPr>
        <w:spacing w:after="0" w:line="185" w:lineRule="exact"/>
        <w:rPr>
          <w:sz w:val="20"/>
          <w:szCs w:val="20"/>
          <w:color w:val="auto"/>
        </w:rPr>
      </w:pPr>
    </w:p>
    <w:p>
      <w:pPr>
        <w:ind w:left="460" w:hanging="438"/>
        <w:spacing w:after="0"/>
        <w:tabs>
          <w:tab w:leader="none" w:pos="4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Praxis Precision Medicines, Inc.;</w:t>
      </w:r>
    </w:p>
    <w:p>
      <w:pPr>
        <w:spacing w:after="0" w:line="289" w:lineRule="exact"/>
        <w:rPr>
          <w:rFonts w:ascii="Arial" w:cs="Arial" w:eastAsia="Arial" w:hAnsi="Arial"/>
          <w:sz w:val="17"/>
          <w:szCs w:val="17"/>
          <w:color w:val="auto"/>
        </w:rPr>
      </w:pPr>
    </w:p>
    <w:p>
      <w:pPr>
        <w:jc w:val="both"/>
        <w:ind w:left="480" w:right="600" w:hanging="431"/>
        <w:spacing w:after="0" w:line="273" w:lineRule="auto"/>
        <w:tabs>
          <w:tab w:leader="none" w:pos="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480" w:right="560" w:hanging="431"/>
        <w:spacing w:after="0" w:line="289" w:lineRule="auto"/>
        <w:tabs>
          <w:tab w:leader="none" w:pos="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600" w:hanging="431"/>
        <w:spacing w:after="0" w:line="289" w:lineRule="auto"/>
        <w:tabs>
          <w:tab w:leader="none" w:pos="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9" w:lineRule="exact"/>
        <w:rPr>
          <w:rFonts w:ascii="Arial" w:cs="Arial" w:eastAsia="Arial" w:hAnsi="Arial"/>
          <w:sz w:val="17"/>
          <w:szCs w:val="17"/>
          <w:color w:val="auto"/>
        </w:rPr>
      </w:pPr>
    </w:p>
    <w:p>
      <w:pPr>
        <w:ind w:left="1040" w:right="300" w:hanging="572"/>
        <w:spacing w:after="0" w:line="273" w:lineRule="auto"/>
        <w:tabs>
          <w:tab w:leader="none" w:pos="104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040" w:hanging="572"/>
        <w:spacing w:after="0"/>
        <w:tabs>
          <w:tab w:leader="none" w:pos="104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184" w:lineRule="exact"/>
        <w:rPr>
          <w:rFonts w:ascii="Arial" w:cs="Arial" w:eastAsia="Arial" w:hAnsi="Arial"/>
          <w:sz w:val="17"/>
          <w:szCs w:val="17"/>
          <w:color w:val="auto"/>
        </w:rPr>
      </w:pPr>
    </w:p>
    <w:p>
      <w:pPr>
        <w:jc w:val="both"/>
        <w:ind w:left="1040" w:right="760" w:hanging="572"/>
        <w:spacing w:after="0" w:line="360" w:lineRule="auto"/>
        <w:tabs>
          <w:tab w:leader="none" w:pos="1040" w:val="left"/>
        </w:tabs>
        <w:numPr>
          <w:ilvl w:val="2"/>
          <w:numId w:val="19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5"/>
          <w:szCs w:val="15"/>
          <w:color w:val="auto"/>
        </w:rPr>
      </w:pPr>
    </w:p>
    <w:p>
      <w:pPr>
        <w:ind w:left="1040" w:right="280" w:hanging="572"/>
        <w:spacing w:after="0" w:line="273" w:lineRule="auto"/>
        <w:tabs>
          <w:tab w:leader="none" w:pos="104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480" w:right="300" w:hanging="431"/>
        <w:spacing w:after="0" w:line="322" w:lineRule="auto"/>
        <w:tabs>
          <w:tab w:leader="none" w:pos="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40" w:right="240" w:hanging="572"/>
        <w:spacing w:after="0" w:line="289" w:lineRule="auto"/>
        <w:tabs>
          <w:tab w:leader="none" w:pos="104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40" w:right="740" w:hanging="572"/>
        <w:spacing w:after="0" w:line="289" w:lineRule="auto"/>
        <w:tabs>
          <w:tab w:leader="none" w:pos="104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600" w:val="left"/>
          <w:tab w:leader="none" w:pos="7500" w:val="left"/>
        </w:tabs>
        <w:rPr>
          <w:sz w:val="20"/>
          <w:szCs w:val="20"/>
          <w:color w:val="auto"/>
        </w:rPr>
      </w:pPr>
      <w:r>
        <w:rPr>
          <w:rFonts w:ascii="Arial" w:cs="Arial" w:eastAsia="Arial" w:hAnsi="Arial"/>
          <w:sz w:val="17"/>
          <w:szCs w:val="17"/>
          <w:color w:val="auto"/>
        </w:rPr>
        <w:t>Date: March 17,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MASTROCOLA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33655</wp:posOffset>
            </wp:positionV>
            <wp:extent cx="31311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60"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Lauren Mastrocola</w:t>
      </w:r>
    </w:p>
    <w:p>
      <w:pPr>
        <w:spacing w:after="0" w:line="67"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Principal Accounting Officer and Interim Principal Financial Officer</w:t>
      </w:r>
    </w:p>
    <w:p>
      <w:pPr>
        <w:sectPr>
          <w:pgSz w:w="11900" w:h="16838" w:orient="portrait"/>
          <w:cols w:equalWidth="0" w:num="1">
            <w:col w:w="11240"/>
          </w:cols>
          <w:pgMar w:left="320" w:top="1380" w:right="339" w:bottom="1440" w:gutter="0" w:footer="0" w:header="0"/>
        </w:sectPr>
      </w:pPr>
    </w:p>
    <w:bookmarkStart w:id="258" w:name="page259"/>
    <w:bookmarkEnd w:id="258"/>
    <w:p>
      <w:pPr>
        <w:ind w:left="10340"/>
        <w:spacing w:after="0"/>
        <w:rPr>
          <w:sz w:val="20"/>
          <w:szCs w:val="20"/>
          <w:color w:val="auto"/>
        </w:rPr>
      </w:pPr>
      <w:r>
        <w:rPr>
          <w:rFonts w:ascii="Arial" w:cs="Arial" w:eastAsia="Arial" w:hAnsi="Arial"/>
          <w:sz w:val="16"/>
          <w:szCs w:val="16"/>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PRINCIPAL EXECUTIVE OFFICER AND INTERIM PRINCIPAL FINANCIAL OFFICER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In connection with the Annual Report on Form 10-K of Praxis Precision Medicines, Inc. (the “Company”) for the fiscal year ended December 31, 2020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33" w:lineRule="exact"/>
        <w:rPr>
          <w:sz w:val="20"/>
          <w:szCs w:val="20"/>
          <w:color w:val="auto"/>
        </w:rPr>
      </w:pPr>
    </w:p>
    <w:p>
      <w:pPr>
        <w:ind w:left="1000" w:hanging="558"/>
        <w:spacing w:after="0"/>
        <w:tabs>
          <w:tab w:leader="none" w:pos="10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000" w:right="900" w:hanging="558"/>
        <w:spacing w:after="0" w:line="289" w:lineRule="auto"/>
        <w:tabs>
          <w:tab w:leader="none" w:pos="10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Date: March 17, 2021</w:t>
            </w:r>
          </w:p>
        </w:tc>
        <w:tc>
          <w:tcPr>
            <w:tcW w:w="2660" w:type="dxa"/>
            <w:vAlign w:val="bottom"/>
          </w:tcPr>
          <w:p>
            <w:pPr>
              <w:ind w:left="2020"/>
              <w:spacing w:after="0"/>
              <w:rPr>
                <w:sz w:val="20"/>
                <w:szCs w:val="20"/>
                <w:color w:val="auto"/>
              </w:rPr>
            </w:pPr>
            <w:r>
              <w:rPr>
                <w:rFonts w:ascii="Arial" w:cs="Arial" w:eastAsia="Arial" w:hAnsi="Arial"/>
                <w:sz w:val="17"/>
                <w:szCs w:val="17"/>
                <w:color w:val="auto"/>
              </w:rPr>
              <w:t>By:</w:t>
            </w:r>
          </w:p>
        </w:tc>
        <w:tc>
          <w:tcPr>
            <w:tcW w:w="4920" w:type="dxa"/>
            <w:vAlign w:val="bottom"/>
          </w:tcPr>
          <w:p>
            <w:pPr>
              <w:jc w:val="center"/>
              <w:ind w:right="93"/>
              <w:spacing w:after="0"/>
              <w:rPr>
                <w:sz w:val="20"/>
                <w:szCs w:val="20"/>
                <w:color w:val="auto"/>
              </w:rPr>
            </w:pPr>
            <w:r>
              <w:rPr>
                <w:rFonts w:ascii="Arial" w:cs="Arial" w:eastAsia="Arial" w:hAnsi="Arial"/>
                <w:sz w:val="17"/>
                <w:szCs w:val="17"/>
                <w:color w:val="auto"/>
              </w:rPr>
              <w:t>/s/ MARCIO SOUZA</w:t>
            </w:r>
          </w:p>
        </w:tc>
      </w:tr>
      <w:tr>
        <w:trPr>
          <w:trHeight w:val="27"/>
        </w:trPr>
        <w:tc>
          <w:tcPr>
            <w:tcW w:w="3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9"/>
        </w:trPr>
        <w:tc>
          <w:tcPr>
            <w:tcW w:w="3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2"/>
              </w:rPr>
              <w:t>Marcio Souza</w:t>
            </w:r>
          </w:p>
        </w:tc>
      </w:tr>
      <w:tr>
        <w:trPr>
          <w:trHeight w:val="262"/>
        </w:trPr>
        <w:tc>
          <w:tcPr>
            <w:tcW w:w="35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7"/>
              </w:rPr>
              <w:t>Chief Executive Officer</w:t>
            </w:r>
          </w:p>
        </w:tc>
      </w:tr>
      <w:tr>
        <w:trPr>
          <w:trHeight w:val="262"/>
        </w:trPr>
        <w:tc>
          <w:tcPr>
            <w:tcW w:w="35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7"/>
              </w:rPr>
              <w:t>(Principal Executive Officer)</w:t>
            </w:r>
          </w:p>
        </w:tc>
      </w:tr>
      <w:tr>
        <w:trPr>
          <w:trHeight w:val="525"/>
        </w:trPr>
        <w:tc>
          <w:tcPr>
            <w:tcW w:w="3560" w:type="dxa"/>
            <w:vAlign w:val="bottom"/>
          </w:tcPr>
          <w:p>
            <w:pPr>
              <w:spacing w:after="0"/>
              <w:rPr>
                <w:sz w:val="20"/>
                <w:szCs w:val="20"/>
                <w:color w:val="auto"/>
              </w:rPr>
            </w:pPr>
            <w:r>
              <w:rPr>
                <w:rFonts w:ascii="Arial" w:cs="Arial" w:eastAsia="Arial" w:hAnsi="Arial"/>
                <w:sz w:val="17"/>
                <w:szCs w:val="17"/>
                <w:color w:val="auto"/>
              </w:rPr>
              <w:t>Date: March 17, 2021</w:t>
            </w:r>
          </w:p>
        </w:tc>
        <w:tc>
          <w:tcPr>
            <w:tcW w:w="2660" w:type="dxa"/>
            <w:vAlign w:val="bottom"/>
          </w:tcPr>
          <w:p>
            <w:pPr>
              <w:ind w:left="2020"/>
              <w:spacing w:after="0"/>
              <w:rPr>
                <w:sz w:val="20"/>
                <w:szCs w:val="20"/>
                <w:color w:val="auto"/>
              </w:rPr>
            </w:pPr>
            <w:r>
              <w:rPr>
                <w:rFonts w:ascii="Arial" w:cs="Arial" w:eastAsia="Arial" w:hAnsi="Arial"/>
                <w:sz w:val="17"/>
                <w:szCs w:val="17"/>
                <w:color w:val="auto"/>
              </w:rPr>
              <w:t>By:</w:t>
            </w:r>
          </w:p>
        </w:tc>
        <w:tc>
          <w:tcPr>
            <w:tcW w:w="4920" w:type="dxa"/>
            <w:vAlign w:val="bottom"/>
          </w:tcPr>
          <w:p>
            <w:pPr>
              <w:jc w:val="center"/>
              <w:ind w:right="33"/>
              <w:spacing w:after="0"/>
              <w:rPr>
                <w:sz w:val="20"/>
                <w:szCs w:val="20"/>
                <w:color w:val="auto"/>
              </w:rPr>
            </w:pPr>
            <w:r>
              <w:rPr>
                <w:rFonts w:ascii="Arial" w:cs="Arial" w:eastAsia="Arial" w:hAnsi="Arial"/>
                <w:sz w:val="17"/>
                <w:szCs w:val="17"/>
                <w:color w:val="auto"/>
              </w:rPr>
              <w:t>/s/ LAUREN MASTROCOLA</w:t>
            </w:r>
          </w:p>
        </w:tc>
      </w:tr>
      <w:tr>
        <w:trPr>
          <w:trHeight w:val="27"/>
        </w:trPr>
        <w:tc>
          <w:tcPr>
            <w:tcW w:w="3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9"/>
        </w:trPr>
        <w:tc>
          <w:tcPr>
            <w:tcW w:w="3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3"/>
              </w:rPr>
              <w:t>Lauren Mastrocola</w:t>
            </w:r>
          </w:p>
        </w:tc>
      </w:tr>
      <w:tr>
        <w:trPr>
          <w:trHeight w:val="262"/>
        </w:trPr>
        <w:tc>
          <w:tcPr>
            <w:tcW w:w="35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6"/>
              </w:rPr>
              <w:t>Principal Accounting Officer and Interim Principal Financial Officer</w:t>
            </w:r>
          </w:p>
        </w:tc>
      </w:tr>
    </w:tbl>
    <w:p>
      <w:pPr>
        <w:spacing w:after="0" w:line="1" w:lineRule="exact"/>
        <w:rPr>
          <w:sz w:val="20"/>
          <w:szCs w:val="20"/>
          <w:color w:val="auto"/>
        </w:rPr>
      </w:pPr>
    </w:p>
    <w:sectPr>
      <w:pgSz w:w="11900" w:h="16838" w:orient="portrait"/>
      <w:cols w:equalWidth="0" w:num="1">
        <w:col w:w="11240"/>
      </w:cols>
      <w:pgMar w:left="320" w:top="13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1."/>
      <w:numFmt w:val="decimal"/>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1)"/>
      <w:numFmt w:val="lowerRoman"/>
      <w:start w:val="4"/>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1)"/>
      <w:numFmt w:val="decimal"/>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1"/>
      <w:numFmt w:val="bullet"/>
      <w:start w:val="1"/>
    </w:lvl>
  </w:abstractNum>
  <w:abstractNum w:abstractNumId="76">
    <w:nsid w:val="2E48F044"/>
    <w:multiLevelType w:val="hybridMultilevel"/>
    <w:lvl w:ilvl="0">
      <w:lvlJc w:val="left"/>
      <w:lvlText w:val="(%1)"/>
      <w:numFmt w:val="lowerRoman"/>
      <w:start w:val="3"/>
    </w:lvl>
  </w:abstractNum>
  <w:abstractNum w:abstractNumId="77">
    <w:nsid w:val="49D0FEAC"/>
    <w:multiLevelType w:val="hybridMultilevel"/>
    <w:lvl w:ilvl="0">
      <w:lvlJc w:val="left"/>
      <w:lvlText w:val="(%1)"/>
      <w:numFmt w:val="lowerRoman"/>
      <w:start w:val="2"/>
    </w:lvl>
  </w:abstractNum>
  <w:abstractNum w:abstractNumId="78">
    <w:nsid w:val="4BEE5A5B"/>
    <w:multiLevelType w:val="hybridMultilevel"/>
    <w:lvl w:ilvl="0">
      <w:lvlJc w:val="left"/>
      <w:lvlText w:val="(%1)"/>
      <w:numFmt w:val="decimal"/>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1)"/>
      <w:numFmt w:val="decimal"/>
      <w:start w:val="1"/>
    </w:lvl>
  </w:abstractNum>
  <w:abstractNum w:abstractNumId="87">
    <w:nsid w:val="69E7F3E5"/>
    <w:multiLevelType w:val="hybridMultilevel"/>
    <w:lvl w:ilvl="0">
      <w:lvlJc w:val="left"/>
      <w:lvlText w:val="(%1)"/>
      <w:numFmt w:val="decimal"/>
      <w:start w:val="5"/>
    </w:lvl>
  </w:abstractNum>
  <w:abstractNum w:abstractNumId="88">
    <w:nsid w:val="2A6DE806"/>
    <w:multiLevelType w:val="hybridMultilevel"/>
    <w:lvl w:ilvl="0">
      <w:lvlJc w:val="left"/>
      <w:lvlText w:val="(%1)"/>
      <w:numFmt w:val="lowerRoman"/>
      <w:start w:val="2"/>
    </w:lvl>
  </w:abstractNum>
  <w:abstractNum w:abstractNumId="89">
    <w:nsid w:val="1816F8C4"/>
    <w:multiLevelType w:val="hybridMultilevel"/>
    <w:lvl w:ilvl="0">
      <w:lvlJc w:val="left"/>
      <w:lvlText w:val="(%1)"/>
      <w:numFmt w:val="decimal"/>
      <w:start w:val="1"/>
    </w:lvl>
  </w:abstractNum>
  <w:abstractNum w:abstractNumId="90">
    <w:nsid w:val="37DF2233"/>
    <w:multiLevelType w:val="hybridMultilevel"/>
    <w:lvl w:ilvl="0">
      <w:lvlJc w:val="left"/>
      <w:lvlText w:val="(%1)"/>
      <w:numFmt w:val="decimal"/>
      <w:start w:val="1"/>
    </w:lvl>
  </w:abstractNum>
  <w:abstractNum w:abstractNumId="91">
    <w:nsid w:val="7AB49DAF"/>
    <w:multiLevelType w:val="hybridMultilevel"/>
    <w:lvl w:ilvl="0">
      <w:lvlJc w:val="left"/>
      <w:lvlText w:val="(%1)"/>
      <w:numFmt w:val="decimal"/>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lvl w:ilvl="1">
      <w:lvlJc w:val="left"/>
      <w:lvlText w:val="%2"/>
      <w:numFmt w:val="upperLetter"/>
      <w:start w:val="1"/>
    </w:lvl>
  </w:abstractNum>
  <w:abstractNum w:abstractNumId="94">
    <w:nsid w:val="597B4D84"/>
    <w:multiLevelType w:val="hybridMultilevel"/>
    <w:lvl w:ilvl="0">
      <w:lvlJc w:val="left"/>
      <w:lvlText w:val="(%1)"/>
      <w:numFmt w:val="decimal"/>
      <w:start w:val="3"/>
    </w:lvl>
  </w:abstractNum>
  <w:abstractNum w:abstractNumId="95">
    <w:nsid w:val="F819E7F"/>
    <w:multiLevelType w:val="hybridMultilevel"/>
    <w:lvl w:ilvl="0">
      <w:lvlJc w:val="left"/>
      <w:lvlText w:val="(%1)"/>
      <w:numFmt w:val="decimal"/>
      <w:start w:val="1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1)"/>
      <w:numFmt w:val="decimal"/>
      <w:start w:val="1"/>
    </w:lvl>
  </w:abstractNum>
  <w:abstractNum w:abstractNumId="98">
    <w:nsid w:val="631B64D4"/>
    <w:multiLevelType w:val="hybridMultilevel"/>
    <w:lvl w:ilvl="0">
      <w:lvlJc w:val="left"/>
      <w:lvlText w:val="(%1)"/>
      <w:numFmt w:val="decimal"/>
      <w:start w:val="1"/>
    </w:lvl>
  </w:abstractNum>
  <w:abstractNum w:abstractNumId="99">
    <w:nsid w:val="78B5E776"/>
    <w:multiLevelType w:val="hybridMultilevel"/>
    <w:lvl w:ilvl="0">
      <w:lvlJc w:val="left"/>
      <w:lvlText w:val="(%1)"/>
      <w:numFmt w:val="decimal"/>
      <w:start w:val="1"/>
    </w:lvl>
  </w:abstractNum>
  <w:abstractNum w:abstractNumId="100">
    <w:nsid w:val="75486E47"/>
    <w:multiLevelType w:val="hybridMultilevel"/>
    <w:lvl w:ilvl="0">
      <w:lvlJc w:val="left"/>
      <w:lvlText w:val="(%1)"/>
      <w:numFmt w:val="decimal"/>
      <w:start w:val="1"/>
    </w:lvl>
  </w:abstractNum>
  <w:abstractNum w:abstractNumId="101">
    <w:nsid w:val="6E534CDE"/>
    <w:multiLevelType w:val="hybridMultilevel"/>
    <w:lvl w:ilvl="0">
      <w:lvlJc w:val="left"/>
      <w:lvlText w:val="(%1)"/>
      <w:numFmt w:val="decimal"/>
      <w:start w:val="1"/>
    </w:lvl>
  </w:abstractNum>
  <w:abstractNum w:abstractNumId="102">
    <w:nsid w:val="1A0DDE32"/>
    <w:multiLevelType w:val="hybridMultilevel"/>
    <w:lvl w:ilvl="0">
      <w:lvlJc w:val="left"/>
      <w:lvlText w:val="(%1)"/>
      <w:numFmt w:val="decimal"/>
      <w:start w:val="3"/>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
      <w:numFmt w:val="bullet"/>
      <w:start w:val="1"/>
    </w:lvl>
  </w:abstractNum>
  <w:abstractNum w:abstractNumId="110">
    <w:nsid w:val="49C0E823"/>
    <w:multiLevelType w:val="hybridMultilevel"/>
    <w:lvl w:ilvl="0">
      <w:lvlJc w:val="left"/>
      <w:lvlText w:val="%1."/>
      <w:numFmt w:val="decimal"/>
      <w:start w:val="1"/>
    </w:lvl>
  </w:abstractNum>
  <w:abstractNum w:abstractNumId="111">
    <w:nsid w:val="14D53685"/>
    <w:multiLevelType w:val="hybridMultilevel"/>
    <w:lvl w:ilvl="0">
      <w:lvlJc w:val="left"/>
      <w:lvlText w:val="%1."/>
      <w:numFmt w:val="decimal"/>
      <w:start w:val="2"/>
    </w:lvl>
  </w:abstractNum>
  <w:abstractNum w:abstractNumId="112">
    <w:nsid w:val="230F856C"/>
    <w:multiLevelType w:val="hybridMultilevel"/>
    <w:lvl w:ilvl="0">
      <w:lvlJc w:val="left"/>
      <w:lvlText w:val="%1."/>
      <w:numFmt w:val="decimal"/>
      <w:start w:val="3"/>
    </w:lvl>
    <w:lvl w:ilvl="1">
      <w:lvlJc w:val="left"/>
      <w:lvlText w:val="(%2)"/>
      <w:numFmt w:val="lowerLetter"/>
      <w:start w:val="1"/>
    </w:lvl>
  </w:abstractNum>
  <w:abstractNum w:abstractNumId="113">
    <w:nsid w:val="6EAA85F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4">
    <w:nsid w:val="3F06ECB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15">
    <w:nsid w:val="3B594807"/>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16">
    <w:nsid w:val="6CAA230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
      <w:numFmt w:val="bullet"/>
      <w:start w:val="1"/>
    </w:lvl>
  </w:abstractNum>
  <w:abstractNum w:abstractNumId="117">
    <w:nsid w:val="3F7C2FF4"/>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
      <w:numFmt w:val="bullet"/>
      <w:start w:val="1"/>
    </w:lvl>
  </w:abstractNum>
  <w:abstractNum w:abstractNumId="118">
    <w:nsid w:val="25413BE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19">
    <w:nsid w:val="17180B0B"/>
    <w:multiLevelType w:val="hybridMultilevel"/>
    <w:lvl w:ilvl="0">
      <w:lvlJc w:val="left"/>
      <w:lvlText w:val="%1"/>
      <w:numFmt w:val="decimal"/>
      <w:start w:val="1"/>
    </w:lvl>
    <w:lvl w:ilvl="1">
      <w:lvlJc w:val="left"/>
      <w:lvlText w:val="(%2)"/>
      <w:numFmt w:val="decimal"/>
      <w:start w:val="2"/>
    </w:lvl>
  </w:abstractNum>
  <w:abstractNum w:abstractNumId="120">
    <w:nsid w:val="579328B9"/>
    <w:multiLevelType w:val="hybridMultilevel"/>
    <w:lvl w:ilvl="0">
      <w:lvlJc w:val="left"/>
      <w:lvlText w:val="%1."/>
      <w:numFmt w:val="decimal"/>
      <w:start w:val="7"/>
    </w:lvl>
    <w:lvl w:ilvl="1">
      <w:lvlJc w:val="left"/>
      <w:lvlText w:val="%2"/>
      <w:numFmt w:val="decimal"/>
      <w:start w:val="1"/>
    </w:lvl>
  </w:abstractNum>
  <w:abstractNum w:abstractNumId="121">
    <w:nsid w:val="5D205E2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22">
    <w:nsid w:val="11CCA8BA"/>
    <w:multiLevelType w:val="hybridMultilevel"/>
    <w:lvl w:ilvl="0">
      <w:lvlJc w:val="left"/>
      <w:lvlText w:val="(%1)"/>
      <w:numFmt w:val="decimal"/>
      <w:start w:val="2"/>
    </w:lvl>
  </w:abstractNum>
  <w:abstractNum w:abstractNumId="123">
    <w:nsid w:val="4D32AB86"/>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124">
    <w:nsid w:val="3F07ACC3"/>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125">
    <w:nsid w:val="6B47F63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26">
    <w:nsid w:val="5CB44A05"/>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27">
    <w:nsid w:val="16CF80F1"/>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128">
    <w:nsid w:val="1C695DE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29">
    <w:nsid w:val="3FCFAED9"/>
    <w:multiLevelType w:val="hybridMultilevel"/>
    <w:lvl w:ilvl="0">
      <w:lvlJc w:val="left"/>
      <w:lvlText w:val="(%1)"/>
      <w:numFmt w:val="lowerLetter"/>
      <w:start w:val="7"/>
    </w:lvl>
    <w:lvl w:ilvl="1">
      <w:lvlJc w:val="left"/>
      <w:lvlText w:val="-"/>
      <w:numFmt w:val="bullet"/>
      <w:start w:val="1"/>
    </w:lvl>
  </w:abstractNum>
  <w:abstractNum w:abstractNumId="130">
    <w:nsid w:val="F856867"/>
    <w:multiLevelType w:val="hybridMultilevel"/>
    <w:lvl w:ilvl="0">
      <w:lvlJc w:val="left"/>
      <w:lvlText w:val="%1."/>
      <w:numFmt w:val="decimal"/>
      <w:start w:val="1"/>
    </w:lvl>
    <w:lvl w:ilvl="1">
      <w:lvlJc w:val="left"/>
      <w:lvlText w:val="(%2)"/>
      <w:numFmt w:val="lowerLetter"/>
      <w:start w:val="1"/>
    </w:lvl>
  </w:abstractNum>
  <w:abstractNum w:abstractNumId="131">
    <w:nsid w:val="11B1CC33"/>
    <w:multiLevelType w:val="hybridMultilevel"/>
    <w:lvl w:ilvl="0">
      <w:lvlJc w:val="left"/>
      <w:lvlText w:val="%1."/>
      <w:numFmt w:val="decimal"/>
      <w:start w:val="3"/>
    </w:lvl>
  </w:abstractNum>
  <w:abstractNum w:abstractNumId="132">
    <w:nsid w:val="2E22FBB7"/>
    <w:multiLevelType w:val="hybridMultilevel"/>
    <w:lvl w:ilvl="0">
      <w:lvlJc w:val="left"/>
      <w:lvlText w:val="%1."/>
      <w:numFmt w:val="decimal"/>
      <w:start w:val="4"/>
    </w:lvl>
    <w:lvl w:ilvl="1">
      <w:lvlJc w:val="left"/>
      <w:lvlText w:val="(%2)"/>
      <w:numFmt w:val="lowerLetter"/>
      <w:start w:val="1"/>
    </w:lvl>
  </w:abstractNum>
  <w:abstractNum w:abstractNumId="133">
    <w:nsid w:val="29934699"/>
    <w:multiLevelType w:val="hybridMultilevel"/>
    <w:lvl w:ilvl="0">
      <w:lvlJc w:val="left"/>
      <w:lvlText w:val="(%1)"/>
      <w:numFmt w:val="lowerLetter"/>
      <w:start w:val="1"/>
    </w:lvl>
  </w:abstractNum>
  <w:abstractNum w:abstractNumId="134">
    <w:nsid w:val="77485850"/>
    <w:multiLevelType w:val="hybridMultilevel"/>
    <w:lvl w:ilvl="0">
      <w:lvlJc w:val="left"/>
      <w:lvlText w:val="%1."/>
      <w:numFmt w:val="decimal"/>
      <w:start w:val="4"/>
    </w:lvl>
  </w:abstractNum>
  <w:abstractNum w:abstractNumId="135">
    <w:nsid w:val="744939A3"/>
    <w:multiLevelType w:val="hybridMultilevel"/>
    <w:lvl w:ilvl="0">
      <w:lvlJc w:val="left"/>
      <w:lvlText w:val="%1."/>
      <w:numFmt w:val="decimal"/>
      <w:start w:val="4"/>
    </w:lvl>
  </w:abstractNum>
  <w:abstractNum w:abstractNumId="136">
    <w:nsid w:val="4FA0D2E3"/>
    <w:multiLevelType w:val="hybridMultilevel"/>
    <w:lvl w:ilvl="0">
      <w:lvlJc w:val="left"/>
      <w:lvlText w:val="%1."/>
      <w:numFmt w:val="decimal"/>
      <w:start w:val="1"/>
    </w:lvl>
  </w:abstractNum>
  <w:abstractNum w:abstractNumId="137">
    <w:nsid w:val="6B1D2C14"/>
    <w:multiLevelType w:val="hybridMultilevel"/>
    <w:lvl w:ilvl="0">
      <w:lvlJc w:val="left"/>
      <w:lvlText w:val="%1."/>
      <w:numFmt w:val="decimal"/>
      <w:start w:val="2"/>
    </w:lvl>
    <w:lvl w:ilvl="1">
      <w:lvlJc w:val="left"/>
      <w:lvlText w:val="(%2)"/>
      <w:numFmt w:val="lowerLetter"/>
      <w:start w:val="1"/>
    </w:lvl>
  </w:abstractNum>
  <w:abstractNum w:abstractNumId="138">
    <w:nsid w:val="68B867D3"/>
    <w:multiLevelType w:val="hybridMultilevel"/>
    <w:lvl w:ilvl="0">
      <w:lvlJc w:val="left"/>
      <w:lvlText w:val="(%1)"/>
      <w:numFmt w:val="lowerLetter"/>
      <w:start w:val="2"/>
    </w:lvl>
  </w:abstractNum>
  <w:abstractNum w:abstractNumId="139">
    <w:nsid w:val="3F7F5DD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0">
    <w:nsid w:val="2AE05A3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41">
    <w:nsid w:val="32794FF7"/>
    <w:multiLevelType w:val="hybridMultilevel"/>
    <w:lvl w:ilvl="0">
      <w:lvlJc w:val="left"/>
      <w:lvlText w:val="(%1)"/>
      <w:numFmt w:val="lowerLetter"/>
      <w:start w:val="6"/>
    </w:lvl>
    <w:lvl w:ilvl="1">
      <w:lvlJc w:val="left"/>
      <w:lvlText w:val="-"/>
      <w:numFmt w:val="bullet"/>
      <w:start w:val="1"/>
    </w:lvl>
  </w:abstractNum>
  <w:abstractNum w:abstractNumId="142">
    <w:nsid w:val="5454945E"/>
    <w:multiLevelType w:val="hybridMultilevel"/>
    <w:lvl w:ilvl="0">
      <w:lvlJc w:val="left"/>
      <w:lvlText w:val="(%1)"/>
      <w:numFmt w:val="lowerLetter"/>
      <w:start w:val="7"/>
    </w:lvl>
    <w:lvl w:ilvl="1">
      <w:lvlJc w:val="left"/>
      <w:lvlText w:val="(%2)"/>
      <w:numFmt w:val="decimal"/>
      <w:start w:val="1"/>
    </w:lvl>
  </w:abstractNum>
  <w:abstractNum w:abstractNumId="143">
    <w:nsid w:val="4DEFDFA0"/>
    <w:multiLevelType w:val="hybridMultilevel"/>
    <w:lvl w:ilvl="0">
      <w:lvlJc w:val="left"/>
      <w:lvlText w:val="%1."/>
      <w:numFmt w:val="decimal"/>
      <w:start w:val="6"/>
    </w:lvl>
  </w:abstractNum>
  <w:abstractNum w:abstractNumId="144">
    <w:nsid w:val="2123D5F2"/>
    <w:multiLevelType w:val="hybridMultilevel"/>
    <w:lvl w:ilvl="0">
      <w:lvlJc w:val="left"/>
      <w:lvlText w:val="%1."/>
      <w:numFmt w:val="decimal"/>
      <w:start w:val="7"/>
    </w:lvl>
  </w:abstractNum>
  <w:abstractNum w:abstractNumId="145">
    <w:nsid w:val="135B8110"/>
    <w:multiLevelType w:val="hybridMultilevel"/>
    <w:lvl w:ilvl="0">
      <w:lvlJc w:val="left"/>
      <w:lvlText w:val="%1."/>
      <w:numFmt w:val="decimal"/>
      <w:start w:val="8"/>
    </w:lvl>
  </w:abstractNum>
  <w:abstractNum w:abstractNumId="146">
    <w:nsid w:val="94927A8"/>
    <w:multiLevelType w:val="hybridMultilevel"/>
    <w:lvl w:ilvl="0">
      <w:lvlJc w:val="left"/>
      <w:lvlText w:val="%1."/>
      <w:numFmt w:val="decimal"/>
      <w:start w:val="9"/>
    </w:lvl>
  </w:abstractNum>
  <w:abstractNum w:abstractNumId="147">
    <w:nsid w:val="DCDF8F6"/>
    <w:multiLevelType w:val="hybridMultilevel"/>
    <w:lvl w:ilvl="0">
      <w:lvlJc w:val="left"/>
      <w:lvlText w:val="(%1)"/>
      <w:numFmt w:val="lowerLetter"/>
      <w:start w:val="1"/>
    </w:lvl>
  </w:abstractNum>
  <w:abstractNum w:abstractNumId="148">
    <w:nsid w:val="52D7B105"/>
    <w:multiLevelType w:val="hybridMultilevel"/>
    <w:lvl w:ilvl="0">
      <w:lvlJc w:val="left"/>
      <w:lvlText w:val="%1."/>
      <w:numFmt w:val="decimal"/>
      <w:start w:val="10"/>
    </w:lvl>
  </w:abstractNum>
  <w:abstractNum w:abstractNumId="149">
    <w:nsid w:val="2E8A6394"/>
    <w:multiLevelType w:val="hybridMultilevel"/>
    <w:lvl w:ilvl="0">
      <w:lvlJc w:val="left"/>
      <w:lvlText w:val="(%1)"/>
      <w:numFmt w:val="lowerLetter"/>
      <w:start w:val="1"/>
    </w:lvl>
    <w:lvl w:ilvl="1">
      <w:lvlJc w:val="left"/>
      <w:lvlText w:val="-"/>
      <w:numFmt w:val="bullet"/>
      <w:start w:val="1"/>
    </w:lvl>
  </w:abstractNum>
  <w:abstractNum w:abstractNumId="150">
    <w:nsid w:val="24E60401"/>
    <w:multiLevelType w:val="hybridMultilevel"/>
    <w:lvl w:ilvl="0">
      <w:lvlJc w:val="left"/>
      <w:lvlText w:val="(%1)"/>
      <w:numFmt w:val="lowerLetter"/>
      <w:start w:val="5"/>
    </w:lvl>
  </w:abstractNum>
  <w:abstractNum w:abstractNumId="151">
    <w:nsid w:val="2A6AD9BE"/>
    <w:multiLevelType w:val="hybridMultilevel"/>
    <w:lvl w:ilvl="0">
      <w:lvlJc w:val="left"/>
      <w:lvlText w:val="%1."/>
      <w:numFmt w:val="decimal"/>
      <w:start w:val="11"/>
    </w:lvl>
  </w:abstractNum>
  <w:abstractNum w:abstractNumId="152">
    <w:nsid w:val="BAAC1B4"/>
    <w:multiLevelType w:val="hybridMultilevel"/>
    <w:lvl w:ilvl="0">
      <w:lvlJc w:val="left"/>
      <w:lvlText w:val="(%1)"/>
      <w:numFmt w:val="lowerLetter"/>
      <w:start w:val="1"/>
    </w:lvl>
  </w:abstractNum>
  <w:abstractNum w:abstractNumId="153">
    <w:nsid w:val="36B2ACBC"/>
    <w:multiLevelType w:val="hybridMultilevel"/>
    <w:lvl w:ilvl="0">
      <w:lvlJc w:val="left"/>
      <w:lvlText w:val="%1."/>
      <w:numFmt w:val="decimal"/>
      <w:start w:val="12"/>
    </w:lvl>
  </w:abstractNum>
  <w:abstractNum w:abstractNumId="154">
    <w:nsid w:val="779D8544"/>
    <w:multiLevelType w:val="hybridMultilevel"/>
    <w:lvl w:ilvl="0">
      <w:lvlJc w:val="left"/>
      <w:lvlText w:val="(%1)"/>
      <w:numFmt w:val="lowerLetter"/>
      <w:start w:val="1"/>
    </w:lvl>
    <w:lvl w:ilvl="1">
      <w:lvlJc w:val="left"/>
      <w:lvlText w:val="-"/>
      <w:numFmt w:val="bullet"/>
      <w:start w:val="1"/>
    </w:lvl>
  </w:abstractNum>
  <w:abstractNum w:abstractNumId="155">
    <w:nsid w:val="4AB26E78"/>
    <w:multiLevelType w:val="hybridMultilevel"/>
    <w:lvl w:ilvl="0">
      <w:lvlJc w:val="left"/>
      <w:lvlText w:val="(%1)"/>
      <w:numFmt w:val="lowerLetter"/>
      <w:start w:val="6"/>
    </w:lvl>
  </w:abstractNum>
  <w:abstractNum w:abstractNumId="156">
    <w:nsid w:val="21FAA2FA"/>
    <w:multiLevelType w:val="hybridMultilevel"/>
    <w:lvl w:ilvl="0">
      <w:lvlJc w:val="left"/>
      <w:lvlText w:val="%1."/>
      <w:numFmt w:val="decimal"/>
      <w:start w:val="1"/>
    </w:lvl>
  </w:abstractNum>
  <w:abstractNum w:abstractNumId="157">
    <w:nsid w:val="5451CF49"/>
    <w:multiLevelType w:val="hybridMultilevel"/>
    <w:lvl w:ilvl="0">
      <w:lvlJc w:val="left"/>
      <w:lvlText w:val="(%1)"/>
      <w:numFmt w:val="lowerLetter"/>
      <w:start w:val="1"/>
    </w:lvl>
  </w:abstractNum>
  <w:abstractNum w:abstractNumId="158">
    <w:nsid w:val="6181EF69"/>
    <w:multiLevelType w:val="hybridMultilevel"/>
    <w:lvl w:ilvl="0">
      <w:lvlJc w:val="left"/>
      <w:lvlText w:val="%1."/>
      <w:numFmt w:val="decimal"/>
      <w:start w:val="3"/>
    </w:lvl>
  </w:abstractNum>
  <w:abstractNum w:abstractNumId="159">
    <w:nsid w:val="3E6400E6"/>
    <w:multiLevelType w:val="hybridMultilevel"/>
    <w:lvl w:ilvl="0">
      <w:lvlJc w:val="left"/>
      <w:lvlText w:val="(%1)"/>
      <w:numFmt w:val="lowerLetter"/>
      <w:start w:val="1"/>
    </w:lvl>
    <w:lvl w:ilvl="1">
      <w:lvlJc w:val="left"/>
      <w:lvlText w:val="-"/>
      <w:numFmt w:val="bullet"/>
      <w:start w:val="1"/>
    </w:lvl>
  </w:abstractNum>
  <w:abstractNum w:abstractNumId="160">
    <w:nsid w:val="14217E23"/>
    <w:multiLevelType w:val="hybridMultilevel"/>
    <w:lvl w:ilvl="0">
      <w:lvlJc w:val="left"/>
      <w:lvlText w:val="(%1)"/>
      <w:numFmt w:val="lowerLetter"/>
      <w:start w:val="4"/>
    </w:lvl>
  </w:abstractNum>
  <w:abstractNum w:abstractNumId="161">
    <w:nsid w:val="710757D0"/>
    <w:multiLevelType w:val="hybridMultilevel"/>
    <w:lvl w:ilvl="0">
      <w:lvlJc w:val="left"/>
      <w:lvlText w:val="%1."/>
      <w:numFmt w:val="decimal"/>
      <w:start w:val="5"/>
    </w:lvl>
  </w:abstractNum>
  <w:abstractNum w:abstractNumId="162">
    <w:nsid w:val="5015CD1A"/>
    <w:multiLevelType w:val="hybridMultilevel"/>
    <w:lvl w:ilvl="0">
      <w:lvlJc w:val="left"/>
      <w:lvlText w:val="%1."/>
      <w:numFmt w:val="decimal"/>
      <w:start w:val="6"/>
    </w:lvl>
  </w:abstractNum>
  <w:abstractNum w:abstractNumId="163">
    <w:nsid w:val="424479DA"/>
    <w:multiLevelType w:val="hybridMultilevel"/>
    <w:lvl w:ilvl="0">
      <w:lvlJc w:val="left"/>
      <w:lvlText w:val="(%1)"/>
      <w:numFmt w:val="lowerLetter"/>
      <w:start w:val="1"/>
    </w:lvl>
    <w:lvl w:ilvl="1">
      <w:lvlJc w:val="left"/>
      <w:lvlText w:val="-"/>
      <w:numFmt w:val="bullet"/>
      <w:start w:val="1"/>
    </w:lvl>
  </w:abstractNum>
  <w:abstractNum w:abstractNumId="164">
    <w:nsid w:val="1A9A9E69"/>
    <w:multiLevelType w:val="hybridMultilevel"/>
    <w:lvl w:ilvl="0">
      <w:lvlJc w:val="left"/>
      <w:lvlText w:val="%1."/>
      <w:numFmt w:val="decimal"/>
      <w:start w:val="1"/>
    </w:lvl>
  </w:abstractNum>
  <w:abstractNum w:abstractNumId="165">
    <w:nsid w:val="475E256A"/>
    <w:multiLevelType w:val="hybridMultilevel"/>
    <w:lvl w:ilvl="0">
      <w:lvlJc w:val="left"/>
      <w:lvlText w:val="%1."/>
      <w:numFmt w:val="decimal"/>
      <w:start w:val="2"/>
    </w:lvl>
  </w:abstractNum>
  <w:abstractNum w:abstractNumId="166">
    <w:nsid w:val="368DB37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67">
    <w:nsid w:val="6A3B714C"/>
    <w:multiLevelType w:val="hybridMultilevel"/>
    <w:lvl w:ilvl="0">
      <w:lvlJc w:val="left"/>
      <w:lvlText w:val="%1"/>
      <w:numFmt w:val="lowerLetter"/>
      <w:start w:val="1"/>
    </w:lvl>
    <w:lvl w:ilvl="1">
      <w:lvlJc w:val="left"/>
      <w:lvlText w:val="(%2)"/>
      <w:numFmt w:val="lowerLetter"/>
      <w:start w:val="3"/>
    </w:lvl>
  </w:abstractNum>
  <w:abstractNum w:abstractNumId="168">
    <w:nsid w:val="327B517E"/>
    <w:multiLevelType w:val="hybridMultilevel"/>
    <w:lvl w:ilvl="0">
      <w:lvlJc w:val="left"/>
      <w:lvlText w:val="(%1)"/>
      <w:numFmt w:val="lowerLetter"/>
      <w:start w:val="35"/>
    </w:lvl>
    <w:lvl w:ilvl="1">
      <w:lvlJc w:val="left"/>
      <w:lvlText w:val="%2"/>
      <w:numFmt w:val="lowerLetter"/>
      <w:start w:val="1"/>
    </w:lvl>
  </w:abstractNum>
  <w:abstractNum w:abstractNumId="169">
    <w:nsid w:val="1F461B5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70">
    <w:nsid w:val="29BACF25"/>
    <w:multiLevelType w:val="hybridMultilevel"/>
    <w:lvl w:ilvl="0">
      <w:lvlJc w:val="left"/>
      <w:lvlText w:val="(%1)"/>
      <w:numFmt w:val="lowerLetter"/>
      <w:start w:val="3"/>
    </w:lvl>
    <w:lvl w:ilvl="1">
      <w:lvlJc w:val="left"/>
      <w:lvlText w:val="(%2)"/>
      <w:numFmt w:val="decimal"/>
      <w:start w:val="1"/>
    </w:lvl>
  </w:abstractNum>
  <w:abstractNum w:abstractNumId="171">
    <w:nsid w:val="5D5BABB3"/>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172">
    <w:nsid w:val="51BF6B48"/>
    <w:multiLevelType w:val="hybridMultilevel"/>
    <w:lvl w:ilvl="0">
      <w:lvlJc w:val="left"/>
      <w:lvlText w:val="%1."/>
      <w:numFmt w:val="decimal"/>
      <w:start w:val="5"/>
    </w:lvl>
  </w:abstractNum>
  <w:abstractNum w:abstractNumId="173">
    <w:nsid w:val="7E0F6384"/>
    <w:multiLevelType w:val="hybridMultilevel"/>
    <w:lvl w:ilvl="0">
      <w:lvlJc w:val="left"/>
      <w:lvlText w:val="%1."/>
      <w:numFmt w:val="decimal"/>
      <w:start w:val="6"/>
    </w:lvl>
  </w:abstractNum>
  <w:abstractNum w:abstractNumId="174">
    <w:nsid w:val="2B4B8B53"/>
    <w:multiLevelType w:val="hybridMultilevel"/>
    <w:lvl w:ilvl="0">
      <w:lvlJc w:val="left"/>
      <w:lvlText w:val="%1."/>
      <w:numFmt w:val="decimal"/>
      <w:start w:val="7"/>
    </w:lvl>
    <w:lvl w:ilvl="1">
      <w:lvlJc w:val="left"/>
      <w:lvlText w:val="(%2)"/>
      <w:numFmt w:val="lowerLetter"/>
      <w:start w:val="1"/>
    </w:lvl>
  </w:abstractNum>
  <w:abstractNum w:abstractNumId="175">
    <w:nsid w:val="72E3413A"/>
    <w:multiLevelType w:val="hybridMultilevel"/>
    <w:lvl w:ilvl="0">
      <w:lvlJc w:val="left"/>
      <w:lvlText w:val="1"/>
      <w:numFmt w:val="bullet"/>
      <w:start w:val="1"/>
    </w:lvl>
  </w:abstractNum>
  <w:abstractNum w:abstractNumId="176">
    <w:nsid w:val="116AE494"/>
    <w:multiLevelType w:val="hybridMultilevel"/>
    <w:lvl w:ilvl="0">
      <w:lvlJc w:val="left"/>
      <w:lvlText w:val="2"/>
      <w:numFmt w:val="bullet"/>
      <w:start w:val="1"/>
    </w:lvl>
  </w:abstractNum>
  <w:abstractNum w:abstractNumId="177">
    <w:nsid w:val="3494B2FB"/>
    <w:multiLevelType w:val="hybridMultilevel"/>
    <w:lvl w:ilvl="0">
      <w:lvlJc w:val="left"/>
      <w:lvlText w:val="%1."/>
      <w:numFmt w:val="decimal"/>
      <w:start w:val="1"/>
    </w:lvl>
  </w:abstractNum>
  <w:abstractNum w:abstractNumId="178">
    <w:nsid w:val="B13A31"/>
    <w:multiLevelType w:val="hybridMultilevel"/>
    <w:lvl w:ilvl="0">
      <w:lvlJc w:val="left"/>
      <w:lvlText w:val="%1."/>
      <w:numFmt w:val="decimal"/>
      <w:start w:val="1"/>
    </w:lvl>
  </w:abstractNum>
  <w:abstractNum w:abstractNumId="179">
    <w:nsid w:val="64429599"/>
    <w:multiLevelType w:val="hybridMultilevel"/>
    <w:lvl w:ilvl="0">
      <w:lvlJc w:val="left"/>
      <w:lvlText w:val="%1."/>
      <w:numFmt w:val="decimal"/>
      <w:start w:val="2"/>
    </w:lvl>
  </w:abstractNum>
  <w:abstractNum w:abstractNumId="180">
    <w:nsid w:val="631F1690"/>
    <w:multiLevelType w:val="hybridMultilevel"/>
    <w:lvl w:ilvl="0">
      <w:lvlJc w:val="left"/>
      <w:lvlText w:val="%1."/>
      <w:numFmt w:val="decimal"/>
      <w:start w:val="3"/>
    </w:lvl>
    <w:lvl w:ilvl="1">
      <w:lvlJc w:val="left"/>
      <w:lvlText w:val="(%2)"/>
      <w:numFmt w:val="lowerLetter"/>
      <w:start w:val="1"/>
    </w:lvl>
  </w:abstractNum>
  <w:abstractNum w:abstractNumId="181">
    <w:nsid w:val="25973E32"/>
    <w:multiLevelType w:val="hybridMultilevel"/>
    <w:lvl w:ilvl="0">
      <w:lvlJc w:val="left"/>
      <w:lvlText w:val="(%1)"/>
      <w:numFmt w:val="lowerLetter"/>
      <w:start w:val="2"/>
    </w:lvl>
    <w:lvl w:ilvl="1">
      <w:lvlJc w:val="left"/>
      <w:lvlText w:val="-"/>
      <w:numFmt w:val="bullet"/>
      <w:start w:val="1"/>
    </w:lvl>
  </w:abstractNum>
  <w:abstractNum w:abstractNumId="182">
    <w:nsid w:val="EAD6F57"/>
    <w:multiLevelType w:val="hybridMultilevel"/>
    <w:lvl w:ilvl="0">
      <w:lvlJc w:val="left"/>
      <w:lvlText w:val="%1"/>
      <w:numFmt w:val="lowerLetter"/>
      <w:start w:val="1"/>
    </w:lvl>
    <w:lvl w:ilvl="1">
      <w:lvlJc w:val="left"/>
      <w:lvlText w:val="(%2)"/>
      <w:numFmt w:val="lowerLetter"/>
      <w:start w:val="4"/>
    </w:lvl>
  </w:abstractNum>
  <w:abstractNum w:abstractNumId="183">
    <w:nsid w:val="6EC9D844"/>
    <w:multiLevelType w:val="hybridMultilevel"/>
    <w:lvl w:ilvl="0">
      <w:lvlJc w:val="left"/>
      <w:lvlText w:val="(%1)"/>
      <w:numFmt w:val="lowerLetter"/>
      <w:start w:val="35"/>
    </w:lvl>
    <w:lvl w:ilvl="1">
      <w:lvlJc w:val="left"/>
      <w:lvlText w:val="%2"/>
      <w:numFmt w:val="lowerLetter"/>
      <w:start w:val="1"/>
    </w:lvl>
  </w:abstractNum>
  <w:abstractNum w:abstractNumId="184">
    <w:nsid w:val="5C49EAE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85">
    <w:nsid w:val="64AF49B"/>
    <w:multiLevelType w:val="hybridMultilevel"/>
    <w:lvl w:ilvl="0">
      <w:lvlJc w:val="left"/>
      <w:lvlText w:val="(%1)"/>
      <w:numFmt w:val="lowerLetter"/>
      <w:start w:val="4"/>
    </w:lvl>
    <w:lvl w:ilvl="1">
      <w:lvlJc w:val="left"/>
      <w:lvlText w:val="(%2)"/>
      <w:numFmt w:val="decimal"/>
      <w:start w:val="1"/>
    </w:lvl>
  </w:abstractNum>
  <w:abstractNum w:abstractNumId="186">
    <w:nsid w:val="397C46BC"/>
    <w:multiLevelType w:val="hybridMultilevel"/>
    <w:lvl w:ilvl="0">
      <w:lvlJc w:val="left"/>
      <w:lvlText w:val="(%1)"/>
      <w:numFmt w:val="lowerLetter"/>
      <w:start w:val="6"/>
    </w:lvl>
    <w:lvl w:ilvl="1">
      <w:lvlJc w:val="left"/>
      <w:lvlText w:val="(%2)"/>
      <w:numFmt w:val="decimal"/>
      <w:start w:val="1"/>
    </w:lvl>
  </w:abstractNum>
  <w:abstractNum w:abstractNumId="187">
    <w:nsid w:val="7E448DE9"/>
    <w:multiLevelType w:val="hybridMultilevel"/>
    <w:lvl w:ilvl="0">
      <w:lvlJc w:val="left"/>
      <w:lvlText w:val="%1."/>
      <w:numFmt w:val="decimal"/>
      <w:start w:val="5"/>
    </w:lvl>
  </w:abstractNum>
  <w:abstractNum w:abstractNumId="188">
    <w:nsid w:val="5A9CC3E5"/>
    <w:multiLevelType w:val="hybridMultilevel"/>
    <w:lvl w:ilvl="0">
      <w:lvlJc w:val="left"/>
      <w:lvlText w:val="%1."/>
      <w:numFmt w:val="decimal"/>
      <w:start w:val="6"/>
    </w:lvl>
    <w:lvl w:ilvl="1">
      <w:lvlJc w:val="left"/>
      <w:lvlText w:val="(%2)"/>
      <w:numFmt w:val="lowerLetter"/>
      <w:start w:val="1"/>
    </w:lvl>
  </w:abstractNum>
  <w:abstractNum w:abstractNumId="189">
    <w:nsid w:val="1AFE3625"/>
    <w:multiLevelType w:val="hybridMultilevel"/>
    <w:lvl w:ilvl="0">
      <w:lvlJc w:val="left"/>
      <w:lvlText w:val="%1"/>
      <w:numFmt w:val="decimal"/>
      <w:start w:val="10"/>
    </w:lvl>
  </w:abstractNum>
  <w:abstractNum w:abstractNumId="190">
    <w:nsid w:val="3CA88ECF"/>
    <w:multiLevelType w:val="hybridMultilevel"/>
    <w:lvl w:ilvl="0">
      <w:lvlJc w:val="left"/>
      <w:lvlText w:val="%1"/>
      <w:numFmt w:val="decimal"/>
      <w:start w:val="11"/>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93">
    <w:nsid w:val="CBE5BE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60" Type="http://schemas.openxmlformats.org/officeDocument/2006/relationships/hyperlink" Target="https://www.sec.gov/Archives/edgar/data/1689548/000119312520272877/d94620dex31.htm" TargetMode="External"/><Relationship Id="rId261" Type="http://schemas.openxmlformats.org/officeDocument/2006/relationships/hyperlink" Target="https://www.sec.gov/Archives/edgar/data/1689548/000119312520272877/d94620dex32.htm" TargetMode="External"/><Relationship Id="rId262" Type="http://schemas.openxmlformats.org/officeDocument/2006/relationships/hyperlink" Target="https://www.sec.gov/Archives/edgar/data/1689548/000119312520266699/d945651dex41.htm" TargetMode="External"/><Relationship Id="rId263" Type="http://schemas.openxmlformats.org/officeDocument/2006/relationships/hyperlink" Target="https://www.sec.gov/Archives/edgar/data/1689548/000119312520254741/d945651dex42.htm" TargetMode="External"/><Relationship Id="rId264" Type="http://schemas.openxmlformats.org/officeDocument/2006/relationships/hyperlink" Target="https://www.sec.gov/Archives/edgar/data/1689548/000119312520266699/d945651dex101.htm" TargetMode="External"/><Relationship Id="rId265" Type="http://schemas.openxmlformats.org/officeDocument/2006/relationships/hyperlink" Target="https://www.sec.gov/Archives/edgar/data/1689548/000119312520254741/d945651dex102.htm" TargetMode="External"/><Relationship Id="rId266" Type="http://schemas.openxmlformats.org/officeDocument/2006/relationships/hyperlink" Target="https://www.sec.gov/Archives/edgar/data/1689548/000119312520266699/d945651dex104.htm" TargetMode="External"/><Relationship Id="rId267" Type="http://schemas.openxmlformats.org/officeDocument/2006/relationships/hyperlink" Target="https://www.sec.gov/Archives/edgar/data/1689548/000119312520266699/d945651dex105.htm" TargetMode="External"/><Relationship Id="rId268" Type="http://schemas.openxmlformats.org/officeDocument/2006/relationships/hyperlink" Target="https://www.sec.gov/Archives/edgar/data/1689548/000119312520266699/d945651dex106.htm" TargetMode="External"/><Relationship Id="rId269" Type="http://schemas.openxmlformats.org/officeDocument/2006/relationships/hyperlink" Target="https://www.sec.gov/Archives/edgar/data/1689548/000119312520266699/d945651dex107.htm" TargetMode="External"/><Relationship Id="rId270" Type="http://schemas.openxmlformats.org/officeDocument/2006/relationships/hyperlink" Target="https://www.sec.gov/Archives/edgar/data/1689548/000119312520266699/d945651dex108.htm" TargetMode="External"/><Relationship Id="rId271" Type="http://schemas.openxmlformats.org/officeDocument/2006/relationships/hyperlink" Target="https://www.sec.gov/Archives/edgar/data/1689548/000119312520266699/d945651dex109.htm" TargetMode="External"/><Relationship Id="rId272" Type="http://schemas.openxmlformats.org/officeDocument/2006/relationships/hyperlink" Target="https://www.sec.gov/Archives/edgar/data/1689548/000119312520266699/d945651dex1010.htm" TargetMode="External"/><Relationship Id="rId273" Type="http://schemas.openxmlformats.org/officeDocument/2006/relationships/hyperlink" Target="https://www.sec.gov/Archives/edgar/data/1689548/000119312520266699/d945651dex1011.htm" TargetMode="External"/><Relationship Id="rId274" Type="http://schemas.openxmlformats.org/officeDocument/2006/relationships/hyperlink" Target="https://www.sec.gov/Archives/edgar/data/1689548/000119312520301222/d32539dex1011.htm" TargetMode="External"/><Relationship Id="rId275" Type="http://schemas.openxmlformats.org/officeDocument/2006/relationships/hyperlink" Target="https://www.sec.gov/Archives/edgar/data/1689548/000119312520266699/d945651dex1013.htm" TargetMode="External"/><Relationship Id="rId276" Type="http://schemas.openxmlformats.org/officeDocument/2006/relationships/hyperlink" Target="https://www.sec.gov/Archives/edgar/data/1689548/000119312520254741/d945651dex1014.htm" TargetMode="External"/><Relationship Id="rId277" Type="http://schemas.openxmlformats.org/officeDocument/2006/relationships/hyperlink" Target="https://www.sec.gov/Archives/edgar/data/1689548/000119312520254741/d945651dex1015.htm" TargetMode="External"/><Relationship Id="rId280" Type="http://schemas.openxmlformats.org/officeDocument/2006/relationships/hyperlink" Target="https://www.sec.gov/Archives/edgar/data/1689548/000119312520254741/d945651dex1016.htm" TargetMode="External"/><Relationship Id="rId281" Type="http://schemas.openxmlformats.org/officeDocument/2006/relationships/hyperlink" Target="https://www.sec.gov/Archives/edgar/data/1689548/000119312520254741/d945651dex1017.htm" TargetMode="External"/><Relationship Id="rId282" Type="http://schemas.openxmlformats.org/officeDocument/2006/relationships/hyperlink" Target="https://www.sec.gov/Archives/edgar/data/1689548/000119312520254741/d945651dex1018.htm" TargetMode="External"/><Relationship Id="rId283" Type="http://schemas.openxmlformats.org/officeDocument/2006/relationships/hyperlink" Target="https://www.sec.gov/Archives/edgar/data/1689548/000119312520254741/d94565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2021-03-17T07:38:05Z</dcterms:created>
  <dcterms:modified xsi:type="dcterms:W3CDTF">2021-03-17T07:38:05Z</dcterms:modified>
</cp:coreProperties>
</file>