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2025, the registrant had 20,368,982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2024. If one or more of these risks or uncertainties occur, or if our underlying assumptions prove to be incorrect, actual events or results may vary significantly from those implied or projected by the forward-looking statements. No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ind w:right="180"/>
        <w:spacing w:after="0" w:line="262" w:lineRule="auto"/>
        <w:rPr>
          <w:sz w:val="20"/>
          <w:szCs w:val="20"/>
          <w:color w:val="auto"/>
        </w:rPr>
      </w:pPr>
      <w:r>
        <w:rPr>
          <w:rFonts w:ascii="Arial" w:cs="Arial" w:eastAsia="Arial" w:hAnsi="Arial"/>
          <w:sz w:val="18"/>
          <w:szCs w:val="18"/>
          <w:color w:val="auto"/>
        </w:rPr>
        <w:t>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20"/>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060" w:type="dxa"/>
            <w:vAlign w:val="bottom"/>
            <w:gridSpan w:val="15"/>
          </w:tcPr>
          <w:p>
            <w:pPr>
              <w:spacing w:after="0"/>
              <w:rPr>
                <w:sz w:val="20"/>
                <w:szCs w:val="20"/>
                <w:color w:val="auto"/>
              </w:rPr>
            </w:pPr>
            <w:r>
              <w:rPr>
                <w:rFonts w:ascii="Arial" w:cs="Arial" w:eastAsia="Arial" w:hAnsi="Arial"/>
                <w:sz w:val="18"/>
                <w:szCs w:val="18"/>
                <w:color w:val="0000FF"/>
                <w:w w:val="99"/>
              </w:rPr>
              <w:t>Condensed Consolidated Balance Sheets as of March 31, 2025 and December 31, 2024</w:t>
            </w:r>
          </w:p>
        </w:tc>
        <w:tc>
          <w:tcPr>
            <w:tcW w:w="150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2025 and 2024</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Loss for the Three Months Ended March 31, 2025</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2024</w:t>
            </w:r>
          </w:p>
        </w:tc>
        <w:tc>
          <w:tcPr>
            <w:tcW w:w="77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2025</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2024</w:t>
            </w:r>
          </w:p>
        </w:tc>
        <w:tc>
          <w:tcPr>
            <w:tcW w:w="774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2025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2024</w:t>
            </w: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8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5"/>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4"/>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162,424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177,195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11,805</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333,575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404,372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22,909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23,763</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39,522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37,660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March 31, 2025 and December 31, 2024</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20,341,917 shares issued and</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outstanding as of March 31, 2025, and 19,422,358 shares issued and outstanding as of December 31, 2024</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1,344,577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1,281,522</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gain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(906,036)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(836,740)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439,214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445,450</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483,110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56"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15,333</w:t>
            </w:r>
          </w:p>
        </w:tc>
      </w:tr>
      <w:tr>
        <w:trPr>
          <w:trHeight w:val="210"/>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74,728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42,317</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(74,728)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(41,886)</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r>
      <w:tr>
        <w:trPr>
          <w:trHeight w:val="210"/>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21,055,834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13,904,374</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4"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(39,553)</w:t>
            </w: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gain on marketable securities, net of tax</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8"/>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Gain</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19,422,358</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1,281,522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(836,740)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445,450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8,786</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$1,120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694,212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173,840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(18,765)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0" w:type="dxa"/>
            <w:vAlign w:val="bottom"/>
          </w:tcPr>
          <w:p>
            <w:pPr>
              <w:spacing w:after="0"/>
              <w:rPr>
                <w:sz w:val="1"/>
                <w:szCs w:val="1"/>
                <w:color w:val="auto"/>
              </w:rPr>
            </w:pP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20,341,917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1,344,577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(906,036)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439,214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06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16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80" w:type="dxa"/>
            <w:vAlign w:val="bottom"/>
          </w:tcPr>
          <w:p>
            <w:pPr>
              <w:jc w:val="center"/>
              <w:ind w:right="58"/>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Gain</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3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(69,296)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(39,553)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14,475</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(53,010)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(20,857)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(117,057)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(91,220)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(51,064)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(91,220)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161,649</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6,337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182,757</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(49,805)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70,680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152,396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151,980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152,396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 of property and equipment included in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from at-the-market offering included in accrued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69" w:lineRule="exact"/>
        <w:rPr>
          <w:sz w:val="20"/>
          <w:szCs w:val="20"/>
          <w:color w:val="auto"/>
        </w:rPr>
      </w:pPr>
    </w:p>
    <w:p>
      <w:pPr>
        <w:ind w:left="660" w:right="32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epilepsy and movement disorders.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at-the-market offerings under its shelf registration statement, and follow-on public offerings of common stock and pre-funded warrants to purchase common stock. From inception through March 31, 2025, the Company raised $1.2 billion in aggregate cash proceeds from these transactions, net of issuance costs.</w:t>
      </w:r>
    </w:p>
    <w:p>
      <w:pPr>
        <w:spacing w:after="0" w:line="179"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$69.3 million for the three months ended March 31, 2025. In addition, as of March 31, 2025, the Company had an accumulated deficit of $906.0 million. The Company expects to continue to generate operating losses for the foreseeable future.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 w:name="page11"/>
    <w:bookmarkEnd w:id="10"/>
    <w:p>
      <w:pPr>
        <w:ind w:right="20" w:firstLine="445"/>
        <w:spacing w:after="0" w:line="257" w:lineRule="auto"/>
        <w:rPr>
          <w:sz w:val="20"/>
          <w:szCs w:val="20"/>
          <w:color w:val="auto"/>
        </w:rPr>
      </w:pPr>
      <w:r>
        <w:rPr>
          <w:rFonts w:ascii="Arial" w:cs="Arial" w:eastAsia="Arial" w:hAnsi="Arial"/>
          <w:sz w:val="18"/>
          <w:szCs w:val="18"/>
          <w:color w:val="auto"/>
        </w:rPr>
        <w:t>The Company expects that its cash, cash equivalents and marketable securities as of March 31, 2025 of $472.0 million will be sufficient to fund its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6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40"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jc w:val="both"/>
        <w:ind w:right="42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2025 are consistent with those discussed in Note 2 to the consolidated financial statements included in the Company's 2024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March 31, 2025, the condensed consolidated statements of operations for the three months ended March 31, 2025 and 2024, the condensed consolidated statements of comprehensive loss for the three months ended March 31, 2025 and 2024, the condensed consolidated statements of cash flows for the three months ended March 31, 2025 and 2024 and the condensed consolidated statements of stockholders’ equity for the three months ended March 31, 2025 and 2024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2025, the results of its operations for the three months ended March 31, 2025 and 2024 and its cash flows for the three months ended March 31, 2025 and 2024. Financial statement disclosures for the three months ended March 31, 2025 and 2024 are condensed and do not include all disclosures required for an annual set of financial statements in accordance with GAAP.</w:t>
      </w:r>
    </w:p>
    <w:p>
      <w:pPr>
        <w:spacing w:after="0" w:line="185"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results for the three months ended March 31, 2025 are not necessarily indicative of results to be expected for the year ended December 31, 2025,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8"/>
          <w:szCs w:val="18"/>
          <w:color w:val="auto"/>
        </w:rPr>
        <w:t>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 taxes paid information. For public companies, the amendments are effective for annual periods beginning after December 15, 2024 and can be applied prospectively or retrospectively.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74"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In November 2023, the FASB issued ASU No.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requiring public entities to disclose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March 31, 2025 and December 31,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rPr>
              <w:t>As of March 31, 2025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94,044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94,044</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111,284</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110,815</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69,528</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399,841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400,500</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107,852</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8,820</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As of March 31, 2025, the Company had 7 securities with a total fair market value of $19.4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177,195</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144,032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76,961</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306,456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months ended March 31, 2025 and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71"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2025 and December 31, 2024 (in thousands):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As of March 31, 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94,044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94,044</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111,284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110,815</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14,829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69,528</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205,328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195,172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400,500</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128,652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128,652</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144,644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144,644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107,852</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8,794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8,821</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125,467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398,763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2025</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11,638</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13,363</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9,365</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15,547</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23,763</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prepaid expenses and other current assets, and other non-current assets on the accompanying condensed consolidated balance sheets as of March 31, 2025 and December 31, 2024, respectively. This lease qualifies as an operating lease.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4" w:name="page15"/>
    <w:bookmarkEnd w:id="14"/>
    <w:p>
      <w:pPr>
        <w:ind w:right="7700" w:firstLine="8"/>
        <w:spacing w:after="0" w:line="397" w:lineRule="auto"/>
        <w:tabs>
          <w:tab w:leader="none" w:pos="2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was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77"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68"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In December 2024, UCB exercised its option to in-license global development and commercialization rights for a KCNT1 development candidate as part of the Collaboration Agreement. Upon notice of the exercise, the Company recognized the $ 6.0 million option exercise fee and the $2.6 million of remaining collaboration revenue associated with the $5.0 million up front payment as collaboration revenue within the December 31, 2024 consolidated statement of operations, as the Company had no further research service obligations under the terms of the Collaboration Agreement.</w:t>
      </w:r>
    </w:p>
    <w:p>
      <w:pPr>
        <w:spacing w:after="0" w:line="74"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Company did not recognize any collaboration revenue associated with this Collaboration Agreement during the three months ended March 31, 2025, and as of March 31, 2025, there was no deferred revenue recorded in the condensed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74"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68"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63"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ind w:right="240"/>
        <w:spacing w:after="0" w:line="268" w:lineRule="auto"/>
        <w:rPr>
          <w:sz w:val="20"/>
          <w:szCs w:val="20"/>
          <w:color w:val="auto"/>
        </w:rPr>
      </w:pPr>
      <w:r>
        <w:rPr>
          <w:rFonts w:ascii="Arial" w:cs="Arial" w:eastAsia="Arial" w:hAnsi="Arial"/>
          <w:sz w:val="18"/>
          <w:szCs w:val="18"/>
          <w:color w:val="auto"/>
        </w:rPr>
        <w:t>proceeds from the sale of common stock under the Stock Purchase Agreement and (ii) $4.8 million, net of tax, related to the up-front payment under the License Agreement, both of which were received in January 2024. During the three months ended March 31, 2025, the Company had not achieved any development or sales milestones or earned any royalties under the License Agreement.</w:t>
      </w:r>
    </w:p>
    <w:p>
      <w:pPr>
        <w:spacing w:after="0" w:line="6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collaboration and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73"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As of March 31, 2025, the Company did not have any receivables or deferred revenue related to the arrangement with Tenacia. The Company did not recognize any contract assets related to costs to obtain a contract with a customer or costs to fulfill a contract with a customer through March 31, 2025 because no qualifying costs were incurred. During the three months ended March 31, 2025,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As of March 31, 2025 and December 31, 2024,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2025 and December 31, 2024,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6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2024, 152,145 pre-funded warrants were exercised via a cashless exercise, resulting in 152,142 shares of common stock issued. No cash proceeds associated with the exercise were received by the Company.</w:t>
      </w:r>
    </w:p>
    <w:p>
      <w:pPr>
        <w:spacing w:after="0" w:line="77"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During the three months ended March 31, 2025, 173,843 pre-funded warrants were exercised via cashless exercise, resulting in 173,840 shares of common stock issued. No cash proceeds associated with the exercise were received by the Company. As of March 31, 2025, a total of 730,737 pre-funded warrants associated with this offering remained outstanding.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8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March 31, 2025, none of the pre-funded warrants have been exercised and all remained outstanding.</w:t>
      </w:r>
    </w:p>
    <w:p>
      <w:pPr>
        <w:spacing w:after="0" w:line="18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 xml:space="preserve">The Company determined that the pre-funded warrants related to the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2,050,354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730,737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904,580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487,877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91,343</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303,871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109,648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967,137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112,774</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522,257</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5,283,471</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3,473,399</w:t>
            </w:r>
          </w:p>
        </w:tc>
      </w:tr>
      <w:tr>
        <w:trPr>
          <w:trHeight w:val="20"/>
        </w:trPr>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1040" w:firstLine="445"/>
        <w:spacing w:after="0" w:line="287" w:lineRule="auto"/>
        <w:rPr>
          <w:sz w:val="20"/>
          <w:szCs w:val="20"/>
          <w:color w:val="auto"/>
        </w:rPr>
      </w:pPr>
      <w:r>
        <w:rPr>
          <w:rFonts w:ascii="Arial" w:cs="Arial" w:eastAsia="Arial" w:hAnsi="Arial"/>
          <w:sz w:val="18"/>
          <w:szCs w:val="18"/>
          <w:color w:val="auto"/>
        </w:rPr>
        <w:t>As of March 31, 2025 and December 31, 2024, the authorized capital stock of the Company included 10,000,000 shares of undesignated preferred stock, $0.0001 par value.</w:t>
      </w:r>
    </w:p>
    <w:p>
      <w:pPr>
        <w:spacing w:after="0" w:line="261" w:lineRule="exact"/>
        <w:rPr>
          <w:sz w:val="20"/>
          <w:szCs w:val="20"/>
          <w:color w:val="auto"/>
        </w:rPr>
      </w:pPr>
    </w:p>
    <w:p>
      <w:pPr>
        <w:ind w:right="8640" w:firstLine="8"/>
        <w:spacing w:after="0" w:line="421"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2024 Inducement Plan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7" w:name="page18"/>
    <w:bookmarkEnd w:id="17"/>
    <w:p>
      <w:pPr>
        <w:ind w:right="160" w:firstLine="445"/>
        <w:spacing w:after="0" w:line="256"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March 31, 2025 and December 31, 2024 was 1,000,000 shares and 130,000 shares,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March 31, 2025 and December 31, 2024 was 2,941,950 shares and 1,970,833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March 31, 2025 and December 31, 2024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March 31, 2025 and December 31, 2024 was 369,368 shares and 175,145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224,473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357,942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69.61</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As of March 31, 2025, total unrecognized compensation cost related to unvested restricted stock units was $30.0 million, which is expected to be recognized over a weighted-average period of 3.47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261,550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63.89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72.39</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March 31,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7.64</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1,048,080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114.85</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months ended March 31, 2025:</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2025</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93.08 %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49.78</w:t>
            </w:r>
          </w:p>
        </w:tc>
      </w:tr>
    </w:tbl>
    <w:p>
      <w:pPr>
        <w:spacing w:after="0" w:line="292"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As of March 31, 2025, total unrecognized compensation cost related to unvested stock options was $45.2 million, which is expected to be recognized over a weighted-average period of 2.64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43"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8,877</w:t>
            </w: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8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2,050,354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1,084,026</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522,257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97,601</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27,827</w:t>
            </w:r>
          </w:p>
        </w:tc>
      </w:tr>
      <w:tr>
        <w:trPr>
          <w:trHeight w:val="210"/>
        </w:trPr>
        <w:tc>
          <w:tcPr>
            <w:tcW w:w="80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2,578,980</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1,209,454</w:t>
            </w: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9" w:name="page20"/>
    <w:bookmarkEnd w:id="19"/>
    <w:p>
      <w:pPr>
        <w:ind w:right="120"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January 2024 and April 2024 underwritten public offerings are included in the calculation of basic weighted average number of common shares outstanding for the three months ended March 31,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condensed consolidated statement of operations as consolidated net loss. Net loss is used by the CODM to make key strategic and operational decisions. The operating segment's revenue is derived from a single domestic collaboration agreement from which the segment licenses certain development or product candidates and has performed research and development services. The measure of segment assets is reported on the condensed consolidated balance sheet as total consolidated assets. The majority of the Company's long-lived assets are held in the United States.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financial information about the Company's single operating segment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2024 (in thousands):</w:t>
      </w:r>
    </w:p>
    <w:p>
      <w:pPr>
        <w:spacing w:after="0" w:line="13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Program-specific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Ulixacaltamide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11,139</w:t>
            </w: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Vormatrigine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Relutrigine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Elsunersen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early stage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Personnel-related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8,267</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14,475</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8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bscript"/>
              </w:rPr>
              <w:t>(a)</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Other segment expenses includes research and development and general and administrative costs not attributable to a specific program.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8" w:right="6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28, 2025.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2024,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20" w:hanging="328"/>
        <w:spacing w:after="0" w:line="237"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18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right="460" w:firstLine="445"/>
        <w:spacing w:after="0" w:line="26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epilepsy and movement disorders.</w:t>
      </w:r>
    </w:p>
    <w:p>
      <w:pPr>
        <w:spacing w:after="0" w:line="17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our vormatrigine program (formerly known as PRAX-628) within the Cerebrum™ platform, we announced positive results from our Photo-Paroxysmal Response, or PPR, study in the first quarter of 2024, and have initiated or plan to initiate four studies, called the ENERGY program, to generate patient eligibility, efficacy, safety and pharmacokinetics (PK) data for the program. We initiated the EMPOWER study, an observational study of vormatrigine in patients with epilepsy, in the third quarter of 2024, and initiated or plan to initiate three efficacy studies. The first efficacy study, RADIANT, is an open label eight-week study in patients with focal onset seizures or generalized epilepsy that is currently enrolling, with topline results expected by mid-year 2025. We have also initiated the POWER1 study, a double-blind, placebo-controlled, 12-week study in focal onset seizures, with topline results expected in the second half of 2025, and plan to begin enrollment in the POWER2 study, a third efficacy study, in the second half of 2025. Within our relutrigine program (formerly known as PRAX-562), we announced positive topline results from the first cohort of our EMBOLD study in the third quarter of 2024 and have initiated enrollment of the second cohort, with topline results expected no later than the first half of 2026. We also plan to initiate the EMERALD study in a broader developmental and epileptic encephalopathies, or DEE, patient population in mid-2025. For our ulixacaltamide program, we shared the results of a pre-planned statistic interim analysis of Study 1 of our Phase 3 Essential 3 clinical program for essential tremor in February 2025. Based on the predefined decision framework for Study 1, the Independent Data Monitoring Committee, or IDMC, recommended that the study be stopped for futility, due to the results being unlikely to meet the primary efficacy endpoint under the parameters set by the statistical model. The committee also indicated that some underlying assumptions of the statistical model might have influenced this outcome and encouraged us to explore alternative analysis methods. Given the advanced state of enrollment for both Study 1 and Study 2 in the Essential3 program, and in the context of the advice received by the IDMC, we have decided to continue both studies to completion, with topline results expected in the third quarter of 2025. The decision about whether the data supports the submission of an NDA will be made after analyzing the final results for Study 1 and Study 2.</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22" w:name="page23"/>
    <w:bookmarkEnd w:id="22"/>
    <w:p>
      <w:pPr>
        <w:ind w:right="60" w:firstLine="445"/>
        <w:spacing w:after="0" w:line="255" w:lineRule="auto"/>
        <w:rPr>
          <w:sz w:val="20"/>
          <w:szCs w:val="20"/>
          <w:color w:val="auto"/>
        </w:rPr>
      </w:pPr>
      <w:r>
        <w:rPr>
          <w:rFonts w:ascii="Arial" w:cs="Arial" w:eastAsia="Arial" w:hAnsi="Arial"/>
          <w:sz w:val="18"/>
          <w:szCs w:val="18"/>
          <w:color w:val="auto"/>
        </w:rPr>
        <w:t>For our most advanced product candidate under the Solidus™ platform, elsunersen (formerly known as PRAX-222), we shared results from Part 1 of the EMBRAVE study in the fourth quarter of 2023. We are currently enrolling the second cohort of the EMBRAVE study in Brazil, with topline results expected in the first half of 2026, and plan to initiate EMBRAVE3, a Phase 3 registrational study, in mid-2025. 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generic link to de novo autism spectrum disorders, or ASD. We anticipate nominating a development candidate for PRAX-100 by mid- 2025, and development candidates for PRAX-080 and PRAX-090 by the end of 2025.</w:t>
      </w:r>
    </w:p>
    <w:p>
      <w:pPr>
        <w:spacing w:after="0" w:line="18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$69.3 million for the three months ended March 31, 2025. As of March 31, 2025, we had an accumulated deficit of $906.0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relutrigine (formally PRAX-562)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elsunersen (formerly PRAX-222) into the registrational stage of the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vormatrigine (formerly PRAX-628) into efficacy clinical trials for focal onset seizures;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ulixacaltamide through the Phase 3 Essential3 clinical trial program for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3" w:name="page24"/>
    <w:bookmarkEnd w:id="23"/>
    <w:p>
      <w:pPr>
        <w:ind w:right="120"/>
        <w:spacing w:after="0" w:line="287" w:lineRule="auto"/>
        <w:rPr>
          <w:sz w:val="20"/>
          <w:szCs w:val="20"/>
          <w:color w:val="auto"/>
        </w:rPr>
      </w:pPr>
      <w:r>
        <w:rPr>
          <w:rFonts w:ascii="Arial" w:cs="Arial" w:eastAsia="Arial" w:hAnsi="Arial"/>
          <w:sz w:val="18"/>
          <w:szCs w:val="18"/>
          <w:color w:val="auto"/>
        </w:rPr>
        <w:t>discontinue the development and commercialization of one or more of our product candidates or delay our pursuit of potential in-licenses or acquisitions.</w:t>
      </w:r>
    </w:p>
    <w:p>
      <w:pPr>
        <w:spacing w:after="0" w:line="153"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As of March 31, 2025, we had cash, cash equivalents and marketable securities of $472.0 million. We expect that our cash, cash equivalents, and marketable securities as of March 31, 2025 will be sufficient to fund our operating expenditures and capital expenditure requirements necessary to advance our research efforts and clinical trials into 2028.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During the three months ended March 31, 2024, we recognized $0.4 million of collaboration revenue. In December 2024, UCB exercised its option to in-license global development and commercialization rights under the terms of the Collaboration Agreement. Accordingly, we did not recognize any collaboration revenue from the Collaboration Agreement during the three months ended March 31, 2025. We have no further research service obligations under the terms of the Collaboration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20" w:hanging="128"/>
        <w:spacing w:after="0" w:line="438"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53" w:lineRule="exact"/>
        <w:rPr>
          <w:sz w:val="20"/>
          <w:szCs w:val="20"/>
          <w:color w:val="auto"/>
        </w:rPr>
      </w:pPr>
    </w:p>
    <w:p>
      <w:pPr>
        <w:jc w:val="both"/>
        <w:ind w:right="320" w:firstLine="445"/>
        <w:spacing w:after="0" w:line="268"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w:t>
      </w:r>
    </w:p>
    <w:p>
      <w:pPr>
        <w:sectPr>
          <w:pgSz w:w="11900" w:h="16838" w:orient="portrait"/>
          <w:cols w:equalWidth="0" w:num="1">
            <w:col w:w="11200"/>
          </w:cols>
          <w:pgMar w:left="320" w:top="1106"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type w:val="continuous"/>
        </w:sectPr>
      </w:pPr>
    </w:p>
    <w:bookmarkStart w:id="24" w:name="page25"/>
    <w:bookmarkEnd w:id="24"/>
    <w:p>
      <w:pPr>
        <w:spacing w:after="0" w:line="262" w:lineRule="auto"/>
        <w:rPr>
          <w:sz w:val="20"/>
          <w:szCs w:val="20"/>
          <w:color w:val="auto"/>
        </w:rPr>
      </w:pPr>
      <w:r>
        <w:rPr>
          <w:rFonts w:ascii="Arial" w:cs="Arial" w:eastAsia="Arial" w:hAnsi="Arial"/>
          <w:sz w:val="18"/>
          <w:szCs w:val="18"/>
          <w:color w:val="auto"/>
        </w:rPr>
        <w:t>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7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71"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42,832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10,925</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60,806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ind w:left="660" w:right="2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86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months ended March 31, 2025 and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33,822</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74,728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32,411</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(41,886)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(32,842)</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$ 0.4 million decrease in collaboration revenue is associated with a decrease in the revenue recorded under the Collaboration Agreement with UCB that was executed in December 2022. In December 2024, UCB exercised its option to in-license global development and commercialization rights for a development candidate as part of the Collaboration Agreement. As such, we have no further research service obligations under the terms of the Collaboration Agreement and did not record any associated revenue during the three months ended March 31,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29,921</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33,822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$33.8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$29.9 million increase in expense related to our Cerebrum™ platform, driven primarily by: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$13.0 million increase in spend for our vormatrigine program, primarily driven by spend related to the ENERGY program;</w:t>
      </w:r>
    </w:p>
    <w:p>
      <w:pPr>
        <w:spacing w:after="0" w:line="171" w:lineRule="exact"/>
        <w:rPr>
          <w:rFonts w:ascii="Arial" w:cs="Arial" w:eastAsia="Arial" w:hAnsi="Arial"/>
          <w:sz w:val="18"/>
          <w:szCs w:val="18"/>
          <w:color w:val="auto"/>
        </w:rPr>
      </w:pPr>
    </w:p>
    <w:p>
      <w:pPr>
        <w:ind w:left="1300" w:right="14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$12.3 million increase in spend for our ulixacaltamide program, primarily due to increased Essential3 activity compared to prior year; and</w:t>
      </w:r>
    </w:p>
    <w:p>
      <w:pPr>
        <w:spacing w:after="0" w:line="98"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$4.3 million increase in spend for our relutragine program, primarily related to EMBOLD clinical trial costs and current quarter manufacturing spend.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 million increase in personnel-related costs, primarily due to increased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 million increase in indirect expenses driven primarily by software and consulting spend to support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$1.4 million decrease in general and administrative expenses was primarily attributable to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7" w:name="page28"/>
    <w:bookmarkEnd w:id="2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$2.8 million decrease in personnel-related costs mainly due to decreased stock-based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 million increase in indirect expenses, primarily consulting expenses to support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Other income for the three months ended March 31, 2025 and 2024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7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March 31, 2025, we have raised $1.2 billion in aggregate cash proceeds from such transactions, net of issuance costs. As of March 31, 2025, we had cash, cash equivalents, and marketable securities of $472.0 million.</w:t>
      </w:r>
    </w:p>
    <w:p>
      <w:pPr>
        <w:spacing w:after="0" w:line="179"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$75.0 million of common stock from time to time in at-the-market offerings. The 2023 Sales Agreement was terminated in January 2024. During the three months ended March 31, 2024, we issued and sold an aggregate of 192,190 shares under the 2023 Sales Agreement for aggregate net proceeds of $5.3 million, after deducting commissions and offering expenses payable by us.</w:t>
      </w:r>
    </w:p>
    <w:p>
      <w:pPr>
        <w:spacing w:after="0" w:line="17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January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As of March 31, 2025, 325,988 warrants associated with this offering were exercised on a cashless basis with no cash proceeds received by us.</w:t>
      </w:r>
    </w:p>
    <w:p>
      <w:pPr>
        <w:spacing w:after="0" w:line="183" w:lineRule="exact"/>
        <w:rPr>
          <w:sz w:val="20"/>
          <w:szCs w:val="20"/>
          <w:color w:val="auto"/>
        </w:rPr>
      </w:pPr>
    </w:p>
    <w:p>
      <w:pPr>
        <w:ind w:right="420" w:firstLine="445"/>
        <w:spacing w:after="0" w:line="262"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three months ended March 31, 2024, we issued and sold an aggregate of 17,662 shares under the 2024 Sales Agreement for aggregate net proceeds of $0.9 million, after deducting commissions and offering expenses payable by us.</w:t>
      </w:r>
    </w:p>
    <w:p>
      <w:pPr>
        <w:spacing w:after="0" w:line="17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April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us.</w:t>
      </w:r>
    </w:p>
    <w:p>
      <w:pPr>
        <w:spacing w:after="0" w:line="182"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In December 2024, we entered into an amendment to the 2024 Sales Agreement with Jefferies to provide for the offering, issuance and sale of up to an aggregate of $250.0 million of common stock from time to time in at-the-market offerings. During the three months ended March 31, 2025, we issued and sold an aggregate of 694,212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ind w:right="360"/>
        <w:spacing w:after="0" w:line="287" w:lineRule="auto"/>
        <w:rPr>
          <w:sz w:val="20"/>
          <w:szCs w:val="20"/>
          <w:color w:val="auto"/>
        </w:rPr>
      </w:pPr>
      <w:r>
        <w:rPr>
          <w:rFonts w:ascii="Arial" w:cs="Arial" w:eastAsia="Arial" w:hAnsi="Arial"/>
          <w:sz w:val="18"/>
          <w:szCs w:val="18"/>
          <w:color w:val="auto"/>
        </w:rPr>
        <w:t>shares under the amended 2024 Sales Agreement for aggregate net proceeds of $54.9 million, after deducting commissions and offering expenses payable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59"/>
              <w:spacing w:after="0"/>
              <w:rPr>
                <w:sz w:val="20"/>
                <w:szCs w:val="20"/>
                <w:color w:val="auto"/>
              </w:rPr>
            </w:pPr>
            <w:r>
              <w:rPr>
                <w:rFonts w:ascii="Arial" w:cs="Arial" w:eastAsia="Arial" w:hAnsi="Arial"/>
                <w:sz w:val="16"/>
                <w:szCs w:val="16"/>
                <w:color w:val="auto"/>
              </w:rPr>
              <w:t>(53,010)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(20,857)</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(51,064)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54,269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182,757</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(49,805)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79"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During the three months ended March 31, 2025, net cash used in operating activities of $53.0 million was primarily due to our $69.3 million net loss, partially offset by $8.4 million in changes in operating assets and liabilities primarily related to an increase in accounts payable and $7.9 million of non-cash charges primarily related to stock-based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2024, net cash used in operating activities of $20.9 million was primarily due to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$39.6 million net loss, partially offset by $1.5 million in changes in operating assets and liabilities primarily related to a decrease in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and $17.2 million of non-cash charges primarily related to stock-based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During the three months ended March 31, 2025, net cash used in investing activities of $51.1 million was primarily related to purchases of marketable securities offset by maturities of marketable securities.</w:t>
      </w:r>
    </w:p>
    <w:p>
      <w:pPr>
        <w:spacing w:after="0" w:line="153" w:lineRule="exact"/>
        <w:rPr>
          <w:sz w:val="20"/>
          <w:szCs w:val="20"/>
          <w:color w:val="auto"/>
        </w:rPr>
      </w:pPr>
    </w:p>
    <w:p>
      <w:pPr>
        <w:ind w:right="640" w:firstLine="445"/>
        <w:spacing w:after="0" w:line="287" w:lineRule="auto"/>
        <w:rPr>
          <w:sz w:val="20"/>
          <w:szCs w:val="20"/>
          <w:color w:val="auto"/>
        </w:rPr>
      </w:pPr>
      <w:r>
        <w:rPr>
          <w:rFonts w:ascii="Arial" w:cs="Arial" w:eastAsia="Arial" w:hAnsi="Arial"/>
          <w:sz w:val="18"/>
          <w:szCs w:val="18"/>
          <w:color w:val="auto"/>
        </w:rPr>
        <w:t>During the three months ended March 31, 2024, net cash used in investing activities of $91.2 million was related to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During the three months ended March 31, 2025, net cash provided by financing activities of $54.3 million consisted primarily of net proceeds from our at-the-market offerings.</w:t>
      </w:r>
    </w:p>
    <w:p>
      <w:pPr>
        <w:spacing w:after="0" w:line="153" w:lineRule="exact"/>
        <w:rPr>
          <w:sz w:val="20"/>
          <w:szCs w:val="20"/>
          <w:color w:val="auto"/>
        </w:rPr>
      </w:pPr>
    </w:p>
    <w:p>
      <w:pPr>
        <w:jc w:val="both"/>
        <w:ind w:right="220" w:firstLine="445"/>
        <w:spacing w:after="0" w:line="268" w:lineRule="auto"/>
        <w:rPr>
          <w:sz w:val="20"/>
          <w:szCs w:val="20"/>
          <w:color w:val="auto"/>
        </w:rPr>
      </w:pPr>
      <w:r>
        <w:rPr>
          <w:rFonts w:ascii="Arial" w:cs="Arial" w:eastAsia="Arial" w:hAnsi="Arial"/>
          <w:sz w:val="18"/>
          <w:szCs w:val="18"/>
          <w:color w:val="auto"/>
        </w:rPr>
        <w:t>During the three months ended March 31, 2024, net cash provided by financing activities of $182.8 million consisted of net proceeds from our January 2024 public offering, our at-the-market offerings and our collaboration and license agreement with Tenacia Biotechnology (Shanghai) Co., Ltd.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6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jc w:val="center"/>
        <w:ind w:left="5520" w:right="900" w:hanging="5188"/>
        <w:spacing w:after="0" w:line="929" w:lineRule="auto"/>
        <w:tabs>
          <w:tab w:leader="none" w:pos="6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March 31, 2025 will be sufficient to fund our operating expenses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0" w:name="page31"/>
    <w:bookmarkEnd w:id="30"/>
    <w:p>
      <w:pPr>
        <w:ind w:right="100" w:firstLine="445"/>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2025,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5" w:lineRule="exact"/>
        <w:rPr>
          <w:sz w:val="20"/>
          <w:szCs w:val="20"/>
          <w:color w:val="auto"/>
        </w:rPr>
      </w:pPr>
    </w:p>
    <w:p>
      <w:pPr>
        <w:ind w:right="220"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2025. 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2024 filed with the SEC on February 28,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March 31,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540"/>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960" w:type="dxa"/>
            <w:vAlign w:val="bottom"/>
            <w:gridSpan w:val="17"/>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960" w:type="dxa"/>
            <w:vAlign w:val="bottom"/>
            <w:gridSpan w:val="1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gridSpan w:val="3"/>
          </w:tcPr>
          <w:p>
            <w:pPr>
              <w:ind w:left="20"/>
              <w:spacing w:after="0"/>
              <w:rPr>
                <w:rFonts w:ascii="Arial" w:cs="Arial" w:eastAsia="Arial" w:hAnsi="Arial"/>
                <w:sz w:val="18"/>
                <w:szCs w:val="18"/>
                <w:color w:val="0000FF"/>
              </w:rPr>
            </w:pPr>
            <w:hyperlink r:id="rId5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9"/>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60" w:type="dxa"/>
            <w:vAlign w:val="bottom"/>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4">
              <w:r>
                <w:rPr>
                  <w:rFonts w:ascii="Arial" w:cs="Arial" w:eastAsia="Arial" w:hAnsi="Arial"/>
                  <w:sz w:val="18"/>
                  <w:szCs w:val="18"/>
                  <w:color w:val="0000FF"/>
                </w:rPr>
                <w:t>Certificate of Amendment to the Amended and Restated Certificate of Incorporation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440" w:type="dxa"/>
            <w:vAlign w:val="bottom"/>
            <w:gridSpan w:val="18"/>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3.1 to the Registrant’s Current Report on Form 8-K (File No. 001-39620) filed with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Securities and Exchange Commission on December 1,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on Form 8-K (File No. 001-39620) filed on January 12, 2024</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7">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on Form 8-K (File No. 001-39620) filed on March 29, 2024</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8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890"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1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3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3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31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4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0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7" w:name="page38"/>
    <w:bookmarkEnd w:id="3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March 31, 2025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95" w:lineRule="exact"/>
        <w:rPr>
          <w:sz w:val="20"/>
          <w:szCs w:val="20"/>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 2025</w:t>
            </w:r>
          </w:p>
        </w:tc>
        <w:tc>
          <w:tcPr>
            <w:tcW w:w="31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 2025</w:t>
            </w:r>
          </w:p>
        </w:tc>
        <w:tc>
          <w:tcPr>
            <w:tcW w:w="31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lvl w:ilvl="1">
      <w:lvlJc w:val="left"/>
      <w:lvlText w:val="%2"/>
      <w:numFmt w:val="decimal"/>
      <w:start w:val="104"/>
    </w:lvl>
  </w:abstractNum>
  <w:abstractNum w:abstractNumId="21">
    <w:nsid w:val="6763845E"/>
    <w:multiLevelType w:val="hybridMultilevel"/>
    <w:lvl w:ilvl="0">
      <w:lvlJc w:val="left"/>
      <w:lvlText w:val="**"/>
      <w:numFmt w:val="bullet"/>
      <w:start w:val="1"/>
    </w:lvl>
    <w:lvl w:ilvl="1">
      <w:lvlJc w:val="left"/>
      <w:lvlText w:val="%2"/>
      <w:numFmt w:val="decimal"/>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53" Type="http://schemas.openxmlformats.org/officeDocument/2006/relationships/hyperlink" Target="https://www.sec.gov/Archives/edgar/data/1689548/000119312520272877/d94620dex31.htm" TargetMode="External"/><Relationship Id="rId54" Type="http://schemas.openxmlformats.org/officeDocument/2006/relationships/hyperlink" Target="https://www.sec.gov/Archives/edgar/data/1689548/000168954823000162/exhibit31praxis-reversesto.htm" TargetMode="External"/><Relationship Id="rId55" Type="http://schemas.openxmlformats.org/officeDocument/2006/relationships/hyperlink" Target="https://www.sec.gov/Archives/edgar/data/1689548/000110465922002260/tm222120d1_ex3-1.htm" TargetMode="External"/><Relationship Id="rId56" Type="http://schemas.openxmlformats.org/officeDocument/2006/relationships/hyperlink" Target="https://www.sec.gov/Archives/edgar/data/1689548/000110465924003764/tm243213d1_ex4-1.htm" TargetMode="External"/><Relationship Id="rId57" Type="http://schemas.openxmlformats.org/officeDocument/2006/relationships/hyperlink" Target="https://www.sec.gov/Archives/edgar/data/1689548/000110465924041158/tm247764d6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2025-05-02T07:45:29Z</dcterms:created>
  <dcterms:modified xsi:type="dcterms:W3CDTF">2025-05-02T07:45:29Z</dcterms:modified>
</cp:coreProperties>
</file>