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214630</wp:posOffset>
            </wp:positionH>
            <wp:positionV relativeFrom="page">
              <wp:posOffset>355600</wp:posOffset>
            </wp:positionV>
            <wp:extent cx="7127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321945</wp:posOffset>
            </wp:positionV>
            <wp:extent cx="7127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126365</wp:posOffset>
            </wp:positionV>
            <wp:extent cx="1182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144145</wp:posOffset>
            </wp:positionV>
            <wp:extent cx="1182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4" w:lineRule="exact"/>
        <w:rPr>
          <w:sz w:val="24"/>
          <w:szCs w:val="24"/>
          <w:color w:val="auto"/>
        </w:rPr>
      </w:pPr>
    </w:p>
    <w:p>
      <w:pPr>
        <w:ind w:left="320" w:hanging="298"/>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98" w:lineRule="exact"/>
        <w:rPr>
          <w:sz w:val="24"/>
          <w:szCs w:val="24"/>
          <w:color w:val="auto"/>
        </w:rPr>
      </w:pPr>
    </w:p>
    <w:p>
      <w:pPr>
        <w:ind w:left="3460" w:right="1920" w:hanging="3438"/>
        <w:spacing w:after="0" w:line="473" w:lineRule="auto"/>
        <w:tabs>
          <w:tab w:leader="none" w:pos="334"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 to_________</w:t>
      </w:r>
    </w:p>
    <w:p>
      <w:pPr>
        <w:spacing w:after="0" w:line="1" w:lineRule="exact"/>
        <w:rPr>
          <w:rFonts w:ascii="MS PGothic" w:cs="MS PGothic" w:eastAsia="MS PGothic" w:hAnsi="MS PGothic"/>
          <w:sz w:val="21"/>
          <w:szCs w:val="21"/>
          <w:color w:val="auto"/>
        </w:rPr>
      </w:pPr>
    </w:p>
    <w:p>
      <w:pPr>
        <w:ind w:left="4100"/>
        <w:spacing w:after="0"/>
        <w:rPr>
          <w:rFonts w:ascii="MS PGothic" w:cs="MS PGothic" w:eastAsia="MS PGothic" w:hAnsi="MS PGothic"/>
          <w:sz w:val="21"/>
          <w:szCs w:val="21"/>
          <w:color w:val="auto"/>
        </w:rPr>
      </w:pPr>
      <w:r>
        <w:rPr>
          <w:rFonts w:ascii="Arial" w:cs="Arial" w:eastAsia="Arial" w:hAnsi="Arial"/>
          <w:sz w:val="17"/>
          <w:szCs w:val="17"/>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207010</wp:posOffset>
            </wp:positionV>
            <wp:extent cx="1182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PRAXIS PRECISION MEDICINES,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181610</wp:posOffset>
            </wp:positionV>
            <wp:extent cx="1182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2520" w:type="dxa"/>
        <w:tblCellMar>
          <w:top w:w="0" w:type="dxa"/>
          <w:left w:w="0" w:type="dxa"/>
          <w:bottom w:w="0" w:type="dxa"/>
          <w:right w:w="0" w:type="dxa"/>
        </w:tblCellMar>
      </w:tblPr>
      <w:tr>
        <w:trPr>
          <w:trHeight w:val="223"/>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3"/>
              </w:rPr>
              <w:t>Delaware</w:t>
            </w:r>
          </w:p>
        </w:tc>
        <w:tc>
          <w:tcPr>
            <w:tcW w:w="2780" w:type="dxa"/>
            <w:vAlign w:val="bottom"/>
          </w:tcPr>
          <w:p>
            <w:pPr>
              <w:jc w:val="right"/>
              <w:ind w:right="833"/>
              <w:spacing w:after="0"/>
              <w:rPr>
                <w:sz w:val="20"/>
                <w:szCs w:val="20"/>
                <w:color w:val="auto"/>
              </w:rPr>
            </w:pPr>
            <w:r>
              <w:rPr>
                <w:rFonts w:ascii="Arial" w:cs="Arial" w:eastAsia="Arial" w:hAnsi="Arial"/>
                <w:sz w:val="17"/>
                <w:szCs w:val="17"/>
                <w:b w:val="1"/>
                <w:bCs w:val="1"/>
                <w:color w:val="auto"/>
              </w:rPr>
              <w:t>47-5195942</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3"/>
              <w:spacing w:after="0" w:line="176" w:lineRule="exact"/>
              <w:rPr>
                <w:sz w:val="20"/>
                <w:szCs w:val="20"/>
                <w:color w:val="auto"/>
              </w:rPr>
            </w:pPr>
            <w:r>
              <w:rPr>
                <w:rFonts w:ascii="Arial" w:cs="Arial" w:eastAsia="Arial" w:hAnsi="Arial"/>
                <w:sz w:val="17"/>
                <w:szCs w:val="17"/>
                <w:b w:val="1"/>
                <w:bCs w:val="1"/>
                <w:color w:val="auto"/>
                <w:w w:val="93"/>
              </w:rPr>
              <w:t>(State or other jurisdiction of incorporation or</w:t>
            </w:r>
          </w:p>
        </w:tc>
        <w:tc>
          <w:tcPr>
            <w:tcW w:w="2780" w:type="dxa"/>
            <w:vAlign w:val="bottom"/>
            <w:vMerge w:val="restart"/>
          </w:tcPr>
          <w:p>
            <w:pPr>
              <w:jc w:val="center"/>
              <w:ind w:left="13"/>
              <w:spacing w:after="0"/>
              <w:rPr>
                <w:sz w:val="20"/>
                <w:szCs w:val="20"/>
                <w:color w:val="auto"/>
              </w:rPr>
            </w:pPr>
            <w:r>
              <w:rPr>
                <w:rFonts w:ascii="Arial" w:cs="Arial" w:eastAsia="Arial" w:hAnsi="Arial"/>
                <w:sz w:val="17"/>
                <w:szCs w:val="17"/>
                <w:b w:val="1"/>
                <w:bCs w:val="1"/>
                <w:color w:val="auto"/>
                <w:w w:val="96"/>
              </w:rPr>
              <w:t>(I.R.S. Employer Identification No.)</w:t>
            </w:r>
          </w:p>
        </w:tc>
        <w:tc>
          <w:tcPr>
            <w:tcW w:w="0" w:type="dxa"/>
            <w:vAlign w:val="bottom"/>
          </w:tcPr>
          <w:p>
            <w:pPr>
              <w:spacing w:after="0"/>
              <w:rPr>
                <w:sz w:val="1"/>
                <w:szCs w:val="1"/>
                <w:color w:val="auto"/>
              </w:rPr>
            </w:pPr>
          </w:p>
        </w:tc>
      </w:tr>
      <w:tr>
        <w:trPr>
          <w:trHeight w:val="228"/>
        </w:trPr>
        <w:tc>
          <w:tcPr>
            <w:tcW w:w="3560" w:type="dxa"/>
            <w:vAlign w:val="bottom"/>
          </w:tcPr>
          <w:p>
            <w:pPr>
              <w:jc w:val="center"/>
              <w:ind w:right="33"/>
              <w:spacing w:after="0"/>
              <w:rPr>
                <w:sz w:val="20"/>
                <w:szCs w:val="20"/>
                <w:color w:val="auto"/>
              </w:rPr>
            </w:pPr>
            <w:r>
              <w:rPr>
                <w:rFonts w:ascii="Arial" w:cs="Arial" w:eastAsia="Arial" w:hAnsi="Arial"/>
                <w:sz w:val="17"/>
                <w:szCs w:val="17"/>
                <w:b w:val="1"/>
                <w:bCs w:val="1"/>
                <w:color w:val="auto"/>
                <w:w w:val="93"/>
              </w:rPr>
              <w:t>organization)</w:t>
            </w:r>
          </w:p>
        </w:tc>
        <w:tc>
          <w:tcPr>
            <w:tcW w:w="2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4"/>
              </w:rPr>
              <w:t>99 High Street, 30th Floor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5"/>
              </w:rPr>
              <w:t>Boston, MA</w:t>
            </w:r>
          </w:p>
        </w:tc>
        <w:tc>
          <w:tcPr>
            <w:tcW w:w="2780" w:type="dxa"/>
            <w:vAlign w:val="bottom"/>
          </w:tcPr>
          <w:p>
            <w:pPr>
              <w:jc w:val="right"/>
              <w:ind w:right="1033"/>
              <w:spacing w:after="0"/>
              <w:rPr>
                <w:sz w:val="20"/>
                <w:szCs w:val="20"/>
                <w:color w:val="auto"/>
              </w:rPr>
            </w:pPr>
            <w:r>
              <w:rPr>
                <w:rFonts w:ascii="Arial" w:cs="Arial" w:eastAsia="Arial" w:hAnsi="Arial"/>
                <w:sz w:val="17"/>
                <w:szCs w:val="17"/>
                <w:b w:val="1"/>
                <w:bCs w:val="1"/>
                <w:color w:val="auto"/>
              </w:rPr>
              <w:t>02110</w:t>
            </w:r>
          </w:p>
        </w:tc>
        <w:tc>
          <w:tcPr>
            <w:tcW w:w="0" w:type="dxa"/>
            <w:vAlign w:val="bottom"/>
          </w:tcPr>
          <w:p>
            <w:pPr>
              <w:spacing w:after="0"/>
              <w:rPr>
                <w:sz w:val="1"/>
                <w:szCs w:val="1"/>
                <w:color w:val="auto"/>
              </w:rPr>
            </w:pPr>
          </w:p>
        </w:tc>
      </w:tr>
      <w:tr>
        <w:trPr>
          <w:trHeight w:val="228"/>
        </w:trPr>
        <w:tc>
          <w:tcPr>
            <w:tcW w:w="3560" w:type="dxa"/>
            <w:vAlign w:val="bottom"/>
          </w:tcPr>
          <w:p>
            <w:pPr>
              <w:jc w:val="center"/>
              <w:ind w:right="13"/>
              <w:spacing w:after="0"/>
              <w:rPr>
                <w:sz w:val="20"/>
                <w:szCs w:val="20"/>
                <w:color w:val="auto"/>
              </w:rPr>
            </w:pPr>
            <w:r>
              <w:rPr>
                <w:rFonts w:ascii="Arial" w:cs="Arial" w:eastAsia="Arial" w:hAnsi="Arial"/>
                <w:sz w:val="17"/>
                <w:szCs w:val="17"/>
                <w:b w:val="1"/>
                <w:bCs w:val="1"/>
                <w:color w:val="auto"/>
                <w:w w:val="91"/>
              </w:rPr>
              <w:t>(Address of principal executive offices)</w:t>
            </w:r>
          </w:p>
        </w:tc>
        <w:tc>
          <w:tcPr>
            <w:tcW w:w="2780" w:type="dxa"/>
            <w:vAlign w:val="bottom"/>
          </w:tcPr>
          <w:p>
            <w:pPr>
              <w:jc w:val="center"/>
              <w:ind w:left="13"/>
              <w:spacing w:after="0"/>
              <w:rPr>
                <w:sz w:val="20"/>
                <w:szCs w:val="20"/>
                <w:color w:val="auto"/>
              </w:rPr>
            </w:pPr>
            <w:r>
              <w:rPr>
                <w:rFonts w:ascii="Arial" w:cs="Arial" w:eastAsia="Arial" w:hAnsi="Arial"/>
                <w:sz w:val="17"/>
                <w:szCs w:val="17"/>
                <w:b w:val="1"/>
                <w:bCs w:val="1"/>
                <w:color w:val="auto"/>
                <w:w w:val="95"/>
              </w:rPr>
              <w:t>(Zip Code)</w:t>
            </w: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617-300-8460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127635</wp:posOffset>
            </wp:positionV>
            <wp:extent cx="1182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0"/>
              </w:rPr>
              <w:t>Title of each class</w:t>
            </w:r>
          </w:p>
        </w:tc>
        <w:tc>
          <w:tcPr>
            <w:tcW w:w="410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2"/>
              </w:rPr>
              <w:t>Trading Symbol(s)</w:t>
            </w:r>
          </w:p>
        </w:tc>
        <w:tc>
          <w:tcPr>
            <w:tcW w:w="3120" w:type="dxa"/>
            <w:vAlign w:val="bottom"/>
          </w:tcPr>
          <w:p>
            <w:pPr>
              <w:jc w:val="center"/>
              <w:spacing w:after="0"/>
              <w:rPr>
                <w:sz w:val="20"/>
                <w:szCs w:val="20"/>
                <w:color w:val="auto"/>
              </w:rPr>
            </w:pPr>
            <w:r>
              <w:rPr>
                <w:rFonts w:ascii="Arial" w:cs="Arial" w:eastAsia="Arial" w:hAnsi="Arial"/>
                <w:sz w:val="17"/>
                <w:szCs w:val="17"/>
                <w:b w:val="1"/>
                <w:bCs w:val="1"/>
                <w:color w:val="auto"/>
                <w:w w:val="90"/>
              </w:rPr>
              <w:t>Name of each exchange on which</w:t>
            </w:r>
          </w:p>
        </w:tc>
        <w:tc>
          <w:tcPr>
            <w:tcW w:w="0" w:type="dxa"/>
            <w:vAlign w:val="bottom"/>
          </w:tcPr>
          <w:p>
            <w:pPr>
              <w:spacing w:after="0"/>
              <w:rPr>
                <w:sz w:val="1"/>
                <w:szCs w:val="1"/>
                <w:color w:val="auto"/>
              </w:rPr>
            </w:pPr>
          </w:p>
        </w:tc>
      </w:tr>
      <w:tr>
        <w:trPr>
          <w:trHeight w:val="223"/>
        </w:trPr>
        <w:tc>
          <w:tcPr>
            <w:tcW w:w="4000" w:type="dxa"/>
            <w:vAlign w:val="bottom"/>
            <w:gridSpan w:val="2"/>
            <w:vMerge w:val="continue"/>
          </w:tcPr>
          <w:p>
            <w:pPr>
              <w:spacing w:after="0"/>
              <w:rPr>
                <w:sz w:val="19"/>
                <w:szCs w:val="19"/>
                <w:color w:val="auto"/>
              </w:rPr>
            </w:pPr>
          </w:p>
        </w:tc>
        <w:tc>
          <w:tcPr>
            <w:tcW w:w="4100" w:type="dxa"/>
            <w:vAlign w:val="bottom"/>
            <w:gridSpan w:val="2"/>
            <w:vMerge w:val="continue"/>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7"/>
                <w:szCs w:val="17"/>
                <w:b w:val="1"/>
                <w:bCs w:val="1"/>
                <w:color w:val="auto"/>
                <w:w w:val="89"/>
              </w:rPr>
              <w:t>registered</w:t>
            </w:r>
          </w:p>
        </w:tc>
        <w:tc>
          <w:tcPr>
            <w:tcW w:w="0" w:type="dxa"/>
            <w:vAlign w:val="bottom"/>
          </w:tcPr>
          <w:p>
            <w:pPr>
              <w:spacing w:after="0"/>
              <w:rPr>
                <w:sz w:val="1"/>
                <w:szCs w:val="1"/>
                <w:color w:val="auto"/>
              </w:rPr>
            </w:pPr>
          </w:p>
        </w:tc>
      </w:tr>
      <w:tr>
        <w:trPr>
          <w:trHeight w:val="221"/>
        </w:trPr>
        <w:tc>
          <w:tcPr>
            <w:tcW w:w="39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Common Stock, par value $0.0001 per share</w:t>
            </w:r>
          </w:p>
        </w:tc>
        <w:tc>
          <w:tcPr>
            <w:tcW w:w="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PRAX</w:t>
            </w:r>
          </w:p>
        </w:tc>
        <w:tc>
          <w:tcPr>
            <w:tcW w:w="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3"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5" w:lineRule="exact"/>
        <w:rPr>
          <w:sz w:val="24"/>
          <w:szCs w:val="24"/>
          <w:color w:val="auto"/>
        </w:rPr>
      </w:pPr>
    </w:p>
    <w:p>
      <w:pPr>
        <w:ind w:right="440" w:firstLine="315"/>
        <w:spacing w:after="0" w:line="19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4" w:lineRule="exact"/>
        <w:rPr>
          <w:sz w:val="24"/>
          <w:szCs w:val="24"/>
          <w:color w:val="auto"/>
        </w:rPr>
      </w:pPr>
    </w:p>
    <w:p>
      <w:pPr>
        <w:ind w:right="40" w:firstLine="315"/>
        <w:spacing w:after="0" w:line="19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4" w:lineRule="exact"/>
        <w:rPr>
          <w:sz w:val="24"/>
          <w:szCs w:val="24"/>
          <w:color w:val="auto"/>
        </w:rPr>
      </w:pPr>
    </w:p>
    <w:p>
      <w:pPr>
        <w:ind w:right="320" w:firstLine="315"/>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6"/>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7" w:lineRule="exact"/>
        <w:rPr>
          <w:sz w:val="20"/>
          <w:szCs w:val="20"/>
          <w:color w:val="auto"/>
        </w:rPr>
      </w:pPr>
    </w:p>
    <w:p>
      <w:pPr>
        <w:ind w:right="80" w:firstLine="315"/>
        <w:spacing w:after="0" w:line="19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1" w:lineRule="exact"/>
        <w:rPr>
          <w:sz w:val="20"/>
          <w:szCs w:val="20"/>
          <w:color w:val="auto"/>
        </w:rPr>
      </w:pPr>
    </w:p>
    <w:p>
      <w:pPr>
        <w:ind w:firstLine="315"/>
        <w:spacing w:after="0" w:line="18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4"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5" w:lineRule="exact"/>
        <w:rPr>
          <w:sz w:val="20"/>
          <w:szCs w:val="20"/>
          <w:color w:val="auto"/>
        </w:rPr>
      </w:pPr>
    </w:p>
    <w:p>
      <w:pPr>
        <w:ind w:right="280" w:firstLine="315"/>
        <w:spacing w:after="0" w:line="242"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a share of common stock on June 30, 2021 as reported by the Nasdaq Global Select Market on such date was approximately $761.0 million. This calculation does not reflect a determination that certain persons are affiliates of the registrant for any other purpose.</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February 18, 2022, the registrant had 45,487,614 shares of common stock, $0.0001 par value per share, outstanding.</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6" w:lineRule="exact"/>
        <w:rPr>
          <w:sz w:val="20"/>
          <w:szCs w:val="20"/>
          <w:color w:val="auto"/>
        </w:rPr>
      </w:pPr>
    </w:p>
    <w:p>
      <w:pPr>
        <w:ind w:right="140" w:firstLine="315"/>
        <w:spacing w:after="0" w:line="245" w:lineRule="auto"/>
        <w:rPr>
          <w:sz w:val="20"/>
          <w:szCs w:val="20"/>
          <w:color w:val="auto"/>
        </w:rPr>
      </w:pPr>
      <w:r>
        <w:rPr>
          <w:rFonts w:ascii="Arial" w:cs="Arial" w:eastAsia="Arial" w:hAnsi="Arial"/>
          <w:sz w:val="16"/>
          <w:szCs w:val="16"/>
          <w:color w:val="auto"/>
        </w:rPr>
        <w:t>Portions of the registrant's definitive Proxy Statement relating to its 2022 Annual Meeting of Stockholders to be filed with the SEC within 120 days after the end of the fiscal year ended December 31, 2021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238760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127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10160</wp:posOffset>
            </wp:positionV>
            <wp:extent cx="7127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ectPr>
          <w:pgSz w:w="11900" w:h="16838" w:orient="portrait"/>
          <w:cols w:equalWidth="0" w:num="1">
            <w:col w:w="11180"/>
          </w:cols>
          <w:pgMar w:left="320" w:top="377"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26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79"/>
        </w:trPr>
        <w:tc>
          <w:tcPr>
            <w:tcW w:w="560" w:type="dxa"/>
            <w:vAlign w:val="bottom"/>
            <w:tcBorders>
              <w:bottom w:val="single" w:sz="8" w:color="0000FF"/>
            </w:tcBorders>
            <w:gridSpan w:val="2"/>
          </w:tcPr>
          <w:p>
            <w:pPr>
              <w:ind w:left="20"/>
              <w:spacing w:after="0"/>
              <w:rPr>
                <w:rFonts w:ascii="Arial" w:cs="Arial" w:eastAsia="Arial" w:hAnsi="Arial"/>
                <w:sz w:val="17"/>
                <w:szCs w:val="17"/>
                <w:color w:val="0000FF"/>
              </w:rPr>
            </w:pPr>
            <w:hyperlink w:anchor="page6">
              <w:r>
                <w:rPr>
                  <w:rFonts w:ascii="Arial" w:cs="Arial" w:eastAsia="Arial" w:hAnsi="Arial"/>
                  <w:sz w:val="17"/>
                  <w:szCs w:val="17"/>
                  <w:color w:val="0000FF"/>
                </w:rPr>
                <w:t>Part I</w:t>
              </w:r>
            </w:hyperlink>
          </w:p>
        </w:tc>
        <w:tc>
          <w:tcPr>
            <w:tcW w:w="9600" w:type="dxa"/>
            <w:vAlign w:val="bottom"/>
            <w:gridSpan w:val="20"/>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7">
              <w:r>
                <w:rPr>
                  <w:rFonts w:ascii="Arial" w:cs="Arial" w:eastAsia="Arial" w:hAnsi="Arial"/>
                  <w:sz w:val="17"/>
                  <w:szCs w:val="17"/>
                  <w:color w:val="0000FF"/>
                </w:rPr>
                <w:t>Item 1. Business</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7">
              <w:r>
                <w:rPr>
                  <w:rFonts w:ascii="Arial" w:cs="Arial" w:eastAsia="Arial" w:hAnsi="Arial"/>
                  <w:sz w:val="17"/>
                  <w:szCs w:val="17"/>
                  <w:color w:val="0000FF"/>
                </w:rPr>
                <w:t>7</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57">
              <w:r>
                <w:rPr>
                  <w:rFonts w:ascii="Arial" w:cs="Arial" w:eastAsia="Arial" w:hAnsi="Arial"/>
                  <w:sz w:val="17"/>
                  <w:szCs w:val="17"/>
                  <w:color w:val="0000FF"/>
                </w:rPr>
                <w:t>Item 1A. Risk Factors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57">
              <w:r>
                <w:rPr>
                  <w:rFonts w:ascii="Arial" w:cs="Arial" w:eastAsia="Arial" w:hAnsi="Arial"/>
                  <w:sz w:val="17"/>
                  <w:szCs w:val="17"/>
                  <w:color w:val="0000FF"/>
                </w:rPr>
                <w:t>57</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08">
              <w:r>
                <w:rPr>
                  <w:rFonts w:ascii="Arial" w:cs="Arial" w:eastAsia="Arial" w:hAnsi="Arial"/>
                  <w:sz w:val="17"/>
                  <w:szCs w:val="17"/>
                  <w:color w:val="0000FF"/>
                </w:rPr>
                <w:t>Item 1B. Unresolved Staff Comments</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08">
              <w:r>
                <w:rPr>
                  <w:rFonts w:ascii="Arial" w:cs="Arial" w:eastAsia="Arial" w:hAnsi="Arial"/>
                  <w:sz w:val="17"/>
                  <w:szCs w:val="17"/>
                  <w:color w:val="0000FF"/>
                </w:rPr>
                <w:t>108</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08">
              <w:r>
                <w:rPr>
                  <w:rFonts w:ascii="Arial" w:cs="Arial" w:eastAsia="Arial" w:hAnsi="Arial"/>
                  <w:sz w:val="17"/>
                  <w:szCs w:val="17"/>
                  <w:color w:val="0000FF"/>
                </w:rPr>
                <w:t>Item 2. Properties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08">
              <w:r>
                <w:rPr>
                  <w:rFonts w:ascii="Arial" w:cs="Arial" w:eastAsia="Arial" w:hAnsi="Arial"/>
                  <w:sz w:val="17"/>
                  <w:szCs w:val="17"/>
                  <w:color w:val="0000FF"/>
                </w:rPr>
                <w:t>108</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08">
              <w:r>
                <w:rPr>
                  <w:rFonts w:ascii="Arial" w:cs="Arial" w:eastAsia="Arial" w:hAnsi="Arial"/>
                  <w:sz w:val="17"/>
                  <w:szCs w:val="17"/>
                  <w:color w:val="0000FF"/>
                </w:rPr>
                <w:t>Item 3. Legal Proceedings</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08">
              <w:r>
                <w:rPr>
                  <w:rFonts w:ascii="Arial" w:cs="Arial" w:eastAsia="Arial" w:hAnsi="Arial"/>
                  <w:sz w:val="17"/>
                  <w:szCs w:val="17"/>
                  <w:color w:val="0000FF"/>
                </w:rPr>
                <w:t>108</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08">
              <w:r>
                <w:rPr>
                  <w:rFonts w:ascii="Arial" w:cs="Arial" w:eastAsia="Arial" w:hAnsi="Arial"/>
                  <w:sz w:val="17"/>
                  <w:szCs w:val="17"/>
                  <w:color w:val="0000FF"/>
                </w:rPr>
                <w:t>Item 4. Mine Safety Disclosures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08">
              <w:r>
                <w:rPr>
                  <w:rFonts w:ascii="Arial" w:cs="Arial" w:eastAsia="Arial" w:hAnsi="Arial"/>
                  <w:sz w:val="17"/>
                  <w:szCs w:val="17"/>
                  <w:color w:val="0000FF"/>
                </w:rPr>
                <w:t>108</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0"/>
              <w:spacing w:after="0" w:line="194" w:lineRule="exact"/>
              <w:rPr>
                <w:rFonts w:ascii="Arial" w:cs="Arial" w:eastAsia="Arial" w:hAnsi="Arial"/>
                <w:sz w:val="17"/>
                <w:szCs w:val="17"/>
                <w:color w:val="0000FF"/>
              </w:rPr>
            </w:pPr>
            <w:hyperlink w:anchor="page108">
              <w:r>
                <w:rPr>
                  <w:rFonts w:ascii="Arial" w:cs="Arial" w:eastAsia="Arial" w:hAnsi="Arial"/>
                  <w:sz w:val="17"/>
                  <w:szCs w:val="17"/>
                  <w:color w:val="0000FF"/>
                </w:rPr>
                <w:t>Part II</w:t>
              </w:r>
            </w:hyperlink>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09">
              <w:r>
                <w:rPr>
                  <w:rFonts w:ascii="Arial" w:cs="Arial" w:eastAsia="Arial" w:hAnsi="Arial"/>
                  <w:sz w:val="17"/>
                  <w:szCs w:val="17"/>
                  <w:color w:val="0000FF"/>
                </w:rPr>
                <w:t>Item 5. Market for Registrant's Common Equity, Related Stockholder Matters and Issuer Purchases of Equity Securities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09">
              <w:r>
                <w:rPr>
                  <w:rFonts w:ascii="Arial" w:cs="Arial" w:eastAsia="Arial" w:hAnsi="Arial"/>
                  <w:sz w:val="17"/>
                  <w:szCs w:val="17"/>
                  <w:color w:val="0000FF"/>
                </w:rPr>
                <w:t>109</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09">
              <w:r>
                <w:rPr>
                  <w:rFonts w:ascii="Arial" w:cs="Arial" w:eastAsia="Arial" w:hAnsi="Arial"/>
                  <w:sz w:val="17"/>
                  <w:szCs w:val="17"/>
                  <w:color w:val="0000FF"/>
                </w:rPr>
                <w:t>Item 6. Selected Financial Data</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09">
              <w:r>
                <w:rPr>
                  <w:rFonts w:ascii="Arial" w:cs="Arial" w:eastAsia="Arial" w:hAnsi="Arial"/>
                  <w:sz w:val="17"/>
                  <w:szCs w:val="17"/>
                  <w:color w:val="0000FF"/>
                </w:rPr>
                <w:t>109</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09">
              <w:r>
                <w:rPr>
                  <w:rFonts w:ascii="Arial" w:cs="Arial" w:eastAsia="Arial" w:hAnsi="Arial"/>
                  <w:sz w:val="17"/>
                  <w:szCs w:val="17"/>
                  <w:color w:val="0000FF"/>
                </w:rPr>
                <w:t>Item 7. Management's Discussion and Analysis of Financial Condition and results of Operations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09">
              <w:r>
                <w:rPr>
                  <w:rFonts w:ascii="Arial" w:cs="Arial" w:eastAsia="Arial" w:hAnsi="Arial"/>
                  <w:sz w:val="17"/>
                  <w:szCs w:val="17"/>
                  <w:color w:val="0000FF"/>
                </w:rPr>
                <w:t>110</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21">
              <w:r>
                <w:rPr>
                  <w:rFonts w:ascii="Arial" w:cs="Arial" w:eastAsia="Arial" w:hAnsi="Arial"/>
                  <w:sz w:val="17"/>
                  <w:szCs w:val="17"/>
                  <w:color w:val="0000FF"/>
                </w:rPr>
                <w:t>Item 7A. Quantitative and Qualitative Disclosures About Market Risk</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21">
              <w:r>
                <w:rPr>
                  <w:rFonts w:ascii="Arial" w:cs="Arial" w:eastAsia="Arial" w:hAnsi="Arial"/>
                  <w:sz w:val="17"/>
                  <w:szCs w:val="17"/>
                  <w:color w:val="0000FF"/>
                </w:rPr>
                <w:t>121</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21">
              <w:r>
                <w:rPr>
                  <w:rFonts w:ascii="Arial" w:cs="Arial" w:eastAsia="Arial" w:hAnsi="Arial"/>
                  <w:sz w:val="17"/>
                  <w:szCs w:val="17"/>
                  <w:color w:val="0000FF"/>
                </w:rPr>
                <w:t>Item 8. Financial Statements and Supplementary Data</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21">
              <w:r>
                <w:rPr>
                  <w:rFonts w:ascii="Arial" w:cs="Arial" w:eastAsia="Arial" w:hAnsi="Arial"/>
                  <w:sz w:val="17"/>
                  <w:szCs w:val="17"/>
                  <w:color w:val="0000FF"/>
                </w:rPr>
                <w:t>122</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54">
              <w:r>
                <w:rPr>
                  <w:rFonts w:ascii="Arial" w:cs="Arial" w:eastAsia="Arial" w:hAnsi="Arial"/>
                  <w:sz w:val="17"/>
                  <w:szCs w:val="17"/>
                  <w:color w:val="0000FF"/>
                </w:rPr>
                <w:t>Item 9. Changes in and Disagreements with Accountants on Accounting and Financial Disclosure</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54">
              <w:r>
                <w:rPr>
                  <w:rFonts w:ascii="Arial" w:cs="Arial" w:eastAsia="Arial" w:hAnsi="Arial"/>
                  <w:sz w:val="17"/>
                  <w:szCs w:val="17"/>
                  <w:color w:val="0000FF"/>
                </w:rPr>
                <w:t>154</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55">
              <w:r>
                <w:rPr>
                  <w:rFonts w:ascii="Arial" w:cs="Arial" w:eastAsia="Arial" w:hAnsi="Arial"/>
                  <w:sz w:val="17"/>
                  <w:szCs w:val="17"/>
                  <w:color w:val="0000FF"/>
                </w:rPr>
                <w:t>Item 9A. Controls and Procedures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55">
              <w:r>
                <w:rPr>
                  <w:rFonts w:ascii="Arial" w:cs="Arial" w:eastAsia="Arial" w:hAnsi="Arial"/>
                  <w:sz w:val="17"/>
                  <w:szCs w:val="17"/>
                  <w:color w:val="0000FF"/>
                </w:rPr>
                <w:t>154</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56">
              <w:r>
                <w:rPr>
                  <w:rFonts w:ascii="Arial" w:cs="Arial" w:eastAsia="Arial" w:hAnsi="Arial"/>
                  <w:sz w:val="17"/>
                  <w:szCs w:val="17"/>
                  <w:color w:val="0000FF"/>
                </w:rPr>
                <w:t>Item 9B. Other Information</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56">
              <w:r>
                <w:rPr>
                  <w:rFonts w:ascii="Arial" w:cs="Arial" w:eastAsia="Arial" w:hAnsi="Arial"/>
                  <w:sz w:val="17"/>
                  <w:szCs w:val="17"/>
                  <w:color w:val="0000FF"/>
                </w:rPr>
                <w:t>155</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57">
              <w:r>
                <w:rPr>
                  <w:rFonts w:ascii="Arial" w:cs="Arial" w:eastAsia="Arial" w:hAnsi="Arial"/>
                  <w:sz w:val="17"/>
                  <w:szCs w:val="17"/>
                  <w:color w:val="0000FF"/>
                </w:rPr>
                <w:t>Item 9C. Disclosure Regarding Foreign Jurisdictions that Prevent Inspections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57">
              <w:r>
                <w:rPr>
                  <w:rFonts w:ascii="Arial" w:cs="Arial" w:eastAsia="Arial" w:hAnsi="Arial"/>
                  <w:sz w:val="17"/>
                  <w:szCs w:val="17"/>
                  <w:color w:val="0000FF"/>
                </w:rPr>
                <w:t>156</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560" w:type="dxa"/>
            <w:vAlign w:val="bottom"/>
            <w:tcBorders>
              <w:left w:val="single" w:sz="8" w:color="CCEEFF"/>
              <w:bottom w:val="single" w:sz="8" w:color="0000FF"/>
              <w:right w:val="single" w:sz="8" w:color="CCEEFF"/>
            </w:tcBorders>
            <w:gridSpan w:val="2"/>
            <w:shd w:val="clear" w:color="auto" w:fill="CCEEFF"/>
          </w:tcPr>
          <w:p>
            <w:pPr>
              <w:ind w:left="20"/>
              <w:spacing w:after="0" w:line="194" w:lineRule="exact"/>
              <w:rPr>
                <w:rFonts w:ascii="Arial" w:cs="Arial" w:eastAsia="Arial" w:hAnsi="Arial"/>
                <w:sz w:val="17"/>
                <w:szCs w:val="17"/>
                <w:color w:val="0000FF"/>
                <w:w w:val="99"/>
              </w:rPr>
            </w:pPr>
            <w:hyperlink w:anchor="page157">
              <w:r>
                <w:rPr>
                  <w:rFonts w:ascii="Arial" w:cs="Arial" w:eastAsia="Arial" w:hAnsi="Arial"/>
                  <w:sz w:val="17"/>
                  <w:szCs w:val="17"/>
                  <w:color w:val="0000FF"/>
                  <w:w w:val="99"/>
                </w:rPr>
                <w:t>Part III</w:t>
              </w:r>
            </w:hyperlink>
          </w:p>
        </w:tc>
        <w:tc>
          <w:tcPr>
            <w:tcW w:w="9600" w:type="dxa"/>
            <w:vAlign w:val="bottom"/>
            <w:tcBorders>
              <w:bottom w:val="single" w:sz="8" w:color="CCEEFF"/>
            </w:tcBorders>
            <w:gridSpan w:val="20"/>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58">
              <w:r>
                <w:rPr>
                  <w:rFonts w:ascii="Arial" w:cs="Arial" w:eastAsia="Arial" w:hAnsi="Arial"/>
                  <w:sz w:val="17"/>
                  <w:szCs w:val="17"/>
                  <w:color w:val="0000FF"/>
                </w:rPr>
                <w:t>Item 10. Directors, Executive Officers and Corporate Governance</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58">
              <w:r>
                <w:rPr>
                  <w:rFonts w:ascii="Arial" w:cs="Arial" w:eastAsia="Arial" w:hAnsi="Arial"/>
                  <w:sz w:val="17"/>
                  <w:szCs w:val="17"/>
                  <w:color w:val="0000FF"/>
                </w:rPr>
                <w:t>157</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58">
              <w:r>
                <w:rPr>
                  <w:rFonts w:ascii="Arial" w:cs="Arial" w:eastAsia="Arial" w:hAnsi="Arial"/>
                  <w:sz w:val="17"/>
                  <w:szCs w:val="17"/>
                  <w:color w:val="0000FF"/>
                </w:rPr>
                <w:t>Item 11. Executive Compensation</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58">
              <w:r>
                <w:rPr>
                  <w:rFonts w:ascii="Arial" w:cs="Arial" w:eastAsia="Arial" w:hAnsi="Arial"/>
                  <w:sz w:val="17"/>
                  <w:szCs w:val="17"/>
                  <w:color w:val="0000FF"/>
                </w:rPr>
                <w:t>157</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58">
              <w:r>
                <w:rPr>
                  <w:rFonts w:ascii="Arial" w:cs="Arial" w:eastAsia="Arial" w:hAnsi="Arial"/>
                  <w:sz w:val="17"/>
                  <w:szCs w:val="17"/>
                  <w:color w:val="0000FF"/>
                </w:rPr>
                <w:t>Item 12. Security Ownership of Certain Beneficial Owners and Management and Related Stockholder Matters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58">
              <w:r>
                <w:rPr>
                  <w:rFonts w:ascii="Arial" w:cs="Arial" w:eastAsia="Arial" w:hAnsi="Arial"/>
                  <w:sz w:val="17"/>
                  <w:szCs w:val="17"/>
                  <w:color w:val="0000FF"/>
                </w:rPr>
                <w:t>157</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58">
              <w:r>
                <w:rPr>
                  <w:rFonts w:ascii="Arial" w:cs="Arial" w:eastAsia="Arial" w:hAnsi="Arial"/>
                  <w:sz w:val="17"/>
                  <w:szCs w:val="17"/>
                  <w:color w:val="0000FF"/>
                </w:rPr>
                <w:t>Item 13. Certain Relationships and Related Transactions, and Director Independence</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58">
              <w:r>
                <w:rPr>
                  <w:rFonts w:ascii="Arial" w:cs="Arial" w:eastAsia="Arial" w:hAnsi="Arial"/>
                  <w:sz w:val="17"/>
                  <w:szCs w:val="17"/>
                  <w:color w:val="0000FF"/>
                </w:rPr>
                <w:t>157</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58">
              <w:r>
                <w:rPr>
                  <w:rFonts w:ascii="Arial" w:cs="Arial" w:eastAsia="Arial" w:hAnsi="Arial"/>
                  <w:sz w:val="17"/>
                  <w:szCs w:val="17"/>
                  <w:color w:val="0000FF"/>
                </w:rPr>
                <w:t>Item 14. Principal Accounting Fees and Services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58">
              <w:r>
                <w:rPr>
                  <w:rFonts w:ascii="Arial" w:cs="Arial" w:eastAsia="Arial" w:hAnsi="Arial"/>
                  <w:sz w:val="17"/>
                  <w:szCs w:val="17"/>
                  <w:color w:val="0000FF"/>
                </w:rPr>
                <w:t>157</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560" w:type="dxa"/>
            <w:vAlign w:val="bottom"/>
            <w:tcBorders>
              <w:left w:val="single" w:sz="8" w:color="CCEEFF"/>
              <w:bottom w:val="single" w:sz="8" w:color="0000FF"/>
              <w:right w:val="single" w:sz="8" w:color="CCEEFF"/>
            </w:tcBorders>
            <w:gridSpan w:val="2"/>
            <w:shd w:val="clear" w:color="auto" w:fill="CCEEFF"/>
          </w:tcPr>
          <w:p>
            <w:pPr>
              <w:ind w:left="20"/>
              <w:spacing w:after="0" w:line="194" w:lineRule="exact"/>
              <w:rPr>
                <w:rFonts w:ascii="Arial" w:cs="Arial" w:eastAsia="Arial" w:hAnsi="Arial"/>
                <w:sz w:val="17"/>
                <w:szCs w:val="17"/>
                <w:color w:val="0000FF"/>
                <w:w w:val="96"/>
              </w:rPr>
            </w:pPr>
            <w:hyperlink w:anchor="page158">
              <w:r>
                <w:rPr>
                  <w:rFonts w:ascii="Arial" w:cs="Arial" w:eastAsia="Arial" w:hAnsi="Arial"/>
                  <w:sz w:val="17"/>
                  <w:szCs w:val="17"/>
                  <w:color w:val="0000FF"/>
                  <w:w w:val="96"/>
                </w:rPr>
                <w:t>Part IV</w:t>
              </w:r>
            </w:hyperlink>
          </w:p>
        </w:tc>
        <w:tc>
          <w:tcPr>
            <w:tcW w:w="9600" w:type="dxa"/>
            <w:vAlign w:val="bottom"/>
            <w:tcBorders>
              <w:bottom w:val="single" w:sz="8" w:color="CCEEFF"/>
            </w:tcBorders>
            <w:gridSpan w:val="20"/>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84"/>
        </w:trPr>
        <w:tc>
          <w:tcPr>
            <w:tcW w:w="10160" w:type="dxa"/>
            <w:vAlign w:val="bottom"/>
            <w:gridSpan w:val="22"/>
          </w:tcPr>
          <w:p>
            <w:pPr>
              <w:ind w:left="220"/>
              <w:spacing w:after="0" w:line="184" w:lineRule="exact"/>
              <w:rPr>
                <w:rFonts w:ascii="Arial" w:cs="Arial" w:eastAsia="Arial" w:hAnsi="Arial"/>
                <w:sz w:val="17"/>
                <w:szCs w:val="17"/>
                <w:color w:val="0000FF"/>
              </w:rPr>
            </w:pPr>
            <w:hyperlink w:anchor="page159">
              <w:r>
                <w:rPr>
                  <w:rFonts w:ascii="Arial" w:cs="Arial" w:eastAsia="Arial" w:hAnsi="Arial"/>
                  <w:sz w:val="17"/>
                  <w:szCs w:val="17"/>
                  <w:color w:val="0000FF"/>
                </w:rPr>
                <w:t>Item 15. Exhibits, Financial Statement Schedules</w:t>
              </w:r>
            </w:hyperlink>
          </w:p>
        </w:tc>
        <w:tc>
          <w:tcPr>
            <w:tcW w:w="1040" w:type="dxa"/>
            <w:vAlign w:val="bottom"/>
            <w:gridSpan w:val="4"/>
          </w:tcPr>
          <w:p>
            <w:pPr>
              <w:jc w:val="right"/>
              <w:spacing w:after="0" w:line="184" w:lineRule="exact"/>
              <w:rPr>
                <w:rFonts w:ascii="Arial" w:cs="Arial" w:eastAsia="Arial" w:hAnsi="Arial"/>
                <w:sz w:val="17"/>
                <w:szCs w:val="17"/>
                <w:color w:val="0000FF"/>
              </w:rPr>
            </w:pPr>
            <w:hyperlink w:anchor="page159">
              <w:r>
                <w:rPr>
                  <w:rFonts w:ascii="Arial" w:cs="Arial" w:eastAsia="Arial" w:hAnsi="Arial"/>
                  <w:sz w:val="17"/>
                  <w:szCs w:val="17"/>
                  <w:color w:val="0000FF"/>
                </w:rPr>
                <w:t>158</w:t>
              </w:r>
            </w:hyperlink>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rFonts w:ascii="Arial" w:cs="Arial" w:eastAsia="Arial" w:hAnsi="Arial"/>
                <w:sz w:val="17"/>
                <w:szCs w:val="17"/>
                <w:color w:val="0000FF"/>
              </w:rPr>
            </w:pPr>
            <w:hyperlink w:anchor="page161">
              <w:r>
                <w:rPr>
                  <w:rFonts w:ascii="Arial" w:cs="Arial" w:eastAsia="Arial" w:hAnsi="Arial"/>
                  <w:sz w:val="17"/>
                  <w:szCs w:val="17"/>
                  <w:color w:val="0000FF"/>
                </w:rPr>
                <w:t>Item 16. Form 10-K Summary</w:t>
              </w:r>
            </w:hyperlink>
          </w:p>
        </w:tc>
        <w:tc>
          <w:tcPr>
            <w:tcW w:w="1040" w:type="dxa"/>
            <w:vAlign w:val="bottom"/>
            <w:gridSpan w:val="4"/>
            <w:shd w:val="clear" w:color="auto" w:fill="CCEEFF"/>
          </w:tcPr>
          <w:p>
            <w:pPr>
              <w:jc w:val="right"/>
              <w:spacing w:after="0" w:line="194" w:lineRule="exact"/>
              <w:rPr>
                <w:rFonts w:ascii="Arial" w:cs="Arial" w:eastAsia="Arial" w:hAnsi="Arial"/>
                <w:sz w:val="17"/>
                <w:szCs w:val="17"/>
                <w:color w:val="0000FF"/>
              </w:rPr>
            </w:pPr>
            <w:hyperlink w:anchor="page161">
              <w:r>
                <w:rPr>
                  <w:rFonts w:ascii="Arial" w:cs="Arial" w:eastAsia="Arial" w:hAnsi="Arial"/>
                  <w:sz w:val="17"/>
                  <w:szCs w:val="17"/>
                  <w:color w:val="0000FF"/>
                </w:rPr>
                <w:t>161</w:t>
              </w:r>
            </w:hyperlink>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0"/>
              <w:spacing w:after="0" w:line="184" w:lineRule="exact"/>
              <w:rPr>
                <w:rFonts w:ascii="Arial" w:cs="Arial" w:eastAsia="Arial" w:hAnsi="Arial"/>
                <w:sz w:val="17"/>
                <w:szCs w:val="17"/>
                <w:color w:val="0000FF"/>
              </w:rPr>
            </w:pPr>
            <w:hyperlink w:anchor="page162">
              <w:r>
                <w:rPr>
                  <w:rFonts w:ascii="Arial" w:cs="Arial" w:eastAsia="Arial" w:hAnsi="Arial"/>
                  <w:sz w:val="17"/>
                  <w:szCs w:val="17"/>
                  <w:color w:val="0000FF"/>
                </w:rPr>
                <w:t>Signatures</w:t>
              </w:r>
            </w:hyperlink>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9"/>
        </w:trPr>
        <w:tc>
          <w:tcPr>
            <w:tcW w:w="2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OF THE MATERIAL RISKS ASSOCIATED WITH OUR BUSINESS</w:t>
      </w:r>
    </w:p>
    <w:p>
      <w:pPr>
        <w:spacing w:after="0" w:line="272" w:lineRule="exact"/>
        <w:rPr>
          <w:sz w:val="20"/>
          <w:szCs w:val="20"/>
          <w:color w:val="auto"/>
        </w:rPr>
      </w:pPr>
    </w:p>
    <w:p>
      <w:pPr>
        <w:ind w:left="640" w:right="24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clinical-stage biopharmaceutical company and we have incurred significant losses since our inception. We anticipate that we will continue to incur significant losses for the foreseeable future.</w:t>
      </w:r>
    </w:p>
    <w:p>
      <w:pPr>
        <w:spacing w:after="0" w:line="181"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207" w:lineRule="exact"/>
        <w:rPr>
          <w:rFonts w:ascii="Arial" w:cs="Arial" w:eastAsia="Arial" w:hAnsi="Arial"/>
          <w:sz w:val="17"/>
          <w:szCs w:val="17"/>
          <w:color w:val="auto"/>
        </w:rPr>
      </w:pPr>
    </w:p>
    <w:p>
      <w:pPr>
        <w:ind w:left="640" w:right="20" w:hanging="320"/>
        <w:spacing w:after="0" w:line="266"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215" w:lineRule="exact"/>
        <w:rPr>
          <w:rFonts w:ascii="Arial" w:cs="Arial" w:eastAsia="Arial" w:hAnsi="Arial"/>
          <w:sz w:val="17"/>
          <w:szCs w:val="17"/>
          <w:color w:val="auto"/>
        </w:rPr>
      </w:pPr>
    </w:p>
    <w:p>
      <w:pPr>
        <w:jc w:val="both"/>
        <w:ind w:left="640" w:right="120" w:hanging="320"/>
        <w:spacing w:after="0" w:line="266"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215"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markets for our product candidates may be smaller than we expect.</w:t>
      </w:r>
    </w:p>
    <w:p>
      <w:pPr>
        <w:spacing w:after="0" w:line="250" w:lineRule="exact"/>
        <w:rPr>
          <w:rFonts w:ascii="Arial" w:cs="Arial" w:eastAsia="Arial" w:hAnsi="Arial"/>
          <w:sz w:val="17"/>
          <w:szCs w:val="17"/>
          <w:color w:val="auto"/>
        </w:rPr>
      </w:pPr>
    </w:p>
    <w:p>
      <w:pPr>
        <w:ind w:left="640" w:right="140" w:hanging="320"/>
        <w:spacing w:after="0" w:line="263"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18"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207" w:lineRule="exact"/>
        <w:rPr>
          <w:rFonts w:ascii="Arial" w:cs="Arial" w:eastAsia="Arial" w:hAnsi="Arial"/>
          <w:sz w:val="17"/>
          <w:szCs w:val="17"/>
          <w:color w:val="auto"/>
        </w:rPr>
      </w:pPr>
    </w:p>
    <w:p>
      <w:pPr>
        <w:ind w:left="640" w:right="4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and may enter into, license or other collaboration agreements that impose certain obligations on us. If we fail to comply with our obligations under such agreements with third parties, we could lose license rights that may be important to our business.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product discovery and development efforts.</w:t>
      </w:r>
    </w:p>
    <w:p>
      <w:pPr>
        <w:spacing w:after="0" w:line="250" w:lineRule="exact"/>
        <w:rPr>
          <w:rFonts w:ascii="Arial" w:cs="Arial" w:eastAsia="Arial" w:hAnsi="Arial"/>
          <w:sz w:val="17"/>
          <w:szCs w:val="17"/>
          <w:color w:val="auto"/>
        </w:rPr>
      </w:pPr>
    </w:p>
    <w:p>
      <w:pPr>
        <w:ind w:left="640" w:right="200" w:hanging="320"/>
        <w:spacing w:after="0" w:line="266"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215" w:lineRule="exact"/>
        <w:rPr>
          <w:rFonts w:ascii="Arial" w:cs="Arial" w:eastAsia="Arial" w:hAnsi="Arial"/>
          <w:sz w:val="17"/>
          <w:szCs w:val="17"/>
          <w:color w:val="auto"/>
        </w:rPr>
      </w:pPr>
    </w:p>
    <w:p>
      <w:pPr>
        <w:ind w:left="640" w:right="20" w:hanging="320"/>
        <w:spacing w:after="0" w:line="27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COVID-19 or a similar pandemic, epidemic or outbreak of an infectious disease in the United States or worldwide may adversely affect our business.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price of our stock may be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688340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72" w:lineRule="exact"/>
        <w:rPr>
          <w:sz w:val="20"/>
          <w:szCs w:val="20"/>
          <w:color w:val="auto"/>
        </w:rPr>
      </w:pPr>
    </w:p>
    <w:p>
      <w:pPr>
        <w:ind w:firstLine="472"/>
        <w:spacing w:after="0" w:line="261" w:lineRule="auto"/>
        <w:rPr>
          <w:sz w:val="20"/>
          <w:szCs w:val="20"/>
          <w:color w:val="auto"/>
        </w:rPr>
      </w:pPr>
      <w:r>
        <w:rPr>
          <w:rFonts w:ascii="Arial" w:cs="Arial" w:eastAsia="Arial" w:hAnsi="Arial"/>
          <w:sz w:val="17"/>
          <w:szCs w:val="17"/>
          <w:color w:val="auto"/>
        </w:rPr>
        <w:t>This Annual Report on Form 10-K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193" w:lineRule="exact"/>
        <w:rPr>
          <w:sz w:val="20"/>
          <w:szCs w:val="20"/>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cost and timing of our product candidate development activities and clinical trials;</w:t>
      </w:r>
    </w:p>
    <w:p>
      <w:pPr>
        <w:spacing w:after="0" w:line="224"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candidates;</w:t>
      </w:r>
    </w:p>
    <w:p>
      <w:pPr>
        <w:spacing w:after="0" w:line="250" w:lineRule="exact"/>
        <w:rPr>
          <w:rFonts w:ascii="Arial" w:cs="Arial" w:eastAsia="Arial" w:hAnsi="Arial"/>
          <w:sz w:val="17"/>
          <w:szCs w:val="17"/>
          <w:color w:val="auto"/>
        </w:rPr>
      </w:pPr>
    </w:p>
    <w:p>
      <w:pPr>
        <w:ind w:left="640" w:right="28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license additional intellectual property relating to our product candidates from third parties and to comply with our existing license agreements and collaboration agreements;</w:t>
      </w:r>
    </w:p>
    <w:p>
      <w:pPr>
        <w:spacing w:after="0" w:line="207" w:lineRule="exact"/>
        <w:rPr>
          <w:rFonts w:ascii="Arial" w:cs="Arial" w:eastAsia="Arial" w:hAnsi="Arial"/>
          <w:sz w:val="17"/>
          <w:szCs w:val="17"/>
          <w:color w:val="auto"/>
        </w:rPr>
      </w:pPr>
    </w:p>
    <w:p>
      <w:pPr>
        <w:ind w:left="640" w:right="18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and willingness of our third-party research institution collaborators to continue research and development activities relating to our product candidates;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commercialize our product candidates, if approved, in light of the intellectual property rights of others;</w:t>
      </w:r>
    </w:p>
    <w:p>
      <w:pPr>
        <w:spacing w:after="0" w:line="250" w:lineRule="exact"/>
        <w:rPr>
          <w:rFonts w:ascii="Arial" w:cs="Arial" w:eastAsia="Arial" w:hAnsi="Arial"/>
          <w:sz w:val="17"/>
          <w:szCs w:val="17"/>
          <w:color w:val="auto"/>
        </w:rPr>
      </w:pPr>
    </w:p>
    <w:p>
      <w:pPr>
        <w:ind w:left="640" w:right="94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if approved, commercialization of our product candidates;</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research, develop and, if approved, commercialize our product candidates;</w:t>
      </w:r>
    </w:p>
    <w:p>
      <w:pPr>
        <w:spacing w:after="0" w:line="250" w:lineRule="exact"/>
        <w:rPr>
          <w:rFonts w:ascii="Arial" w:cs="Arial" w:eastAsia="Arial" w:hAnsi="Arial"/>
          <w:sz w:val="17"/>
          <w:szCs w:val="17"/>
          <w:color w:val="auto"/>
        </w:rPr>
      </w:pPr>
    </w:p>
    <w:p>
      <w:pPr>
        <w:ind w:left="640" w:right="54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if approved, and any other approved product;</w:t>
      </w:r>
    </w:p>
    <w:p>
      <w:pPr>
        <w:spacing w:after="0" w:line="207"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if approved;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product candidates, if approved;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 and</w:t>
      </w:r>
    </w:p>
    <w:p>
      <w:pPr>
        <w:spacing w:after="0" w:line="250" w:lineRule="exact"/>
        <w:rPr>
          <w:rFonts w:ascii="Arial" w:cs="Arial" w:eastAsia="Arial" w:hAnsi="Arial"/>
          <w:sz w:val="17"/>
          <w:szCs w:val="17"/>
          <w:color w:val="auto"/>
        </w:rPr>
      </w:pPr>
    </w:p>
    <w:p>
      <w:pPr>
        <w:ind w:left="640" w:right="260" w:hanging="320"/>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of the COVID-19 pandemic, including mitigation efforts and economic effects, on any of the foregoing or other aspects of our business operations, including but not limited to our ongoing and planned preclinical studies and clinical trials</w:t>
      </w:r>
    </w:p>
    <w:p>
      <w:pPr>
        <w:spacing w:after="0" w:line="208" w:lineRule="exact"/>
        <w:rPr>
          <w:sz w:val="20"/>
          <w:szCs w:val="20"/>
          <w:color w:val="auto"/>
        </w:rPr>
      </w:pPr>
    </w:p>
    <w:p>
      <w:pPr>
        <w:ind w:right="780" w:firstLine="551"/>
        <w:spacing w:after="0" w:line="275"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511175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226" w:lineRule="exact"/>
        <w:rPr>
          <w:sz w:val="20"/>
          <w:szCs w:val="20"/>
          <w:color w:val="auto"/>
        </w:rPr>
      </w:pPr>
    </w:p>
    <w:p>
      <w:pPr>
        <w:ind w:firstLine="472"/>
        <w:spacing w:after="0" w:line="262" w:lineRule="auto"/>
        <w:rPr>
          <w:sz w:val="20"/>
          <w:szCs w:val="20"/>
          <w:color w:val="auto"/>
        </w:rPr>
      </w:pPr>
      <w:r>
        <w:rPr>
          <w:rFonts w:ascii="Arial" w:cs="Arial" w:eastAsia="Arial" w:hAnsi="Arial"/>
          <w:sz w:val="17"/>
          <w:szCs w:val="17"/>
          <w:color w:val="auto"/>
        </w:rPr>
        <w:t>The forward -looking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18" w:lineRule="exact"/>
        <w:rPr>
          <w:sz w:val="20"/>
          <w:szCs w:val="20"/>
          <w:color w:val="auto"/>
        </w:rPr>
      </w:pPr>
    </w:p>
    <w:p>
      <w:pPr>
        <w:ind w:right="60" w:firstLine="472"/>
        <w:spacing w:after="0" w:line="259"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41"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are a clinical-stage biopharmaceutical company translating genetic insights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disease. We are applying insights from genetic epilepsies to both rare and more prevalent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CNS portfolio with multiple programs, including product candidates across psychiatric disorders, movement disorders, epilepsy and other exploratory CNS indications, with three clinical-stage product candidates. Each of our clinical-stage product candidates is advancing in more than one indication and we anticipate expansion into additional indications. We expect multiple topline readouts from our clinical-stage programs and anticipate the launch of a fourth clinical development program in 2022. In addition, we have established a robust pipeline of preclinical stage programs through internal research and in-licensing.</w:t>
      </w:r>
    </w:p>
    <w:p>
      <w:pPr>
        <w:spacing w:after="0" w:line="92"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Our broad portfolio of CNS programs is currently structured by therapeutic focus in three primary franchises – Psychiatry, Movement Disorders and Epilepsy. In addition, we are pursuing development in other exploratory CNS indications such as rare adult cephalgias. Within our Psychiatry franchise, our most advanced clinical candidate, PRAX-114, is being developed for the treatment of a broad range of patients suffering from major depressive disorder, or MDD and post-traumatic stress disorder, or PTSD. We expect to report topline results from the Aria Study, a Phase 2/3, placebo-controlled study evaluating PRAX-114 for monotherapy treatment of MDD, in the second quarter of 2022. We also expect to report topline results from the Acapella Study, a Phase 2, placebo-controlled, dose-ranging study evaluating PRAX-114 for treatment of MDD, in mid-2022. In addition, we have initiated a Phase 2, placebo-controlled study evaluating PRAX-114 for the treatment of PTSD and expect to report topline results in the second half of 2022.</w:t>
      </w:r>
    </w:p>
    <w:p>
      <w:pPr>
        <w:spacing w:after="0" w:line="89"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Within our Movement Disorders franchise, our second clinical candidate, PRAX-944, is being developed for the treatment of Essential Tremor, or ET, and Parkinson's Disease, or PD. We anticipate reporting topline results from the second cohort of our ongoing Phase 2a trial evaluating PRAX-944 for the treatment of ET in the second quarter of 2022, including both open-label and placebo-controlled, randomized withdrawal period results. We have initiated a Phase 2b, placebo-controlled, dose-range finding trial, the Essential1 Study, to evaluate the tolerability, safety and efficacy of PRAX-944 in adults with ET and we expect to report topline results in the second half of 2022. We also expect to initiate a Phase 2, placebo-controlled, crossover study to evaluate the safety, pharmacokinetics, or PK, and efficacy of daytime dosing of PRAX-114 for the treatment of ET in the first quarter of 2022 and expect to report topline results in the second half of 2022. We expect to initiate a Phase 2, placebo-controlled trial to evaluate the safety, PK and efficacy of PRAX-944 as a non-dopaminergic treatment for the motor symptoms of PD in the second quarter of 2022.</w:t>
      </w:r>
    </w:p>
    <w:p>
      <w:pPr>
        <w:spacing w:after="0" w:line="299" w:lineRule="exact"/>
        <w:rPr>
          <w:sz w:val="20"/>
          <w:szCs w:val="20"/>
          <w:color w:val="auto"/>
        </w:rPr>
      </w:pPr>
    </w:p>
    <w:p>
      <w:pPr>
        <w:jc w:val="both"/>
        <w:ind w:right="160" w:firstLine="433"/>
        <w:spacing w:after="0" w:line="266" w:lineRule="auto"/>
        <w:rPr>
          <w:sz w:val="20"/>
          <w:szCs w:val="20"/>
          <w:color w:val="auto"/>
        </w:rPr>
      </w:pPr>
      <w:r>
        <w:rPr>
          <w:rFonts w:ascii="Arial" w:cs="Arial" w:eastAsia="Arial" w:hAnsi="Arial"/>
          <w:sz w:val="17"/>
          <w:szCs w:val="17"/>
          <w:color w:val="auto"/>
        </w:rPr>
        <w:t>Within our Epilepsy franchise, we expect to initiate a Phase 2 study with our third clinical-stage candidate, PRAX-562, in patients with rare pediatric Developmental and Epileptic Encephalopathies, or DEEs, in the second quarter of 2022. Our most advanced preclinical stage product candidate within our Epilepsy franchise, PRAX-222, is an antisense oligonucleotide, or ASO, designed to decrease the expression levels of the</w:t>
      </w:r>
    </w:p>
    <w:p>
      <w:pPr>
        <w:spacing w:after="0" w:line="1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protein encoded by the gene SCN2A in patients with gain-of-function, or GOF, SCN2A mutations. We expect to initiate a seamless study of PRAX-222 in the second quarter of 2022, which would be our fourth program to reach clinical stage. We also expect to initiate a Phase 2 proof-of-concept, or POC, clinical trial evaluating PRAX-562 in patients with rare adult cephalgias in the first quarter of 2022. In addition, our preclinical pipeline consists of PRAX-628, a product candidate nominated in the fourth quarter of 2021 for focal epilepsy, a discovery program in development for KCNT1 related epilepsy, three ASOs targeting SCN2A in patients with loss-of-function, or LOF, mutations, PCDH19 and SYNGAP1, and three additional discovery programs for undisclosed targets in psychiatry, movement disorders and epilepsy.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w:t>
      </w:r>
    </w:p>
    <w:p>
      <w:pPr>
        <w:spacing w:after="0" w:line="141" w:lineRule="exact"/>
        <w:rPr>
          <w:sz w:val="20"/>
          <w:szCs w:val="20"/>
          <w:color w:val="auto"/>
        </w:rPr>
      </w:pPr>
    </w:p>
    <w:p>
      <w:pPr>
        <w:ind w:right="160" w:firstLine="393"/>
        <w:spacing w:after="0" w:line="275" w:lineRule="auto"/>
        <w:rPr>
          <w:sz w:val="20"/>
          <w:szCs w:val="20"/>
          <w:color w:val="auto"/>
        </w:rPr>
      </w:pPr>
      <w:r>
        <w:rPr>
          <w:rFonts w:ascii="Arial" w:cs="Arial" w:eastAsia="Arial" w:hAnsi="Arial"/>
          <w:sz w:val="17"/>
          <w:szCs w:val="17"/>
          <w:color w:val="auto"/>
        </w:rPr>
        <w:t>Each of our programs is based on four key principles that we believe will both increase the probability of success and allow us to efficiently translate insights into high-impact therapies for patients and society:</w:t>
      </w:r>
    </w:p>
    <w:p>
      <w:pPr>
        <w:spacing w:after="0" w:line="57" w:lineRule="exact"/>
        <w:rPr>
          <w:sz w:val="20"/>
          <w:szCs w:val="20"/>
          <w:color w:val="auto"/>
        </w:rPr>
      </w:pPr>
    </w:p>
    <w:p>
      <w:pPr>
        <w:ind w:left="640" w:hanging="320"/>
        <w:spacing w:after="0" w:line="264" w:lineRule="auto"/>
        <w:tabs>
          <w:tab w:leader="none" w:pos="6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therapeutic targets identified through human genetics. </w:t>
      </w:r>
      <w:r>
        <w:rPr>
          <w:rFonts w:ascii="Arial" w:cs="Arial" w:eastAsia="Arial" w:hAnsi="Arial"/>
          <w:sz w:val="17"/>
          <w:szCs w:val="17"/>
          <w:color w:val="auto"/>
        </w:rPr>
        <w:t>Numerous CNS disorders are caused by an imbalance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excitation and inhibition in neuronal circuitry. By applying insights derived from the genetics of pediatric epilepsies, we have identified biological targets that we believe are implicated in determining neuronal excitability, not only in epilepsies, but also in a variety of rare and more prevalent CNS disorders. For example, human genetics points to the relevance of the GABAergic system where mutations in GABA</w:t>
      </w:r>
      <w:r>
        <w:rPr>
          <w:rFonts w:ascii="Arial" w:cs="Arial" w:eastAsia="Arial" w:hAnsi="Arial"/>
          <w:sz w:val="15"/>
          <w:szCs w:val="15"/>
          <w:color w:val="auto"/>
        </w:rPr>
        <w:t>A</w:t>
      </w:r>
      <w:r>
        <w:rPr>
          <w:rFonts w:ascii="Arial" w:cs="Arial" w:eastAsia="Arial" w:hAnsi="Arial"/>
          <w:sz w:val="17"/>
          <w:szCs w:val="17"/>
          <w:color w:val="auto"/>
        </w:rPr>
        <w:t xml:space="preserve"> receptors are associated with a number of rare pediatric epilepsies. The GABAergic system is also implicated in MDD, where enhancing GABA</w:t>
      </w:r>
      <w:r>
        <w:rPr>
          <w:rFonts w:ascii="Arial" w:cs="Arial" w:eastAsia="Arial" w:hAnsi="Arial"/>
          <w:sz w:val="15"/>
          <w:szCs w:val="15"/>
          <w:color w:val="auto"/>
        </w:rPr>
        <w:t>A</w:t>
      </w:r>
      <w:r>
        <w:rPr>
          <w:rFonts w:ascii="Arial" w:cs="Arial" w:eastAsia="Arial" w:hAnsi="Arial"/>
          <w:sz w:val="17"/>
          <w:szCs w:val="17"/>
          <w:color w:val="auto"/>
        </w:rPr>
        <w:t xml:space="preserve"> activity is believed to be beneficial. As our understanding of the genetic underpinning of these disorders evolves, we plan to continually apply learnings to expand and advance our portfolio.</w:t>
      </w:r>
    </w:p>
    <w:p>
      <w:pPr>
        <w:spacing w:after="0" w:line="68" w:lineRule="exact"/>
        <w:rPr>
          <w:rFonts w:ascii="Arial" w:cs="Arial" w:eastAsia="Arial" w:hAnsi="Arial"/>
          <w:sz w:val="17"/>
          <w:szCs w:val="17"/>
          <w:color w:val="auto"/>
        </w:rPr>
      </w:pPr>
    </w:p>
    <w:p>
      <w:pPr>
        <w:ind w:left="640" w:right="120" w:hanging="320"/>
        <w:spacing w:after="0" w:line="266" w:lineRule="auto"/>
        <w:tabs>
          <w:tab w:leader="none" w:pos="6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Utilize translational tools to validate the potential of our targets and product candidates. </w:t>
      </w:r>
      <w:r>
        <w:rPr>
          <w:rFonts w:ascii="Arial" w:cs="Arial" w:eastAsia="Arial" w:hAnsi="Arial"/>
          <w:sz w:val="17"/>
          <w:szCs w:val="17"/>
          <w:color w:val="auto"/>
        </w:rPr>
        <w:t>We leverage a number of translational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tools to both confirm pharmacodynamic effects of our product candidates in the brain and establish on-mechanism effects, which we believe will result in an increased probability of success in the clinic. Our programs utilize target-specific electroencephalogram, or EEG, endpoints to serve as robust markers of pharmacological engagement of the drug target and novel transgenic animal models to assess the therapeutic activity of our molecules. We expect these tools, along with rigorous preclinical PK and pharmacodynamic characterization of our molecules will position us to more efficiently translate preclinical findings into clinical utility.</w:t>
      </w:r>
    </w:p>
    <w:p>
      <w:pPr>
        <w:spacing w:after="0" w:line="63" w:lineRule="exact"/>
        <w:rPr>
          <w:rFonts w:ascii="Arial" w:cs="Arial" w:eastAsia="Arial" w:hAnsi="Arial"/>
          <w:sz w:val="17"/>
          <w:szCs w:val="17"/>
          <w:color w:val="auto"/>
        </w:rPr>
      </w:pPr>
    </w:p>
    <w:p>
      <w:pPr>
        <w:ind w:left="640" w:right="180" w:hanging="320"/>
        <w:spacing w:after="0" w:line="264" w:lineRule="auto"/>
        <w:tabs>
          <w:tab w:leader="none" w:pos="6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Pursue efficient, rigorous clinical development paths to proof-of-concept in humans</w:t>
      </w:r>
      <w:r>
        <w:rPr>
          <w:rFonts w:ascii="Arial" w:cs="Arial" w:eastAsia="Arial" w:hAnsi="Arial"/>
          <w:sz w:val="17"/>
          <w:szCs w:val="17"/>
          <w:color w:val="auto"/>
        </w:rPr>
        <w:t>. Our development strategies are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defining efficient paths to demonstrate the safety and therapeutic activity of our programs in humans. We select indications that we believe will enable the early demonstration of desired effect in a relatively small patient sample and we focus on clinical endpoints that both minimize inter-patient variability and offer a clear connection between pharmacodynamic effects and clinical measures that are meaningful to patients, physicians and regulatory agencies. Our global network of contract research organizations, or CROs, and scientists affords us the flexibility to conduct research and development activities in diverse geographic locations to accelerate our development timelines and limit geographic risks.</w:t>
      </w:r>
    </w:p>
    <w:p>
      <w:pPr>
        <w:spacing w:after="0" w:line="107" w:lineRule="exact"/>
        <w:rPr>
          <w:rFonts w:ascii="Arial" w:cs="Arial" w:eastAsia="Arial" w:hAnsi="Arial"/>
          <w:sz w:val="17"/>
          <w:szCs w:val="17"/>
          <w:color w:val="auto"/>
        </w:rPr>
      </w:pPr>
    </w:p>
    <w:p>
      <w:pPr>
        <w:ind w:left="640" w:right="40" w:hanging="320"/>
        <w:spacing w:after="0" w:line="271" w:lineRule="auto"/>
        <w:tabs>
          <w:tab w:leader="none" w:pos="628"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Apply patient-guided development strategies. </w:t>
      </w:r>
      <w:r>
        <w:rPr>
          <w:rFonts w:ascii="Arial" w:cs="Arial" w:eastAsia="Arial" w:hAnsi="Arial"/>
          <w:sz w:val="17"/>
          <w:szCs w:val="17"/>
          <w:color w:val="auto"/>
        </w:rPr>
        <w:t>We pursue the development of candidates that address the treatment needs of patients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treating community, including targeting the underlying disease pathology versus just symptom management. We intend to develop therapies that provide patients long-term relief from their disorders and significantly reduce the overall burden to patients and caregivers. Our development strategies are tailored to demonstrate these benefits.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Portfolio</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is a summary of our portfolio. We own global commercialization rights for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76200</wp:posOffset>
            </wp:positionV>
            <wp:extent cx="5695950" cy="2955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5950" cy="295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SCN2A-LOF, SYNGAP1 and PCDH19 ASOs are being developed in collaboration with collaboration with The Florey Institute.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PSYCHIATRY</w:t>
      </w:r>
    </w:p>
    <w:p>
      <w:pPr>
        <w:spacing w:after="0" w:line="141"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We are developing PRAX-114, an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preferring positive allosteric modulator, or PAM, for the treatment of a broad range of patients suffering from MDD and PTSD. We believe that PRAX-114 has several advantages relative to currently available therapies and product candidates in the GABAA PAM therapeutic class, including the potential for rapid and durable antidepressant effect across MDD symptoms, a wider therapeutic window, simple nightly dosing with or without a meal via a tablet formulation and the potential for a differentiated tolerability profile. We have been diligently pursuing our strategy to advance PRAX-114 towards regulatory approval and commercialization to support a broad label in MDD that can be easily integrated into standard clinical practice. We intend to develop PRAX-114 as both a monotherapy and adjunctive therapy for MDD, and, if approved, commercialize it in the United States and explore opportunities to expand value in other countries. PRAX-114 is also being evaluated in a Phase 2 POC study for the treatment of PTSD. We believe that treatment of PTSD with a GABA</w:t>
      </w:r>
      <w:r>
        <w:rPr>
          <w:rFonts w:ascii="Arial" w:cs="Arial" w:eastAsia="Arial" w:hAnsi="Arial"/>
          <w:sz w:val="15"/>
          <w:szCs w:val="15"/>
          <w:color w:val="auto"/>
        </w:rPr>
        <w:t>A</w:t>
      </w:r>
      <w:r>
        <w:rPr>
          <w:rFonts w:ascii="Arial" w:cs="Arial" w:eastAsia="Arial" w:hAnsi="Arial"/>
          <w:sz w:val="17"/>
          <w:szCs w:val="17"/>
          <w:color w:val="auto"/>
        </w:rPr>
        <w:t xml:space="preserve"> PAM has the potential to both address the underlying pathophysiology of the disorder more directly than standard of care treatments and address multiple unmet medical needs in this population. We intend to demonstrate POC for PRAX-114 for the treatment of PTSD and subsequently determine development and regulatory pathways. We are also assessing the potential development of PRAX-114 in additional indications.</w:t>
      </w:r>
    </w:p>
    <w:p>
      <w:pPr>
        <w:spacing w:after="0" w:line="302" w:lineRule="exact"/>
        <w:rPr>
          <w:sz w:val="20"/>
          <w:szCs w:val="20"/>
          <w:color w:val="auto"/>
        </w:rPr>
      </w:pPr>
    </w:p>
    <w:p>
      <w:pPr>
        <w:ind w:right="140" w:firstLine="433"/>
        <w:spacing w:after="0" w:line="259" w:lineRule="auto"/>
        <w:rPr>
          <w:sz w:val="20"/>
          <w:szCs w:val="20"/>
          <w:color w:val="auto"/>
        </w:rPr>
      </w:pPr>
      <w:r>
        <w:rPr>
          <w:rFonts w:ascii="Arial" w:cs="Arial" w:eastAsia="Arial" w:hAnsi="Arial"/>
          <w:sz w:val="17"/>
          <w:szCs w:val="17"/>
          <w:color w:val="auto"/>
        </w:rPr>
        <w:t>PRAX-114 is currently in the registration-enabling phase of development for treatment of patients with MDD. We are conducting a Phase 2/3, placebo-controlled study, the Aria Study, to assess the efficacy and safety of 40mg of PRAX-114 for monotherapy treatment of MDD and expect to report topline results in the second quarter of 2022. The Aria Study is intended to serve as one of two trials required by the U.S. Food and Drug Administration, or the FDA, to demonstrate clinical efficacy to support registration of PRAX-114 for treatment of MDD. We are also conducting a Phase 2, placebo-controlled, dose-ranging study evaluating PRAX-114 for treatment of MDD, the Acapella Study, and expect to report topline results in mid-2022. The Acapella Study is intended to provide additional understanding of the dose range and to evaluate the safety and efficacy of PRAX-114 at doses of 10, 20, 40 and 60mg. We completed a multi-cohort, three-part Phase 2a clinical trial in Australia, in which Parts A and C of the trial treated patients with MDD while Part B focused on patients with perimenopausal depression, or PMD. For all parts of the trial, PRAX-114 was generally well-tolerated and demonstrated a rapid antidepressant effect that was maintained throughout the treatment period. We also observed improvements in menopausal and mood symptoms in patients with PMD and are assessing further development options based on this finding. In addition, we initiated a Phase 2, placebo-controlled study evaluating PRAX-114 for treatment of PTSD in the fourth quarter of 2021 and expect to report topline results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Depressive Disorder</w:t>
      </w:r>
    </w:p>
    <w:p>
      <w:pPr>
        <w:spacing w:after="0" w:line="141"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MDD is a chronic psychiatric condition causing severe impairments that interfere with the ability to carry out life activities. An MDD episode is characterized by a period of at least two weeks of persistent depressed mood and/or the loss of interest or pleasure in activities, accompanied by sleep and appetite disturbance, fatigue, concentration difficulty, cognitive impairment, feelings of guilt, psychomotor retardation or agitation and suicidal ideation. MDD is one of the most prevalent psychiatric disorders. In the United States, approximately 19 million adults, or seven percent of the adult population suffer from an episode of MDD every year, with episodes lasting on average six to eight months. It is estimated that MDD affects more than 300 million people worldwide. Moreover, the prevalence of depression has increased during the COVID-19 pandemic in the United States and globally. In the United States, depression symptoms have increased by more than 3-fold overall during the COVID-19 pandemic. The most dramatic increases are reported in moderate, moderately severe and severe depression symptoms, with a 2.6-fold, 3.7-fold, and 7.5-fold rise, respectively, relative to a pre-COVID-19 pandemic period.</w:t>
      </w:r>
    </w:p>
    <w:p>
      <w:pPr>
        <w:spacing w:after="0" w:line="95"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MDD is a recurrent psychiatric condition that frequently requires long-term treatment, with the ultimate goal of achieving remission. MDD is associated with an elevated risk of suicide, underscoring the need for rapid and effective treatment. The most explored pharmacological mechanisms for treating MDD target monoamine neurotransmitters. Drugs in this class include selective serotonin reuptake inhibitors, or SSRIs, serotonin and norepinephrine reuptake inhibitors, or SNRIs, bupropion and atypical antipsychotic medications. SSRIs and SNRIs are associated with significant side effects, including weight gain, sexual dysfunction, drowsiness, nausea, insomnia and discontinuation syndrome. Atypical antipsychotics indicated for adjunctive treatment of insufficient clinical response are associated with weight gain, sexual dysfunction, metabolic syndrome and movement disorders. The side effect profile of current antidepressant standard of care negatively impacts treatment outcomes, quality of life and adherence in MDD patients.</w:t>
      </w:r>
    </w:p>
    <w:p>
      <w:pPr>
        <w:spacing w:after="0" w:line="89"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Approximately 70% of MDD patients fail to achieve remission with first line treatment. Further, those patients that are responsive typically require approximately six to eight weeks of treatment to show a clinically meaningful response. Slow onset of action is a substantial unmet need in MDD, with some of the most commonly prescribed antidepressants showing a reduction in the Hamilton Depression Scale, or HAM-D, of approximately 6- to 8-points and a difference from placebo of approximately 1-2 points at Week 2. The HAM-D is one of the most widely-used clinical rating scales for depression and includes 17 items used for scoring over a wide range of symptoms typically found with depression including mood, suicidal thoughts, insomnia, anxiety, loss of appetite and weight loss. Patients with more severe depression have higher scores. Moreover, approximately 40% of patients on therapy discontinued treatment due to either a loss of response or adverse side effects. Finally, 33% of patients failed to respond after treatment with three or more different standard of care therapies.</w:t>
      </w:r>
    </w:p>
    <w:p>
      <w:pPr>
        <w:spacing w:after="0" w:line="89"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Among the MDD patients who experience a response to treatment, the majority do not achieve remission. Even for patients deemed responsive, disease burden often persists through the presence of residual depression symptoms that lead to an ongoing negative impact on home, interpersonal and occupational functioning, as well as a significantly increased risk of relapse of the full depressive syndrome and worse comorbid outcomes, including suicide.</w:t>
      </w:r>
    </w:p>
    <w:p>
      <w:pPr>
        <w:spacing w:after="0" w:line="87"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Despite the numerous and long-standing antidepressant treatment options, there continues to be an unmet need for antidepressants that provide rapid onset of effect, higher remission rates, efficacy throughout the depressive episode and an improved tolerability profile that is aligned with the clinical care and the course of MDD and its accompanying comorbid symptoms.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GABA</w:t>
      </w:r>
      <w:r>
        <w:rPr>
          <w:rFonts w:ascii="Arial" w:cs="Arial" w:eastAsia="Arial" w:hAnsi="Arial"/>
          <w:sz w:val="15"/>
          <w:szCs w:val="15"/>
          <w:b w:val="1"/>
          <w:bCs w:val="1"/>
          <w:i w:val="1"/>
          <w:iCs w:val="1"/>
          <w:color w:val="auto"/>
        </w:rPr>
        <w:t>A</w:t>
      </w:r>
      <w:r>
        <w:rPr>
          <w:rFonts w:ascii="Arial" w:cs="Arial" w:eastAsia="Arial" w:hAnsi="Arial"/>
          <w:sz w:val="17"/>
          <w:szCs w:val="17"/>
          <w:b w:val="1"/>
          <w:bCs w:val="1"/>
          <w:i w:val="1"/>
          <w:iCs w:val="1"/>
          <w:color w:val="auto"/>
        </w:rPr>
        <w:t xml:space="preserve"> in depression</w:t>
      </w:r>
    </w:p>
    <w:p>
      <w:pPr>
        <w:spacing w:after="0" w:line="139" w:lineRule="exact"/>
        <w:rPr>
          <w:sz w:val="20"/>
          <w:szCs w:val="20"/>
          <w:color w:val="auto"/>
        </w:rPr>
      </w:pPr>
    </w:p>
    <w:p>
      <w:pPr>
        <w:ind w:right="300" w:firstLine="393"/>
        <w:spacing w:after="0" w:line="262" w:lineRule="auto"/>
        <w:rPr>
          <w:sz w:val="20"/>
          <w:szCs w:val="20"/>
          <w:color w:val="auto"/>
        </w:rPr>
      </w:pPr>
      <w:r>
        <w:rPr>
          <w:rFonts w:ascii="Arial" w:cs="Arial" w:eastAsia="Arial" w:hAnsi="Arial"/>
          <w:sz w:val="17"/>
          <w:szCs w:val="17"/>
          <w:color w:val="auto"/>
        </w:rPr>
        <w:t>Gamma-aminobutyric acid, or GABA, is the principal neurotransmitter mediating neuronal inhibition in the brain. Neurons that produce GABA, known as GABAergic neurons, are present throughout the brain, representing between 20% and 40% of all neurons depending on the region. Their primary role is to balance and fine tune excitatory neurotransmission of various neuronal circuits. Whole-exome sequencing has identified GABA</w:t>
      </w:r>
      <w:r>
        <w:rPr>
          <w:rFonts w:ascii="Arial" w:cs="Arial" w:eastAsia="Arial" w:hAnsi="Arial"/>
          <w:sz w:val="15"/>
          <w:szCs w:val="15"/>
          <w:color w:val="auto"/>
        </w:rPr>
        <w:t>A</w:t>
      </w:r>
      <w:r>
        <w:rPr>
          <w:rFonts w:ascii="Arial" w:cs="Arial" w:eastAsia="Arial" w:hAnsi="Arial"/>
          <w:sz w:val="17"/>
          <w:szCs w:val="17"/>
          <w:color w:val="auto"/>
        </w:rPr>
        <w:t xml:space="preserve"> receptor mutations as an important cause in a range of neurological conditions, underscoring their importance as central regulators of excitatory and inhibitory balance in the brain.</w:t>
      </w:r>
    </w:p>
    <w:p>
      <w:pPr>
        <w:spacing w:after="0" w:line="87" w:lineRule="exact"/>
        <w:rPr>
          <w:sz w:val="20"/>
          <w:szCs w:val="20"/>
          <w:color w:val="auto"/>
        </w:rPr>
      </w:pPr>
    </w:p>
    <w:p>
      <w:pPr>
        <w:ind w:right="260" w:firstLine="433"/>
        <w:spacing w:after="0" w:line="262" w:lineRule="auto"/>
        <w:rPr>
          <w:sz w:val="20"/>
          <w:szCs w:val="20"/>
          <w:color w:val="auto"/>
        </w:rPr>
      </w:pPr>
      <w:r>
        <w:rPr>
          <w:rFonts w:ascii="Arial" w:cs="Arial" w:eastAsia="Arial" w:hAnsi="Arial"/>
          <w:sz w:val="17"/>
          <w:szCs w:val="17"/>
          <w:color w:val="auto"/>
        </w:rPr>
        <w:t>It is well established that GABAergic signaling is impaired in patients with MDD and other stress-related mood disorders. GABA levels, levels of the GABA synthesizing enzyme GAD67, as well as GABA</w:t>
      </w:r>
      <w:r>
        <w:rPr>
          <w:rFonts w:ascii="Arial" w:cs="Arial" w:eastAsia="Arial" w:hAnsi="Arial"/>
          <w:sz w:val="15"/>
          <w:szCs w:val="15"/>
          <w:color w:val="auto"/>
        </w:rPr>
        <w:t>A</w:t>
      </w:r>
      <w:r>
        <w:rPr>
          <w:rFonts w:ascii="Arial" w:cs="Arial" w:eastAsia="Arial" w:hAnsi="Arial"/>
          <w:sz w:val="17"/>
          <w:szCs w:val="17"/>
          <w:color w:val="auto"/>
        </w:rPr>
        <w:t xml:space="preserve"> receptor levels, have been shown to be reduced in brains of patients with MDD. In addition, decreased GABAergic neuron function, most notably in the prefrontal cortex, has been documented in MDD patients and in preclinical animal models of depression. Endogenous neuroactive steroids, or NAS, such as allopregnanolone and pregnanolone or synthetic derivatives thereof, such as PRAX-114, have been shown to potentiate the activity of GABA</w:t>
      </w:r>
      <w:r>
        <w:rPr>
          <w:rFonts w:ascii="Arial" w:cs="Arial" w:eastAsia="Arial" w:hAnsi="Arial"/>
          <w:sz w:val="15"/>
          <w:szCs w:val="15"/>
          <w:color w:val="auto"/>
        </w:rPr>
        <w:t>A</w:t>
      </w:r>
      <w:r>
        <w:rPr>
          <w:rFonts w:ascii="Arial" w:cs="Arial" w:eastAsia="Arial" w:hAnsi="Arial"/>
          <w:sz w:val="17"/>
          <w:szCs w:val="17"/>
          <w:color w:val="auto"/>
        </w:rPr>
        <w:t xml:space="preserve"> receptors. Both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human and animal data reveal an important role for NAS in these GABAergic deficits and levels of endogenous NAS are decreased in individuals with MDD.</w:t>
      </w:r>
    </w:p>
    <w:p>
      <w:pPr>
        <w:spacing w:after="0" w:line="77" w:lineRule="exact"/>
        <w:rPr>
          <w:sz w:val="20"/>
          <w:szCs w:val="20"/>
          <w:color w:val="auto"/>
        </w:rPr>
      </w:pPr>
    </w:p>
    <w:p>
      <w:pPr>
        <w:ind w:right="120" w:firstLine="433"/>
        <w:spacing w:after="0" w:line="261" w:lineRule="auto"/>
        <w:rPr>
          <w:sz w:val="20"/>
          <w:szCs w:val="20"/>
          <w:color w:val="auto"/>
        </w:rPr>
      </w:pPr>
      <w:r>
        <w:rPr>
          <w:rFonts w:ascii="Arial" w:cs="Arial" w:eastAsia="Arial" w:hAnsi="Arial"/>
          <w:sz w:val="17"/>
          <w:szCs w:val="17"/>
          <w:color w:val="auto"/>
        </w:rPr>
        <w:t>Of particular relevance to PRAX-114 is the more recently established link between GABAergic signaling, neuroactive steroid levels and stress—a well-established risk factor for MDD and other mood disorders. In preclinical models, exposure to chronic stress leads to reduced neuroactive steroid biosynthesis and reduced GABAergic inhibition in depression-relevant brain circuits. This ultimately results in increased anxiety and depression-like behaviors. In particular, it has been shown that stress causes long-lasting loss of GABAergic inhibition in the amygdala, a brain region central to the stress response involved in controlling emotions. This reduced inhibition causes increased activity of the amygdala and is associated with an exaggerated stress hormone response.</w:t>
      </w:r>
    </w:p>
    <w:p>
      <w:pPr>
        <w:spacing w:after="0" w:line="88" w:lineRule="exact"/>
        <w:rPr>
          <w:sz w:val="20"/>
          <w:szCs w:val="20"/>
          <w:color w:val="auto"/>
        </w:rPr>
      </w:pPr>
    </w:p>
    <w:p>
      <w:pPr>
        <w:ind w:right="480" w:firstLine="393"/>
        <w:spacing w:after="0" w:line="275" w:lineRule="auto"/>
        <w:rPr>
          <w:sz w:val="20"/>
          <w:szCs w:val="20"/>
          <w:color w:val="auto"/>
        </w:rPr>
      </w:pPr>
      <w:r>
        <w:rPr>
          <w:rFonts w:ascii="Arial" w:cs="Arial" w:eastAsia="Arial" w:hAnsi="Arial"/>
          <w:sz w:val="17"/>
          <w:szCs w:val="17"/>
          <w:color w:val="auto"/>
        </w:rPr>
        <w:t>We believe that enhancing modulation of GABA</w:t>
      </w:r>
      <w:r>
        <w:rPr>
          <w:rFonts w:ascii="Arial" w:cs="Arial" w:eastAsia="Arial" w:hAnsi="Arial"/>
          <w:sz w:val="15"/>
          <w:szCs w:val="15"/>
          <w:color w:val="auto"/>
        </w:rPr>
        <w:t>A</w:t>
      </w:r>
      <w:r>
        <w:rPr>
          <w:rFonts w:ascii="Arial" w:cs="Arial" w:eastAsia="Arial" w:hAnsi="Arial"/>
          <w:sz w:val="17"/>
          <w:szCs w:val="17"/>
          <w:color w:val="auto"/>
        </w:rPr>
        <w:t xml:space="preserve"> receptors in patients with depression and anxiety has the potential to restore normal function in these circuits, leading to broad applications in mood and anxiety disorders.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Post-Traumatic Stress Disorder</w:t>
      </w:r>
    </w:p>
    <w:p>
      <w:pPr>
        <w:spacing w:after="0" w:line="141"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PTSD is a chronic disorder occurring after direct or indirect exposure to psychological trauma. PTSD is characterized by re-experiencing aspects of the original trauma, avoidance of trauma reminders, anhedonic or dysphoric mood states, and/or negative thoughts or feelings that began or worsened after the trauma and trauma-related hyperarousal and hypervigilance. Problems with sleep onset and maintenance are common and may be associated with nightmares, safety concerns, or a generalized elevated arousal that interferes with sleep. PTSD is frequently associated with impairment in many aspects of daily functioning, including self-care, home functioning, relationships, and social interactions. Common occupational impacts include higher rates of sick leave, failure to return to work and reduced work performance that is correlated with PTSD symptom severity. Failure to achieve remission of PTSD is associated with ongoing functional impairment as well as subjective distress. Even with effective medication or psychotherapy treatment, hyperarousal symptoms such as irritability/anger, insomnia and nightmares often persist even when other symptoms have been adequately treated, with greater than half of patients reporting these residual symptoms even when they no longer meet diagnostic criteria. Continued sleep disruption can prolong other PTSD symptoms and increase risk of conditions frequently comorbid with PTSD such as severe chronic insomnia disorder, MDD and substance use disorders.</w:t>
      </w:r>
    </w:p>
    <w:p>
      <w:pPr>
        <w:spacing w:after="0" w:line="92" w:lineRule="exact"/>
        <w:rPr>
          <w:sz w:val="20"/>
          <w:szCs w:val="20"/>
          <w:color w:val="auto"/>
        </w:rPr>
      </w:pPr>
    </w:p>
    <w:p>
      <w:pPr>
        <w:ind w:right="120" w:firstLine="393"/>
        <w:spacing w:after="0" w:line="210" w:lineRule="exact"/>
        <w:rPr>
          <w:sz w:val="20"/>
          <w:szCs w:val="20"/>
          <w:color w:val="auto"/>
        </w:rPr>
      </w:pPr>
      <w:r>
        <w:rPr>
          <w:rFonts w:ascii="Arial" w:cs="Arial" w:eastAsia="Arial" w:hAnsi="Arial"/>
          <w:sz w:val="17"/>
          <w:szCs w:val="17"/>
          <w:color w:val="auto"/>
        </w:rPr>
        <w:t>Despite the prevalence and negative impact of PTSD, there are few available pharmacotherapies for this disorder and their ef</w:t>
      </w:r>
      <w:r>
        <w:rPr>
          <w:rFonts w:ascii="Arial Unicode MS" w:cs="Arial Unicode MS" w:eastAsia="Arial Unicode MS" w:hAnsi="Arial Unicode MS"/>
          <w:sz w:val="17"/>
          <w:szCs w:val="17"/>
          <w:color w:val="auto"/>
        </w:rPr>
        <w:t></w:t>
      </w:r>
      <w:r>
        <w:rPr>
          <w:rFonts w:ascii="Arial" w:cs="Arial" w:eastAsia="Arial" w:hAnsi="Arial"/>
          <w:sz w:val="17"/>
          <w:szCs w:val="17"/>
          <w:color w:val="auto"/>
        </w:rPr>
        <w:t>cacy has substantial limitations. Only two medications are approved by the FDA for PTSD treatment (paroxetine and sertraline), and only a few additional medications (including fluoxetine and venlafaxine) have shown at least modest efficacy in the treatment of the disorder. The rate of response to SSRIs is at most 60%, and only 20 to 30% of those treated achieve symptomatic remission following pharmacotherapy. Achieving maximal improvement (even to incomplete response) with available medications can take months. In addition to the slow onset of efficacy for core PTSD symptoms, these treatments have adverse event, or AE, profiles including the potential to increase insomnia and anxiety symptoms during treatment initiation. The slow onset of efficacy and potential for increasing insomnia and anxiety symptoms lead a substantial proportion of patients to discontinue treatment. We believe this highlights the unmet medical need for a rapid onset treatment that can improve insomnia and anxiety symptoms both to ease subjective distress and support adherence with treatment.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GABA</w:t>
      </w:r>
      <w:r>
        <w:rPr>
          <w:rFonts w:ascii="Arial" w:cs="Arial" w:eastAsia="Arial" w:hAnsi="Arial"/>
          <w:sz w:val="15"/>
          <w:szCs w:val="15"/>
          <w:b w:val="1"/>
          <w:bCs w:val="1"/>
          <w:i w:val="1"/>
          <w:iCs w:val="1"/>
          <w:color w:val="auto"/>
        </w:rPr>
        <w:t>A</w:t>
      </w:r>
      <w:r>
        <w:rPr>
          <w:rFonts w:ascii="Arial" w:cs="Arial" w:eastAsia="Arial" w:hAnsi="Arial"/>
          <w:sz w:val="17"/>
          <w:szCs w:val="17"/>
          <w:b w:val="1"/>
          <w:bCs w:val="1"/>
          <w:i w:val="1"/>
          <w:iCs w:val="1"/>
          <w:color w:val="auto"/>
        </w:rPr>
        <w:t xml:space="preserve"> in PTSD</w:t>
      </w:r>
    </w:p>
    <w:p>
      <w:pPr>
        <w:spacing w:after="0" w:line="139"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Based on findings from third party studies, we believe there is a compelling rationale for alterations in GABAergic transmission associated with the pathophysiology of PTSD. These findings include reduced levels of plasma and cortical GABA seen in the insula and anterior cingulate cortex of veterans exposed to trauma. Additionally, in military service members with PTSD, lower brain levels of GABA in the parieto-occipital cortex were negatively correlated with and mediated by scores on the Insomnia Severity Index. Using transcranial magnetic stimulation, paired-pulse short- latency intracortical inhibition (an effect believed to reflect GABA</w:t>
      </w:r>
      <w:r>
        <w:rPr>
          <w:rFonts w:ascii="Arial" w:cs="Arial" w:eastAsia="Arial" w:hAnsi="Arial"/>
          <w:sz w:val="15"/>
          <w:szCs w:val="15"/>
          <w:color w:val="auto"/>
        </w:rPr>
        <w:t>A</w:t>
      </w:r>
      <w:r>
        <w:rPr>
          <w:rFonts w:ascii="Arial" w:cs="Arial" w:eastAsia="Arial" w:hAnsi="Arial"/>
          <w:sz w:val="17"/>
          <w:szCs w:val="17"/>
          <w:color w:val="auto"/>
        </w:rPr>
        <w:t>-mediated inhibition) was decreased in patients with PTSD relative to matched healthy controls.</w:t>
      </w:r>
    </w:p>
    <w:p>
      <w:pPr>
        <w:spacing w:after="0" w:line="88" w:lineRule="exact"/>
        <w:rPr>
          <w:sz w:val="20"/>
          <w:szCs w:val="20"/>
          <w:color w:val="auto"/>
        </w:rPr>
      </w:pPr>
    </w:p>
    <w:p>
      <w:pPr>
        <w:ind w:right="80" w:firstLine="393"/>
        <w:spacing w:after="0" w:line="260" w:lineRule="auto"/>
        <w:rPr>
          <w:sz w:val="20"/>
          <w:szCs w:val="20"/>
          <w:color w:val="auto"/>
        </w:rPr>
      </w:pPr>
      <w:r>
        <w:rPr>
          <w:rFonts w:ascii="Arial" w:cs="Arial" w:eastAsia="Arial" w:hAnsi="Arial"/>
          <w:sz w:val="17"/>
          <w:szCs w:val="17"/>
          <w:color w:val="auto"/>
        </w:rPr>
        <w:t>PTSD has also been associated with alterations in NAS that positively allosterically modulate GABA action at GABA</w:t>
      </w:r>
      <w:r>
        <w:rPr>
          <w:rFonts w:ascii="Arial" w:cs="Arial" w:eastAsia="Arial" w:hAnsi="Arial"/>
          <w:sz w:val="15"/>
          <w:szCs w:val="15"/>
          <w:color w:val="auto"/>
        </w:rPr>
        <w:t>A</w:t>
      </w:r>
      <w:r>
        <w:rPr>
          <w:rFonts w:ascii="Arial" w:cs="Arial" w:eastAsia="Arial" w:hAnsi="Arial"/>
          <w:sz w:val="17"/>
          <w:szCs w:val="17"/>
          <w:color w:val="auto"/>
        </w:rPr>
        <w:t xml:space="preserve"> receptors. These findings include reductions in allopregnanolone levels in cerebrospinal fluid that correlate negatively with PTSD and negative mood symptoms in both women and men. PTSD in women has been associated with a deficit in neurosteroid synthesis that in turn was associated with a deficit in extinction memory that plays a role in the development and maintenance of PTSD symptoms. Additionally, two neurosteroid GABA</w:t>
      </w:r>
      <w:r>
        <w:rPr>
          <w:rFonts w:ascii="Arial" w:cs="Arial" w:eastAsia="Arial" w:hAnsi="Arial"/>
          <w:sz w:val="15"/>
          <w:szCs w:val="15"/>
          <w:color w:val="auto"/>
        </w:rPr>
        <w:t>A</w:t>
      </w:r>
      <w:r>
        <w:rPr>
          <w:rFonts w:ascii="Arial" w:cs="Arial" w:eastAsia="Arial" w:hAnsi="Arial"/>
          <w:sz w:val="17"/>
          <w:szCs w:val="17"/>
          <w:color w:val="auto"/>
        </w:rPr>
        <w:t xml:space="preserve"> receptor antagonists, dehydroepiandrosterone and dehydroepiandrosterone sulphate, have been shown to be elevated relative to controls in combat-associated PTSD, constituting an additional negative influence on GABAergic signaling. Taken together, these findings support our hypothesis that treatment of PTSD with a NAS GABA</w:t>
      </w:r>
      <w:r>
        <w:rPr>
          <w:rFonts w:ascii="Arial" w:cs="Arial" w:eastAsia="Arial" w:hAnsi="Arial"/>
          <w:sz w:val="15"/>
          <w:szCs w:val="15"/>
          <w:color w:val="auto"/>
        </w:rPr>
        <w:t>A</w:t>
      </w:r>
      <w:r>
        <w:rPr>
          <w:rFonts w:ascii="Arial" w:cs="Arial" w:eastAsia="Arial" w:hAnsi="Arial"/>
          <w:sz w:val="17"/>
          <w:szCs w:val="17"/>
          <w:color w:val="auto"/>
        </w:rPr>
        <w:t xml:space="preserve"> PAM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has the potential to address the underlying pathophysiology of the disorder more directly than standard of care treatments and address multiple unmet medical needs in this population.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receptors: The target of PRAX-114</w:t>
      </w:r>
    </w:p>
    <w:p>
      <w:pPr>
        <w:spacing w:after="0" w:line="141"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PRAX-114 is a small molecule neuroactive steroid that acts as a positive allosteric modulator of GABA</w:t>
      </w:r>
      <w:r>
        <w:rPr>
          <w:rFonts w:ascii="Arial" w:cs="Arial" w:eastAsia="Arial" w:hAnsi="Arial"/>
          <w:sz w:val="15"/>
          <w:szCs w:val="15"/>
          <w:color w:val="auto"/>
        </w:rPr>
        <w:t>A</w:t>
      </w:r>
      <w:r>
        <w:rPr>
          <w:rFonts w:ascii="Arial" w:cs="Arial" w:eastAsia="Arial" w:hAnsi="Arial"/>
          <w:sz w:val="17"/>
          <w:szCs w:val="17"/>
          <w:color w:val="auto"/>
        </w:rPr>
        <w:t xml:space="preserve"> receptors. PAMs are substances that bind to a receptor, such as GABA</w:t>
      </w:r>
      <w:r>
        <w:rPr>
          <w:rFonts w:ascii="Arial" w:cs="Arial" w:eastAsia="Arial" w:hAnsi="Arial"/>
          <w:sz w:val="15"/>
          <w:szCs w:val="15"/>
          <w:color w:val="auto"/>
        </w:rPr>
        <w:t>A</w:t>
      </w:r>
      <w:r>
        <w:rPr>
          <w:rFonts w:ascii="Arial" w:cs="Arial" w:eastAsia="Arial" w:hAnsi="Arial"/>
          <w:sz w:val="17"/>
          <w:szCs w:val="17"/>
          <w:color w:val="auto"/>
        </w:rPr>
        <w:t>, to enhance that receptor’s response to its endogenous ligand (or endogenous agonist). GABA</w:t>
      </w:r>
      <w:r>
        <w:rPr>
          <w:rFonts w:ascii="Arial" w:cs="Arial" w:eastAsia="Arial" w:hAnsi="Arial"/>
          <w:sz w:val="15"/>
          <w:szCs w:val="15"/>
          <w:color w:val="auto"/>
        </w:rPr>
        <w:t>A</w:t>
      </w:r>
      <w:r>
        <w:rPr>
          <w:rFonts w:ascii="Arial" w:cs="Arial" w:eastAsia="Arial" w:hAnsi="Arial"/>
          <w:sz w:val="17"/>
          <w:szCs w:val="17"/>
          <w:color w:val="auto"/>
        </w:rPr>
        <w:t xml:space="preserve"> PAMs bind to a distinct site from endogenous GABA, an allosteric binding site, and do not activate the receptor in the absence of the GABA. Allosteric modulators are believed to have improved safety profiles and are less likely to result in tachyphylaxis, or decreasing drug response, as compared to agonists. GABA exerts its effects through binding to two types of GABA</w:t>
      </w:r>
      <w:r>
        <w:rPr>
          <w:rFonts w:ascii="Arial" w:cs="Arial" w:eastAsia="Arial" w:hAnsi="Arial"/>
          <w:sz w:val="15"/>
          <w:szCs w:val="15"/>
          <w:color w:val="auto"/>
        </w:rPr>
        <w:t>A</w:t>
      </w:r>
      <w:r>
        <w:rPr>
          <w:rFonts w:ascii="Arial" w:cs="Arial" w:eastAsia="Arial" w:hAnsi="Arial"/>
          <w:sz w:val="17"/>
          <w:szCs w:val="17"/>
          <w:color w:val="auto"/>
        </w:rPr>
        <w:t xml:space="preserve"> receptors, synaptic and extrasynaptic receptors, which differ in their protein subunit composition, physical location on the cell surface and functional role in modulating neuronal circuits.</w:t>
      </w:r>
    </w:p>
    <w:p>
      <w:pPr>
        <w:spacing w:after="0" w:line="88" w:lineRule="exact"/>
        <w:rPr>
          <w:sz w:val="20"/>
          <w:szCs w:val="20"/>
          <w:color w:val="auto"/>
        </w:rPr>
      </w:pPr>
    </w:p>
    <w:p>
      <w:pPr>
        <w:ind w:right="160" w:firstLine="393"/>
        <w:spacing w:after="0" w:line="260" w:lineRule="auto"/>
        <w:rPr>
          <w:sz w:val="20"/>
          <w:szCs w:val="20"/>
          <w:color w:val="auto"/>
        </w:rPr>
      </w:pPr>
      <w:r>
        <w:rPr>
          <w:rFonts w:ascii="Arial" w:cs="Arial" w:eastAsia="Arial" w:hAnsi="Arial"/>
          <w:sz w:val="17"/>
          <w:szCs w:val="17"/>
          <w:color w:val="auto"/>
        </w:rPr>
        <w:t>GABA</w:t>
      </w:r>
      <w:r>
        <w:rPr>
          <w:rFonts w:ascii="Arial" w:cs="Arial" w:eastAsia="Arial" w:hAnsi="Arial"/>
          <w:sz w:val="15"/>
          <w:szCs w:val="15"/>
          <w:color w:val="auto"/>
        </w:rPr>
        <w:t>A</w:t>
      </w:r>
      <w:r>
        <w:rPr>
          <w:rFonts w:ascii="Arial" w:cs="Arial" w:eastAsia="Arial" w:hAnsi="Arial"/>
          <w:sz w:val="17"/>
          <w:szCs w:val="17"/>
          <w:color w:val="auto"/>
        </w:rPr>
        <w:t xml:space="preserve"> receptors are composed of five subunits which include two alpha, two beta and a fifth subunit (either gamma or delta) that is dependent on the type of receptor. Synaptic GABA</w:t>
      </w:r>
      <w:r>
        <w:rPr>
          <w:rFonts w:ascii="Arial" w:cs="Arial" w:eastAsia="Arial" w:hAnsi="Arial"/>
          <w:sz w:val="15"/>
          <w:szCs w:val="15"/>
          <w:color w:val="auto"/>
        </w:rPr>
        <w:t>A</w:t>
      </w:r>
      <w:r>
        <w:rPr>
          <w:rFonts w:ascii="Arial" w:cs="Arial" w:eastAsia="Arial" w:hAnsi="Arial"/>
          <w:sz w:val="17"/>
          <w:szCs w:val="17"/>
          <w:color w:val="auto"/>
        </w:rPr>
        <w:t xml:space="preserve"> receptors, which are located in the synapse of neurons, contain a gamma subunit while GABA</w:t>
      </w:r>
      <w:r>
        <w:rPr>
          <w:rFonts w:ascii="Arial" w:cs="Arial" w:eastAsia="Arial" w:hAnsi="Arial"/>
          <w:sz w:val="15"/>
          <w:szCs w:val="15"/>
          <w:color w:val="auto"/>
        </w:rPr>
        <w:t>A</w:t>
      </w:r>
      <w:r>
        <w:rPr>
          <w:rFonts w:ascii="Arial" w:cs="Arial" w:eastAsia="Arial" w:hAnsi="Arial"/>
          <w:sz w:val="17"/>
          <w:szCs w:val="17"/>
          <w:color w:val="auto"/>
        </w:rPr>
        <w:t xml:space="preserve"> receptors located outside of the synapse, referred to as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contain a delta subunit. Molecules that act as PAMs of only the synaptic GABA</w:t>
      </w:r>
      <w:r>
        <w:rPr>
          <w:rFonts w:ascii="Arial" w:cs="Arial" w:eastAsia="Arial" w:hAnsi="Arial"/>
          <w:sz w:val="15"/>
          <w:szCs w:val="15"/>
          <w:color w:val="auto"/>
        </w:rPr>
        <w:t>A</w:t>
      </w:r>
      <w:r>
        <w:rPr>
          <w:rFonts w:ascii="Arial" w:cs="Arial" w:eastAsia="Arial" w:hAnsi="Arial"/>
          <w:sz w:val="17"/>
          <w:szCs w:val="17"/>
          <w:color w:val="auto"/>
        </w:rPr>
        <w:t xml:space="preserve"> receptor, such as benzodiazepines, bind to sites situated at the interface between the alpha and gamma subunits. Molecules that act as PAMs of both synaptic and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such as the NAS allopregnanolone and PRAX-114, bind to sites situated at the interface between the alpha and beta subunits present in both types of receptors. Figure 1 below displays the synaptic binding site for drugs such as benzodiazepines, and the distinct extrasynaptic and synaptic binding sites for NAS, such as allopregnanolone and PRAX-114.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57150</wp:posOffset>
            </wp:positionV>
            <wp:extent cx="5029200" cy="2847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29200" cy="284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Figure 1. 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synaptic and extrasynaptic receptors differ in structure and function.</w:t>
      </w:r>
    </w:p>
    <w:p>
      <w:pPr>
        <w:spacing w:after="0" w:line="14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Synaptic and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have distinct functions. Synaptic GABA</w:t>
      </w:r>
      <w:r>
        <w:rPr>
          <w:rFonts w:ascii="Arial" w:cs="Arial" w:eastAsia="Arial" w:hAnsi="Arial"/>
          <w:sz w:val="15"/>
          <w:szCs w:val="15"/>
          <w:color w:val="auto"/>
        </w:rPr>
        <w:t>A</w:t>
      </w:r>
      <w:r>
        <w:rPr>
          <w:rFonts w:ascii="Arial" w:cs="Arial" w:eastAsia="Arial" w:hAnsi="Arial"/>
          <w:sz w:val="17"/>
          <w:szCs w:val="17"/>
          <w:color w:val="auto"/>
        </w:rPr>
        <w:t xml:space="preserve"> receptors are responsible for short-lasting, or phasic, inhibition of neurons in response to GABA release at the synapse. By contrast,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drive continuous, or tonic, low-level inhibition of neurons in response to lower ambient levels of GABA outside of the synapse. While synaptic receptors can respond quickly to stimulation and network demand, extrasynaptic receptors have a broader modulatory role, serving to continuously modulate the overall excitability of neurons.</w:t>
      </w:r>
    </w:p>
    <w:p>
      <w:pPr>
        <w:spacing w:after="0" w:line="87" w:lineRule="exact"/>
        <w:rPr>
          <w:sz w:val="20"/>
          <w:szCs w:val="20"/>
          <w:color w:val="auto"/>
        </w:rPr>
      </w:pPr>
    </w:p>
    <w:p>
      <w:pPr>
        <w:jc w:val="both"/>
        <w:ind w:right="140" w:firstLine="433"/>
        <w:spacing w:after="0" w:line="266" w:lineRule="auto"/>
        <w:rPr>
          <w:sz w:val="20"/>
          <w:szCs w:val="20"/>
          <w:color w:val="auto"/>
        </w:rPr>
      </w:pPr>
      <w:r>
        <w:rPr>
          <w:rFonts w:ascii="Arial" w:cs="Arial" w:eastAsia="Arial" w:hAnsi="Arial"/>
          <w:sz w:val="17"/>
          <w:szCs w:val="17"/>
          <w:color w:val="auto"/>
        </w:rPr>
        <w:t>Molecules that act as PAMs of only the synaptic GABA</w:t>
      </w:r>
      <w:r>
        <w:rPr>
          <w:rFonts w:ascii="Arial" w:cs="Arial" w:eastAsia="Arial" w:hAnsi="Arial"/>
          <w:sz w:val="15"/>
          <w:szCs w:val="15"/>
          <w:color w:val="auto"/>
        </w:rPr>
        <w:t>A</w:t>
      </w:r>
      <w:r>
        <w:rPr>
          <w:rFonts w:ascii="Arial" w:cs="Arial" w:eastAsia="Arial" w:hAnsi="Arial"/>
          <w:sz w:val="17"/>
          <w:szCs w:val="17"/>
          <w:color w:val="auto"/>
        </w:rPr>
        <w:t xml:space="preserve"> receptor, such as benzodiazepines and barbiturates, are used for sedation, sleep induction and anxiolysis, and have anticonvulsant and muscle relaxant properties. These drugs have potent and rapid onset of activity but have not demonstrated antidepressant effects.</w:t>
      </w:r>
    </w:p>
    <w:p>
      <w:pPr>
        <w:spacing w:after="0" w:line="84" w:lineRule="exact"/>
        <w:rPr>
          <w:sz w:val="20"/>
          <w:szCs w:val="20"/>
          <w:color w:val="auto"/>
        </w:rPr>
      </w:pPr>
    </w:p>
    <w:p>
      <w:pPr>
        <w:ind w:right="300" w:firstLine="433"/>
        <w:spacing w:after="0" w:line="275" w:lineRule="auto"/>
        <w:rPr>
          <w:sz w:val="20"/>
          <w:szCs w:val="20"/>
          <w:color w:val="auto"/>
        </w:rPr>
      </w:pPr>
      <w:r>
        <w:rPr>
          <w:rFonts w:ascii="Arial" w:cs="Arial" w:eastAsia="Arial" w:hAnsi="Arial"/>
          <w:sz w:val="17"/>
          <w:szCs w:val="17"/>
          <w:color w:val="auto"/>
        </w:rPr>
        <w:t>Allopregnanolone is an endogenous neuroactive steroid and a PAM of both the extrasynaptic and synaptic GABA</w:t>
      </w:r>
      <w:r>
        <w:rPr>
          <w:rFonts w:ascii="Arial" w:cs="Arial" w:eastAsia="Arial" w:hAnsi="Arial"/>
          <w:sz w:val="15"/>
          <w:szCs w:val="15"/>
          <w:color w:val="auto"/>
        </w:rPr>
        <w:t>A</w:t>
      </w:r>
      <w:r>
        <w:rPr>
          <w:rFonts w:ascii="Arial" w:cs="Arial" w:eastAsia="Arial" w:hAnsi="Arial"/>
          <w:sz w:val="17"/>
          <w:szCs w:val="17"/>
          <w:color w:val="auto"/>
        </w:rPr>
        <w:t xml:space="preserve"> receptors, which has been associated with antidepressant activity. However, allopregnanolone also has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shown significant dose-limiting sedative activity, which we believe is likely mediated at least partially by its effects on synaptic GABA</w:t>
      </w:r>
      <w:r>
        <w:rPr>
          <w:rFonts w:ascii="Arial" w:cs="Arial" w:eastAsia="Arial" w:hAnsi="Arial"/>
          <w:sz w:val="15"/>
          <w:szCs w:val="15"/>
          <w:color w:val="auto"/>
        </w:rPr>
        <w:t>A</w:t>
      </w:r>
      <w:r>
        <w:rPr>
          <w:rFonts w:ascii="Arial" w:cs="Arial" w:eastAsia="Arial" w:hAnsi="Arial"/>
          <w:sz w:val="17"/>
          <w:szCs w:val="17"/>
          <w:color w:val="auto"/>
        </w:rPr>
        <w:t xml:space="preserve"> receptors.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Despite this limitation, a formulation of allopregnanolone has been approved and is marketed as Zulresso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to treat post-partum depression.</w:t>
      </w:r>
    </w:p>
    <w:p>
      <w:pPr>
        <w:spacing w:after="0" w:line="62" w:lineRule="exact"/>
        <w:rPr>
          <w:sz w:val="20"/>
          <w:szCs w:val="20"/>
          <w:color w:val="auto"/>
        </w:rPr>
      </w:pPr>
    </w:p>
    <w:p>
      <w:pPr>
        <w:ind w:right="60" w:firstLine="393"/>
        <w:spacing w:after="0" w:line="266" w:lineRule="auto"/>
        <w:rPr>
          <w:sz w:val="20"/>
          <w:szCs w:val="20"/>
          <w:color w:val="auto"/>
        </w:rPr>
      </w:pPr>
      <w:r>
        <w:rPr>
          <w:rFonts w:ascii="Arial" w:cs="Arial" w:eastAsia="Arial" w:hAnsi="Arial"/>
          <w:sz w:val="17"/>
          <w:szCs w:val="17"/>
          <w:color w:val="auto"/>
        </w:rPr>
        <w:t>The distinct effects mediated by these classes of GABA</w:t>
      </w:r>
      <w:r>
        <w:rPr>
          <w:rFonts w:ascii="Arial" w:cs="Arial" w:eastAsia="Arial" w:hAnsi="Arial"/>
          <w:sz w:val="15"/>
          <w:szCs w:val="15"/>
          <w:color w:val="auto"/>
        </w:rPr>
        <w:t>A</w:t>
      </w:r>
      <w:r>
        <w:rPr>
          <w:rFonts w:ascii="Arial" w:cs="Arial" w:eastAsia="Arial" w:hAnsi="Arial"/>
          <w:sz w:val="17"/>
          <w:szCs w:val="17"/>
          <w:color w:val="auto"/>
        </w:rPr>
        <w:t xml:space="preserve"> PAMs suggest that modulation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is responsible for the antidepressant effects demonstrated by allopregnanolone. One of the goals for a next generation neuroactive steroid, such as PRAX-114, is to preferentially modulate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while minimizing the sedative impact from modulation of synaptic GABA</w:t>
      </w:r>
      <w:r>
        <w:rPr>
          <w:rFonts w:ascii="Arial" w:cs="Arial" w:eastAsia="Arial" w:hAnsi="Arial"/>
          <w:sz w:val="15"/>
          <w:szCs w:val="15"/>
          <w:color w:val="auto"/>
        </w:rPr>
        <w:t>A</w:t>
      </w:r>
      <w:r>
        <w:rPr>
          <w:rFonts w:ascii="Arial" w:cs="Arial" w:eastAsia="Arial" w:hAnsi="Arial"/>
          <w:sz w:val="17"/>
          <w:szCs w:val="17"/>
          <w:color w:val="auto"/>
        </w:rPr>
        <w:t xml:space="preserve"> receptors.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PRAX-114 preference for extrasynaptic GABA</w:t>
      </w:r>
      <w:r>
        <w:rPr>
          <w:rFonts w:ascii="Arial" w:cs="Arial" w:eastAsia="Arial" w:hAnsi="Arial"/>
          <w:sz w:val="15"/>
          <w:szCs w:val="15"/>
          <w:b w:val="1"/>
          <w:bCs w:val="1"/>
          <w:i w:val="1"/>
          <w:iCs w:val="1"/>
          <w:color w:val="auto"/>
        </w:rPr>
        <w:t>A</w:t>
      </w:r>
      <w:r>
        <w:rPr>
          <w:rFonts w:ascii="Arial" w:cs="Arial" w:eastAsia="Arial" w:hAnsi="Arial"/>
          <w:sz w:val="17"/>
          <w:szCs w:val="17"/>
          <w:b w:val="1"/>
          <w:bCs w:val="1"/>
          <w:i w:val="1"/>
          <w:iCs w:val="1"/>
          <w:color w:val="auto"/>
        </w:rPr>
        <w:t xml:space="preserve"> receptors</w:t>
      </w:r>
    </w:p>
    <w:p>
      <w:pPr>
        <w:spacing w:after="0" w:line="12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 xml:space="preserve">In preclinical studies, we assessed the relative potency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of PRAX-114-mediated GABA</w:t>
      </w:r>
      <w:r>
        <w:rPr>
          <w:rFonts w:ascii="Arial" w:cs="Arial" w:eastAsia="Arial" w:hAnsi="Arial"/>
          <w:sz w:val="15"/>
          <w:szCs w:val="15"/>
          <w:color w:val="auto"/>
        </w:rPr>
        <w:t>A</w:t>
      </w:r>
      <w:r>
        <w:rPr>
          <w:rFonts w:ascii="Arial" w:cs="Arial" w:eastAsia="Arial" w:hAnsi="Arial"/>
          <w:sz w:val="17"/>
          <w:szCs w:val="17"/>
          <w:color w:val="auto"/>
        </w:rPr>
        <w:t xml:space="preserve"> receptor activation for synaptic and extrasynaptic receptors by measuring the peak current induced by a low concentration of GABA (2 µM) in the presence of increasing concentrations of PRAX-114 in Chinese Hamster Ovary, or CHO, cells expressing either extrasynaptic (α4ß3</w:t>
      </w:r>
      <w:r>
        <w:rPr>
          <w:rFonts w:ascii="Arial" w:cs="Arial" w:eastAsia="Arial" w:hAnsi="Arial"/>
          <w:sz w:val="17"/>
          <w:szCs w:val="17"/>
          <w:color w:val="auto"/>
        </w:rPr>
        <w:t>δ</w:t>
      </w:r>
      <w:r>
        <w:rPr>
          <w:rFonts w:ascii="Arial" w:cs="Arial" w:eastAsia="Arial" w:hAnsi="Arial"/>
          <w:sz w:val="17"/>
          <w:szCs w:val="17"/>
          <w:color w:val="auto"/>
        </w:rPr>
        <w:t>) or synaptic (α1ß2</w:t>
      </w:r>
      <w:r>
        <w:rPr>
          <w:rFonts w:ascii="Arial" w:cs="Arial" w:eastAsia="Arial" w:hAnsi="Arial"/>
          <w:sz w:val="17"/>
          <w:szCs w:val="17"/>
          <w:color w:val="auto"/>
        </w:rPr>
        <w:t>γ</w:t>
      </w:r>
      <w:r>
        <w:rPr>
          <w:rFonts w:ascii="Arial" w:cs="Arial" w:eastAsia="Arial" w:hAnsi="Arial"/>
          <w:sz w:val="17"/>
          <w:szCs w:val="17"/>
          <w:color w:val="auto"/>
        </w:rPr>
        <w:t>2) human GABA</w:t>
      </w:r>
      <w:r>
        <w:rPr>
          <w:rFonts w:ascii="Arial" w:cs="Arial" w:eastAsia="Arial" w:hAnsi="Arial"/>
          <w:sz w:val="15"/>
          <w:szCs w:val="15"/>
          <w:color w:val="auto"/>
        </w:rPr>
        <w:t>A</w:t>
      </w:r>
      <w:r>
        <w:rPr>
          <w:rFonts w:ascii="Arial" w:cs="Arial" w:eastAsia="Arial" w:hAnsi="Arial"/>
          <w:sz w:val="17"/>
          <w:szCs w:val="17"/>
          <w:color w:val="auto"/>
        </w:rPr>
        <w:t xml:space="preserve"> receptors. In this model, PRAX-114 potentiated the GABA-activated current of both extrasynaptic and synaptic GABA</w:t>
      </w:r>
      <w:r>
        <w:rPr>
          <w:rFonts w:ascii="Arial" w:cs="Arial" w:eastAsia="Arial" w:hAnsi="Arial"/>
          <w:sz w:val="15"/>
          <w:szCs w:val="15"/>
          <w:color w:val="auto"/>
        </w:rPr>
        <w:t>A</w:t>
      </w:r>
      <w:r>
        <w:rPr>
          <w:rFonts w:ascii="Arial" w:cs="Arial" w:eastAsia="Arial" w:hAnsi="Arial"/>
          <w:sz w:val="17"/>
          <w:szCs w:val="17"/>
          <w:color w:val="auto"/>
        </w:rPr>
        <w:t xml:space="preserve"> receptors but was approximately 6.4-fold more potent in potentiating the extrasynaptic form of the receptor than the synaptic form based on the concentration that gave half-maximal response, or EC</w:t>
      </w:r>
      <w:r>
        <w:rPr>
          <w:rFonts w:ascii="Arial" w:cs="Arial" w:eastAsia="Arial" w:hAnsi="Arial"/>
          <w:sz w:val="15"/>
          <w:szCs w:val="15"/>
          <w:color w:val="auto"/>
        </w:rPr>
        <w:t>50</w:t>
      </w:r>
      <w:r>
        <w:rPr>
          <w:rFonts w:ascii="Arial" w:cs="Arial" w:eastAsia="Arial" w:hAnsi="Arial"/>
          <w:sz w:val="17"/>
          <w:szCs w:val="17"/>
          <w:color w:val="auto"/>
        </w:rPr>
        <w:t>. At a concentration that activated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to the equivalent of full activation by the endogenous ligand GABA (~260 nM, 300% potentiation of 2µM GABA), PRAX-114 led to 10.5-fold greater potentiation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than synaptic GABA</w:t>
      </w:r>
      <w:r>
        <w:rPr>
          <w:rFonts w:ascii="Arial" w:cs="Arial" w:eastAsia="Arial" w:hAnsi="Arial"/>
          <w:sz w:val="15"/>
          <w:szCs w:val="15"/>
          <w:color w:val="auto"/>
        </w:rPr>
        <w:t>A</w:t>
      </w:r>
      <w:r>
        <w:rPr>
          <w:rFonts w:ascii="Arial" w:cs="Arial" w:eastAsia="Arial" w:hAnsi="Arial"/>
          <w:sz w:val="17"/>
          <w:szCs w:val="17"/>
          <w:color w:val="auto"/>
        </w:rPr>
        <w:t xml:space="preserve"> receptors (29%).</w:t>
      </w:r>
    </w:p>
    <w:p>
      <w:pPr>
        <w:spacing w:after="0" w:line="88"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In the same assay, at the same level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potentiation (300%), other GABA</w:t>
      </w:r>
      <w:r>
        <w:rPr>
          <w:rFonts w:ascii="Arial" w:cs="Arial" w:eastAsia="Arial" w:hAnsi="Arial"/>
          <w:sz w:val="15"/>
          <w:szCs w:val="15"/>
          <w:color w:val="auto"/>
        </w:rPr>
        <w:t>A</w:t>
      </w:r>
      <w:r>
        <w:rPr>
          <w:rFonts w:ascii="Arial" w:cs="Arial" w:eastAsia="Arial" w:hAnsi="Arial"/>
          <w:sz w:val="17"/>
          <w:szCs w:val="17"/>
          <w:color w:val="auto"/>
        </w:rPr>
        <w:t xml:space="preserve"> receptor PAM NAS in development, or on the market, demonstrated only 0.4 to 2.6-fold greater potentiation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which compares unfavorably to the 10.5-fold observed for PRAX-114. Based on these assay conditions, we believe that the differentiated preference at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by PRAX-114 will allow it to achieve high levels of extrasynaptic GABAergic activation with improved tolerability.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PRAX-114 for the treatment of MDD and PTSD</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believe that PRAX-114 has several potential advantages:</w:t>
      </w:r>
    </w:p>
    <w:p>
      <w:pPr>
        <w:spacing w:after="0" w:line="97" w:lineRule="exact"/>
        <w:rPr>
          <w:sz w:val="20"/>
          <w:szCs w:val="20"/>
          <w:color w:val="auto"/>
        </w:rPr>
      </w:pPr>
    </w:p>
    <w:p>
      <w:pPr>
        <w:ind w:left="640" w:hanging="320"/>
        <w:spacing w:after="0" w:line="263"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Wider Therapeutic Window</w:t>
      </w:r>
      <w:r>
        <w:rPr>
          <w:rFonts w:ascii="Arial" w:cs="Arial" w:eastAsia="Arial" w:hAnsi="Arial"/>
          <w:sz w:val="17"/>
          <w:szCs w:val="17"/>
          <w:color w:val="auto"/>
        </w:rPr>
        <w:t>. In preclinical studies, PRAX-114 showed approximately 10-fold more selectivity for PAM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extrasynaptic form of GABA</w:t>
      </w:r>
      <w:r>
        <w:rPr>
          <w:rFonts w:ascii="Arial" w:cs="Arial" w:eastAsia="Arial" w:hAnsi="Arial"/>
          <w:sz w:val="15"/>
          <w:szCs w:val="15"/>
          <w:color w:val="auto"/>
        </w:rPr>
        <w:t>A</w:t>
      </w:r>
      <w:r>
        <w:rPr>
          <w:rFonts w:ascii="Arial" w:cs="Arial" w:eastAsia="Arial" w:hAnsi="Arial"/>
          <w:sz w:val="17"/>
          <w:szCs w:val="17"/>
          <w:color w:val="auto"/>
        </w:rPr>
        <w:t xml:space="preserve"> receptors compared to the synaptic form. In clinical studies in healthy volunteers, we have observed PRAX-114 markedly increased quantitative electroencephalography, or qEEG, power in the alpha and beta-frequency bands—unlike GABA</w:t>
      </w:r>
      <w:r>
        <w:rPr>
          <w:rFonts w:ascii="Arial" w:cs="Arial" w:eastAsia="Arial" w:hAnsi="Arial"/>
          <w:sz w:val="15"/>
          <w:szCs w:val="15"/>
          <w:color w:val="auto"/>
        </w:rPr>
        <w:t>A</w:t>
      </w:r>
      <w:r>
        <w:rPr>
          <w:rFonts w:ascii="Arial" w:cs="Arial" w:eastAsia="Arial" w:hAnsi="Arial"/>
          <w:sz w:val="17"/>
          <w:szCs w:val="17"/>
          <w:color w:val="auto"/>
        </w:rPr>
        <w:t xml:space="preserve"> receptor PAMs that only modulate synaptic GABA</w:t>
      </w:r>
      <w:r>
        <w:rPr>
          <w:rFonts w:ascii="Arial" w:cs="Arial" w:eastAsia="Arial" w:hAnsi="Arial"/>
          <w:sz w:val="15"/>
          <w:szCs w:val="15"/>
          <w:color w:val="auto"/>
        </w:rPr>
        <w:t>A</w:t>
      </w:r>
      <w:r>
        <w:rPr>
          <w:rFonts w:ascii="Arial" w:cs="Arial" w:eastAsia="Arial" w:hAnsi="Arial"/>
          <w:sz w:val="17"/>
          <w:szCs w:val="17"/>
          <w:color w:val="auto"/>
        </w:rPr>
        <w:t xml:space="preserve"> receptors, such as benzodiazepines, or that are equipotent at synaptic and extrasynaptic receptors, such as allopregnanolone, which has been shown to decrease power in the alpha frequency band. We believe these data suggest that PRAX-114 has a differentiated pharmacological profile in relation to other GABA</w:t>
      </w:r>
      <w:r>
        <w:rPr>
          <w:rFonts w:ascii="Arial" w:cs="Arial" w:eastAsia="Arial" w:hAnsi="Arial"/>
          <w:sz w:val="15"/>
          <w:szCs w:val="15"/>
          <w:color w:val="auto"/>
        </w:rPr>
        <w:t>A</w:t>
      </w:r>
      <w:r>
        <w:rPr>
          <w:rFonts w:ascii="Arial" w:cs="Arial" w:eastAsia="Arial" w:hAnsi="Arial"/>
          <w:sz w:val="17"/>
          <w:szCs w:val="17"/>
          <w:color w:val="auto"/>
        </w:rPr>
        <w:t xml:space="preserve"> PAMs at therapeutic doses due to the relatively selective activation of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By preferentially modulating extrasynaptic GABAA receptors, we believe PRAX-114 is able to uniquely activate the GABAergic target and has the potential to mediate antidepressant and anxiolytic activity without the significant sedation observed with less selective NAS.</w:t>
      </w:r>
    </w:p>
    <w:p>
      <w:pPr>
        <w:spacing w:after="0" w:line="65" w:lineRule="exact"/>
        <w:rPr>
          <w:rFonts w:ascii="Arial" w:cs="Arial" w:eastAsia="Arial" w:hAnsi="Arial"/>
          <w:sz w:val="17"/>
          <w:szCs w:val="17"/>
          <w:color w:val="auto"/>
        </w:rPr>
      </w:pPr>
    </w:p>
    <w:p>
      <w:pPr>
        <w:ind w:left="640" w:right="100" w:hanging="320"/>
        <w:spacing w:after="0" w:line="264"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Simple Nightly Dosing With or Without Food</w:t>
      </w:r>
      <w:r>
        <w:rPr>
          <w:rFonts w:ascii="Arial" w:cs="Arial" w:eastAsia="Arial" w:hAnsi="Arial"/>
          <w:sz w:val="17"/>
          <w:szCs w:val="17"/>
          <w:color w:val="auto"/>
        </w:rPr>
        <w:t>. We believe the ability to administer PRAX-114 and achieve targeted exposures, with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food, is key for clinical and commercial success in MDD. We believe this type of dosing regimen is also critical for a patient-guided therapy because many patients with depression suffer from appetite disturbances. We have observed fast absorption of PRAX-114 within one to three hours of dosing and predictable PK results across multiple trials. In clinical studies completed to date, PRAX-114 achieved reproducible overall exposure (</w:t>
      </w:r>
      <w:r>
        <w:rPr>
          <w:rFonts w:ascii="Arial" w:cs="Arial" w:eastAsia="Arial" w:hAnsi="Arial"/>
          <w:sz w:val="17"/>
          <w:szCs w:val="17"/>
          <w:i w:val="1"/>
          <w:iCs w:val="1"/>
          <w:color w:val="auto"/>
        </w:rPr>
        <w:t>i.e.</w:t>
      </w:r>
      <w:r>
        <w:rPr>
          <w:rFonts w:ascii="Arial" w:cs="Arial" w:eastAsia="Arial" w:hAnsi="Arial"/>
          <w:sz w:val="17"/>
          <w:szCs w:val="17"/>
          <w:color w:val="auto"/>
        </w:rPr>
        <w:t>, area under the concentration curve, or AUC) across a wide range of administration conditions, demonstrating consistent exposure when administered with or without food and at different times of day, whereas other GABA</w:t>
      </w:r>
      <w:r>
        <w:rPr>
          <w:rFonts w:ascii="Arial" w:cs="Arial" w:eastAsia="Arial" w:hAnsi="Arial"/>
          <w:sz w:val="15"/>
          <w:szCs w:val="15"/>
          <w:color w:val="auto"/>
        </w:rPr>
        <w:t>A</w:t>
      </w:r>
      <w:r>
        <w:rPr>
          <w:rFonts w:ascii="Arial" w:cs="Arial" w:eastAsia="Arial" w:hAnsi="Arial"/>
          <w:sz w:val="17"/>
          <w:szCs w:val="17"/>
          <w:color w:val="auto"/>
        </w:rPr>
        <w:t xml:space="preserve"> PAM NAS may require food to achieve therapeutic levels. While AUC is unaffected by administration conditions, nightly dosing has been shown to reduce blunted maximum drug concentration, or Cmax, thereby enhancing the potential for improved tolerability.</w:t>
      </w:r>
    </w:p>
    <w:p>
      <w:pPr>
        <w:spacing w:after="0" w:line="63" w:lineRule="exact"/>
        <w:rPr>
          <w:rFonts w:ascii="Arial" w:cs="Arial" w:eastAsia="Arial" w:hAnsi="Arial"/>
          <w:sz w:val="17"/>
          <w:szCs w:val="17"/>
          <w:color w:val="auto"/>
        </w:rPr>
      </w:pPr>
    </w:p>
    <w:p>
      <w:pPr>
        <w:ind w:left="640" w:right="120" w:hanging="320"/>
        <w:spacing w:after="0" w:line="26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Sustained Administration</w:t>
      </w:r>
      <w:r>
        <w:rPr>
          <w:rFonts w:ascii="Arial" w:cs="Arial" w:eastAsia="Arial" w:hAnsi="Arial"/>
          <w:sz w:val="17"/>
          <w:szCs w:val="17"/>
          <w:color w:val="auto"/>
        </w:rPr>
        <w:t>. After consultation with the FDA and other stakeholders in MDD therapy, we designed the Aria Study to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28-day nightly dosing to evaluate patients at 14 days to assess the rapidity and robustness of response and 28 days to measure initial durability of effect. We believe that having a dosing paradigm consistent with the duration of depressive episodes and easily integrated into standard clinical practice will provide the most substantial benefit to patients in controlling their disease, further differentiating PRAX-114 from other GABA</w:t>
      </w:r>
      <w:r>
        <w:rPr>
          <w:rFonts w:ascii="Arial" w:cs="Arial" w:eastAsia="Arial" w:hAnsi="Arial"/>
          <w:sz w:val="15"/>
          <w:szCs w:val="15"/>
          <w:color w:val="auto"/>
        </w:rPr>
        <w:t>A</w:t>
      </w:r>
      <w:r>
        <w:rPr>
          <w:rFonts w:ascii="Arial" w:cs="Arial" w:eastAsia="Arial" w:hAnsi="Arial"/>
          <w:sz w:val="17"/>
          <w:szCs w:val="17"/>
          <w:color w:val="auto"/>
        </w:rPr>
        <w:t xml:space="preserve"> PAMs.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PRAX-114 clinical development in depression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are conducting a Phase 2/3, placebo-controlled study for monotherapy treatment of MDD, the Aria Study, and expect topline results in</w:t>
      </w:r>
    </w:p>
    <w:p>
      <w:pPr>
        <w:spacing w:after="0" w:line="5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second quarter of 2022. The Aria Study is intended to serve as one of two trials required by the FD, to demonstrate clinical efficacy to support registration of PRAX-114 for monotherapy treatment of MDD. We also are conducting a Phase 2, placebo-controlled, dose-ranging study for treatment of MDD, the Acapella Study, and expect topline results in mid-2022. The Acapella Study is intended to provide additional understanding of the dose range and to evaluate the safety and efficacy of PRAX-114 at doses of 10, 20, 40 and 60mg.</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2/3 Aria Study</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Patients in the Aria Study are randomized 1:1 to receive nightly bedtime doses of 40mg PRAX-114 or placebo for 28 days in a fully</w:t>
      </w:r>
    </w:p>
    <w:p>
      <w:pPr>
        <w:spacing w:after="0" w:line="5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outpatient setting, with two-weeks of additional follow up after the end of the active treatment period. Patients are required to be between the ages of 18 and 65, have a diagnosis of MDD with a current episode of at least 8 weeks and not more than 24 months in duration, have a HAM-D total score of 23 or higher consistent with moderate-to-severe MDD, and have had at least one prior episode of MDD. Participants are excluded if they are currently being treated with an antidepressant, have demonstrated an inadequate response to antidepressant treatment in the current episode or have treatment resistant depression, or if they have comorbid medical or psychiatric conditions that could interfere with the scientific</w:t>
      </w:r>
    </w:p>
    <w:p>
      <w:pPr>
        <w:spacing w:after="0" w:line="21" w:lineRule="exact"/>
        <w:rPr>
          <w:sz w:val="20"/>
          <w:szCs w:val="20"/>
          <w:color w:val="auto"/>
        </w:rPr>
      </w:pPr>
    </w:p>
    <w:p>
      <w:pPr>
        <w:jc w:val="both"/>
        <w:ind w:right="480"/>
        <w:spacing w:after="0" w:line="266" w:lineRule="auto"/>
        <w:rPr>
          <w:sz w:val="20"/>
          <w:szCs w:val="20"/>
          <w:color w:val="auto"/>
        </w:rPr>
      </w:pPr>
      <w:r>
        <w:rPr>
          <w:rFonts w:ascii="Arial" w:cs="Arial" w:eastAsia="Arial" w:hAnsi="Arial"/>
          <w:sz w:val="17"/>
          <w:szCs w:val="17"/>
          <w:color w:val="auto"/>
        </w:rPr>
        <w:t>objectives or safety of the trial. The primary efficacy endpoint is change in the HAM-D total score from baseline at Day 15. A key secondary endpoint is change in the HAM-D score after 28 days of treatment to assess the durability of effect of 40mg PRAX-114, and we also plan to evaluate changes in other depression-related assessments.</w:t>
      </w:r>
    </w:p>
    <w:p>
      <w:pPr>
        <w:spacing w:after="0" w:line="84" w:lineRule="exact"/>
        <w:rPr>
          <w:sz w:val="20"/>
          <w:szCs w:val="20"/>
          <w:color w:val="auto"/>
        </w:rPr>
      </w:pPr>
    </w:p>
    <w:p>
      <w:pPr>
        <w:jc w:val="both"/>
        <w:ind w:right="280" w:firstLine="433"/>
        <w:spacing w:after="0" w:line="266" w:lineRule="auto"/>
        <w:rPr>
          <w:sz w:val="20"/>
          <w:szCs w:val="20"/>
          <w:color w:val="auto"/>
        </w:rPr>
      </w:pPr>
      <w:r>
        <w:rPr>
          <w:rFonts w:ascii="Arial" w:cs="Arial" w:eastAsia="Arial" w:hAnsi="Arial"/>
          <w:sz w:val="17"/>
          <w:szCs w:val="17"/>
          <w:color w:val="auto"/>
        </w:rPr>
        <w:t>We selected a dose of 40mg in tablet formulation for the Aria Study based on the safety and efficacy results we observed from the 45mg suspension formulation in the Phase 2a clinical trial of PRAX-114 described below. We anticipate the 40mg dose in tablet formulation to yield exposures consistently or slightly higher than what we observed with the 45mg dose in suspension formulation.</w:t>
      </w:r>
    </w:p>
    <w:p>
      <w:pPr>
        <w:spacing w:after="0" w:line="84"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Our clinical trial design and study conduct applies several best practices to support evaluation of clinical effects in MDD, including but not limited to:</w:t>
      </w:r>
    </w:p>
    <w:p>
      <w:pPr>
        <w:spacing w:after="0" w:line="77" w:lineRule="exact"/>
        <w:rPr>
          <w:sz w:val="20"/>
          <w:szCs w:val="20"/>
          <w:color w:val="auto"/>
        </w:rPr>
      </w:pPr>
    </w:p>
    <w:p>
      <w:pPr>
        <w:ind w:left="640" w:right="420" w:hanging="320"/>
        <w:spacing w:after="0" w:line="275"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Enrollment of patients with moderate-to-severe MDD and at least one prior episode of MDD because recurrent depression has been associated with a lower placebo response rate;</w:t>
      </w:r>
    </w:p>
    <w:p>
      <w:pPr>
        <w:spacing w:after="0" w:line="76" w:lineRule="exact"/>
        <w:rPr>
          <w:rFonts w:ascii="Arial" w:cs="Arial" w:eastAsia="Arial" w:hAnsi="Arial"/>
          <w:sz w:val="17"/>
          <w:szCs w:val="17"/>
          <w:color w:val="auto"/>
        </w:rPr>
      </w:pPr>
    </w:p>
    <w:p>
      <w:pPr>
        <w:ind w:left="640" w:right="420" w:hanging="320"/>
        <w:spacing w:after="0" w:line="266"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A two-level subject and data quality process that includes independent clinical interviews confirming eligibility through the SAFER process and conducting audio confirmation of HAM-D clinical assessments at key timepoints with ongoing rating assessment quality feedback;</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Using sites with a known track-record of high quality data generation and drug-placebo separation in the conduct of MDD trials;</w:t>
      </w:r>
    </w:p>
    <w:p>
      <w:pPr>
        <w:spacing w:after="0" w:line="119" w:lineRule="exact"/>
        <w:rPr>
          <w:rFonts w:ascii="Arial" w:cs="Arial" w:eastAsia="Arial" w:hAnsi="Arial"/>
          <w:sz w:val="17"/>
          <w:szCs w:val="17"/>
          <w:color w:val="auto"/>
        </w:rPr>
      </w:pPr>
    </w:p>
    <w:p>
      <w:pPr>
        <w:ind w:left="640" w:right="320" w:hanging="320"/>
        <w:spacing w:after="0" w:line="275"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Integration of a placebo control reminder script at every visit and screening for potential duplicate subjects via a dedicated clinical trial registry; and</w:t>
      </w:r>
    </w:p>
    <w:p>
      <w:pPr>
        <w:spacing w:after="0" w:line="76" w:lineRule="exact"/>
        <w:rPr>
          <w:rFonts w:ascii="Arial" w:cs="Arial" w:eastAsia="Arial" w:hAnsi="Arial"/>
          <w:sz w:val="17"/>
          <w:szCs w:val="17"/>
          <w:color w:val="auto"/>
        </w:rPr>
      </w:pPr>
    </w:p>
    <w:p>
      <w:pPr>
        <w:ind w:left="640" w:right="820" w:hanging="320"/>
        <w:spacing w:after="0" w:line="275"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Inclusion of the AiCure smartphone-based adherence monitoring system with structured site intervention to address participant adherence issues.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 Acapella Study</w:t>
      </w:r>
    </w:p>
    <w:p>
      <w:pPr>
        <w:spacing w:after="0" w:line="139"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parallel with the Aria Study, we are conducting the Acapella Study to evaluate additional PRAX-114 doses for inclusion in pivotal Phase 3 studies in patients with MDD. Given that comparable improvement in the HAM-D was observed in all doses (45, 60 and 80mg) evaluated in the Phase 2a MDD study, this trial is designed to evaluate the efficacy of lower doses of PRAX-114 to determine the optimal dose range to include in future Phase 3 trials. The population for this study is both treatment naïve (monotherapy) MDD participants and MDD participants who have demonstrated an insufficient response to standard of care antidepressant treatment (adjunctive).</w:t>
      </w:r>
    </w:p>
    <w:p>
      <w:pPr>
        <w:spacing w:after="0" w:line="87" w:lineRule="exact"/>
        <w:rPr>
          <w:sz w:val="20"/>
          <w:szCs w:val="20"/>
          <w:color w:val="auto"/>
        </w:rPr>
      </w:pPr>
    </w:p>
    <w:p>
      <w:pPr>
        <w:ind w:right="60" w:firstLine="393"/>
        <w:spacing w:after="0" w:line="260" w:lineRule="auto"/>
        <w:rPr>
          <w:sz w:val="20"/>
          <w:szCs w:val="20"/>
          <w:color w:val="auto"/>
        </w:rPr>
      </w:pPr>
      <w:r>
        <w:rPr>
          <w:rFonts w:ascii="Arial" w:cs="Arial" w:eastAsia="Arial" w:hAnsi="Arial"/>
          <w:sz w:val="17"/>
          <w:szCs w:val="17"/>
          <w:color w:val="auto"/>
        </w:rPr>
        <w:t>Patients in this study will be randomized to receive 10, 20, 40, or 60mg PRAX-114 or placebo in a 1:1:1:1:1 ratio for 28 days, with 2 weeks of additional follow up after the end of the active treatment period. This trial is expected to enroll approximately 125 patients between the ages of 18 and 65 who are experiencing a current major depressive episode of at least 12 weeks and not more than 24 months in duration, have a HAM-D total score of 20 or higher, and who have had at least one prior episode of MDD responsive to antidepressant treatment. Adjunctive participants must be currently treated with an antidepressant at a stable dose for at least eight weeks prior to Day 1 and have demonstrated an insufficient clinical response to one or two adequate trials of antidepressant treatment in the current episode. Exclusion criteria will be similar to the Aria Study with the exception of allowing for adjunctive patients under the criteria described above. The primary objective is to assess the presence of a dose-response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signal for PRAX-114 in MDD using the primary efficacy endpoint of the change from baseline in HAM-D total score at Day 15. Secondary objectives will include evaluating the efficacy for each dose of PRAX-114 in MDD and the effect of PRAX-114 on the HAM-D scores after 28 days of treatment and impact on other depression-related assessments. This trial will employ the full set of clinical trial quality interventions summarized above for the Aria Study.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2a trial in patients with depression</w:t>
      </w:r>
    </w:p>
    <w:p>
      <w:pPr>
        <w:spacing w:after="0" w:line="139" w:lineRule="exact"/>
        <w:rPr>
          <w:sz w:val="20"/>
          <w:szCs w:val="20"/>
          <w:color w:val="auto"/>
        </w:rPr>
      </w:pPr>
    </w:p>
    <w:p>
      <w:pPr>
        <w:ind w:right="360" w:firstLine="393"/>
        <w:spacing w:after="0" w:line="266" w:lineRule="auto"/>
        <w:rPr>
          <w:sz w:val="20"/>
          <w:szCs w:val="20"/>
          <w:color w:val="auto"/>
        </w:rPr>
      </w:pPr>
      <w:r>
        <w:rPr>
          <w:rFonts w:ascii="Arial" w:cs="Arial" w:eastAsia="Arial" w:hAnsi="Arial"/>
          <w:sz w:val="17"/>
          <w:szCs w:val="17"/>
          <w:color w:val="auto"/>
        </w:rPr>
        <w:t>Prior to the initiation of the Aria Study and the Acapella Study and based on the pharmacology observed in the Phase 1 trials described below, we conducted a three-part, open-label, Phase 2a trial in Australia to assess the safety and efficacy of PRAX-114 in patients with moderate-to-severe MDD or PMD.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 A results</w:t>
      </w:r>
    </w:p>
    <w:p>
      <w:pPr>
        <w:spacing w:after="0" w:line="137" w:lineRule="exact"/>
        <w:rPr>
          <w:sz w:val="20"/>
          <w:szCs w:val="20"/>
          <w:color w:val="auto"/>
        </w:rPr>
      </w:pPr>
    </w:p>
    <w:p>
      <w:pPr>
        <w:ind w:right="20" w:firstLine="393"/>
        <w:spacing w:after="0" w:line="259" w:lineRule="auto"/>
        <w:rPr>
          <w:sz w:val="20"/>
          <w:szCs w:val="20"/>
          <w:color w:val="auto"/>
        </w:rPr>
      </w:pPr>
      <w:r>
        <w:rPr>
          <w:rFonts w:ascii="Arial" w:cs="Arial" w:eastAsia="Arial" w:hAnsi="Arial"/>
          <w:sz w:val="17"/>
          <w:szCs w:val="17"/>
          <w:color w:val="auto"/>
        </w:rPr>
        <w:t>Part A of the open-label trial included two weeks of treatment and was designed to evaluate the timing and magnitude of the antidepressant effects of PRAX-114 across a range of doses in patients with MDD. Patients were required to be between the ages of 18 and 65 and to have moderate-to-severe MDD for at least one month as defined by a HAM-D score of 22 or higher. The effect of PRAX-114 was measured by the change in the HAM-D score relative to baseline. Patients who had previously failed to respond to a standard of care antidepressant in their current episode were eligible for inclusion. In addition to HAM-D, other scales used included the Montgomery–Åsberg Depression Rating Scale, or MADRS, the Hamilton Anxiety Rating Scale, or HAM-A, and the Symptoms of Depression Questionnaire, or SDQ. MADRS is a 10 item rating scale designed to assess the severity of symptoms in a depressive illness. HAM-A is a 14 item scale widely used to measure the severity of anxiety symptoms, including both psychic anxiety (mental agitation and psychological distress) and somatic anxiety (physical complaints related to anxiety). SDQ is a 44 item self-reported scale designed to measure the severity of symptoms across several subtypes of depression, including irritability, anger attacks and anxiety.</w:t>
      </w:r>
    </w:p>
    <w:p>
      <w:pPr>
        <w:spacing w:after="0" w:line="94" w:lineRule="exact"/>
        <w:rPr>
          <w:sz w:val="20"/>
          <w:szCs w:val="20"/>
          <w:color w:val="auto"/>
        </w:rPr>
      </w:pPr>
    </w:p>
    <w:p>
      <w:pPr>
        <w:ind w:right="40" w:firstLine="393"/>
        <w:spacing w:after="0" w:line="260" w:lineRule="auto"/>
        <w:rPr>
          <w:sz w:val="20"/>
          <w:szCs w:val="20"/>
          <w:color w:val="auto"/>
        </w:rPr>
      </w:pPr>
      <w:r>
        <w:rPr>
          <w:rFonts w:ascii="Arial" w:cs="Arial" w:eastAsia="Arial" w:hAnsi="Arial"/>
          <w:sz w:val="17"/>
          <w:szCs w:val="17"/>
          <w:color w:val="auto"/>
        </w:rPr>
        <w:t>We selected an initial target dose of 45mg daily of PRAX-114 suspension formulation that was expected to achieve exposures demonstrating full clinical improvement based on the Phase 1 data and qEEG findings. Two additional cohorts were subsequently conducted to assess higher daily doses of 60mg and 80mg PRAX-114 due to the generally well-tolerated profile at 45mg. The first week of treatment was conducted in an inpatient setting to facilitate daily efficacy and safety assessments and then patients were discharged and treated as outpatients for the second week. Patients were instructed to take PRAX-114 at 4:00 PM on Day 1 to support collection of post-dose PK samples and then nightly at 9:30 PM on Days 2-14. Patients were not required to take PRAX-114 with food. Compliance was carefully monitored throughout the duration of the trial, including inpatient and outpatient periods, with a customized version of the AiCure smartphone adherence monitoring system.</w:t>
      </w:r>
    </w:p>
    <w:p>
      <w:pPr>
        <w:spacing w:after="0" w:line="301"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Thirty-three patients were enrolled and completed Part A before the COVID-19 pandemic began impacting clinical trial conduct globally. At baseline, patients had a mean HAM-D total score of 25, ranging from 20 to 33, consistent with moderate-to-severe MDD. Twenty-six of the thirty-three participants had previously received an antidepressant during the current depressive episode but still had moderate-to-severe MDD. This failure to respond to initial antidepressant treatment has been associated with more severe and refractory depression. The remaining patients were not being treated with any antidepressant for the current episode before enrolling in the trial.</w:t>
      </w:r>
    </w:p>
    <w:p>
      <w:pPr>
        <w:spacing w:after="0" w:line="87" w:lineRule="exact"/>
        <w:rPr>
          <w:sz w:val="20"/>
          <w:szCs w:val="20"/>
          <w:color w:val="auto"/>
        </w:rPr>
      </w:pPr>
    </w:p>
    <w:p>
      <w:pPr>
        <w:ind w:right="80" w:firstLine="393"/>
        <w:spacing w:after="0" w:line="260" w:lineRule="auto"/>
        <w:rPr>
          <w:sz w:val="20"/>
          <w:szCs w:val="20"/>
          <w:color w:val="auto"/>
        </w:rPr>
      </w:pPr>
      <w:r>
        <w:rPr>
          <w:rFonts w:ascii="Arial" w:cs="Arial" w:eastAsia="Arial" w:hAnsi="Arial"/>
          <w:sz w:val="17"/>
          <w:szCs w:val="17"/>
          <w:color w:val="auto"/>
        </w:rPr>
        <w:t>Dosing with PRAX-114 led to a marked improvement in the HAM-D score (Figure 2) within two weeks of treatment. After one week of treatment, least squares, or LS, mean improvements of 15 to 19 points from baseline were noted across the three dose groups. After two weeks of treatment, all 3 dose levels showed improvements from baseline of greater than 13 points with mean improvements from baseline of 14 to 16 points. Across all dose levels, two-thirds of patients were responders (defined as a &gt;=50% reduction in HAM-D) or were clinically in remission (HAM-D&lt;=7) at the end of the 14 day treatment period. Changes in MADRS, HAM-A and SDQ were consistent with the changes in HAM-D. While the study was not powered to show differences between dose levels, there was no notable dose response observed, which is common amongst trials of antidepressants.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519430</wp:posOffset>
            </wp:positionV>
            <wp:extent cx="3705225" cy="2473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05225" cy="247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auto"/>
        </w:rPr>
        <w:t>Figure 2. Reduction in HAM-D total score observed in MDD patients treated with PRAX-114 in Part A.</w:t>
      </w:r>
    </w:p>
    <w:p>
      <w:pPr>
        <w:spacing w:after="0" w:line="141" w:lineRule="exact"/>
        <w:rPr>
          <w:sz w:val="20"/>
          <w:szCs w:val="20"/>
          <w:color w:val="auto"/>
        </w:rPr>
      </w:pPr>
    </w:p>
    <w:p>
      <w:pPr>
        <w:ind w:right="520" w:firstLine="393"/>
        <w:spacing w:after="0" w:line="275" w:lineRule="auto"/>
        <w:rPr>
          <w:sz w:val="20"/>
          <w:szCs w:val="20"/>
          <w:color w:val="auto"/>
        </w:rPr>
      </w:pPr>
      <w:r>
        <w:rPr>
          <w:rFonts w:ascii="Arial" w:cs="Arial" w:eastAsia="Arial" w:hAnsi="Arial"/>
          <w:sz w:val="17"/>
          <w:szCs w:val="17"/>
          <w:color w:val="auto"/>
        </w:rPr>
        <w:t>After 14 days of treatment, patients were monitored for an additional 14 days. During this monitoring period, the core mood symptoms measured by the HAM-D generally remained stable with a slight increase in the insomnia item scores post-treatment.</w:t>
      </w:r>
    </w:p>
    <w:p>
      <w:pPr>
        <w:spacing w:after="0" w:line="77" w:lineRule="exact"/>
        <w:rPr>
          <w:sz w:val="20"/>
          <w:szCs w:val="20"/>
          <w:color w:val="auto"/>
        </w:rPr>
      </w:pPr>
    </w:p>
    <w:p>
      <w:pPr>
        <w:ind w:firstLine="393"/>
        <w:spacing w:after="0" w:line="258" w:lineRule="auto"/>
        <w:rPr>
          <w:sz w:val="20"/>
          <w:szCs w:val="20"/>
          <w:color w:val="auto"/>
        </w:rPr>
      </w:pPr>
      <w:r>
        <w:rPr>
          <w:rFonts w:ascii="Arial" w:cs="Arial" w:eastAsia="Arial" w:hAnsi="Arial"/>
          <w:sz w:val="17"/>
          <w:szCs w:val="17"/>
          <w:color w:val="auto"/>
        </w:rPr>
        <w:t>While our Phase 2a trial was not placebo controlled, prior randomized placebo-controlled MDD trials provide important context for the interpretation of the clinical response. The marked improvements in HAM-D scores seen in MDD patients in Part A within two weeks of treatment compares favorably to published reports on changes in HAM-D scale in clinical trials of approved antidepressants such as vortioxetine and duloxetine, among others, which commonly took approximately six to eight weeks to reach a maximal efficacy and often failed to differentiate from placebo at two weeks. Moreover, mean HAM-D changes from baseline at Day 14 for the placebo group of these randomized controlled antidepressant trials were most often between 4 -8 points. Even at the first post-dose assessment on Day 3, patients dosed with PRAX-114 had a mean decrease of over 11 points on the HAM-D scale, which compares favorably with the average changes reported in the placebo groups at Day 14 from randomized studies completed for recently approved antidepressants (Figure 3), and other common antidepressants after several weeks of dosing. The clinical data that we have generated to date, and that we expect to generate in the future, from our clinical studies will constitute the bulk of the data needed to support an application for marketing approval of PRAX-114. Unless we conduct head-to-head studies of PRAX-114 against other molecules as part of our future clinical trials and elect to include the resulting data in an application for regulatory approval, we would not expect to rely upon PRAX-114’s potential differentiation from any other molecules in connection with submissions to the FDA or other regulatory agencies, as applicable, for approval or otherwise. As the data presented above is based on a cross-trial comparison and not a head-to-head clinical trial, such data may not be directly comparable due to differences in study protocols, conditions and patient populations. Accordingly, cross-trial comparisons may not be reliable predictors of the relative efficacy or other benefits of PRAX-114 compared to other product candidates that may be approved or that are or were in development for MDD.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519430</wp:posOffset>
            </wp:positionV>
            <wp:extent cx="4371975" cy="3281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71975" cy="328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80"/>
        <w:spacing w:after="0" w:line="280" w:lineRule="auto"/>
        <w:rPr>
          <w:sz w:val="20"/>
          <w:szCs w:val="20"/>
          <w:color w:val="auto"/>
        </w:rPr>
      </w:pPr>
      <w:r>
        <w:rPr>
          <w:rFonts w:ascii="Arial" w:cs="Arial" w:eastAsia="Arial" w:hAnsi="Arial"/>
          <w:sz w:val="17"/>
          <w:szCs w:val="17"/>
          <w:b w:val="1"/>
          <w:bCs w:val="1"/>
          <w:color w:val="auto"/>
        </w:rPr>
        <w:t>Figure 3. Change from baseline to Day 14 in HAM-D total score for the Placebo arm of selected randomized placebo-controlled studies of recently approved antidepressants. Bubble size is proportional to the sample size of the placebo group in each study. Across studies, the sample size in the placebo group ranged from 89 to 277.</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 B results</w:t>
      </w:r>
    </w:p>
    <w:p>
      <w:pPr>
        <w:spacing w:after="0" w:line="137" w:lineRule="exact"/>
        <w:rPr>
          <w:sz w:val="20"/>
          <w:szCs w:val="20"/>
          <w:color w:val="auto"/>
        </w:rPr>
      </w:pPr>
    </w:p>
    <w:p>
      <w:pPr>
        <w:ind w:right="220" w:firstLine="472"/>
        <w:spacing w:after="0" w:line="263" w:lineRule="auto"/>
        <w:rPr>
          <w:sz w:val="20"/>
          <w:szCs w:val="20"/>
          <w:color w:val="auto"/>
        </w:rPr>
      </w:pPr>
      <w:r>
        <w:rPr>
          <w:rFonts w:ascii="Arial" w:cs="Arial" w:eastAsia="Arial" w:hAnsi="Arial"/>
          <w:sz w:val="17"/>
          <w:szCs w:val="17"/>
          <w:color w:val="auto"/>
        </w:rPr>
        <w:t>Part B of this trial assessed the effect of PRAX-114 on menopausal and mood symptoms in PMD patients. Six participants with PMD received 60mg of PRAX-114 nightly at 9:30PM for 14 days on an outpatient basis. The dose for this part of the trial was selected based on the data from Part A. Inclusion criteria for Part B were similar to Part A and C, except that Part B required participants to be females of 40 years of age or older with irregular menses and a minimum of four hot flushes per day averaged over the week prior to PRAX-114 dosing.</w:t>
      </w:r>
    </w:p>
    <w:p>
      <w:pPr>
        <w:spacing w:after="0" w:line="87" w:lineRule="exact"/>
        <w:rPr>
          <w:sz w:val="20"/>
          <w:szCs w:val="20"/>
          <w:color w:val="auto"/>
        </w:rPr>
      </w:pPr>
    </w:p>
    <w:p>
      <w:pPr>
        <w:jc w:val="both"/>
        <w:ind w:right="180" w:firstLine="433"/>
        <w:spacing w:after="0" w:line="262" w:lineRule="auto"/>
        <w:rPr>
          <w:sz w:val="20"/>
          <w:szCs w:val="20"/>
          <w:color w:val="auto"/>
        </w:rPr>
      </w:pPr>
      <w:r>
        <w:rPr>
          <w:rFonts w:ascii="Arial" w:cs="Arial" w:eastAsia="Arial" w:hAnsi="Arial"/>
          <w:sz w:val="17"/>
          <w:szCs w:val="17"/>
          <w:color w:val="auto"/>
        </w:rPr>
        <w:t>Daily treatment of PRAX-114 in Part B showed a rapid and marked decrease in menopausal symptoms throughout the 14-day treatment period. Treatment with PRAX-114 resulted in mean decreases from baseline at Day 15 of 60% in frequency of moderate-to-severe hot flashes and 68% in the total score of the Perimenopausal Depression Questionnaire, or Meno-D, a 12-item, self-reported questionnaire assessing the presence and severity of symptoms of PMD. At Day 28, two weeks following discontinuation of treatment, frequency of moderate-to-severe hot flashes and Meno-D total score trended toward baseline.</w:t>
      </w:r>
    </w:p>
    <w:p>
      <w:pPr>
        <w:spacing w:after="0" w:line="87" w:lineRule="exact"/>
        <w:rPr>
          <w:sz w:val="20"/>
          <w:szCs w:val="20"/>
          <w:color w:val="auto"/>
        </w:rPr>
      </w:pPr>
    </w:p>
    <w:p>
      <w:pPr>
        <w:jc w:val="both"/>
        <w:ind w:right="200" w:firstLine="393"/>
        <w:spacing w:after="0" w:line="263" w:lineRule="auto"/>
        <w:rPr>
          <w:sz w:val="20"/>
          <w:szCs w:val="20"/>
          <w:color w:val="auto"/>
        </w:rPr>
      </w:pPr>
      <w:r>
        <w:rPr>
          <w:rFonts w:ascii="Arial" w:cs="Arial" w:eastAsia="Arial" w:hAnsi="Arial"/>
          <w:sz w:val="17"/>
          <w:szCs w:val="17"/>
          <w:color w:val="auto"/>
        </w:rPr>
        <w:t>Daily treatment of PRAX-114 in Part B showed a rapid and marked decrease in mood symptoms throughout the 14-day treatment period. Treatment with PRAX-114 resulted in mean decreases from baseline at Day 15 of 47% in the HAM-D total score. Changes in MADRS, HAM-A and SDQ were consistent with the changes in HAM-D, and similar to the observations with hot flushes and the Meno-D, the HAM-D total score trended toward baseline at Day 28, two weeks following discontinuation of treatment.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Part C results</w:t>
      </w:r>
    </w:p>
    <w:p>
      <w:pPr>
        <w:spacing w:after="0" w:line="137" w:lineRule="exact"/>
        <w:rPr>
          <w:sz w:val="20"/>
          <w:szCs w:val="20"/>
          <w:color w:val="auto"/>
        </w:rPr>
      </w:pPr>
    </w:p>
    <w:p>
      <w:pPr>
        <w:ind w:right="280" w:firstLine="393"/>
        <w:spacing w:after="0" w:line="275" w:lineRule="auto"/>
        <w:rPr>
          <w:sz w:val="20"/>
          <w:szCs w:val="20"/>
          <w:color w:val="auto"/>
        </w:rPr>
      </w:pPr>
      <w:r>
        <w:rPr>
          <w:rFonts w:ascii="Arial" w:cs="Arial" w:eastAsia="Arial" w:hAnsi="Arial"/>
          <w:sz w:val="17"/>
          <w:szCs w:val="17"/>
          <w:color w:val="auto"/>
        </w:rPr>
        <w:t>The goal of Part C was to evaluate the safety of four-week outpatient dosing with PRAX-114, similar to the study duration of our ongoing Aria Study, and the treatment effect from Day 15 to Day 28.</w:t>
      </w:r>
    </w:p>
    <w:p>
      <w:pPr>
        <w:spacing w:after="0" w:line="77" w:lineRule="exact"/>
        <w:rPr>
          <w:sz w:val="20"/>
          <w:szCs w:val="20"/>
          <w:color w:val="auto"/>
        </w:rPr>
      </w:pPr>
    </w:p>
    <w:p>
      <w:pPr>
        <w:ind w:right="220" w:firstLine="393"/>
        <w:spacing w:after="0" w:line="263" w:lineRule="auto"/>
        <w:rPr>
          <w:sz w:val="20"/>
          <w:szCs w:val="20"/>
          <w:color w:val="auto"/>
        </w:rPr>
      </w:pPr>
      <w:r>
        <w:rPr>
          <w:rFonts w:ascii="Arial" w:cs="Arial" w:eastAsia="Arial" w:hAnsi="Arial"/>
          <w:sz w:val="17"/>
          <w:szCs w:val="17"/>
          <w:color w:val="auto"/>
        </w:rPr>
        <w:t>Inclusion criteria and symptom assessments were the same as Part A. However, due to restrictions imposed by the COVID-19 pandemic, we changed to the use of telehealth administered clinical efficacy assessments, mailed self-report assessments, and courier delivery of study drug to participants, which supported consistent site and participant adherence to study procedures and study drug administration through completion of Part C. We used our experience from Part C to inform the design and operationalization of the Aria Study.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472"/>
        <w:spacing w:after="0" w:line="262" w:lineRule="auto"/>
        <w:rPr>
          <w:sz w:val="20"/>
          <w:szCs w:val="20"/>
          <w:color w:val="auto"/>
        </w:rPr>
      </w:pPr>
      <w:r>
        <w:rPr>
          <w:rFonts w:ascii="Arial" w:cs="Arial" w:eastAsia="Arial" w:hAnsi="Arial"/>
          <w:sz w:val="17"/>
          <w:szCs w:val="17"/>
          <w:color w:val="auto"/>
        </w:rPr>
        <w:t>A total of thirteen participants were enrolled and completed a nightly 9:30 PM dose of PRAX-114 at 60mg for four weeks. At baseline, patients had a mean HAM-D total score of 25, that ranged from 22 to 30, indicating moderate-to-severe MDD. Eight of the thirteen participants had previously received an antidepressant during the current depressive episode but still had moderate-to-severe MDD. This failure to respond to initial antidepressant treatment has been associated with more severe and refractory depression. The remaining patients were not being treated with any antidepressant for the current episode before enrolling in the trial.</w:t>
      </w:r>
    </w:p>
    <w:p>
      <w:pPr>
        <w:spacing w:after="0" w:line="87" w:lineRule="exact"/>
        <w:rPr>
          <w:sz w:val="20"/>
          <w:szCs w:val="20"/>
          <w:color w:val="auto"/>
        </w:rPr>
      </w:pPr>
    </w:p>
    <w:p>
      <w:pPr>
        <w:ind w:right="800" w:firstLine="472"/>
        <w:spacing w:after="0" w:line="275" w:lineRule="auto"/>
        <w:rPr>
          <w:sz w:val="20"/>
          <w:szCs w:val="20"/>
          <w:color w:val="auto"/>
        </w:rPr>
      </w:pPr>
      <w:r>
        <w:rPr>
          <w:rFonts w:ascii="Arial" w:cs="Arial" w:eastAsia="Arial" w:hAnsi="Arial"/>
          <w:sz w:val="17"/>
          <w:szCs w:val="17"/>
          <w:color w:val="auto"/>
        </w:rPr>
        <w:t>Dosing with PRAX-114 for four weeks led to a rapid and marked improvement in the HAM-D score (Figure 4) within two weeks of treatment, and LS Mean improvement of 11 points at Day 15 remained stable through the end of the active treatment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115570</wp:posOffset>
            </wp:positionV>
            <wp:extent cx="4163695" cy="2339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636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4. Reduction of HAM-D total score observed in MDD patients treated with PRAX-114 in Part C.</w:t>
      </w:r>
    </w:p>
    <w:p>
      <w:pPr>
        <w:spacing w:after="0" w:line="364"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Overall, dosing with PRAX-114 led to a marked reduction in HAM-D score during the treatment periods in Parts A, B and C, with symptom improvement evident upon follow-up in the MDD populations in Parts A and C and trending toward baseline in Part B. Changes in MADRS, HAM-A and SDQ (and menopausal symptom assessments in Part B) were consistent with the changes in HAM-D. More than 70% of participants from all parts of the study had previously received an antidepressant during the current depressive episode but still had moderate-to-severe MDD. We also observed in each part of the Phase 2a trial that greater than 50% of patients were responders at two weeks.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Combined Safety Results Summary (Parts A, B and C)</w:t>
      </w:r>
    </w:p>
    <w:p>
      <w:pPr>
        <w:spacing w:after="0" w:line="137"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In the Phase 2a study overall, PRAX-114 suspension formulation was generally well-tolerated across the dose range in 52 participants with MDD and PMD, including at the highest 80mg dose in Part A. Treatment-emergent adverse events, or TEAEs, were generally mild to moderate (Table 5). There were no serious adverse events, or SAEs, and study drug cessation at the end of the treatment period was generally well-tolerated. There was one discontinuation from the study due to AEs in a Part B participant of moderate daytime sedation and mild feeling abnormal. The most common AEs were headache, somnolence, and dizziness.</w:t>
      </w:r>
    </w:p>
    <w:p>
      <w:pPr>
        <w:spacing w:after="0" w:line="87" w:lineRule="exact"/>
        <w:rPr>
          <w:sz w:val="20"/>
          <w:szCs w:val="20"/>
          <w:color w:val="auto"/>
        </w:rPr>
      </w:pPr>
    </w:p>
    <w:p>
      <w:pPr>
        <w:jc w:val="both"/>
        <w:ind w:right="340" w:firstLine="393"/>
        <w:spacing w:after="0" w:line="266" w:lineRule="auto"/>
        <w:rPr>
          <w:sz w:val="20"/>
          <w:szCs w:val="20"/>
          <w:color w:val="auto"/>
        </w:rPr>
      </w:pPr>
      <w:r>
        <w:rPr>
          <w:rFonts w:ascii="Arial" w:cs="Arial" w:eastAsia="Arial" w:hAnsi="Arial"/>
          <w:sz w:val="17"/>
          <w:szCs w:val="17"/>
          <w:color w:val="auto"/>
        </w:rPr>
        <w:t>Rates of somnolence, which is characterized by sleepiness or drowsiness, increased with dose, demonstrating a pharmacological effect which was somewhat mitigated by dosing at night versus the morning. With night-time dosing, 17 out of 52 patients (33%) noted somnolence post-dosing, which was generally time-limited, not experienced during the daytime.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0" w:type="dxa"/>
        <w:tblCellMar>
          <w:top w:w="0" w:type="dxa"/>
          <w:left w:w="0" w:type="dxa"/>
          <w:bottom w:w="0" w:type="dxa"/>
          <w:right w:w="0" w:type="dxa"/>
        </w:tblCellMar>
      </w:tblPr>
      <w:tr>
        <w:trPr>
          <w:trHeight w:val="433"/>
        </w:trPr>
        <w:tc>
          <w:tcPr>
            <w:tcW w:w="2260" w:type="dxa"/>
            <w:vAlign w:val="bottom"/>
            <w:tcBorders>
              <w:top w:val="single" w:sz="8" w:color="auto"/>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Preferred Term</w:t>
            </w:r>
          </w:p>
        </w:tc>
        <w:tc>
          <w:tcPr>
            <w:tcW w:w="1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45 mg* (N=13)</w:t>
            </w: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60 mg (N=32)</w:t>
            </w:r>
          </w:p>
        </w:tc>
        <w:tc>
          <w:tcPr>
            <w:tcW w:w="8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80 mg* (N=7)</w:t>
            </w:r>
          </w:p>
        </w:tc>
        <w:tc>
          <w:tcPr>
            <w:tcW w:w="222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Overall (N=52)</w:t>
            </w:r>
          </w:p>
        </w:tc>
      </w:tr>
      <w:tr>
        <w:trPr>
          <w:trHeight w:val="137"/>
        </w:trPr>
        <w:tc>
          <w:tcPr>
            <w:tcW w:w="2260" w:type="dxa"/>
            <w:vAlign w:val="bottom"/>
            <w:tcBorders>
              <w:left w:val="single" w:sz="8" w:color="auto"/>
              <w:bottom w:val="single" w:sz="8" w:color="auto"/>
              <w:right w:val="single" w:sz="8" w:color="auto"/>
            </w:tcBorders>
          </w:tcPr>
          <w:p>
            <w:pPr>
              <w:ind w:left="60"/>
              <w:spacing w:after="0" w:line="137" w:lineRule="exact"/>
              <w:rPr>
                <w:sz w:val="20"/>
                <w:szCs w:val="20"/>
                <w:color w:val="auto"/>
              </w:rPr>
            </w:pPr>
            <w:r>
              <w:rPr>
                <w:rFonts w:ascii="Arial" w:cs="Arial" w:eastAsia="Arial" w:hAnsi="Arial"/>
                <w:sz w:val="14"/>
                <w:szCs w:val="14"/>
                <w:color w:val="auto"/>
              </w:rPr>
              <w:t>Headache</w:t>
            </w:r>
          </w:p>
        </w:tc>
        <w:tc>
          <w:tcPr>
            <w:tcW w:w="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7</w:t>
            </w:r>
          </w:p>
        </w:tc>
        <w:tc>
          <w:tcPr>
            <w:tcW w:w="64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(53.8%)</w:t>
            </w:r>
          </w:p>
        </w:tc>
        <w:tc>
          <w:tcPr>
            <w:tcW w:w="146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rPr>
              <w:t>12 (37.5%)</w:t>
            </w:r>
          </w:p>
        </w:tc>
        <w:tc>
          <w:tcPr>
            <w:tcW w:w="13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jc w:val="right"/>
              <w:ind w:right="110"/>
              <w:spacing w:after="0" w:line="137" w:lineRule="exact"/>
              <w:rPr>
                <w:sz w:val="20"/>
                <w:szCs w:val="20"/>
                <w:color w:val="auto"/>
              </w:rPr>
            </w:pPr>
            <w:r>
              <w:rPr>
                <w:rFonts w:ascii="Arial" w:cs="Arial" w:eastAsia="Arial" w:hAnsi="Arial"/>
                <w:sz w:val="14"/>
                <w:szCs w:val="14"/>
                <w:color w:val="auto"/>
              </w:rPr>
              <w:t>3 (42.9%)</w:t>
            </w:r>
          </w:p>
        </w:tc>
        <w:tc>
          <w:tcPr>
            <w:tcW w:w="14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22 (42.3%)</w:t>
            </w:r>
          </w:p>
        </w:tc>
      </w:tr>
      <w:tr>
        <w:trPr>
          <w:trHeight w:val="137"/>
        </w:trPr>
        <w:tc>
          <w:tcPr>
            <w:tcW w:w="2260" w:type="dxa"/>
            <w:vAlign w:val="bottom"/>
            <w:tcBorders>
              <w:left w:val="single" w:sz="8" w:color="auto"/>
              <w:bottom w:val="single" w:sz="8" w:color="auto"/>
              <w:right w:val="single" w:sz="8" w:color="auto"/>
            </w:tcBorders>
          </w:tcPr>
          <w:p>
            <w:pPr>
              <w:ind w:left="60"/>
              <w:spacing w:after="0" w:line="137" w:lineRule="exact"/>
              <w:rPr>
                <w:sz w:val="20"/>
                <w:szCs w:val="20"/>
                <w:color w:val="auto"/>
              </w:rPr>
            </w:pPr>
            <w:r>
              <w:rPr>
                <w:rFonts w:ascii="Arial" w:cs="Arial" w:eastAsia="Arial" w:hAnsi="Arial"/>
                <w:sz w:val="14"/>
                <w:szCs w:val="14"/>
                <w:color w:val="auto"/>
              </w:rPr>
              <w:t>Somnolence</w:t>
            </w:r>
          </w:p>
        </w:tc>
        <w:tc>
          <w:tcPr>
            <w:tcW w:w="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w:t>
            </w:r>
          </w:p>
        </w:tc>
        <w:tc>
          <w:tcPr>
            <w:tcW w:w="64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(15.4%)</w:t>
            </w:r>
          </w:p>
        </w:tc>
        <w:tc>
          <w:tcPr>
            <w:tcW w:w="146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rPr>
              <w:t>12 (37.5%)</w:t>
            </w:r>
          </w:p>
        </w:tc>
        <w:tc>
          <w:tcPr>
            <w:tcW w:w="13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jc w:val="right"/>
              <w:ind w:right="110"/>
              <w:spacing w:after="0" w:line="137" w:lineRule="exact"/>
              <w:rPr>
                <w:sz w:val="20"/>
                <w:szCs w:val="20"/>
                <w:color w:val="auto"/>
              </w:rPr>
            </w:pPr>
            <w:r>
              <w:rPr>
                <w:rFonts w:ascii="Arial" w:cs="Arial" w:eastAsia="Arial" w:hAnsi="Arial"/>
                <w:sz w:val="14"/>
                <w:szCs w:val="14"/>
                <w:color w:val="auto"/>
              </w:rPr>
              <w:t>3 (42.9%)</w:t>
            </w:r>
          </w:p>
        </w:tc>
        <w:tc>
          <w:tcPr>
            <w:tcW w:w="14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17 (32.7%)</w:t>
            </w:r>
          </w:p>
        </w:tc>
      </w:tr>
      <w:tr>
        <w:trPr>
          <w:trHeight w:val="137"/>
        </w:trPr>
        <w:tc>
          <w:tcPr>
            <w:tcW w:w="2260" w:type="dxa"/>
            <w:vAlign w:val="bottom"/>
            <w:tcBorders>
              <w:left w:val="single" w:sz="8" w:color="auto"/>
              <w:bottom w:val="single" w:sz="8" w:color="auto"/>
              <w:right w:val="single" w:sz="8" w:color="auto"/>
            </w:tcBorders>
          </w:tcPr>
          <w:p>
            <w:pPr>
              <w:ind w:left="60"/>
              <w:spacing w:after="0" w:line="137" w:lineRule="exact"/>
              <w:rPr>
                <w:sz w:val="20"/>
                <w:szCs w:val="20"/>
                <w:color w:val="auto"/>
              </w:rPr>
            </w:pPr>
            <w:r>
              <w:rPr>
                <w:rFonts w:ascii="Arial" w:cs="Arial" w:eastAsia="Arial" w:hAnsi="Arial"/>
                <w:sz w:val="14"/>
                <w:szCs w:val="14"/>
                <w:color w:val="auto"/>
              </w:rPr>
              <w:t>Dizziness</w:t>
            </w:r>
          </w:p>
        </w:tc>
        <w:tc>
          <w:tcPr>
            <w:tcW w:w="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0</w:t>
            </w:r>
          </w:p>
        </w:tc>
        <w:tc>
          <w:tcPr>
            <w:tcW w:w="64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(0.0%)</w:t>
            </w:r>
          </w:p>
        </w:tc>
        <w:tc>
          <w:tcPr>
            <w:tcW w:w="14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5</w:t>
            </w:r>
          </w:p>
        </w:tc>
        <w:tc>
          <w:tcPr>
            <w:tcW w:w="7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(15.6%)</w:t>
            </w:r>
          </w:p>
        </w:tc>
        <w:tc>
          <w:tcPr>
            <w:tcW w:w="13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jc w:val="right"/>
              <w:ind w:right="110"/>
              <w:spacing w:after="0" w:line="137" w:lineRule="exact"/>
              <w:rPr>
                <w:sz w:val="20"/>
                <w:szCs w:val="20"/>
                <w:color w:val="auto"/>
              </w:rPr>
            </w:pPr>
            <w:r>
              <w:rPr>
                <w:rFonts w:ascii="Arial" w:cs="Arial" w:eastAsia="Arial" w:hAnsi="Arial"/>
                <w:sz w:val="14"/>
                <w:szCs w:val="14"/>
                <w:color w:val="auto"/>
              </w:rPr>
              <w:t>4 (57.1%)</w:t>
            </w:r>
          </w:p>
        </w:tc>
        <w:tc>
          <w:tcPr>
            <w:tcW w:w="14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9 (17.3%)</w:t>
            </w:r>
          </w:p>
        </w:tc>
      </w:tr>
      <w:tr>
        <w:trPr>
          <w:trHeight w:val="137"/>
        </w:trPr>
        <w:tc>
          <w:tcPr>
            <w:tcW w:w="2260" w:type="dxa"/>
            <w:vAlign w:val="bottom"/>
            <w:tcBorders>
              <w:left w:val="single" w:sz="8" w:color="auto"/>
              <w:bottom w:val="single" w:sz="8" w:color="auto"/>
              <w:right w:val="single" w:sz="8" w:color="auto"/>
            </w:tcBorders>
          </w:tcPr>
          <w:p>
            <w:pPr>
              <w:ind w:left="60"/>
              <w:spacing w:after="0" w:line="137" w:lineRule="exact"/>
              <w:rPr>
                <w:sz w:val="20"/>
                <w:szCs w:val="20"/>
                <w:color w:val="auto"/>
              </w:rPr>
            </w:pPr>
            <w:r>
              <w:rPr>
                <w:rFonts w:ascii="Arial" w:cs="Arial" w:eastAsia="Arial" w:hAnsi="Arial"/>
                <w:sz w:val="14"/>
                <w:szCs w:val="14"/>
                <w:color w:val="auto"/>
              </w:rPr>
              <w:t>Fatigue</w:t>
            </w:r>
          </w:p>
        </w:tc>
        <w:tc>
          <w:tcPr>
            <w:tcW w:w="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w:t>
            </w:r>
          </w:p>
        </w:tc>
        <w:tc>
          <w:tcPr>
            <w:tcW w:w="64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(23.1%)</w:t>
            </w:r>
          </w:p>
        </w:tc>
        <w:tc>
          <w:tcPr>
            <w:tcW w:w="14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2</w:t>
            </w:r>
          </w:p>
        </w:tc>
        <w:tc>
          <w:tcPr>
            <w:tcW w:w="7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(6.3%)</w:t>
            </w:r>
          </w:p>
        </w:tc>
        <w:tc>
          <w:tcPr>
            <w:tcW w:w="13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jc w:val="right"/>
              <w:ind w:right="110"/>
              <w:spacing w:after="0" w:line="137" w:lineRule="exact"/>
              <w:rPr>
                <w:sz w:val="20"/>
                <w:szCs w:val="20"/>
                <w:color w:val="auto"/>
              </w:rPr>
            </w:pPr>
            <w:r>
              <w:rPr>
                <w:rFonts w:ascii="Arial" w:cs="Arial" w:eastAsia="Arial" w:hAnsi="Arial"/>
                <w:sz w:val="14"/>
                <w:szCs w:val="14"/>
                <w:color w:val="auto"/>
              </w:rPr>
              <w:t>1 (14.3%)</w:t>
            </w:r>
          </w:p>
        </w:tc>
        <w:tc>
          <w:tcPr>
            <w:tcW w:w="14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6 (11.5%)</w:t>
            </w:r>
          </w:p>
        </w:tc>
      </w:tr>
      <w:tr>
        <w:trPr>
          <w:trHeight w:val="137"/>
        </w:trPr>
        <w:tc>
          <w:tcPr>
            <w:tcW w:w="2260" w:type="dxa"/>
            <w:vAlign w:val="bottom"/>
            <w:tcBorders>
              <w:left w:val="single" w:sz="8" w:color="auto"/>
              <w:bottom w:val="single" w:sz="8" w:color="auto"/>
              <w:right w:val="single" w:sz="8" w:color="auto"/>
            </w:tcBorders>
          </w:tcPr>
          <w:p>
            <w:pPr>
              <w:ind w:left="60"/>
              <w:spacing w:after="0" w:line="137" w:lineRule="exact"/>
              <w:rPr>
                <w:sz w:val="20"/>
                <w:szCs w:val="20"/>
                <w:color w:val="auto"/>
              </w:rPr>
            </w:pPr>
            <w:r>
              <w:rPr>
                <w:rFonts w:ascii="Arial" w:cs="Arial" w:eastAsia="Arial" w:hAnsi="Arial"/>
                <w:sz w:val="14"/>
                <w:szCs w:val="14"/>
                <w:color w:val="auto"/>
              </w:rPr>
              <w:t>Feeling abnormal</w:t>
            </w:r>
          </w:p>
        </w:tc>
        <w:tc>
          <w:tcPr>
            <w:tcW w:w="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1</w:t>
            </w:r>
          </w:p>
        </w:tc>
        <w:tc>
          <w:tcPr>
            <w:tcW w:w="64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(7.7%)</w:t>
            </w:r>
          </w:p>
        </w:tc>
        <w:tc>
          <w:tcPr>
            <w:tcW w:w="14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4</w:t>
            </w:r>
          </w:p>
        </w:tc>
        <w:tc>
          <w:tcPr>
            <w:tcW w:w="7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(12.5%)</w:t>
            </w:r>
          </w:p>
        </w:tc>
        <w:tc>
          <w:tcPr>
            <w:tcW w:w="13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jc w:val="right"/>
              <w:ind w:right="110"/>
              <w:spacing w:after="0" w:line="137" w:lineRule="exact"/>
              <w:rPr>
                <w:sz w:val="20"/>
                <w:szCs w:val="20"/>
                <w:color w:val="auto"/>
              </w:rPr>
            </w:pPr>
            <w:r>
              <w:rPr>
                <w:rFonts w:ascii="Arial" w:cs="Arial" w:eastAsia="Arial" w:hAnsi="Arial"/>
                <w:sz w:val="14"/>
                <w:szCs w:val="14"/>
                <w:color w:val="auto"/>
              </w:rPr>
              <w:t>1 (14.3%)</w:t>
            </w:r>
          </w:p>
        </w:tc>
        <w:tc>
          <w:tcPr>
            <w:tcW w:w="14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6 (11.5%)</w:t>
            </w:r>
          </w:p>
        </w:tc>
      </w:tr>
      <w:tr>
        <w:trPr>
          <w:trHeight w:val="137"/>
        </w:trPr>
        <w:tc>
          <w:tcPr>
            <w:tcW w:w="2260" w:type="dxa"/>
            <w:vAlign w:val="bottom"/>
            <w:tcBorders>
              <w:left w:val="single" w:sz="8" w:color="auto"/>
              <w:bottom w:val="single" w:sz="8" w:color="auto"/>
              <w:right w:val="single" w:sz="8" w:color="auto"/>
            </w:tcBorders>
          </w:tcPr>
          <w:p>
            <w:pPr>
              <w:ind w:left="60"/>
              <w:spacing w:after="0" w:line="137" w:lineRule="exact"/>
              <w:rPr>
                <w:sz w:val="20"/>
                <w:szCs w:val="20"/>
                <w:color w:val="auto"/>
              </w:rPr>
            </w:pPr>
            <w:r>
              <w:rPr>
                <w:rFonts w:ascii="Arial" w:cs="Arial" w:eastAsia="Arial" w:hAnsi="Arial"/>
                <w:sz w:val="14"/>
                <w:szCs w:val="14"/>
                <w:color w:val="auto"/>
              </w:rPr>
              <w:t>Nausea</w:t>
            </w:r>
          </w:p>
        </w:tc>
        <w:tc>
          <w:tcPr>
            <w:tcW w:w="1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0</w:t>
            </w:r>
          </w:p>
        </w:tc>
        <w:tc>
          <w:tcPr>
            <w:tcW w:w="64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(0.0%)</w:t>
            </w:r>
          </w:p>
        </w:tc>
        <w:tc>
          <w:tcPr>
            <w:tcW w:w="14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5</w:t>
            </w:r>
          </w:p>
        </w:tc>
        <w:tc>
          <w:tcPr>
            <w:tcW w:w="72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(15.6%)</w:t>
            </w:r>
          </w:p>
        </w:tc>
        <w:tc>
          <w:tcPr>
            <w:tcW w:w="13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jc w:val="right"/>
              <w:ind w:right="110"/>
              <w:spacing w:after="0" w:line="137" w:lineRule="exact"/>
              <w:rPr>
                <w:sz w:val="20"/>
                <w:szCs w:val="20"/>
                <w:color w:val="auto"/>
              </w:rPr>
            </w:pPr>
            <w:r>
              <w:rPr>
                <w:rFonts w:ascii="Arial" w:cs="Arial" w:eastAsia="Arial" w:hAnsi="Arial"/>
                <w:sz w:val="14"/>
                <w:szCs w:val="14"/>
                <w:color w:val="auto"/>
              </w:rPr>
              <w:t>1 (14.3%)</w:t>
            </w:r>
          </w:p>
        </w:tc>
        <w:tc>
          <w:tcPr>
            <w:tcW w:w="142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6 (11.5%)</w:t>
            </w:r>
          </w:p>
        </w:tc>
      </w:tr>
    </w:tbl>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*Includes participants from Part A only.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Part A, PRAX-114 was administered at daytime of Day 1, nighttime of Days 2-14.</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5. TEAEs reported in ≥10% of participants across all parts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 the PRAX-114 Phase 2a study (Parts A, B and C).</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1 trials in healthy volunteers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SAD clinical trial</w:t>
      </w:r>
    </w:p>
    <w:p>
      <w:pPr>
        <w:spacing w:after="0" w:line="137"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We conducted a Phase 1 randomized, double-blind, placebo-controlled single ascending dose, or SAD, trial of PRAX-114 suspension formulation in healthy volunteers to evaluate safety and tolerability of PRAX-114. This trial enrolled 36 volunteers who were randomized into cohorts dosed with 1mg, 3mg, 10mg, 30mg or 60mg of PRAX-114 or placebo. In this trial, we observed fast absorption of PRAX-114 within one to three hours of dosing and approximately dose-proportional increases in peak concentration and total drug exposure. PRAX-114 was generally well-tolerated and no SAEs were reported in this trial.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MAD clinical trial</w:t>
      </w:r>
    </w:p>
    <w:p>
      <w:pPr>
        <w:spacing w:after="0" w:line="137" w:lineRule="exact"/>
        <w:rPr>
          <w:sz w:val="20"/>
          <w:szCs w:val="20"/>
          <w:color w:val="auto"/>
        </w:rPr>
      </w:pPr>
    </w:p>
    <w:p>
      <w:pPr>
        <w:ind w:right="260" w:firstLine="433"/>
        <w:spacing w:after="0" w:line="263" w:lineRule="auto"/>
        <w:rPr>
          <w:sz w:val="20"/>
          <w:szCs w:val="20"/>
          <w:color w:val="auto"/>
        </w:rPr>
      </w:pPr>
      <w:r>
        <w:rPr>
          <w:rFonts w:ascii="Arial" w:cs="Arial" w:eastAsia="Arial" w:hAnsi="Arial"/>
          <w:sz w:val="17"/>
          <w:szCs w:val="17"/>
          <w:color w:val="auto"/>
        </w:rPr>
        <w:t>We subsequently conducted a Phase 1 randomized, double-blind, placebo-controlled multiple ascending dose, or MAD, trial in healthy volunteers in Australia to evaluate the safety, tolerability and PK of PRAX-114 suspension formulation and to assess the effect of food on drug exposure. Thirty-six volunteers were randomized to receive daily doses of 15mg, 30mg or 60mg of PRAX-114 or placebo for 14 days. Ten additional volunteers in a food effect cohort received 30mg doses of PRAX-114 when they were in a fasted state or with a high-fat meal.</w:t>
      </w:r>
    </w:p>
    <w:p>
      <w:pPr>
        <w:spacing w:after="0" w:line="87"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As part of this trial, we evaluated the effect of PRAX-114 on qEEG to understand the potential pharmacodynamic effect of PRAX-114 on GABA</w:t>
      </w:r>
      <w:r>
        <w:rPr>
          <w:rFonts w:ascii="Arial" w:cs="Arial" w:eastAsia="Arial" w:hAnsi="Arial"/>
          <w:sz w:val="15"/>
          <w:szCs w:val="15"/>
          <w:color w:val="auto"/>
        </w:rPr>
        <w:t>A</w:t>
      </w:r>
      <w:r>
        <w:rPr>
          <w:rFonts w:ascii="Arial" w:cs="Arial" w:eastAsia="Arial" w:hAnsi="Arial"/>
          <w:sz w:val="17"/>
          <w:szCs w:val="17"/>
          <w:color w:val="auto"/>
        </w:rPr>
        <w:t xml:space="preserve"> receptor activation. An EEG is a real-time, non-invasive measure of electrical activity of neurons in the brain. The frequency and amplitude of the detected electrical signals provide insights into brain function and brain state (</w:t>
      </w:r>
      <w:r>
        <w:rPr>
          <w:rFonts w:ascii="Arial" w:cs="Arial" w:eastAsia="Arial" w:hAnsi="Arial"/>
          <w:sz w:val="17"/>
          <w:szCs w:val="17"/>
          <w:i w:val="1"/>
          <w:iCs w:val="1"/>
          <w:color w:val="auto"/>
        </w:rPr>
        <w:t>e.g.</w:t>
      </w:r>
      <w:r>
        <w:rPr>
          <w:rFonts w:ascii="Arial" w:cs="Arial" w:eastAsia="Arial" w:hAnsi="Arial"/>
          <w:sz w:val="17"/>
          <w:szCs w:val="17"/>
          <w:color w:val="auto"/>
        </w:rPr>
        <w:t>, awake, deep sleep, etc). qEEG is a quantitative measure of the changes in brain activity in specific EEG frequency bands in response to treatment with a brain-active compound. Changes in power in the beta frequency band, specifically, are used as a pharmacodynamic biomarker of GABA</w:t>
      </w:r>
      <w:r>
        <w:rPr>
          <w:rFonts w:ascii="Arial" w:cs="Arial" w:eastAsia="Arial" w:hAnsi="Arial"/>
          <w:sz w:val="15"/>
          <w:szCs w:val="15"/>
          <w:color w:val="auto"/>
        </w:rPr>
        <w:t>A</w:t>
      </w:r>
      <w:r>
        <w:rPr>
          <w:rFonts w:ascii="Arial" w:cs="Arial" w:eastAsia="Arial" w:hAnsi="Arial"/>
          <w:sz w:val="17"/>
          <w:szCs w:val="17"/>
          <w:color w:val="auto"/>
        </w:rPr>
        <w:t xml:space="preserve"> receptor activation in response to a brain active compound.</w:t>
      </w:r>
    </w:p>
    <w:p>
      <w:pPr>
        <w:spacing w:after="0" w:line="297"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In this trial, we observed fast absorption of PRAX-114 within one to three hours of dosing and approximately dose-proportional increases in peak concentration and total drug exposure. The half-life of the drug was between 12.2 and 14.8 hours, consistent with a once-daily dosing regimen. Little or no accumulation of the drug was observed over the ranges of doses tested.</w:t>
      </w:r>
    </w:p>
    <w:p>
      <w:pPr>
        <w:spacing w:after="0" w:line="84" w:lineRule="exact"/>
        <w:rPr>
          <w:sz w:val="20"/>
          <w:szCs w:val="20"/>
          <w:color w:val="auto"/>
        </w:rPr>
      </w:pPr>
    </w:p>
    <w:p>
      <w:pPr>
        <w:ind w:right="40" w:firstLine="393"/>
        <w:spacing w:after="0" w:line="260" w:lineRule="auto"/>
        <w:rPr>
          <w:sz w:val="20"/>
          <w:szCs w:val="20"/>
          <w:color w:val="auto"/>
        </w:rPr>
      </w:pPr>
      <w:r>
        <w:rPr>
          <w:rFonts w:ascii="Arial" w:cs="Arial" w:eastAsia="Arial" w:hAnsi="Arial"/>
          <w:sz w:val="17"/>
          <w:szCs w:val="17"/>
          <w:color w:val="auto"/>
        </w:rPr>
        <w:t>We believe that the potentially simple nightly administration of PRAX-114 with or without food is key for clinical, and, if approved, commercial success in MDD, as many patients struggle with adherence to medication and forcing a dietary regimen would impose further complications in this vulnerable population. In the food effect cohort of the MAD trial, overall drug exposure as measured by AUC of PRAX-114 increased by only 1.17-fold in the fed state versus in the fasted state. The primary effect caused by food intake was observed in the Cmax, which was 0.64-fold of that observed under fed conditions. These findings indicate that PRAX-114 may not need to be taken with food to achieve therapeutic exposures, which we believe could create a potential competitive advantage over drugs that may require administration with food to achieve consistent target exposures, and could allow flexibility to adjust to the comorbid changes in appetite and preferences of MDD patients.</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measured changes in qEEG power in our Phase 1 MAD volunteers to assess the effect of PRAX-114 on GABA</w:t>
      </w:r>
      <w:r>
        <w:rPr>
          <w:rFonts w:ascii="Arial" w:cs="Arial" w:eastAsia="Arial" w:hAnsi="Arial"/>
          <w:sz w:val="15"/>
          <w:szCs w:val="15"/>
          <w:color w:val="auto"/>
        </w:rPr>
        <w:t>A</w:t>
      </w:r>
      <w:r>
        <w:rPr>
          <w:rFonts w:ascii="Arial" w:cs="Arial" w:eastAsia="Arial" w:hAnsi="Arial"/>
          <w:sz w:val="17"/>
          <w:szCs w:val="17"/>
          <w:color w:val="auto"/>
        </w:rPr>
        <w:t xml:space="preserve"> receptors in the brain</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Days 1 and 14 of this trial. PRAX-114 produced marked increases in the power of the alpha and beta-frequency bands. Increases in the beta-frequency band are correlated with GABAergic activation, as previously shown by the marketed GABA</w:t>
      </w:r>
      <w:r>
        <w:rPr>
          <w:rFonts w:ascii="Arial" w:cs="Arial" w:eastAsia="Arial" w:hAnsi="Arial"/>
          <w:sz w:val="15"/>
          <w:szCs w:val="15"/>
          <w:color w:val="auto"/>
        </w:rPr>
        <w:t>A</w:t>
      </w:r>
      <w:r>
        <w:rPr>
          <w:rFonts w:ascii="Arial" w:cs="Arial" w:eastAsia="Arial" w:hAnsi="Arial"/>
          <w:sz w:val="17"/>
          <w:szCs w:val="17"/>
          <w:color w:val="auto"/>
        </w:rPr>
        <w:t xml:space="preserve"> PAMs. We believe the qEEG measurements observed for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160"/>
        <w:spacing w:after="0" w:line="275" w:lineRule="auto"/>
        <w:rPr>
          <w:sz w:val="20"/>
          <w:szCs w:val="20"/>
          <w:color w:val="auto"/>
        </w:rPr>
      </w:pPr>
      <w:r>
        <w:rPr>
          <w:rFonts w:ascii="Arial" w:cs="Arial" w:eastAsia="Arial" w:hAnsi="Arial"/>
          <w:sz w:val="17"/>
          <w:szCs w:val="17"/>
          <w:color w:val="auto"/>
        </w:rPr>
        <w:t>PRAX-114 were consistent with its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preference and differentiated pharmacological profile relative to benzodiazepines and other GABA</w:t>
      </w:r>
      <w:r>
        <w:rPr>
          <w:rFonts w:ascii="Arial" w:cs="Arial" w:eastAsia="Arial" w:hAnsi="Arial"/>
          <w:sz w:val="15"/>
          <w:szCs w:val="15"/>
          <w:color w:val="auto"/>
        </w:rPr>
        <w:t>A</w:t>
      </w:r>
      <w:r>
        <w:rPr>
          <w:rFonts w:ascii="Arial" w:cs="Arial" w:eastAsia="Arial" w:hAnsi="Arial"/>
          <w:sz w:val="17"/>
          <w:szCs w:val="17"/>
          <w:color w:val="auto"/>
        </w:rPr>
        <w:t xml:space="preserve"> PAMs in the class.</w:t>
      </w:r>
    </w:p>
    <w:p>
      <w:pPr>
        <w:spacing w:after="0" w:line="77"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Moreover, the increases in alpha and beta-frequency were strongly correlated with dose and PRAX-114 levels in the blood. In these healthy volunteers at one hour post-dose on Day 1, PRAX-114 30mg resulted in an average increase in qEEG alpha and beta power of approximately 1.5-fold and 1.6-fold compared to baseline, and 60mg resulted in an increase in this measure of 2.6-fold and 2.8-fold compared to baseline, respectively (Figure 6). These increases on the qEEG alpha and beta power were sustained at Day 14. These data show that PRAX-114 engaged GABA</w:t>
      </w:r>
      <w:r>
        <w:rPr>
          <w:rFonts w:ascii="Arial" w:cs="Arial" w:eastAsia="Arial" w:hAnsi="Arial"/>
          <w:sz w:val="15"/>
          <w:szCs w:val="15"/>
          <w:color w:val="auto"/>
        </w:rPr>
        <w:t>A</w:t>
      </w:r>
      <w:r>
        <w:rPr>
          <w:rFonts w:ascii="Arial" w:cs="Arial" w:eastAsia="Arial" w:hAnsi="Arial"/>
          <w:sz w:val="17"/>
          <w:szCs w:val="17"/>
          <w:color w:val="auto"/>
        </w:rPr>
        <w:t xml:space="preserve"> receptors in the brain and produced consistent increases on qEEG within the first hour after dosing with similar increases on Days 1 and 14. This finding was also consistent with the pharmacologic activity and qEEG data from our preclinical studies, where a 1.6-fold increase in beta power was associated with robust activity in animal models of anxiety and depression and was used to inform dose selection in subsequent clinical trials. Notably, PRAX-114 showed increases in beta power up to 2.8-fold without achieving a MTD or demonstrating any SAEs.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190500</wp:posOffset>
            </wp:positionV>
            <wp:extent cx="4163695" cy="2872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6369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0" w:right="40"/>
        <w:spacing w:after="0" w:line="302" w:lineRule="auto"/>
        <w:rPr>
          <w:sz w:val="20"/>
          <w:szCs w:val="20"/>
          <w:color w:val="auto"/>
        </w:rPr>
      </w:pPr>
      <w:r>
        <w:rPr>
          <w:rFonts w:ascii="Arial" w:cs="Arial" w:eastAsia="Arial" w:hAnsi="Arial"/>
          <w:sz w:val="17"/>
          <w:szCs w:val="17"/>
          <w:b w:val="1"/>
          <w:bCs w:val="1"/>
          <w:color w:val="auto"/>
        </w:rPr>
        <w:t>Figure 6. PRAX-114 (30mg and 60mg) showed a robust dose-dependent qEEG signal and target activation that was sustained over 14 days of dosing.</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In this trial, PRAX-114 was generally well-tolerated, with no SAEs reported. The reported TEAEs were mild to moderate and were consistent with those expected for the potential mechanism of action. The most common TEAE was somnolence, which is characterized by sleepiness or drowsiness, and all events of somnolence were mild in severity. Increases in sleepiness as measured by the Stanford Sleepiness Scale occurred between one- and three-hours post-dosing, consistent with the period of peak drug concentrations; sleepiness ratings at the 60mg dose were similar to placebo within 4 hours post-dose. Other common TEAEs were dizziness and hypoaesthesia, or a diminished sense of touch. TEAEs observed in more than one subject were euphoric mood, hyperhidrosis, or excessive sweating, muscle twitching, skin irritation and fatigue. In the placebo group, we observed fatigue in 22.2% of subjects. TEAEs appearing to be dose-related were somnolence, dizziness headache, euphoric mood and hypoaesthesia. We did not observe a maximally tolerated dose, or MTD. We believe the tolerability results observed of PRAX-114 suggest the potential for a wider therapeutic window, increased adherence and a wider dose range for MDD patients.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pharmacokinetics bridging study</w:t>
      </w:r>
    </w:p>
    <w:p>
      <w:pPr>
        <w:spacing w:after="0" w:line="137"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preparation for our randomized, placebo-controlled trials in MDD, we conducted a clinical PK bridging study in which PRAX-114 was administered as a solid dose (</w:t>
      </w:r>
      <w:r>
        <w:rPr>
          <w:rFonts w:ascii="Arial" w:cs="Arial" w:eastAsia="Arial" w:hAnsi="Arial"/>
          <w:sz w:val="17"/>
          <w:szCs w:val="17"/>
          <w:i w:val="1"/>
          <w:iCs w:val="1"/>
          <w:color w:val="auto"/>
        </w:rPr>
        <w:t>i.e.</w:t>
      </w:r>
      <w:r>
        <w:rPr>
          <w:rFonts w:ascii="Arial" w:cs="Arial" w:eastAsia="Arial" w:hAnsi="Arial"/>
          <w:sz w:val="17"/>
          <w:szCs w:val="17"/>
          <w:color w:val="auto"/>
        </w:rPr>
        <w:t>, tablet) formulation in single ascending doses of 40mg, 60mg and 80mg or placebo in seventeen participants and compared to PRAX-114 suspension formulation administered at the 60mg dose. The PK of the tablet formulation was found to be comparable to the suspension formulation at the 60mg dose level. Overall, PRAX 114 showed demonstrated consistent drug exposure across a wide range of administration conditions and demonstrated a consistent AUC when administered with or without food and at different times of day, which we believe could enable once daily administration at bedtime without the need for additional patient instructions.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PRAX-114 clinical development in PTSD</w:t>
      </w:r>
    </w:p>
    <w:p>
      <w:pPr>
        <w:spacing w:after="0" w:line="141" w:lineRule="exact"/>
        <w:rPr>
          <w:sz w:val="20"/>
          <w:szCs w:val="20"/>
          <w:color w:val="auto"/>
        </w:rPr>
      </w:pPr>
    </w:p>
    <w:p>
      <w:pPr>
        <w:ind w:right="80" w:firstLine="393"/>
        <w:spacing w:after="0" w:line="275" w:lineRule="auto"/>
        <w:rPr>
          <w:sz w:val="20"/>
          <w:szCs w:val="20"/>
          <w:color w:val="auto"/>
        </w:rPr>
      </w:pPr>
      <w:r>
        <w:rPr>
          <w:rFonts w:ascii="Arial" w:cs="Arial" w:eastAsia="Arial" w:hAnsi="Arial"/>
          <w:sz w:val="17"/>
          <w:szCs w:val="17"/>
          <w:color w:val="auto"/>
        </w:rPr>
        <w:t>We are conducting a Phase 2, placebo-controlled study evaluating PRAX-114 for the treatment of PTSD and expect to report topline results in the second half of 2022, which will guide decision making for subsequent development of PRAX-114 in the PTSD population.</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Patients in the Phase 2 trial will be randomized 1:1 to receive nightly bedtime doses of PRAX-114 or placebo for 28 days in an outpatient</w:t>
      </w:r>
    </w:p>
    <w:p>
      <w:pPr>
        <w:spacing w:after="0" w:line="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setting, with two-weeks of additional follow up after the end of the active treatment period. Dose selection was based on similar considerations to those that informed dose selection for the Aria Study and the Acapella Study. Since it is not known whether there may be dose response differences between MDD and PTSD with this drug mechanism, a flexible-dose approach in the range that showed positive results in the Phase 2a MDD study was included in the design of this study.</w:t>
      </w:r>
    </w:p>
    <w:p>
      <w:pPr>
        <w:spacing w:after="0" w:line="87" w:lineRule="exact"/>
        <w:rPr>
          <w:sz w:val="20"/>
          <w:szCs w:val="20"/>
          <w:color w:val="auto"/>
        </w:rPr>
      </w:pPr>
    </w:p>
    <w:p>
      <w:pPr>
        <w:ind w:right="20" w:firstLine="472"/>
        <w:spacing w:after="0" w:line="260" w:lineRule="auto"/>
        <w:rPr>
          <w:sz w:val="20"/>
          <w:szCs w:val="20"/>
          <w:color w:val="auto"/>
        </w:rPr>
      </w:pPr>
      <w:r>
        <w:rPr>
          <w:rFonts w:ascii="Arial" w:cs="Arial" w:eastAsia="Arial" w:hAnsi="Arial"/>
          <w:sz w:val="17"/>
          <w:szCs w:val="17"/>
          <w:color w:val="auto"/>
        </w:rPr>
        <w:t>Participants treated with PRAX-114 will receive 40mg on Days 1 to 14; on Day 15, those PRAX-114 participants not achieving at least a 20% reduction in PTSD symptoms, as measured by the Clinician-Administered PTSD Scale for DSM-5, or CAPS-5, total score, will receive an increase to 60mg from Days 15 to 28 unless tolerability concerns preclude a dose increase. CAPS-5 is a 30-item structured interview that is the gold standard in PTSD assessment, with versions that can be used to make a current diagnosis of PTSD and to assess PTSD symptoms over the past week. Patients will be required to be between the ages of 18 and 65, have a diagnosis of PTSD with a duration of at least six months, have a CAPS-5 total score of 30 or higher consistent with moderate-to-severe PTSD, and either currently not treated with psychiatric medications or taking no more than one antidepressant within the labeled prescribing dose range for a minimum of three months prior to screening, with the intent to remain on a stable dose throughout the trial. Participants will be excluded if they have comorbid medical or psychiatric conditions that</w:t>
      </w:r>
    </w:p>
    <w:p>
      <w:pPr>
        <w:spacing w:after="0" w:line="2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could interfere with the scientific objectives or safety of the trial. The primary efficacy endpoint in this study is the change from baseline in the CAPS-5 total score after 28 days of treatment. A key secondary endpoint will be change from baseline in the CAPS-5 score after 14 days of</w:t>
      </w:r>
    </w:p>
    <w:p>
      <w:pPr>
        <w:spacing w:after="0" w:line="11" w:lineRule="exact"/>
        <w:rPr>
          <w:sz w:val="20"/>
          <w:szCs w:val="20"/>
          <w:color w:val="auto"/>
        </w:rPr>
      </w:pPr>
    </w:p>
    <w:p>
      <w:pPr>
        <w:ind w:right="880"/>
        <w:spacing w:after="0" w:line="275" w:lineRule="auto"/>
        <w:rPr>
          <w:sz w:val="20"/>
          <w:szCs w:val="20"/>
          <w:color w:val="auto"/>
        </w:rPr>
      </w:pPr>
      <w:r>
        <w:rPr>
          <w:rFonts w:ascii="Arial" w:cs="Arial" w:eastAsia="Arial" w:hAnsi="Arial"/>
          <w:sz w:val="17"/>
          <w:szCs w:val="17"/>
          <w:color w:val="auto"/>
        </w:rPr>
        <w:t>treatment to assess the rapidity of onset of the treatment effect of PRAX-114 in PTSD. We expect to employ similar clinical trial quality interventions to those summarized above for the Aria Study and the Acapella Study.</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PRAX-114 preclinical data</w:t>
      </w:r>
    </w:p>
    <w:p>
      <w:pPr>
        <w:spacing w:after="0" w:line="141"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In our preclinical studies of PRAX-114, we evaluated translational pharmacodynamic biomarkers to inform clinical development. In our rat translational biomarker model, we administered PRAX-114 to wild-type rats at doses ranging from 1 to 20mg/kg to assess the impact on power in the beta frequency band. We found that PRAX-114 dose-dependently increased the power in the beta frequency band and these changes correlated with changes in plasma pharmacokinetics. This EEG biomarker was used to inform dose-selection for PRAX-114 clinical studies. In our preclinical studies, doses (and plasma/brain concentrations) that induced a 1.6-fold increase in the beta frequency power in rats were associated with both robust preclinical activity in animal models of depression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anxiety and good tolerability. Specifically, the PRAX-114 dose was estimated to induce a 1.6-fold increase in EEG beta power activity in rats led to activity in the rat WKY model of depression and the window between that dose that increased beta power by 1.6-fold increase in EEG and the dose that caused a 50% reduction of spontaneous locomotion in the sLMA sedation assay, or ED</w:t>
      </w:r>
      <w:r>
        <w:rPr>
          <w:rFonts w:ascii="Arial" w:cs="Arial" w:eastAsia="Arial" w:hAnsi="Arial"/>
          <w:sz w:val="15"/>
          <w:szCs w:val="15"/>
          <w:color w:val="auto"/>
        </w:rPr>
        <w:t>50</w:t>
      </w:r>
      <w:r>
        <w:rPr>
          <w:rFonts w:ascii="Arial" w:cs="Arial" w:eastAsia="Arial" w:hAnsi="Arial"/>
          <w:sz w:val="17"/>
          <w:szCs w:val="17"/>
          <w:color w:val="auto"/>
        </w:rPr>
        <w:t>, was ~11-fold, based on brain concentrations. In addition, at this brain concentration, PRAX-114 showed activity and was generally well-tolerated in animal models of anxiety including conditional emotional response, or CER, punished drinking, or Vogel, and elevated plus maze, or EPM (Figure 7).</w:t>
      </w:r>
    </w:p>
    <w:p>
      <w:pPr>
        <w:spacing w:after="0" w:line="87" w:lineRule="exact"/>
        <w:rPr>
          <w:sz w:val="20"/>
          <w:szCs w:val="20"/>
          <w:color w:val="auto"/>
        </w:rPr>
      </w:pPr>
    </w:p>
    <w:p>
      <w:pPr>
        <w:jc w:val="both"/>
        <w:ind w:right="220" w:firstLine="393"/>
        <w:spacing w:after="0" w:line="266" w:lineRule="auto"/>
        <w:rPr>
          <w:sz w:val="20"/>
          <w:szCs w:val="20"/>
          <w:color w:val="auto"/>
        </w:rPr>
      </w:pPr>
      <w:r>
        <w:rPr>
          <w:rFonts w:ascii="Arial" w:cs="Arial" w:eastAsia="Arial" w:hAnsi="Arial"/>
          <w:sz w:val="17"/>
          <w:szCs w:val="17"/>
          <w:color w:val="auto"/>
        </w:rPr>
        <w:t>In the figure below, the lower bound of the preclinical activity in animal models and EEG bars are determined by the brain exposure at the lowest dose at which significant activity was observed (p &lt; 0.05). The lower bound of the tolerability bar represents the TC</w:t>
      </w:r>
      <w:r>
        <w:rPr>
          <w:rFonts w:ascii="Arial" w:cs="Arial" w:eastAsia="Arial" w:hAnsi="Arial"/>
          <w:sz w:val="15"/>
          <w:szCs w:val="15"/>
          <w:color w:val="auto"/>
        </w:rPr>
        <w:t>50</w:t>
      </w:r>
      <w:r>
        <w:rPr>
          <w:rFonts w:ascii="Arial" w:cs="Arial" w:eastAsia="Arial" w:hAnsi="Arial"/>
          <w:sz w:val="17"/>
          <w:szCs w:val="17"/>
          <w:color w:val="auto"/>
        </w:rPr>
        <w:t xml:space="preserve"> in the brain. The upper bound represents the mean brain concentration at the highest dose tested in a given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53975</wp:posOffset>
            </wp:positionV>
            <wp:extent cx="3738880" cy="2406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38880" cy="240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7. Summary of PRAX-114 preclinical data.</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MOVEMENT DISORDERS</w:t>
      </w:r>
    </w:p>
    <w:p>
      <w:pPr>
        <w:spacing w:after="0" w:line="141" w:lineRule="exact"/>
        <w:rPr>
          <w:sz w:val="20"/>
          <w:szCs w:val="20"/>
          <w:color w:val="auto"/>
        </w:rPr>
      </w:pPr>
    </w:p>
    <w:p>
      <w:pPr>
        <w:ind w:right="120" w:firstLine="393"/>
        <w:spacing w:after="0" w:line="261" w:lineRule="auto"/>
        <w:rPr>
          <w:sz w:val="20"/>
          <w:szCs w:val="20"/>
          <w:color w:val="auto"/>
        </w:rPr>
      </w:pPr>
      <w:r>
        <w:rPr>
          <w:rFonts w:ascii="Arial" w:cs="Arial" w:eastAsia="Arial" w:hAnsi="Arial"/>
          <w:sz w:val="17"/>
          <w:szCs w:val="17"/>
          <w:color w:val="auto"/>
        </w:rPr>
        <w:t>Our Movement Disorders franchise is currently focused on the two most prevalent movement disorders, ET and PD. We are developing PRAX-944, a potentially differentiated selective small molecule inhibitor of T-type calcium channels, and PRAX-114 for the treatment of ET, with the goal of allowing patients to fit the right therapy to their needs and on an as-needed or chronic basis. ET is the most common movement disorder, affecting up to seven million patients in the United States, and is a disease associated with debilitating action tremors triggered when a patient voluntarily attempts to move. There is a high unmet need for patients given limited treatment options, with only one approved pharmacotherapy that offers limited efficacy and poor tolerability.</w:t>
      </w:r>
    </w:p>
    <w:p>
      <w:pPr>
        <w:spacing w:after="0" w:line="88"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For PRAX-944, there is a large body of clinical, preclinical and genetic evidence that points to the involvement of T-type calcium channels in the cerebello-thalamo-cortical, or CTC, circuit, as a main driver of ET. We have designed our development program to include clinical endpoints assessing how a patient feels and functions, a modified release formulation designed to provide a blunted Cmax for tolerability and sustained exposures throughout the day, and dose titration strategy to optimally reach therapeutic levels. We believe the design of PRAX-944, coupled with its modified release formulation, positions it for development as a differentiated therapy in ET. We intend to initiate a registrational study for PRAX-944 for the treatment of ET, pending receipt of positive topline results from the Phase 2b randomized controlled dose-range finding Essential1 Study, which are expected in the second half of 2022. For PRAX-114, the GABA neurotransmitter system is hypothesized to play an important role in ET, and several available treatment options appear to work via GABAergic mechanisms directly or indirectly (primidone, topiramate, propranolol). In the PRAX-114 Phase 2 placebo-controlled, crossover study for the treatment of ET, we intend to evaluate whether there is an appropriate dose of PRAX-114 for daytime administration that enables reduction in tremor without somnolence or sedation that will guide decision making for subsequent development of PRAX-114 in the ET population.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We are also developing PRAX-944 as a potential non-dopaminergic therapy for PD. T-type calcium channels in the CTC are also implicated in the modulation of motor circuits in PD and there is preclinical evidence which suggests blocking T-type calcium channels may support improvement of motor activity in PD models. We intend to initiate a Phase 2 POC study of PRAX-944 for the treatment of PD in the second quarter of 2022 to evaluate motor function improvement in patients and subsequently determine development and regulatory pathways. Because of the gatekeeper role of T-type calcium channels in regulating neuronal firing patterns in multiple neuronal circuits, we believe PRAX-944 is suitable for potential development across a wide range of indications and potentially sizable expansion opportunities in addition to ET.</w:t>
      </w:r>
    </w:p>
    <w:p>
      <w:pPr>
        <w:spacing w:after="0" w:line="88"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For the treatment of ET with PRAX-944, we have evaluated the safety and tolerability in approximately 200 healthy volunteers and patients in seven completed and two ongoing studies. We are conducting the Essential1 Study to evaluate the tolerability, safety and efficacy of PRAX-944 in adults with ET. We have also completed enrollment in a two-part open-label Phase 2a proof-of-concept trial in ET patients. Data from six patients from Part A showed tremor reduction and that PRAX-944 was generally well-tolerated at one and two weeks in patients dosed up to 40 mg once daily, which compared favorably to historical placebo response. Based on the Part A data and the observed safety results in the healthy volunteer titration study, we added a second cohort, Part B, to the Phase 2a trial in which patients are being titrated to a dose of up to 120mg/day of PRAX-944. We have also included a randomized, double-blind, placebo-controlled withdrawal phase to Part B, during which participants will either be maintained on their final open-label dose or switched to placebo. Preliminary open-label data as of December 10, 2021 from nine evaluable subjects in Part B showed favorable trends in tremor reduction and activities of daily living, or ADLs, in doses up to 120mg/day. We plan to report topline results for Part B in the second quarter of 2022, including both open-label and placebo-controlled, randomized withdrawal results. We have also studied the safety of PRAX-944 modified release formulation with titration up to 120mg/day and no MTD has been identified.</w:t>
      </w:r>
    </w:p>
    <w:p>
      <w:pPr>
        <w:spacing w:after="0" w:line="302"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We expect to initiate a Phase 2 study evaluating daytime administration of PRAX-114 in ET patients in the first quarter of 2022. The objective of this trial is to evaluate the safety, tolerability, PK and efficacy of PRAX-114 in the treatment of adults with ET. The trial is comprised of two parts: Part A and Part B. Part A is a randomized, double-blind, placebo-controlled, three-period crossover design where all participants will receive a single dose of 10mg of PRAX-114, 20mg of PRAX-114, and matching placebo across three dosing days. Part B is an open-label design where participants from Part A may receive either 10mg PRAX-114 for 28 days, or 10mg PRAX-114 for 14 days and then 20mg PRAX-114 for 14 days. Topline results are expected to be reported in the second half of 2022. The doses of 10mg and 20mg PRAX-114 were chosen based on pharmacological activity observed in clinical trials with healthy participants and clinical experience, to balance the known impact of GABAergic molecules on somnolence and sedation in older patients with ET. Our PK-PD modeling predicts pharmacodynamic activity at concentrations resulting from daily administration of 10 and 20mg PRAX-114, hypothesized to be predictive of efficacy in ET based on preclinical harmaline-induced tremor data. Additionally, data in healthy volunteers at 20mg during the day suggested a tolerable profile when assessed using the Stanford Sleepiness Scale, or SSS. Thus, the selected dose levels present a favorable benefit/risk profile in ET based on the overall interpretation of the preliminary preclinical efficacy data, clinical PK and safety data (including safety AEs, SSS and EEG), qEEG biomarker data, and nonclinical safety data.</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Essential Tremor</w:t>
      </w:r>
    </w:p>
    <w:p>
      <w:pPr>
        <w:spacing w:after="0" w:line="141" w:lineRule="exact"/>
        <w:rPr>
          <w:sz w:val="20"/>
          <w:szCs w:val="20"/>
          <w:color w:val="auto"/>
        </w:rPr>
      </w:pPr>
    </w:p>
    <w:p>
      <w:pPr>
        <w:ind w:right="180" w:firstLine="393"/>
        <w:spacing w:after="0" w:line="262" w:lineRule="auto"/>
        <w:rPr>
          <w:sz w:val="20"/>
          <w:szCs w:val="20"/>
          <w:color w:val="auto"/>
        </w:rPr>
      </w:pPr>
      <w:r>
        <w:rPr>
          <w:rFonts w:ascii="Arial" w:cs="Arial" w:eastAsia="Arial" w:hAnsi="Arial"/>
          <w:sz w:val="17"/>
          <w:szCs w:val="17"/>
          <w:color w:val="auto"/>
        </w:rPr>
        <w:t>ET is characterized by involuntary rhythmic movement in the upper limbs, with or without tremor in other body locations such as the head, vocal cords, or legs. ET is a daytime disease associated with debilitating tremors triggered when a patient voluntarily attempts to move. These tremors significantly disrupt daily living and are progressive in nature, with increases in tremor severity and amplitude commonly observed over the course of the disease. ET is a heterogeneous disease with a range of patient characteristics including a variety of comorbidities, range of age, severity, and impact on daily living including psychosocial aspects.</w:t>
      </w:r>
    </w:p>
    <w:p>
      <w:pPr>
        <w:spacing w:after="0" w:line="87" w:lineRule="exact"/>
        <w:rPr>
          <w:sz w:val="20"/>
          <w:szCs w:val="20"/>
          <w:color w:val="auto"/>
        </w:rPr>
      </w:pPr>
    </w:p>
    <w:p>
      <w:pPr>
        <w:ind w:right="60" w:firstLine="393"/>
        <w:spacing w:after="0" w:line="259" w:lineRule="auto"/>
        <w:rPr>
          <w:sz w:val="20"/>
          <w:szCs w:val="20"/>
          <w:color w:val="auto"/>
        </w:rPr>
      </w:pPr>
      <w:r>
        <w:rPr>
          <w:rFonts w:ascii="Arial" w:cs="Arial" w:eastAsia="Arial" w:hAnsi="Arial"/>
          <w:sz w:val="17"/>
          <w:szCs w:val="17"/>
          <w:color w:val="auto"/>
        </w:rPr>
        <w:t>Despite the prevalence and significant disease burden of ET, only approximately two million people in the United States are diagnosed with ET and only approximately one million are actively treated, based on U.S. healthcare claims data as of 2019. We believe that the low treatment rate is due to limitations in efficacy and tolerability of the existing treatment options, and that the treated population could increase with the availability of new therapies with improved efficacy and tolerability that allow for patients to stay on therapy longer and more patients to start therapy sooner. There have been no approved pharmacotherapy products designed to treat ET and the two current products commonly used offer limited efficacy and poor tolerability, resulting in treatment delays and high discontinuation rates. Propranolol, approved by the FDA in 1967, remains the only approved therapy for ET in the United States. A non-selective beta blocker, propranolol is contraindicated for individuals with certain respiratory or cardiac issues, which are common comorbidities in the age group affected by ET. Primidone, an anticonvulsant, is used off-label and can cause sedation and balance issues while accelerating osteoporosis with long-term use.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firstLine="393"/>
        <w:spacing w:after="0" w:line="263" w:lineRule="auto"/>
        <w:rPr>
          <w:sz w:val="20"/>
          <w:szCs w:val="20"/>
          <w:color w:val="auto"/>
        </w:rPr>
      </w:pPr>
      <w:r>
        <w:rPr>
          <w:rFonts w:ascii="Arial" w:cs="Arial" w:eastAsia="Arial" w:hAnsi="Arial"/>
          <w:sz w:val="17"/>
          <w:szCs w:val="17"/>
          <w:color w:val="auto"/>
        </w:rPr>
        <w:t>As a last line therapy, several thousand ET patients in the United States opt for invasive surgery each year. Interventions include gamma knife and focused ultrasound thalamotomy, where part of the thalamus involved in the CTC circuit is ablated, or deep brain stimulation, or DBS, where an electrode is implanted into the brain. These procedures are generally effective, but are associated with significant side effects and risk. Therefore, many patients who are eligible for surgical therapies elect to not have these procedures.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Genetics of Essential Tremor</w:t>
      </w:r>
    </w:p>
    <w:p>
      <w:pPr>
        <w:spacing w:after="0" w:line="139"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Our rationale for approaching ET through inhibition of T-type calcium channels is rooted in the genetics of epilepsy. CACNA1G, a gene that encodes for a particular isoform of T-type calcium channels, is one of the most significantly associated genes for generalized genetic epilepsy, or GGE. Some of these epilepsy patients also suffer from comorbid movement disorders such as tremor and ataxia. The odds of observing a T-type calcium channel mutation in the GGE population is nine times of that of the healthy population. This supports the key role of T-type calcium channels in maintaining excitation and inhibition balance.</w:t>
      </w:r>
    </w:p>
    <w:p>
      <w:pPr>
        <w:spacing w:after="0" w:line="87"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Additional human genetic data provide evidence for the role of T-type calcium channels in movement disorders. Whole exome sequencing of early-onset familial ET patients also identified mutations in CACNA1G that segregated with the tremor phenotype in multiple family pedigrees. The importance of T-type Ca++ channels to the function of the CTC circuit is highlighted by variants in the CACNA1G gene which are associated with rare cases of pediatric cerebellar atrophy. Additionally, mutations in the T-type calcium channel have also been reported as causative of a form of spinocerebellar ataxia. We believe this genetic link, along with the preclinical and clinical evidence, support the role of T-type calcium channels in the pathophysiology of ET.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T-type calcium channels in ET</w:t>
      </w:r>
    </w:p>
    <w:p>
      <w:pPr>
        <w:spacing w:after="0" w:line="139"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T-type calcium channels function as the gatekeepers of neuronal firing patterns, controlling the switch between tonic and burst firing in the CTC circuit. The CTC circuit is a series of brain nuclei or neuron clusters, including the inferior olivary nucleus, cerebellar Purkinje cells, deep cerebellar nuclei, ventral motor thalamus and motor cortex, which work together in regulating coordinated movements and when disrupted generate tremor. All nuclei in this circuit contain pacemaker cells with inherent burst firing capability and express T-type calcium channels, which are known drivers of oscillatory burst firing.</w:t>
      </w:r>
    </w:p>
    <w:p>
      <w:pPr>
        <w:spacing w:after="0" w:line="87" w:lineRule="exact"/>
        <w:rPr>
          <w:sz w:val="20"/>
          <w:szCs w:val="20"/>
          <w:color w:val="auto"/>
        </w:rPr>
      </w:pPr>
    </w:p>
    <w:p>
      <w:pPr>
        <w:ind w:right="60" w:firstLine="393"/>
        <w:spacing w:after="0" w:line="260" w:lineRule="auto"/>
        <w:rPr>
          <w:sz w:val="20"/>
          <w:szCs w:val="20"/>
          <w:color w:val="auto"/>
        </w:rPr>
      </w:pPr>
      <w:r>
        <w:rPr>
          <w:rFonts w:ascii="Arial" w:cs="Arial" w:eastAsia="Arial" w:hAnsi="Arial"/>
          <w:sz w:val="17"/>
          <w:szCs w:val="17"/>
          <w:color w:val="auto"/>
        </w:rPr>
        <w:t>T-type calcium channels are low voltage activated channels that respond to weak depolarization of neuronal membranes and are quickly inactivated (a closed state where the channel cannot be reopened for some time). The opening of T-type calcium channels leads to membrane depolarization, which activates voltage-activated sodium channels, leading to the formation of an action potential and neuronal firing. When only a small number of T-type calcium channels are activated, leading to small T-type calcium channel mediated membrane depolarizations, the neuron generally generates unitary action potentials, also called tonic firing. When the activity of T-type calcium channels is increased, either due to genetic mutations or other changes in network activity that recruit more T-type calcium channels, a longer lasting depolarization is generated, resulting in high-frequency clusters of sodium channel driven action potentials, also called burst firing, as illustrated in Figure 8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386080</wp:posOffset>
            </wp:positionV>
            <wp:extent cx="5029200" cy="254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9200" cy="254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Figure 8. T-Type calcium channels are gatekeepers of neuronal firing patterns.</w:t>
      </w:r>
    </w:p>
    <w:p>
      <w:pPr>
        <w:spacing w:after="0" w:line="141"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Neuroimaging and neurophysiology studies in ET patients have consistently demonstrated that individual nuclei along the CTC circuit oscillate at the same frequency as the tremor and with strong coherence among the brain regions and movement in the affected muscles. Further, intraoperative real-time single-unit recordings of action potentials of individual neurons in the ventral motor thalamus of severe ET patients receiving DBS implants, in periods with and without tremors, further substantiates the central role of the CTC circuit and T-type calcium channels in ET. When no tremor was observed at rest, tonic firing was recorded in neurons of the ventral motor thalamus. During tremor, the same neurons fire in rhythmic bursts that are highly coherent with tremor activity. Furthermore, the emergence of action tremors coincided with the emergence of burst firing. Lesioning or DBS of the ventral motor thalamus has been shown to silence the oscillatory burst firing activity in the CTC circuit, resulting in significant tremor reduction. The strong temporal coordination between the tremors and burst firing, a neuronal firing pattern frequently gated by T-type calcium channel activity, strongly suggest that pharmacological inhibition of these channels may represent an effective pharmacological approach in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218440</wp:posOffset>
            </wp:positionV>
            <wp:extent cx="3180715" cy="1540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0715" cy="154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Figure 9. Thalamic neuron burst firing correlated with tremor activity in ET patients.</w:t>
      </w:r>
    </w:p>
    <w:p>
      <w:pPr>
        <w:spacing w:after="0" w:line="141"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role of the CTC circuit and T-type calcium channels has been further observed in animal models. A known pharmacological tremor model utilizes administration of harmaline, an alkaloid toxin, to animals. Harmaline, on administration to experimental animals such as rodents, induces an acute action tremor as well as rhythmic burst-firing activity in the CTC circuit similar to that observed in ET patients. We believe this model carries clinically predictive value, as compounds that improve tremor in ET patients clinically (</w:t>
      </w:r>
      <w:r>
        <w:rPr>
          <w:rFonts w:ascii="Arial" w:cs="Arial" w:eastAsia="Arial" w:hAnsi="Arial"/>
          <w:sz w:val="17"/>
          <w:szCs w:val="17"/>
          <w:i w:val="1"/>
          <w:iCs w:val="1"/>
          <w:color w:val="auto"/>
        </w:rPr>
        <w:t>e.g.</w:t>
      </w:r>
      <w:r>
        <w:rPr>
          <w:rFonts w:ascii="Arial" w:cs="Arial" w:eastAsia="Arial" w:hAnsi="Arial"/>
          <w:sz w:val="17"/>
          <w:szCs w:val="17"/>
          <w:color w:val="auto"/>
        </w:rPr>
        <w:t>, propranolol, primidone) have also been shown to reduce harmaline-induced tremor preclinically; in contrast compounds that worsen tremor in patients (</w:t>
      </w:r>
      <w:r>
        <w:rPr>
          <w:rFonts w:ascii="Arial" w:cs="Arial" w:eastAsia="Arial" w:hAnsi="Arial"/>
          <w:sz w:val="17"/>
          <w:szCs w:val="17"/>
          <w:i w:val="1"/>
          <w:iCs w:val="1"/>
          <w:color w:val="auto"/>
        </w:rPr>
        <w:t>e.g.</w:t>
      </w:r>
      <w:r>
        <w:rPr>
          <w:rFonts w:ascii="Arial" w:cs="Arial" w:eastAsia="Arial" w:hAnsi="Arial"/>
          <w:sz w:val="17"/>
          <w:szCs w:val="17"/>
          <w:color w:val="auto"/>
        </w:rPr>
        <w:t>, caffeine) also worsen tremor in this model. Similar to observations in ET patients, normalizing oscillatory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activity in the CTC circuit, for example with DBS, reduces harmaline induced tremor in rodents. Pharmacological inhibition or genetic knockout of T-type calcium channels led to resistance to harmaline-induced tremor.</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GABA</w:t>
      </w:r>
      <w:r>
        <w:rPr>
          <w:rFonts w:ascii="Arial" w:cs="Arial" w:eastAsia="Arial" w:hAnsi="Arial"/>
          <w:sz w:val="15"/>
          <w:szCs w:val="15"/>
          <w:b w:val="1"/>
          <w:bCs w:val="1"/>
          <w:i w:val="1"/>
          <w:iCs w:val="1"/>
          <w:color w:val="auto"/>
        </w:rPr>
        <w:t>A</w:t>
      </w:r>
      <w:r>
        <w:rPr>
          <w:rFonts w:ascii="Arial" w:cs="Arial" w:eastAsia="Arial" w:hAnsi="Arial"/>
          <w:sz w:val="17"/>
          <w:szCs w:val="17"/>
          <w:b w:val="1"/>
          <w:bCs w:val="1"/>
          <w:i w:val="1"/>
          <w:iCs w:val="1"/>
          <w:color w:val="auto"/>
        </w:rPr>
        <w:t xml:space="preserve"> in ET</w:t>
      </w:r>
    </w:p>
    <w:p>
      <w:pPr>
        <w:spacing w:after="0" w:line="139" w:lineRule="exact"/>
        <w:rPr>
          <w:sz w:val="20"/>
          <w:szCs w:val="20"/>
          <w:color w:val="auto"/>
        </w:rPr>
      </w:pPr>
    </w:p>
    <w:p>
      <w:pPr>
        <w:ind w:right="120" w:firstLine="393"/>
        <w:spacing w:after="0" w:line="259" w:lineRule="auto"/>
        <w:rPr>
          <w:sz w:val="20"/>
          <w:szCs w:val="20"/>
          <w:color w:val="auto"/>
        </w:rPr>
      </w:pPr>
      <w:r>
        <w:rPr>
          <w:rFonts w:ascii="Arial" w:cs="Arial" w:eastAsia="Arial" w:hAnsi="Arial"/>
          <w:sz w:val="17"/>
          <w:szCs w:val="17"/>
          <w:color w:val="auto"/>
        </w:rPr>
        <w:t>The GABA neurotransmitter system is hypothesized to play an important role in ET, and several available treatment options appear to work via GABAergic mechanisms directly or indirectly (primidone, topiramate, propranolol). Studies in patients with ET have shown a reduction in GABA receptor binding capacity using positron imaging that also correlated with disease severity and a loss of GABAergic cerebellar Purkinje neurons in postmortem tissue that contributes to overall reduced inhibitory output from the cerebellum. In animal models of harmaline-induced ET, the hypothesized reduction of GABAergic activity can be reversed with GABA</w:t>
      </w:r>
      <w:r>
        <w:rPr>
          <w:rFonts w:ascii="Arial" w:cs="Arial" w:eastAsia="Arial" w:hAnsi="Arial"/>
          <w:sz w:val="15"/>
          <w:szCs w:val="15"/>
          <w:color w:val="auto"/>
        </w:rPr>
        <w:t>A</w:t>
      </w:r>
      <w:r>
        <w:rPr>
          <w:rFonts w:ascii="Arial" w:cs="Arial" w:eastAsia="Arial" w:hAnsi="Arial"/>
          <w:sz w:val="17"/>
          <w:szCs w:val="17"/>
          <w:color w:val="auto"/>
        </w:rPr>
        <w:t xml:space="preserve"> receptor modulation using benzodiazepines and other compounds that act at both synaptic and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as well as NAS GABA</w:t>
      </w:r>
      <w:r>
        <w:rPr>
          <w:rFonts w:ascii="Arial" w:cs="Arial" w:eastAsia="Arial" w:hAnsi="Arial"/>
          <w:sz w:val="15"/>
          <w:szCs w:val="15"/>
          <w:color w:val="auto"/>
        </w:rPr>
        <w:t>A</w:t>
      </w:r>
      <w:r>
        <w:rPr>
          <w:rFonts w:ascii="Arial" w:cs="Arial" w:eastAsia="Arial" w:hAnsi="Arial"/>
          <w:sz w:val="17"/>
          <w:szCs w:val="17"/>
          <w:color w:val="auto"/>
        </w:rPr>
        <w:t>-PAMs that activate both synaptic and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receptors. In addition,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activation using highly selective agonists like THIP/gaboxadol, has been demonstrated to reduce tremor in the same model. These data suggest that therapeutics that possess preferential extrasynaptic GABA</w:t>
      </w:r>
      <w:r>
        <w:rPr>
          <w:rFonts w:ascii="Arial" w:cs="Arial" w:eastAsia="Arial" w:hAnsi="Arial"/>
          <w:sz w:val="15"/>
          <w:szCs w:val="15"/>
          <w:color w:val="auto"/>
        </w:rPr>
        <w:t>A</w:t>
      </w:r>
      <w:r>
        <w:rPr>
          <w:rFonts w:ascii="Arial" w:cs="Arial" w:eastAsia="Arial" w:hAnsi="Arial"/>
          <w:sz w:val="17"/>
          <w:szCs w:val="17"/>
          <w:color w:val="auto"/>
        </w:rPr>
        <w:t xml:space="preserve"> receptor activity, like NAS, may have greater efficacy in ET than molecules that primarily activate synaptic receptors (</w:t>
      </w:r>
      <w:r>
        <w:rPr>
          <w:rFonts w:ascii="Arial" w:cs="Arial" w:eastAsia="Arial" w:hAnsi="Arial"/>
          <w:sz w:val="17"/>
          <w:szCs w:val="17"/>
          <w:i w:val="1"/>
          <w:iCs w:val="1"/>
          <w:color w:val="auto"/>
        </w:rPr>
        <w:t>e.g.</w:t>
      </w:r>
      <w:r>
        <w:rPr>
          <w:rFonts w:ascii="Arial" w:cs="Arial" w:eastAsia="Arial" w:hAnsi="Arial"/>
          <w:sz w:val="17"/>
          <w:szCs w:val="17"/>
          <w:color w:val="auto"/>
        </w:rPr>
        <w:t>, benzodiazepines).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Parkinson's Disease</w:t>
      </w:r>
    </w:p>
    <w:p>
      <w:pPr>
        <w:spacing w:after="0" w:line="141" w:lineRule="exact"/>
        <w:rPr>
          <w:sz w:val="20"/>
          <w:szCs w:val="20"/>
          <w:color w:val="auto"/>
        </w:rPr>
      </w:pPr>
    </w:p>
    <w:p>
      <w:pPr>
        <w:ind w:right="780" w:firstLine="393"/>
        <w:spacing w:after="0" w:line="275" w:lineRule="auto"/>
        <w:rPr>
          <w:sz w:val="20"/>
          <w:szCs w:val="20"/>
          <w:color w:val="auto"/>
        </w:rPr>
      </w:pPr>
      <w:r>
        <w:rPr>
          <w:rFonts w:ascii="Arial" w:cs="Arial" w:eastAsia="Arial" w:hAnsi="Arial"/>
          <w:sz w:val="17"/>
          <w:szCs w:val="17"/>
          <w:color w:val="auto"/>
        </w:rPr>
        <w:t>PD is a debilitating neurodegenerative disorder with about one million diagnosed patients in the United States and about 10 million worldwide. Approximately 60,000 patients are diagnosed with PD each year in the United States alone.</w:t>
      </w:r>
    </w:p>
    <w:p>
      <w:pPr>
        <w:spacing w:after="0" w:line="77" w:lineRule="exact"/>
        <w:rPr>
          <w:sz w:val="20"/>
          <w:szCs w:val="20"/>
          <w:color w:val="auto"/>
        </w:rPr>
      </w:pPr>
    </w:p>
    <w:p>
      <w:pPr>
        <w:jc w:val="both"/>
        <w:ind w:right="40" w:firstLine="393"/>
        <w:spacing w:after="0" w:line="266" w:lineRule="auto"/>
        <w:rPr>
          <w:sz w:val="20"/>
          <w:szCs w:val="20"/>
          <w:color w:val="auto"/>
        </w:rPr>
      </w:pPr>
      <w:r>
        <w:rPr>
          <w:rFonts w:ascii="Arial" w:cs="Arial" w:eastAsia="Arial" w:hAnsi="Arial"/>
          <w:sz w:val="17"/>
          <w:szCs w:val="17"/>
          <w:color w:val="auto"/>
        </w:rPr>
        <w:t>PD is characterized by slow movement (bradykinesia), in combination with either rest tremor and/or rigidity. Symptoms progress over time in severity and eventually affect both sides of the body, often impairing ADLs such as dressing and eating. Non-motor symptoms, such as impaired smell, sleep disorders, gastrointestinal symptoms and psychiatric disorders like depression also play a pivotal role in the daily life of PD patients.</w:t>
      </w:r>
    </w:p>
    <w:p>
      <w:pPr>
        <w:spacing w:after="0" w:line="84" w:lineRule="exact"/>
        <w:rPr>
          <w:sz w:val="20"/>
          <w:szCs w:val="20"/>
          <w:color w:val="auto"/>
        </w:rPr>
      </w:pPr>
    </w:p>
    <w:p>
      <w:pPr>
        <w:ind w:right="80" w:firstLine="393"/>
        <w:spacing w:after="0" w:line="261" w:lineRule="auto"/>
        <w:rPr>
          <w:sz w:val="20"/>
          <w:szCs w:val="20"/>
          <w:color w:val="auto"/>
        </w:rPr>
      </w:pPr>
      <w:r>
        <w:rPr>
          <w:rFonts w:ascii="Arial" w:cs="Arial" w:eastAsia="Arial" w:hAnsi="Arial"/>
          <w:sz w:val="17"/>
          <w:szCs w:val="17"/>
          <w:color w:val="auto"/>
        </w:rPr>
        <w:t>Degeneration of dopaminergic neurons in the mid-brain (specifically pars compacta of the substantia nigra, or SNc) results in loss of dopaminergic output. Thus, the cornerstone of treatment for PD has been dopaminergic replacement therapy. L-dopa, or levodopa, a formulation of replacement dopamine, is considered the standard treatment of PD. Levodopa has been shown to be highly effective in improving symptoms of bradykinesia and rigidity, but has a variable impact on tremor. Other common PD medications mainly reduce dopamine metabolism or are dopamine receptor agonists. As the neuronal degeneration progresses, higher and more frequent levodopa is required due to diminishing responses to dopaminergic medication and an inability to store excess dopamine.</w:t>
      </w:r>
    </w:p>
    <w:p>
      <w:pPr>
        <w:spacing w:after="0" w:line="88" w:lineRule="exact"/>
        <w:rPr>
          <w:sz w:val="20"/>
          <w:szCs w:val="20"/>
          <w:color w:val="auto"/>
        </w:rPr>
      </w:pPr>
    </w:p>
    <w:p>
      <w:pPr>
        <w:ind w:right="140" w:firstLine="393"/>
        <w:spacing w:after="0" w:line="261" w:lineRule="auto"/>
        <w:rPr>
          <w:sz w:val="20"/>
          <w:szCs w:val="20"/>
          <w:color w:val="auto"/>
        </w:rPr>
      </w:pPr>
      <w:r>
        <w:rPr>
          <w:rFonts w:ascii="Arial" w:cs="Arial" w:eastAsia="Arial" w:hAnsi="Arial"/>
          <w:sz w:val="17"/>
          <w:szCs w:val="17"/>
          <w:color w:val="auto"/>
        </w:rPr>
        <w:t>While chronic dopaminergic therapy is effective, it can result in distressing side effects of motor fluctuations (wearing off) and levodopa-induced dyskinesias, impulse control disorders, and psychosis. These side effects are disabling and, at times, more severe and distressing than the PD symptoms themselves. Patients may also opt for a more invasive procedure to deliver continuous dopamine stimulation with levodopa-carbidopa enteral suspension to continuously control motor fluctuations and dyskinesias. Thus, symptom management using non-dopaminergic therapeutics that have a better safety and tolerability profile are needed. Adjunctive therapies that alleviate PD symptoms could also indirectly reduce the need for dose escalations of dopaminergic therapies and thus lower the risk of side effects.</w:t>
      </w:r>
    </w:p>
    <w:p>
      <w:pPr>
        <w:spacing w:after="0" w:line="88" w:lineRule="exact"/>
        <w:rPr>
          <w:sz w:val="20"/>
          <w:szCs w:val="20"/>
          <w:color w:val="auto"/>
        </w:rPr>
      </w:pPr>
    </w:p>
    <w:p>
      <w:pPr>
        <w:ind w:firstLine="393"/>
        <w:spacing w:after="0" w:line="263" w:lineRule="auto"/>
        <w:rPr>
          <w:sz w:val="20"/>
          <w:szCs w:val="20"/>
          <w:color w:val="auto"/>
        </w:rPr>
      </w:pPr>
      <w:r>
        <w:rPr>
          <w:rFonts w:ascii="Arial" w:cs="Arial" w:eastAsia="Arial" w:hAnsi="Arial"/>
          <w:sz w:val="17"/>
          <w:szCs w:val="17"/>
          <w:color w:val="auto"/>
        </w:rPr>
        <w:t>Advanced therapies, such as DBS, can be very effective for treating for tremors and motor complications by modifying basal ganglia function downstream of the nigrostriatal pathway. Depending on the patient’s specific symptoms, DBS electrodes can be placed in either the globus pallidus interna, or gPi, nucleus ventralis intermedius, or VIM, of the thalamus, or the subthalamic nucleus, or STN, and may be affecting aberrant burst firing in these areas.</w:t>
      </w:r>
    </w:p>
    <w:p>
      <w:pPr>
        <w:spacing w:after="0" w:line="87"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DBS is typically reserved for those patients who respond to dopaminergic therapy like levodopa but have residual symptons despite best medical management . Further, DBS carries significant risks associated with brain surgery, including intracerebral hemorrhage, infection, hemiparesis and cognitive decline. The prospect of neurosurgery in later years is often overwhelming or contraindicated (</w:t>
      </w:r>
      <w:r>
        <w:rPr>
          <w:rFonts w:ascii="Arial" w:cs="Arial" w:eastAsia="Arial" w:hAnsi="Arial"/>
          <w:sz w:val="17"/>
          <w:szCs w:val="17"/>
          <w:i w:val="1"/>
          <w:iCs w:val="1"/>
          <w:color w:val="auto"/>
        </w:rPr>
        <w:t>e.g.</w:t>
      </w:r>
      <w:r>
        <w:rPr>
          <w:rFonts w:ascii="Arial" w:cs="Arial" w:eastAsia="Arial" w:hAnsi="Arial"/>
          <w:sz w:val="17"/>
          <w:szCs w:val="17"/>
          <w:color w:val="auto"/>
        </w:rPr>
        <w:t>, due to presence of cognitive impairment), and many patients are not treated with DBS. Thus, we believe there is a clinical need for a pharmacological therapy that could mimic the effects of DBS and modulate burst firing downstream of SNc.</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T-type calcium channels in PD</w:t>
      </w:r>
    </w:p>
    <w:p>
      <w:pPr>
        <w:spacing w:after="0" w:line="139" w:lineRule="exact"/>
        <w:rPr>
          <w:sz w:val="20"/>
          <w:szCs w:val="20"/>
          <w:color w:val="auto"/>
        </w:rPr>
      </w:pPr>
    </w:p>
    <w:p>
      <w:pPr>
        <w:jc w:val="both"/>
        <w:ind w:right="20" w:firstLine="393"/>
        <w:spacing w:after="0" w:line="266" w:lineRule="auto"/>
        <w:rPr>
          <w:sz w:val="20"/>
          <w:szCs w:val="20"/>
          <w:color w:val="auto"/>
        </w:rPr>
      </w:pPr>
      <w:r>
        <w:rPr>
          <w:rFonts w:ascii="Arial" w:cs="Arial" w:eastAsia="Arial" w:hAnsi="Arial"/>
          <w:sz w:val="17"/>
          <w:szCs w:val="17"/>
          <w:color w:val="auto"/>
        </w:rPr>
        <w:t>Animal models and human PD patient data from third-party studies demonstrate that degeneration of nigral dopaminergic neurons converts the subthalamic nucleus, or STN, from a tonic firing to an aberrant bursting phenotype. This bursting activity drove symptoms of bradykinesia and rigidity in animal models and excessive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activation of T-type Ca2+ channels has been shown to underlie this phenotype. T-type Ca2+ channels are expressed widely throughout the brain, including in the STN. Eliminating this burst firing through blockade of T-type Ca2+ channels has been shown to improve motor function in a 6-hydroxydopamine (6-OHDA) rat model of PD. Thus, we believe an inhibitor of T-type Ca2+ channels could offer a non-surgical and non-dopaminergic treatment option to alleviate motor symptoms in PD.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PRAX-944 in Essential Tremor</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believe that our PRAX-944 program has several potential advantages in development for ET:</w:t>
      </w:r>
    </w:p>
    <w:p>
      <w:pPr>
        <w:spacing w:after="0" w:line="97" w:lineRule="exact"/>
        <w:rPr>
          <w:sz w:val="20"/>
          <w:szCs w:val="20"/>
          <w:color w:val="auto"/>
        </w:rPr>
      </w:pPr>
    </w:p>
    <w:p>
      <w:pPr>
        <w:ind w:left="640" w:right="160" w:hanging="320"/>
        <w:spacing w:after="0" w:line="28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Wide Therapeutic Window</w:t>
      </w:r>
      <w:r>
        <w:rPr>
          <w:rFonts w:ascii="Arial" w:cs="Arial" w:eastAsia="Arial" w:hAnsi="Arial"/>
          <w:sz w:val="17"/>
          <w:szCs w:val="17"/>
          <w:color w:val="auto"/>
        </w:rPr>
        <w:t>: We are currently studying PRAX-944 across a wide range of doses, ranging from 5mg to 120mg. Our goal</w:t>
      </w:r>
      <w:r>
        <w:rPr>
          <w:rFonts w:ascii="Arial" w:cs="Arial" w:eastAsia="Arial" w:hAnsi="Arial"/>
          <w:sz w:val="17"/>
          <w:szCs w:val="17"/>
          <w:b w:val="1"/>
          <w:bCs w:val="1"/>
          <w:color w:val="auto"/>
        </w:rPr>
        <w:t xml:space="preserve"> </w:t>
      </w:r>
      <w:r>
        <w:rPr>
          <w:rFonts w:ascii="Arial" w:cs="Arial" w:eastAsia="Arial" w:hAnsi="Arial"/>
          <w:sz w:val="17"/>
          <w:szCs w:val="17"/>
          <w:color w:val="auto"/>
        </w:rPr>
        <w:t>is to find the appropriate dose(s) to meet the needs of different patients and help address a larger market by tailoring PRAX-944 to the key unmet need in ET as well as individual patient needs. Importantly, no MTD has been identified to date.</w:t>
      </w:r>
    </w:p>
    <w:p>
      <w:pPr>
        <w:spacing w:after="0" w:line="50" w:lineRule="exact"/>
        <w:rPr>
          <w:rFonts w:ascii="Arial" w:cs="Arial" w:eastAsia="Arial" w:hAnsi="Arial"/>
          <w:sz w:val="17"/>
          <w:szCs w:val="17"/>
          <w:color w:val="auto"/>
        </w:rPr>
      </w:pPr>
    </w:p>
    <w:p>
      <w:pPr>
        <w:ind w:left="640" w:right="200" w:hanging="320"/>
        <w:spacing w:after="0" w:line="28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Simple Daytime Dosing</w:t>
      </w:r>
      <w:r>
        <w:rPr>
          <w:rFonts w:ascii="Arial" w:cs="Arial" w:eastAsia="Arial" w:hAnsi="Arial"/>
          <w:sz w:val="17"/>
          <w:szCs w:val="17"/>
          <w:color w:val="auto"/>
        </w:rPr>
        <w:t>: We believe the ability to administer one-time daily dose is important for reducing the burden for ET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that are treated chronically. These patients are typically older and with multiple comorbidities where simplicity is important when adding medications.</w:t>
      </w:r>
    </w:p>
    <w:p>
      <w:pPr>
        <w:spacing w:after="0" w:line="50" w:lineRule="exact"/>
        <w:rPr>
          <w:rFonts w:ascii="Arial" w:cs="Arial" w:eastAsia="Arial" w:hAnsi="Arial"/>
          <w:sz w:val="17"/>
          <w:szCs w:val="17"/>
          <w:color w:val="auto"/>
        </w:rPr>
      </w:pPr>
    </w:p>
    <w:p>
      <w:pPr>
        <w:ind w:left="640" w:hanging="320"/>
        <w:spacing w:after="0" w:line="266"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Modified Release Formulation</w:t>
      </w:r>
      <w:r>
        <w:rPr>
          <w:rFonts w:ascii="Arial" w:cs="Arial" w:eastAsia="Arial" w:hAnsi="Arial"/>
          <w:sz w:val="17"/>
          <w:szCs w:val="17"/>
          <w:color w:val="auto"/>
        </w:rPr>
        <w:t>: We believe that PRAX-944 has the potential to provide a more attractive treatment option for ET</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due to its modified release, or MR, formulation, along with a wide potential therapeutic window that could allow for up-titration. We have observed that the MR formulation, which released approximately 80% of the drug product over seven hours in vitro, reduced the maximum plasma concentration and delayed the tmax without meaningfully impacting the overall AUC. We have also observed that this formulation resulted in improved tolerability relative to an immediate release, or IR, formulation and sustained targeted concentrations throughout the day.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PRAX-944 clinical development in ET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2b Essential1 Study in patients with ET</w:t>
      </w:r>
    </w:p>
    <w:p>
      <w:pPr>
        <w:spacing w:after="0" w:line="139" w:lineRule="exact"/>
        <w:rPr>
          <w:sz w:val="20"/>
          <w:szCs w:val="20"/>
          <w:color w:val="auto"/>
        </w:rPr>
      </w:pPr>
    </w:p>
    <w:p>
      <w:pPr>
        <w:ind w:right="20" w:firstLine="393"/>
        <w:spacing w:after="0" w:line="260" w:lineRule="auto"/>
        <w:rPr>
          <w:sz w:val="20"/>
          <w:szCs w:val="20"/>
          <w:color w:val="auto"/>
        </w:rPr>
      </w:pPr>
      <w:r>
        <w:rPr>
          <w:rFonts w:ascii="Arial" w:cs="Arial" w:eastAsia="Arial" w:hAnsi="Arial"/>
          <w:sz w:val="17"/>
          <w:szCs w:val="17"/>
          <w:color w:val="auto"/>
        </w:rPr>
        <w:t>We are conducting the Essential1 Study to evaluate the safety and efficacy of titration to PRAX-944 20mg, 60mg or 100mg with the objective of identifying the dose for a registrational study. Participants in the Essential1 Study will be randomized to receive either 56 days of treatment with one of three PRAX-944 dose levels or placebo every morning. Fixed titration regimens will be used. The primary objective of this trial is to assess for the presence of a tolerability dose-response signal over 56 days of dosing in ET participants with moderate-to-severe tremor. A secondary objective is to identify a potential dose-response profile for PRAX-944 with respect to efficacy outcomes. This trial will also assess innovative approaches to objectively measure tremor in ET participants and will include a sub-study with a wearable device. Together, these data, if supportive, are expected to enable dose selection for subsequent Phase 3 trials. Topline data from this trial is expected to be reported in the second half of 2022.</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2a trial in patients with ET</w:t>
      </w:r>
    </w:p>
    <w:p>
      <w:pPr>
        <w:spacing w:after="0" w:line="139" w:lineRule="exact"/>
        <w:rPr>
          <w:sz w:val="20"/>
          <w:szCs w:val="20"/>
          <w:color w:val="auto"/>
        </w:rPr>
      </w:pPr>
    </w:p>
    <w:p>
      <w:pPr>
        <w:jc w:val="both"/>
        <w:ind w:right="140" w:firstLine="393"/>
        <w:spacing w:after="0" w:line="263" w:lineRule="auto"/>
        <w:rPr>
          <w:sz w:val="20"/>
          <w:szCs w:val="20"/>
          <w:color w:val="auto"/>
        </w:rPr>
      </w:pPr>
      <w:r>
        <w:rPr>
          <w:rFonts w:ascii="Arial" w:cs="Arial" w:eastAsia="Arial" w:hAnsi="Arial"/>
          <w:sz w:val="17"/>
          <w:szCs w:val="17"/>
          <w:color w:val="auto"/>
        </w:rPr>
        <w:t>We are currently in the second of two cohorts of our Phase 2a POC open-label trial evaluating safety and efficacy in patients titrated up to 120mg per day. In the first cohort, Part A, participants received 20mg daily dosing of PRAX-944 for one week followed by 40mg daily dosing for the second week, taken in the morning. We have completed enrollment in an additional cohort, Part B, of ET patients dosing up to 120mg for up to 42 days.</w:t>
      </w:r>
    </w:p>
    <w:p>
      <w:pPr>
        <w:spacing w:after="0" w:line="87"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We are measuring changes in tremor with different, complementary approaches including components of the Essential Tremor Rating Scale, or TETRAS, Performance Scale and accelerometry. We are using change from baseline in the rating of upper limb, or UL, items of the TETRAS as the primary efficacy outcome in this proof-of-concept trial because all ET patients suffer from UL tremor. As the UL items drive most of the score on the overall TETRAS and are more reliably rated than other items on the scale, we expect them to have the best signal to noise ratio. UL items have also been the basis of the most recent regulatory approval of neurosurgical treatments for severe ET. We have established rigorous procedures for training and for blinded scoring of efficacy, including using centralized video assessment as an exploratory endpoint, with randomization of the videos and masking to allow for rating concordance. We have also included the overall TETRAS performance scale, or TETRAS-PS, (both site and central video rating) and Kinesia ONE accelerometer (an objective measure of tremor), clinical global impression of severity and improvement, or CGI-S and CGI-I, respectively, and the patient global impression of change, or PGI-C, as secondary endpoints to assess consistency of response across different endpoints.</w:t>
      </w:r>
    </w:p>
    <w:p>
      <w:pPr>
        <w:spacing w:after="0" w:line="94" w:lineRule="exact"/>
        <w:rPr>
          <w:sz w:val="20"/>
          <w:szCs w:val="20"/>
          <w:color w:val="auto"/>
        </w:rPr>
      </w:pPr>
    </w:p>
    <w:p>
      <w:pPr>
        <w:jc w:val="both"/>
        <w:ind w:right="80" w:firstLine="393"/>
        <w:spacing w:after="0" w:line="266" w:lineRule="auto"/>
        <w:rPr>
          <w:sz w:val="20"/>
          <w:szCs w:val="20"/>
          <w:color w:val="auto"/>
        </w:rPr>
      </w:pPr>
      <w:r>
        <w:rPr>
          <w:rFonts w:ascii="Arial" w:cs="Arial" w:eastAsia="Arial" w:hAnsi="Arial"/>
          <w:sz w:val="17"/>
          <w:szCs w:val="17"/>
          <w:color w:val="auto"/>
        </w:rPr>
        <w:t>In this trial, we are enrolling participants with well-established ET, as defined by the Movement Disorders Society Task Force for Tremor as an isolated tremor syndrome of bilateral UL action tremor with at least three years’ duration. In Part A, tremor severity was evaluated before drug administration, after daily morning dosing 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PRAX-944 20mg for seven days (Day 7), following daily administration of PRAX-944 40mg for seven additional days (Day 14) and one week after administration of PRAX-944 has been stopped (Day 21). Data available from six participants who completed Part A of the trial and received PRAX-944 doses of 20mg followed by 40mg each for seven days is shown in Figure 10 below. Preliminary site (primary endpoint measure) and central video assessments of participants TETRAS-PS in this cohort showed generally stable tremor severity between screening and baseline</w:t>
      </w:r>
    </w:p>
    <w:p>
      <w:pPr>
        <w:spacing w:after="0" w:line="2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visits. The primary endpoint change suggests dose dependent tremor reduction on the TETRAS-UL, and this change was consistent with the central video assessment. Importantly, five of the six participants remained on propranolol in this study, suggesting that PRAX-944 could also be developed as an adjunctive treatment. Similar patterns of improvement were also observed in the full TETRAS-PS, and Kinesia ONE accelerometry scores. The site and central ratings were strongly correlated on the TETRAS-UL and TETRAS-PS with r values of 0.8 and 0.83,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189230</wp:posOffset>
            </wp:positionV>
            <wp:extent cx="5412740" cy="283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12740" cy="283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340" w:right="20"/>
        <w:spacing w:after="0" w:line="245" w:lineRule="auto"/>
        <w:rPr>
          <w:sz w:val="20"/>
          <w:szCs w:val="20"/>
          <w:color w:val="auto"/>
        </w:rPr>
      </w:pPr>
      <w:r>
        <w:rPr>
          <w:rFonts w:ascii="Arial" w:cs="Arial" w:eastAsia="Arial" w:hAnsi="Arial"/>
          <w:sz w:val="14"/>
          <w:szCs w:val="14"/>
          <w:color w:val="auto"/>
        </w:rPr>
        <w:t>*As TETRAS PS items are rated on a logarithmic scale, the Weber-Fechner law was used to calculate the percent change in tremor amplitude according to the equation presented in Elble (2018).</w:t>
      </w:r>
    </w:p>
    <w:p>
      <w:pPr>
        <w:spacing w:after="0" w:line="300" w:lineRule="exact"/>
        <w:rPr>
          <w:sz w:val="20"/>
          <w:szCs w:val="20"/>
          <w:color w:val="auto"/>
        </w:rPr>
      </w:pPr>
    </w:p>
    <w:p>
      <w:pPr>
        <w:jc w:val="center"/>
        <w:spacing w:after="0" w:line="302" w:lineRule="auto"/>
        <w:rPr>
          <w:sz w:val="20"/>
          <w:szCs w:val="20"/>
          <w:color w:val="auto"/>
        </w:rPr>
      </w:pPr>
      <w:r>
        <w:rPr>
          <w:rFonts w:ascii="Arial" w:cs="Arial" w:eastAsia="Arial" w:hAnsi="Arial"/>
          <w:sz w:val="17"/>
          <w:szCs w:val="17"/>
          <w:b w:val="1"/>
          <w:bCs w:val="1"/>
          <w:color w:val="auto"/>
        </w:rPr>
        <w:t>Figure 10. Percent change from baseline in tremor amplitude as measured by site ratings of the TETRAS PS and Upper Limb subscale in Part A of the ET OL study (N=6).</w:t>
      </w:r>
    </w:p>
    <w:p>
      <w:pPr>
        <w:spacing w:after="0" w:line="55"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In Part A, the dose levels were generally well-tolerated. No SAEs and no severe AEs were observed. The majority of AEs were mild, transient and resolved without intervention. Six out of seven participants completed dosing per protocol. One participant discontinued on Day 8 due to anxiety. This participant was also non-compliant with the protocol, stopping propranolol on Day 3 of dosing without consulting study staff. Due to this protocol deviation which would have impacted this participant’s TETRAS scores, this participant was included in the safety analysis but not in efficacy analysis. No clinically significant ECG or laboratory abnormalities were reported.</w:t>
      </w:r>
    </w:p>
    <w:p>
      <w:pPr>
        <w:spacing w:after="0" w:line="87" w:lineRule="exact"/>
        <w:rPr>
          <w:sz w:val="20"/>
          <w:szCs w:val="20"/>
          <w:color w:val="auto"/>
        </w:rPr>
      </w:pPr>
    </w:p>
    <w:p>
      <w:pPr>
        <w:ind w:right="120" w:firstLine="393"/>
        <w:spacing w:after="0" w:line="260" w:lineRule="auto"/>
        <w:rPr>
          <w:sz w:val="20"/>
          <w:szCs w:val="20"/>
          <w:color w:val="auto"/>
        </w:rPr>
      </w:pPr>
      <w:r>
        <w:rPr>
          <w:rFonts w:ascii="Arial" w:cs="Arial" w:eastAsia="Arial" w:hAnsi="Arial"/>
          <w:sz w:val="17"/>
          <w:szCs w:val="17"/>
          <w:color w:val="auto"/>
        </w:rPr>
        <w:t>We are currently conducting Part B of the Phase 2a clinical trial, titrating up to 120mg in an open-label fashion for 42 days following by a randomized, double-blind, placebo-controlled withdrawal phase, where participants will either be maintained on their final open-label dose or switched to placebo. The goals of the randomized withdrawal are to obtain blinded evidence of any potential effect from the open-label titration and to assess for durability of any such effect. In addition, the TETRAS activities of daily living sub-scale was added to the efficacy endpoints. In December 2021, preliminary data from twelve participants in Part B were presented. Figure 11 shows preliminary open-label data from nine evaluable subjects in Part B demonstrating favorable trends in tremor reduction in doses up to 120mg/day as of December 10, 2021, as measured by percent change from baseline in UL tremor amplitude measured with the TETRAS scale.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20" w:right="320"/>
        <w:spacing w:after="0" w:line="302" w:lineRule="auto"/>
        <w:rPr>
          <w:sz w:val="20"/>
          <w:szCs w:val="20"/>
          <w:color w:val="auto"/>
        </w:rPr>
      </w:pPr>
      <w:r>
        <w:rPr>
          <w:rFonts w:ascii="Arial" w:cs="Arial" w:eastAsia="Arial" w:hAnsi="Arial"/>
          <w:sz w:val="17"/>
          <w:szCs w:val="17"/>
          <w:b w:val="1"/>
          <w:bCs w:val="1"/>
          <w:color w:val="auto"/>
        </w:rPr>
        <w:t>Figure 11. Individual participant percent change from baseline in UL tremor amplitude in Part A (left panel) and the open-label component of Part B (right panel).</w:t>
      </w:r>
    </w:p>
    <w:p>
      <w:pPr>
        <w:spacing w:after="0" w:line="55" w:lineRule="exact"/>
        <w:rPr>
          <w:sz w:val="20"/>
          <w:szCs w:val="20"/>
          <w:color w:val="auto"/>
        </w:rPr>
      </w:pPr>
    </w:p>
    <w:p>
      <w:pPr>
        <w:ind w:right="100" w:firstLine="393"/>
        <w:spacing w:after="0" w:line="263" w:lineRule="auto"/>
        <w:rPr>
          <w:sz w:val="20"/>
          <w:szCs w:val="20"/>
          <w:color w:val="auto"/>
        </w:rPr>
      </w:pPr>
      <w:r>
        <w:rPr>
          <w:rFonts w:ascii="Arial" w:cs="Arial" w:eastAsia="Arial" w:hAnsi="Arial"/>
          <w:sz w:val="17"/>
          <w:szCs w:val="17"/>
          <w:color w:val="auto"/>
        </w:rPr>
        <w:t>Moreover, participants in Part B who had a reduction in their UL tremor as of December 10, 2021 were generally noted to have improvements on the TETRAS activities of daily living subscale (Figure 12). Participants with more severe tremor at baseline generally showed greater improvement in both tremor and ADLs with PRAX-944 treatment, which was consistent with the floor effects seen in the TETRAS scale and challenges with visual estimation of tremor.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122555</wp:posOffset>
            </wp:positionV>
            <wp:extent cx="5229225" cy="2614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2922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20" w:right="220"/>
        <w:spacing w:after="0" w:line="286" w:lineRule="auto"/>
        <w:rPr>
          <w:sz w:val="20"/>
          <w:szCs w:val="20"/>
          <w:color w:val="auto"/>
        </w:rPr>
      </w:pPr>
      <w:r>
        <w:rPr>
          <w:rFonts w:ascii="Arial" w:cs="Arial" w:eastAsia="Arial" w:hAnsi="Arial"/>
          <w:sz w:val="17"/>
          <w:szCs w:val="17"/>
          <w:b w:val="1"/>
          <w:bCs w:val="1"/>
          <w:color w:val="auto"/>
        </w:rPr>
        <w:t>Figure 12. Individual participant percent change from baseline in UL tremor amplitude (upper panel) and activities of daily living subscale (lower panel) in the open-label component of Part B.</w:t>
      </w:r>
    </w:p>
    <w:p>
      <w:pPr>
        <w:spacing w:after="0" w:line="54"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PRAX-944 was generally well-tolerated with no SAEs and no physical exam, laboratory, ECG or CSSRS abnormalities as of December 10, 2021. In Part B, one participant discontinued at 20mg due to an AE, one participant withdrew after Day 21 assessment at 40mg due to an AE, and two participants at the same site discontinued at 20mg but had protocol violations related to eligibility. Additionally, in Part B, there were four AEs leading to dose down-titration. TEAEs leading to dose down-titration or discontinuation were mild-moderate. Participants not tolerating dose escalation have been able return to a lower dose level and continue the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1 trials in healthy volunteers using MR formulation</w:t>
      </w:r>
    </w:p>
    <w:p>
      <w:pPr>
        <w:spacing w:after="0" w:line="13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conducted a Phase 1 multiple dose trial of the MR formulation of PRAX-944 in England. Doses of 20mg and 40mg were generally well-tolerated over 8 days. AEs were transient and occurred at a rate similar to placebo. The most common TEAEs were somnolence, headache, dizziness, fatigue, hot flashes, and nausea. We also observed ECG application site rash, EEG application site skin reaction, blurred vision, thermal burn (accidental), euphoric mood, vomiting, and dry throat. All TEAEs were mild to moderate.</w:t>
      </w:r>
    </w:p>
    <w:p>
      <w:pPr>
        <w:spacing w:after="0" w:line="87"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A single dose of 60mg was not tolerated in the single dose trial due to reports of nausea in five of six subjects and vomiting in three of six subjects. In the multiple dose 20mg and 40mg groups, three subjects reported nausea with one subject also reporting vomiting; these events were mild in severity and resolved on Day 1 of dosing. No subjects reported nausea or vomiting after Day 1 of dosing. While a single dose of 60mg was not well-tolerated, the average peak drug levels (138ng/mL) observed in the 40mg group after eight days of treatment were greater than those seen with the single 60mg dose (130ng/mL) on Day 1 (Figure 13). Improved tolerability observed at higher concentrations following repeated dosing suggests that titration to higher doses might be a viable strategy to further improve the tolerability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281305</wp:posOffset>
            </wp:positionV>
            <wp:extent cx="3214370" cy="1607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14370" cy="160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Figure 13. Sustained exposures were observed for the MR formulation of PRAX-944.</w:t>
      </w:r>
    </w:p>
    <w:p>
      <w:pPr>
        <w:spacing w:after="0" w:line="141"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Quantitative EEG studies in healthy volunteers were used to assess the pharmacodynamic effect of PRAX-944 on T-type calcium channels in the brain. One frequency band known to be driven by T-type calcium channel activation is the sigma frequency band (11 to 15 Hz) during non-rapid eye movement sleep, or NREM sleep. T-type calcium channels expressed in thalamic neurons are critically involved in the generation and modulation of these rhythmic thalamocortical oscillations during NREM sleep.</w:t>
      </w:r>
    </w:p>
    <w:p>
      <w:pPr>
        <w:spacing w:after="0" w:line="87" w:lineRule="exact"/>
        <w:rPr>
          <w:sz w:val="20"/>
          <w:szCs w:val="20"/>
          <w:color w:val="auto"/>
        </w:rPr>
      </w:pPr>
    </w:p>
    <w:p>
      <w:pPr>
        <w:ind w:right="260" w:firstLine="433"/>
        <w:spacing w:after="0" w:line="261" w:lineRule="auto"/>
        <w:rPr>
          <w:sz w:val="20"/>
          <w:szCs w:val="20"/>
          <w:color w:val="auto"/>
        </w:rPr>
      </w:pPr>
      <w:r>
        <w:rPr>
          <w:rFonts w:ascii="Arial" w:cs="Arial" w:eastAsia="Arial" w:hAnsi="Arial"/>
          <w:sz w:val="17"/>
          <w:szCs w:val="17"/>
          <w:color w:val="auto"/>
        </w:rPr>
        <w:t>In our preclinical studies, dosing of normal rats with PRAX-944 led to robust and dose-dependent changes in EEG activity. Because similarly robust sigma frequency band changes after dosing with PRAX-944 were observed during NREM sleep in rats and humans, our hypothesis is that the inhibition of this EEG signal can be used as a pharmacodynamic biomarker. Because the doses at which EEG changes observed in rats were similar to those that demonstrated activity in a preclinical model of essential tremor, or the harmaline model, we believe that this EEG biomarker can be used to estimate the dose of PRAX-944 that we believe will be most likely to produce a therapeutic effect in patients with ET.</w:t>
      </w:r>
    </w:p>
    <w:p>
      <w:pPr>
        <w:spacing w:after="0" w:line="88"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In our Phase 1 trial, 20mg and 40mg doses of PRAX-944 administered to healthy volunteers produced changes in the qEEG recordings of the sigma frequency band during NREM sleep consistent with those observed in rats (Figure 14). These results suggested that PRAX-944 reached target levels in the brain needed to inhibit T-type calcium channels. Based on the overlap of these EEG changes with drug levels showing activity in the preclinical harmaline model, we believe that 20mg and 40mg doses of PRAX-944, which were generally well-tolerated in healthy volunteers without titration, have the potential to reduce tremor in patients with 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386080</wp:posOffset>
            </wp:positionV>
            <wp:extent cx="5695950" cy="2714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5950"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60" w:right="160"/>
        <w:spacing w:after="0" w:line="302" w:lineRule="auto"/>
        <w:rPr>
          <w:sz w:val="20"/>
          <w:szCs w:val="20"/>
          <w:color w:val="auto"/>
        </w:rPr>
      </w:pPr>
      <w:r>
        <w:rPr>
          <w:rFonts w:ascii="Arial" w:cs="Arial" w:eastAsia="Arial" w:hAnsi="Arial"/>
          <w:sz w:val="17"/>
          <w:szCs w:val="17"/>
          <w:b w:val="1"/>
          <w:bCs w:val="1"/>
          <w:color w:val="auto"/>
        </w:rPr>
        <w:t>Figure 14. Exposures of PRAX-944 that decreased sigma band activity were generally well-tolerated in healthy volunteers and were associated with harmaline tremor reduction.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Titration trial in healthy volunteers</w:t>
      </w:r>
    </w:p>
    <w:p>
      <w:pPr>
        <w:spacing w:after="0" w:line="13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Considering that improved tolerability is the key unmet need in ET and that existing data suggest that titration is a viable strategy to improve PRAX-944’s tolerability, we explored titration in a two-part healthy volunteer study. In Part A, a 5mg PRAX-944 tablet was assessed for low-dose pharmacodynamic effects in an open-label titration paradigm from 5mg up to 20mg daily. In Part B, PRAX-944 was titrated from 20mg up to 120mg daily, to assess the safety, tolerability and pharmacodynamic activity of higher doses. Participants were randomized to PRAX-944 or placebo in a 3:1 ratio, starting at 20mg daily in the morning and titrated at 20mg increments up to 120mg daily with up to one week in between each dose increment to achieve steady-state plasma concentrations and for the collection of safety data. The total dosing duration was 31 days.</w:t>
      </w:r>
    </w:p>
    <w:p>
      <w:pPr>
        <w:spacing w:after="0" w:line="88"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The safety data demonstrated that with titration, PRAX-944 was generally well-tolerated up to 120mg daily. There were no SAEs and no severe AEs. The majority of AEs were mild, transient and resolved without intervention (Figure 15). There were no treatment-related ECG or EEG abnormalities. Safety laboratory values were generally within normal limits and there were no dose dependent excursions from the normal range. One of 12 participants randomized to PRAX-944 discontinued due to a TEAE. This participant dropped out after one dose (20mg) due to symptoms the participant described as similar to a prior panic attack (not reported at screening). Vital signs, physical examination, clinical laboratory tests, and ECG parameters were all within normal limits for this participant. The symptoms self-resolved.</w:t>
      </w:r>
    </w:p>
    <w:p>
      <w:pPr>
        <w:spacing w:after="0" w:line="88" w:lineRule="exact"/>
        <w:rPr>
          <w:sz w:val="20"/>
          <w:szCs w:val="20"/>
          <w:color w:val="auto"/>
        </w:rPr>
      </w:pPr>
    </w:p>
    <w:p>
      <w:pPr>
        <w:ind w:right="120" w:firstLine="472"/>
        <w:spacing w:after="0" w:line="275" w:lineRule="auto"/>
        <w:rPr>
          <w:sz w:val="20"/>
          <w:szCs w:val="20"/>
          <w:color w:val="auto"/>
        </w:rPr>
      </w:pPr>
      <w:r>
        <w:rPr>
          <w:rFonts w:ascii="Arial" w:cs="Arial" w:eastAsia="Arial" w:hAnsi="Arial"/>
          <w:sz w:val="17"/>
          <w:szCs w:val="17"/>
          <w:color w:val="auto"/>
        </w:rPr>
        <w:t>Importantly, no MTD was identified. Analyses showed pharmacodynamic changes consistent with those seen in the previous Phase 1 trial described above, and showed similar changes in sigma EEG power during NREM sleep across the dose range up to 120mg/day (Figure 16).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519430</wp:posOffset>
            </wp:positionV>
            <wp:extent cx="5695950" cy="2872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595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Figure 15. TEAEs Occurring in at least two participants in a dose group or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440055</wp:posOffset>
            </wp:positionV>
            <wp:extent cx="4163695" cy="2606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6369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line="302" w:lineRule="auto"/>
        <w:rPr>
          <w:sz w:val="20"/>
          <w:szCs w:val="20"/>
          <w:color w:val="auto"/>
        </w:rPr>
      </w:pPr>
      <w:r>
        <w:rPr>
          <w:rFonts w:ascii="Arial" w:cs="Arial" w:eastAsia="Arial" w:hAnsi="Arial"/>
          <w:sz w:val="17"/>
          <w:szCs w:val="17"/>
          <w:b w:val="1"/>
          <w:bCs w:val="1"/>
          <w:color w:val="auto"/>
        </w:rPr>
        <w:t>Figure 16. Dose and concentration dependent pharmacodynamic effects on sigma band (11-15 HZ) EEG power in the PRAX-944-105 study.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1 study to explore shorter titration schemes</w:t>
      </w:r>
    </w:p>
    <w:p>
      <w:pPr>
        <w:spacing w:after="0" w:line="139"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We completed a single-center, multi-part, Phase 1, randomized, double-blind, placebo-controlled clinical trial in which we assessed the safety, tolerability, and PK of a more rapid PRAX-944 titration scheme up to 120mg in healthy male and female participants aged 18 to 54 years (Part A) and 55 to 75 years (Part B). We observed no new safety signals and PK results were consistent with what we previously reported.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support for advancing PRAX-944</w:t>
      </w:r>
    </w:p>
    <w:p>
      <w:pPr>
        <w:spacing w:after="0" w:line="141"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In preclinical studies, PRAX-944 inhibited all three human T-type calcium channel isoforms, Ca</w:t>
      </w:r>
      <w:r>
        <w:rPr>
          <w:rFonts w:ascii="Arial" w:cs="Arial" w:eastAsia="Arial" w:hAnsi="Arial"/>
          <w:sz w:val="15"/>
          <w:szCs w:val="15"/>
          <w:color w:val="auto"/>
        </w:rPr>
        <w:t>V</w:t>
      </w:r>
      <w:r>
        <w:rPr>
          <w:rFonts w:ascii="Arial" w:cs="Arial" w:eastAsia="Arial" w:hAnsi="Arial"/>
          <w:sz w:val="17"/>
          <w:szCs w:val="17"/>
          <w:color w:val="auto"/>
        </w:rPr>
        <w:t>3.1, Ca</w:t>
      </w:r>
      <w:r>
        <w:rPr>
          <w:rFonts w:ascii="Arial" w:cs="Arial" w:eastAsia="Arial" w:hAnsi="Arial"/>
          <w:sz w:val="15"/>
          <w:szCs w:val="15"/>
          <w:color w:val="auto"/>
        </w:rPr>
        <w:t>V</w:t>
      </w:r>
      <w:r>
        <w:rPr>
          <w:rFonts w:ascii="Arial" w:cs="Arial" w:eastAsia="Arial" w:hAnsi="Arial"/>
          <w:sz w:val="17"/>
          <w:szCs w:val="17"/>
          <w:color w:val="auto"/>
        </w:rPr>
        <w:t>3.2 and Ca</w:t>
      </w:r>
      <w:r>
        <w:rPr>
          <w:rFonts w:ascii="Arial" w:cs="Arial" w:eastAsia="Arial" w:hAnsi="Arial"/>
          <w:sz w:val="15"/>
          <w:szCs w:val="15"/>
          <w:color w:val="auto"/>
        </w:rPr>
        <w:t>V</w:t>
      </w:r>
      <w:r>
        <w:rPr>
          <w:rFonts w:ascii="Arial" w:cs="Arial" w:eastAsia="Arial" w:hAnsi="Arial"/>
          <w:sz w:val="17"/>
          <w:szCs w:val="17"/>
          <w:color w:val="auto"/>
        </w:rPr>
        <w:t>3.3, and has demonstrated high selectivity against L and N-type calcium channels, or Ca</w:t>
      </w:r>
      <w:r>
        <w:rPr>
          <w:rFonts w:ascii="Arial" w:cs="Arial" w:eastAsia="Arial" w:hAnsi="Arial"/>
          <w:sz w:val="15"/>
          <w:szCs w:val="15"/>
          <w:color w:val="auto"/>
        </w:rPr>
        <w:t>V</w:t>
      </w:r>
      <w:r>
        <w:rPr>
          <w:rFonts w:ascii="Arial" w:cs="Arial" w:eastAsia="Arial" w:hAnsi="Arial"/>
          <w:sz w:val="17"/>
          <w:szCs w:val="17"/>
          <w:color w:val="auto"/>
        </w:rPr>
        <w:t>1.2 and Ca</w:t>
      </w:r>
      <w:r>
        <w:rPr>
          <w:rFonts w:ascii="Arial" w:cs="Arial" w:eastAsia="Arial" w:hAnsi="Arial"/>
          <w:sz w:val="15"/>
          <w:szCs w:val="15"/>
          <w:color w:val="auto"/>
        </w:rPr>
        <w:t>V</w:t>
      </w:r>
      <w:r>
        <w:rPr>
          <w:rFonts w:ascii="Arial" w:cs="Arial" w:eastAsia="Arial" w:hAnsi="Arial"/>
          <w:sz w:val="17"/>
          <w:szCs w:val="17"/>
          <w:color w:val="auto"/>
        </w:rPr>
        <w:t>2.2, respectively, and other key ion channels important for normal physiology, such as the cardiac potassium channel human Ether-à-go-go-Related Gene, or hERG, and the voltage gated sodium channel Na</w:t>
      </w:r>
      <w:r>
        <w:rPr>
          <w:rFonts w:ascii="Arial" w:cs="Arial" w:eastAsia="Arial" w:hAnsi="Arial"/>
          <w:sz w:val="15"/>
          <w:szCs w:val="15"/>
          <w:color w:val="auto"/>
        </w:rPr>
        <w:t>V</w:t>
      </w:r>
      <w:r>
        <w:rPr>
          <w:rFonts w:ascii="Arial" w:cs="Arial" w:eastAsia="Arial" w:hAnsi="Arial"/>
          <w:sz w:val="17"/>
          <w:szCs w:val="17"/>
          <w:color w:val="auto"/>
        </w:rPr>
        <w:t>1.5. Robust selectivity and potency have been demonstrated across both exogenously expressed recombinant channels in a human cell line and naïve channels in isolated dorsal root ganglion, or DRG, neurons from rats using electrophysiological techniques.</w:t>
      </w:r>
    </w:p>
    <w:p>
      <w:pPr>
        <w:spacing w:after="0" w:line="87"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Consistent with the gatekeeper role of T-type calcium channels in neuronal firing patterns, a gain of function mutation of the T-type calcium channel Ca</w:t>
      </w:r>
      <w:r>
        <w:rPr>
          <w:rFonts w:ascii="Arial" w:cs="Arial" w:eastAsia="Arial" w:hAnsi="Arial"/>
          <w:sz w:val="15"/>
          <w:szCs w:val="15"/>
          <w:color w:val="auto"/>
        </w:rPr>
        <w:t>V</w:t>
      </w:r>
      <w:r>
        <w:rPr>
          <w:rFonts w:ascii="Arial" w:cs="Arial" w:eastAsia="Arial" w:hAnsi="Arial"/>
          <w:sz w:val="17"/>
          <w:szCs w:val="17"/>
          <w:color w:val="auto"/>
        </w:rPr>
        <w:t>3.2 leads to pathological burst firing in thalamic neurons in a rat model known as the GAERS model. Administration of PRAX-944 resulted in complete suppression of the pathological burst-firing in thalamic neurons derived from the GAERS model.</w:t>
      </w:r>
    </w:p>
    <w:p>
      <w:pPr>
        <w:spacing w:after="0" w:line="84"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We evaluated the therapeutic potential of PRAX-944 to treat ET using the harmaline-induced tremor model in rats. Administration of harmaline triggers ET-like tremors in experimental animals as well as pathological burst firing throughout the CTC circuit. We observed a large and dose-dependent decrease of harmaline-induced tremor in rats treated with PRAX-944 as compared to vehicle-treated animals, when measured as percent increase of tremor from pre-harmaline baseline. We believe this result served to both support the potential of PRAX-944 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ET and provide independent evidence of the potential role of T-type calcium channels in tremor reduction.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EEG as a pharmacodynamic biomarker for dose selection</w:t>
      </w:r>
    </w:p>
    <w:p>
      <w:pPr>
        <w:spacing w:after="0" w:line="13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PRAX-944 robustly and dose-dependently decreased EEG power in the sigma frequency band during NREM sleep in rats. We believe the effect of PRAX-944 on the EEG observed in rats when dosed with PRAX-944 suggests its potential to mediate the blockade of T-type calcium channels in the thalamocortical circuit, and further suggesting that this result may provide a pharmacodynamic biomarker for PRAX-944. Because the doses at which the EEG changes were observed were similar to those that led to tremor reduction in the harmaline model, we believe that this potential biomarker could be used to estimate a dose that could be effective in treating ET.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EPILEPSY</w:t>
      </w:r>
    </w:p>
    <w:p>
      <w:pPr>
        <w:spacing w:after="0" w:line="141" w:lineRule="exact"/>
        <w:rPr>
          <w:sz w:val="20"/>
          <w:szCs w:val="20"/>
          <w:color w:val="auto"/>
        </w:rPr>
      </w:pPr>
    </w:p>
    <w:p>
      <w:pPr>
        <w:ind w:right="320" w:firstLine="393"/>
        <w:spacing w:after="0" w:line="261" w:lineRule="auto"/>
        <w:rPr>
          <w:sz w:val="20"/>
          <w:szCs w:val="20"/>
          <w:color w:val="auto"/>
        </w:rPr>
      </w:pPr>
      <w:r>
        <w:rPr>
          <w:rFonts w:ascii="Arial" w:cs="Arial" w:eastAsia="Arial" w:hAnsi="Arial"/>
          <w:sz w:val="17"/>
          <w:szCs w:val="17"/>
          <w:color w:val="auto"/>
        </w:rPr>
        <w:t>Epilepsy is a common neurological disorder that affects all age groups, can lead to significant disability and social impact to the patient, family and caregivers, and is characterized by brain excitation-inhibition, or E/I, imbalance. Hyperexcitability can lead to abnormal synchronization of neurons and neuronal circuits, which is the electrical basis of a seizure. It is estimated that over 70 million people are living with epilepsy globally and a significant number of them are refractory to current pharmacotherapy. In the United States, the number of people living with epilepsy is estimated to be approximately three million, of which approximately 30% are characterized as refractory to treatment despite the availability of over 20 antiseizure medications.</w:t>
      </w:r>
    </w:p>
    <w:p>
      <w:pPr>
        <w:spacing w:after="0" w:line="88"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The mechanisms of action for most of the currently available epilepsy treatments are poorly understood. Nevertheless, fundamentals of brain electrophysiology and mechanisms dictating seizure genesis are conserved across species and, consequently, animal models of seizures and epilepsy enable a clinically predictive and therefore efficient drug development path in this therapeutic area. Moreover, the existence of rapid POC clinical designs and established regulatory pathways for epilepsy drug approvals, together with the significant unmet need, make the epilepsy market attractive.</w:t>
      </w:r>
    </w:p>
    <w:p>
      <w:pPr>
        <w:spacing w:after="0" w:line="87" w:lineRule="exact"/>
        <w:rPr>
          <w:sz w:val="20"/>
          <w:szCs w:val="20"/>
          <w:color w:val="auto"/>
        </w:rPr>
      </w:pPr>
    </w:p>
    <w:p>
      <w:pPr>
        <w:ind w:right="60" w:firstLine="393"/>
        <w:spacing w:after="0" w:line="260" w:lineRule="auto"/>
        <w:rPr>
          <w:sz w:val="20"/>
          <w:szCs w:val="20"/>
          <w:color w:val="auto"/>
        </w:rPr>
      </w:pPr>
      <w:r>
        <w:rPr>
          <w:rFonts w:ascii="Arial" w:cs="Arial" w:eastAsia="Arial" w:hAnsi="Arial"/>
          <w:sz w:val="17"/>
          <w:szCs w:val="17"/>
          <w:color w:val="auto"/>
        </w:rPr>
        <w:t>Recent investigations have led to the identification of over 500 genes that are causal or present risk factors for different forms of epilepsy. We believe this understanding unlocks opportunities for disease mechanism-targeted drug discovery that can more precisely meet the needs of people with epilepsy by addressing such fundamental mechanisms. We have utilized this approach to identify genes that are well-positioned to impact not only rare epilepsies but also the more common forms of epilepsy, as well as other CNS conditions. Our pipeline is being developed in recognition that through better understanding of validated targets, we may be able to maximize the impact our product candidates have on people with epilepsy, mood disorders, movement disorders and potentially other excitability disorders. Discovery and development for rare epilepsies is therefore a key driver and catalyst for optimization of our pipeline and meeting the needs of the broader CNS patient populations we seek to serve.</w:t>
      </w:r>
    </w:p>
    <w:p>
      <w:pPr>
        <w:spacing w:after="0" w:line="301" w:lineRule="exact"/>
        <w:rPr>
          <w:sz w:val="20"/>
          <w:szCs w:val="20"/>
          <w:color w:val="auto"/>
        </w:rPr>
      </w:pPr>
    </w:p>
    <w:p>
      <w:pPr>
        <w:ind w:right="200" w:firstLine="393"/>
        <w:spacing w:after="0" w:line="266" w:lineRule="auto"/>
        <w:rPr>
          <w:sz w:val="20"/>
          <w:szCs w:val="20"/>
          <w:color w:val="auto"/>
        </w:rPr>
      </w:pPr>
      <w:r>
        <w:rPr>
          <w:rFonts w:ascii="Arial" w:cs="Arial" w:eastAsia="Arial" w:hAnsi="Arial"/>
          <w:sz w:val="17"/>
          <w:szCs w:val="17"/>
          <w:color w:val="auto"/>
        </w:rPr>
        <w:t>Underpinning this approach is continual assessment and evaluation of computational, discovery, development, formulation and delivery technologies that can further optimize the speed and quality of the delivery of our pipelines. Whether through in-house developments or via key strategic collaborations, we will explore ways to enhance successful delivery of new products to market and do so time and time again.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firstLine="393"/>
        <w:spacing w:after="0" w:line="259" w:lineRule="auto"/>
        <w:rPr>
          <w:sz w:val="20"/>
          <w:szCs w:val="20"/>
          <w:color w:val="auto"/>
        </w:rPr>
      </w:pPr>
      <w:r>
        <w:rPr>
          <w:rFonts w:ascii="Arial" w:cs="Arial" w:eastAsia="Arial" w:hAnsi="Arial"/>
          <w:sz w:val="17"/>
          <w:szCs w:val="17"/>
          <w:color w:val="auto"/>
        </w:rPr>
        <w:t>A subset of epilepsy, DEEs, are rare neurologic diseases characterized by early onset (&lt; 2 years of age), frequent seizures, abnormal epileptiform electroencephalographic activity, developmental impairment and resistance to available antiepileptic drugs. Furthermore, DEEs are associated with a high mortality rate and comorbidities such as developmental delay in addition to behavioral disorders, movement disorders, pain and sensory dysfunction and sleep disruptions. The understanding of the etiology of DEEs has been revolutionized by recent whole-exome sequencing initiatives that showed over 60 genetic causes of epilepsy. An underlying pathologic feature of many DEEs is the dysregulated neuronal activity leading to hyperexcitability, seizures and associated comorbidities. This phenomenon is observed in many pediatric DEEs with an identified genetic cause, such as SCN8A, SCN2A, KCNT1, KCNQ2, KCNQ1, STXBP1 and SYNGAP1, as well as epilepsies in which a genetic cause remains unclear, such as Lennox Gastaut Syndrome, or Doose Syndrome. Up to 40% of DEEs are caused by single gene mutations, enabling precision medicine approaches. Given the overlapping biology, phenotypic presentation and clinical execution considerations, we believe that developing a portfolio of drugs to treat DEEs will create a distinct body of knowledge and operational synergies across our rare disease portfolio, positioning us as a leader in developing meaningful therapies for this group of patients with devastating unmet clinical needs.</w:t>
      </w:r>
    </w:p>
    <w:p>
      <w:pPr>
        <w:spacing w:after="0" w:line="302"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Within our Epilepsy franchise, we expect to initiate a Phase 2 study with our third clinical-stage candidate, PRAX-562, in patients with rare pediatric DEEs in the second quarter of 2022. Our lead product candidate to treat epilepsy is PRAX-222, an ASO designed to lower the expression levels of the protein encoded by the gene SCN2A in patients with GOF mutations in SCN2A, the underlying cause of SCN2A-GOF DEE. PRAX-222 has completed IND-enabling toxicology studies, and we expect to initiate a seamless study in the second quarter of 2022. In January 2022, we exercised our option to in-license PRAX-222 from Ionis Pharmaceuticals, Inc., or Ionis.</w:t>
      </w:r>
    </w:p>
    <w:p>
      <w:pPr>
        <w:spacing w:after="0" w:line="87" w:lineRule="exact"/>
        <w:rPr>
          <w:sz w:val="20"/>
          <w:szCs w:val="20"/>
          <w:color w:val="auto"/>
        </w:rPr>
      </w:pPr>
    </w:p>
    <w:p>
      <w:pPr>
        <w:jc w:val="both"/>
        <w:ind w:right="220" w:firstLine="433"/>
        <w:spacing w:after="0" w:line="266" w:lineRule="auto"/>
        <w:rPr>
          <w:sz w:val="20"/>
          <w:szCs w:val="20"/>
          <w:color w:val="auto"/>
        </w:rPr>
      </w:pPr>
      <w:r>
        <w:rPr>
          <w:rFonts w:ascii="Arial" w:cs="Arial" w:eastAsia="Arial" w:hAnsi="Arial"/>
          <w:sz w:val="17"/>
          <w:szCs w:val="17"/>
          <w:color w:val="auto"/>
        </w:rPr>
        <w:t>We intend to develop PRAX-628, a small molecule with unique NaV channel binding kinetics that favor inhibition of pathological neuronal activity underlying aberrant brain function, such as that seen in our initial indication of focal onset seizures. We anticipate use in other common forms of epilepsy and CNS excitability disorders more generally. PRAX-628 is currently in IND-enabling toxicology studies.</w:t>
      </w:r>
    </w:p>
    <w:p>
      <w:pPr>
        <w:spacing w:after="0" w:line="84"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We have also entered into a research collaboration with The Florey Institute of Neuroscience and Mental Health to develop three novel ASO therapies for the treatment of patients with SCN2A loss-of-function, or LOF, mutations and two additional rare epilepsy targets, SYNGAP1 and PCDH19. We believe this collaboration positions us at the forefront in rare epilepsy drug development with six distinct programs for the treatment of six different rare epilepsies.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PRAX-562</w:t>
      </w:r>
    </w:p>
    <w:p>
      <w:pPr>
        <w:spacing w:after="0" w:line="141" w:lineRule="exact"/>
        <w:rPr>
          <w:sz w:val="20"/>
          <w:szCs w:val="20"/>
          <w:color w:val="auto"/>
        </w:rPr>
      </w:pPr>
    </w:p>
    <w:p>
      <w:pPr>
        <w:ind w:right="100" w:firstLine="393"/>
        <w:spacing w:after="0" w:line="261" w:lineRule="auto"/>
        <w:rPr>
          <w:sz w:val="20"/>
          <w:szCs w:val="20"/>
          <w:color w:val="auto"/>
        </w:rPr>
      </w:pPr>
      <w:r>
        <w:rPr>
          <w:rFonts w:ascii="Arial" w:cs="Arial" w:eastAsia="Arial" w:hAnsi="Arial"/>
          <w:sz w:val="17"/>
          <w:szCs w:val="17"/>
          <w:color w:val="auto"/>
        </w:rPr>
        <w:t>Standard of care sodium channel blockers, such as Tegretol (carbamazepine), Lamictal (lamotrigine), Dilantin (phenytoin) and many others are an important class of medicines in neurology and psychiatry. All standard of care sodium channel blockers modulate neuronal activity by targeting peak sodium current, which can reverse the pathological neuronal hyperexcitability that underlies many CNS conditions, but simultaneously affects the physiological cellular action potential firing required for a functioning nervous and cardiovascular system. Hence, this class is widely used for the treatment of epilepsy, pain, migraine and bipolar disorder. However, the efficacy of sodium channel blockers is generally limited by side effects, many attributable to on-target toxicological effects.</w:t>
      </w:r>
    </w:p>
    <w:p>
      <w:pPr>
        <w:spacing w:after="0" w:line="88"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PRAX-562 is a preferential, persistent sodium current blocker that is designed to reduce pathological neuronal hyperexcitability and to provide an improved tolerability profile. PRAX-562 is in development for the treatment of a broad range of rare, devastating CNS disorders, such as severe pediatric epilepsies and adult cephalgias. We are pursuing proof of concept clinical data in a subset of rare cephalgias, initially Short-lasting Unilateral Neuralgiform headache attacks with Conjunctival injection and Tearing, or SUNCT, Short-lasting Unilateral Neuralgiform headache with Autonomic symptoms, or SUNA, and Trigeminal Neuralgia, or TN.</w:t>
      </w:r>
    </w:p>
    <w:p>
      <w:pPr>
        <w:spacing w:after="0" w:line="87"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We completed a Phase 1 trial of PRAX-562 in Australia to evaluate the safety, tolerability, PK and effects on an exploratory EEG biomarker in up to 129 adult healthy volunteers. We completed the dosing and safety follow-up period for the single ascending dose and multiple ascending dose cohorts up to 150mg and 120mg, respectively. PRAX-562 was well-tolerated, with no clinically significant safety findings. In this study, we used auditory steady state response, or ASSR, as an exploratory EEG biomarker to determine the doses required to achieve pharmacological blockade of persistent sodium current, which we believe is a potential indicator of efficacy in patients. Dose-related changes were observed in the ASSR biomarker with a reduction of greater than 50% in Phase Locking Factor, or PLF, after 14 days of daily dosing of PRAX-562 (120mg), as compared to baseline. These data suggest that PRAX-562 appeared to be achieving brain exposures needed to modulate cortical E/I balance.</w:t>
      </w:r>
    </w:p>
    <w:p>
      <w:pPr>
        <w:spacing w:after="0" w:line="91" w:lineRule="exact"/>
        <w:rPr>
          <w:sz w:val="20"/>
          <w:szCs w:val="20"/>
          <w:color w:val="auto"/>
        </w:rPr>
      </w:pPr>
    </w:p>
    <w:p>
      <w:pPr>
        <w:ind w:firstLine="393"/>
        <w:spacing w:after="0" w:line="275" w:lineRule="auto"/>
        <w:rPr>
          <w:sz w:val="20"/>
          <w:szCs w:val="20"/>
          <w:color w:val="auto"/>
        </w:rPr>
      </w:pPr>
      <w:r>
        <w:rPr>
          <w:rFonts w:ascii="Arial" w:cs="Arial" w:eastAsia="Arial" w:hAnsi="Arial"/>
          <w:sz w:val="17"/>
          <w:szCs w:val="17"/>
          <w:color w:val="auto"/>
        </w:rPr>
        <w:t>Based on the observed signal in the ASSR biomarker in the Phase 1 trial, we have started dosing patients in the United States in a Phase 1, placebo-controlled, two-cohort study to further evaluate the observed ASSR signal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and to evaluate 28-day dosing</w:t>
      </w:r>
      <w:r>
        <w:rPr>
          <w:rFonts w:ascii="Arial" w:cs="Arial" w:eastAsia="Arial" w:hAnsi="Arial"/>
          <w:sz w:val="13"/>
          <w:szCs w:val="13"/>
          <w:color w:val="auto"/>
        </w:rPr>
        <w:t>.</w:t>
      </w:r>
      <w:r>
        <w:rPr>
          <w:rFonts w:ascii="Arial" w:cs="Arial" w:eastAsia="Arial" w:hAnsi="Arial"/>
          <w:sz w:val="17"/>
          <w:szCs w:val="17"/>
          <w:color w:val="auto"/>
        </w:rPr>
        <w:t xml:space="preserve"> We expect to report topline data in the second quarter of 2022. The study is designed to evaluate ASSR as a potential biomarker for the PRAX-562 program to further support selection of doses to evaluate in Phase 2 studies. The clinical development plan for PRAX-562 encompasses exploring the broad potential for the mechanism of action in rare diseases through conducting proof-of-concept clinical trials in rare adult cephalgias, then expanding its development into a range of rare pediatric DEEs.</w:t>
      </w:r>
    </w:p>
    <w:p>
      <w:pPr>
        <w:spacing w:after="0" w:line="87" w:lineRule="exact"/>
        <w:rPr>
          <w:sz w:val="20"/>
          <w:szCs w:val="20"/>
          <w:color w:val="auto"/>
        </w:rPr>
      </w:pPr>
    </w:p>
    <w:p>
      <w:pPr>
        <w:ind w:right="260" w:firstLine="393"/>
        <w:spacing w:after="0" w:line="266" w:lineRule="auto"/>
        <w:rPr>
          <w:sz w:val="20"/>
          <w:szCs w:val="20"/>
          <w:color w:val="auto"/>
        </w:rPr>
      </w:pPr>
      <w:r>
        <w:rPr>
          <w:rFonts w:ascii="Arial" w:cs="Arial" w:eastAsia="Arial" w:hAnsi="Arial"/>
          <w:sz w:val="17"/>
          <w:szCs w:val="17"/>
          <w:color w:val="auto"/>
        </w:rPr>
        <w:t>The FDA granted both orphan drug and rare pediatric disease designations for PRAX-562 for the treatment of SCN2A and SCN8A developmental and epileptic encephalopathies, or SCN2A-DEE and SCN8A-DEE, respectively, and the EMA Committee for Orphan Medicinal Products granted orphan drug designation for PRAX-562 for the treatment of SCN2A-DEE and SCN8A-DEE.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Voltage-gated sodium channels, persistent sodium current and neuronal excitability</w:t>
      </w:r>
    </w:p>
    <w:p>
      <w:pPr>
        <w:spacing w:after="0" w:line="141" w:lineRule="exact"/>
        <w:rPr>
          <w:sz w:val="20"/>
          <w:szCs w:val="20"/>
          <w:color w:val="auto"/>
        </w:rPr>
      </w:pPr>
    </w:p>
    <w:p>
      <w:pPr>
        <w:ind w:right="40" w:firstLine="393"/>
        <w:spacing w:after="0" w:line="263" w:lineRule="auto"/>
        <w:rPr>
          <w:sz w:val="20"/>
          <w:szCs w:val="20"/>
          <w:color w:val="auto"/>
        </w:rPr>
      </w:pPr>
      <w:r>
        <w:rPr>
          <w:rFonts w:ascii="Arial" w:cs="Arial" w:eastAsia="Arial" w:hAnsi="Arial"/>
          <w:sz w:val="17"/>
          <w:szCs w:val="17"/>
          <w:color w:val="auto"/>
        </w:rPr>
        <w:t>Voltage-gated sodium channels, or VGSCs, are transmembrane proteins that are required for electrical signaling and therefore communication in neurons. VGSCs respond to changes in the membrane potential and are tightly regulated by their biophysical properties. Upon opening of VGSCs, sodium ions can move into the cell leading to a depolarization and therefore excitation of the neuron. This sodium current is the initiator and driver of neuronal action potentials, or APs, the primary means of electrical signal propagation along the neuron’s axon.</w:t>
      </w:r>
    </w:p>
    <w:p>
      <w:pPr>
        <w:spacing w:after="0" w:line="87" w:lineRule="exact"/>
        <w:rPr>
          <w:sz w:val="20"/>
          <w:szCs w:val="20"/>
          <w:color w:val="auto"/>
        </w:rPr>
      </w:pPr>
    </w:p>
    <w:p>
      <w:pPr>
        <w:ind w:right="140" w:firstLine="393"/>
        <w:spacing w:after="0" w:line="275" w:lineRule="auto"/>
        <w:rPr>
          <w:sz w:val="20"/>
          <w:szCs w:val="20"/>
          <w:color w:val="auto"/>
        </w:rPr>
      </w:pPr>
      <w:r>
        <w:rPr>
          <w:rFonts w:ascii="Arial" w:cs="Arial" w:eastAsia="Arial" w:hAnsi="Arial"/>
          <w:sz w:val="17"/>
          <w:szCs w:val="17"/>
          <w:color w:val="auto"/>
        </w:rPr>
        <w:t>The family of VGSCs consists of nine highly related isoforms (Na</w:t>
      </w:r>
      <w:r>
        <w:rPr>
          <w:rFonts w:ascii="Arial" w:cs="Arial" w:eastAsia="Arial" w:hAnsi="Arial"/>
          <w:sz w:val="15"/>
          <w:szCs w:val="15"/>
          <w:color w:val="auto"/>
        </w:rPr>
        <w:t>V</w:t>
      </w:r>
      <w:r>
        <w:rPr>
          <w:rFonts w:ascii="Arial" w:cs="Arial" w:eastAsia="Arial" w:hAnsi="Arial"/>
          <w:sz w:val="17"/>
          <w:szCs w:val="17"/>
          <w:color w:val="auto"/>
        </w:rPr>
        <w:t>1.1 – Na</w:t>
      </w:r>
      <w:r>
        <w:rPr>
          <w:rFonts w:ascii="Arial" w:cs="Arial" w:eastAsia="Arial" w:hAnsi="Arial"/>
          <w:sz w:val="15"/>
          <w:szCs w:val="15"/>
          <w:color w:val="auto"/>
        </w:rPr>
        <w:t>V</w:t>
      </w:r>
      <w:r>
        <w:rPr>
          <w:rFonts w:ascii="Arial" w:cs="Arial" w:eastAsia="Arial" w:hAnsi="Arial"/>
          <w:sz w:val="17"/>
          <w:szCs w:val="17"/>
          <w:color w:val="auto"/>
        </w:rPr>
        <w:t>1.9) with differential tissue distributions and functions. Na</w:t>
      </w:r>
      <w:r>
        <w:rPr>
          <w:rFonts w:ascii="Arial" w:cs="Arial" w:eastAsia="Arial" w:hAnsi="Arial"/>
          <w:sz w:val="15"/>
          <w:szCs w:val="15"/>
          <w:color w:val="auto"/>
        </w:rPr>
        <w:t>V</w:t>
      </w:r>
      <w:r>
        <w:rPr>
          <w:rFonts w:ascii="Arial" w:cs="Arial" w:eastAsia="Arial" w:hAnsi="Arial"/>
          <w:sz w:val="17"/>
          <w:szCs w:val="17"/>
          <w:color w:val="auto"/>
        </w:rPr>
        <w:t>1.1, 1.2 and 1.6 are the major sodium channels expressed in the central nervous system.</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Isoform</w:t>
            </w:r>
          </w:p>
        </w:tc>
        <w:tc>
          <w:tcPr>
            <w:tcW w:w="1620" w:type="dxa"/>
            <w:vAlign w:val="bottom"/>
            <w:gridSpan w:val="2"/>
          </w:tcPr>
          <w:p>
            <w:pPr>
              <w:ind w:left="580"/>
              <w:spacing w:after="0"/>
              <w:rPr>
                <w:sz w:val="20"/>
                <w:szCs w:val="20"/>
                <w:color w:val="auto"/>
              </w:rPr>
            </w:pPr>
            <w:r>
              <w:rPr>
                <w:rFonts w:ascii="Arial" w:cs="Arial" w:eastAsia="Arial" w:hAnsi="Arial"/>
                <w:sz w:val="14"/>
                <w:szCs w:val="14"/>
                <w:b w:val="1"/>
                <w:bCs w:val="1"/>
                <w:color w:val="auto"/>
              </w:rPr>
              <w:t>Gene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Expression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020" w:type="dxa"/>
            <w:vAlign w:val="bottom"/>
            <w:gridSpan w:val="2"/>
            <w:shd w:val="clear" w:color="auto" w:fill="CCEEFF"/>
          </w:tcPr>
          <w:p>
            <w:pPr>
              <w:spacing w:after="0" w:line="169" w:lineRule="exact"/>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1.1</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SCN1A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CNS</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1.2</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SCN2A</w:t>
            </w:r>
          </w:p>
        </w:tc>
        <w:tc>
          <w:tcPr>
            <w:tcW w:w="1540" w:type="dxa"/>
            <w:vAlign w:val="bottom"/>
          </w:tcPr>
          <w:p>
            <w:pPr>
              <w:jc w:val="center"/>
              <w:spacing w:after="0"/>
              <w:rPr>
                <w:sz w:val="20"/>
                <w:szCs w:val="20"/>
                <w:color w:val="auto"/>
              </w:rPr>
            </w:pPr>
            <w:r>
              <w:rPr>
                <w:rFonts w:ascii="Arial" w:cs="Arial" w:eastAsia="Arial" w:hAnsi="Arial"/>
                <w:sz w:val="14"/>
                <w:szCs w:val="14"/>
                <w:color w:val="auto"/>
              </w:rPr>
              <w:t>CNS</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1.3</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SCN3A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CNS/Pancreas</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1.4</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SCN4A</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Muscle</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1.5</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SCN5A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Heart</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1.6</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SCN8A</w:t>
            </w:r>
          </w:p>
        </w:tc>
        <w:tc>
          <w:tcPr>
            <w:tcW w:w="1540" w:type="dxa"/>
            <w:vAlign w:val="bottom"/>
          </w:tcPr>
          <w:p>
            <w:pPr>
              <w:jc w:val="center"/>
              <w:spacing w:after="0"/>
              <w:rPr>
                <w:sz w:val="20"/>
                <w:szCs w:val="20"/>
                <w:color w:val="auto"/>
              </w:rPr>
            </w:pPr>
            <w:r>
              <w:rPr>
                <w:rFonts w:ascii="Arial" w:cs="Arial" w:eastAsia="Arial" w:hAnsi="Arial"/>
                <w:sz w:val="14"/>
                <w:szCs w:val="14"/>
                <w:color w:val="auto"/>
                <w:w w:val="99"/>
              </w:rPr>
              <w:t>CNS/PNS</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1.7</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SCN9A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PNS</w:t>
            </w:r>
          </w:p>
        </w:tc>
      </w:tr>
      <w:tr>
        <w:trPr>
          <w:trHeight w:val="210"/>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1.8</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SCN10A</w:t>
            </w:r>
          </w:p>
        </w:tc>
        <w:tc>
          <w:tcPr>
            <w:tcW w:w="1540" w:type="dxa"/>
            <w:vAlign w:val="bottom"/>
          </w:tcPr>
          <w:p>
            <w:pPr>
              <w:jc w:val="center"/>
              <w:spacing w:after="0"/>
              <w:rPr>
                <w:sz w:val="20"/>
                <w:szCs w:val="20"/>
                <w:color w:val="auto"/>
              </w:rPr>
            </w:pPr>
            <w:r>
              <w:rPr>
                <w:rFonts w:ascii="Arial" w:cs="Arial" w:eastAsia="Arial" w:hAnsi="Arial"/>
                <w:sz w:val="14"/>
                <w:szCs w:val="14"/>
                <w:color w:val="auto"/>
                <w:w w:val="97"/>
              </w:rPr>
              <w:t>PNS</w:t>
            </w:r>
          </w:p>
        </w:tc>
      </w:tr>
      <w:tr>
        <w:trPr>
          <w:trHeight w:val="210"/>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w:t>
            </w:r>
            <w:r>
              <w:rPr>
                <w:rFonts w:ascii="Arial" w:cs="Arial" w:eastAsia="Arial" w:hAnsi="Arial"/>
                <w:sz w:val="15"/>
                <w:szCs w:val="15"/>
                <w:color w:val="auto"/>
              </w:rPr>
              <w:t>V</w:t>
            </w:r>
            <w:r>
              <w:rPr>
                <w:rFonts w:ascii="Arial" w:cs="Arial" w:eastAsia="Arial" w:hAnsi="Arial"/>
                <w:sz w:val="14"/>
                <w:szCs w:val="14"/>
                <w:color w:val="auto"/>
              </w:rPr>
              <w:t>1.9</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SCN11A</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PNS</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CNS: Central Nervous System, PNS: Peripheral Nervous System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17. Sodium Channel Isoforms and tissue distribution.</w:t>
      </w:r>
    </w:p>
    <w:p>
      <w:pPr>
        <w:spacing w:after="0" w:line="141"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VGSCs undergo a structural change that alter their ability to conduct sodium ions (Table 17) and are triggered to open upon excitation, or depolarization, of the cell membrane allowing sodium ions to enter the neuron. Sodium influx further excites, or depolarizes, the neuron, leading to the opening of even more sodium channels. This series of events can lead to a large peak sodium current underlying the initiation and propagation of neuronal action potentials, or APs, the primary means by which neurons propagate information in the nervous system. To prevent overexcitation of neurons, or hyperexcitability in the form of excessive high frequency AP firing, the majority of sodium channels only open very briefly after activation (1-2ms), followed by a refractory period of inactivation or non-responsiveness.</w:t>
      </w:r>
    </w:p>
    <w:p>
      <w:pPr>
        <w:spacing w:after="0" w:line="88" w:lineRule="exact"/>
        <w:rPr>
          <w:sz w:val="20"/>
          <w:szCs w:val="20"/>
          <w:color w:val="auto"/>
        </w:rPr>
      </w:pPr>
    </w:p>
    <w:p>
      <w:pPr>
        <w:ind w:right="600" w:firstLine="393"/>
        <w:spacing w:after="0" w:line="266" w:lineRule="auto"/>
        <w:rPr>
          <w:sz w:val="20"/>
          <w:szCs w:val="20"/>
          <w:color w:val="auto"/>
        </w:rPr>
      </w:pPr>
      <w:r>
        <w:rPr>
          <w:rFonts w:ascii="Arial" w:cs="Arial" w:eastAsia="Arial" w:hAnsi="Arial"/>
          <w:sz w:val="17"/>
          <w:szCs w:val="17"/>
          <w:color w:val="auto"/>
        </w:rPr>
        <w:t>However, at membrane potentials below the AP firing threshold, a small subset of sodium channels can remain open for hundreds of milliseconds, carrying the so-called persistent sodium current. Persistent sodium current is present under physiologic conditions where it modulates excitability of neurons and can be significantly increased in pathologic states (Figure 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386080</wp:posOffset>
            </wp:positionV>
            <wp:extent cx="5029200" cy="1965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29200" cy="196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Figure 18. Impact of a pathological mutation on sodium channels.</w:t>
      </w:r>
    </w:p>
    <w:p>
      <w:pPr>
        <w:spacing w:after="0" w:line="141"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There are currently more than 15 sodium channel blockers in the market commonly used to treat diseases such as epilepsy, bipolar disorder and pain. While standard of care sodium channel blockers, such as carbamazepine, lamotrigine and phenytoin, inhibit persistent sodium current, they likely also block peak sodium current at therapeutic concentrations, which can cause significant AEs such as ataxia, drowsiness and dizziness, and therefore have a very narrow Therapeutic Index, or TI.</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Genetics of persistent sodium current</w:t>
      </w:r>
    </w:p>
    <w:p>
      <w:pPr>
        <w:spacing w:after="0" w:line="139"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In published whole-exome sequencing studies of diverse patient populations, mutations in all voltage gated sodium channel subtypes have been reported as a likely cause of disease. Furthermore, gain-of-function mutations that are associated with disease can cause an increase of persistent sodium current, raising the idea that this might be a critical driver of hyperexcitability in neurologic disorders.</w:t>
      </w:r>
    </w:p>
    <w:p>
      <w:pPr>
        <w:spacing w:after="0" w:line="84"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specific disease that a patient develops depends on both the sodium channel subtype and where the affected sodium channel is expressed. Gain-of-function mutations in SCN2A, or Na</w:t>
      </w:r>
      <w:r>
        <w:rPr>
          <w:rFonts w:ascii="Arial" w:cs="Arial" w:eastAsia="Arial" w:hAnsi="Arial"/>
          <w:sz w:val="15"/>
          <w:szCs w:val="15"/>
          <w:color w:val="auto"/>
        </w:rPr>
        <w:t>V</w:t>
      </w:r>
      <w:r>
        <w:rPr>
          <w:rFonts w:ascii="Arial" w:cs="Arial" w:eastAsia="Arial" w:hAnsi="Arial"/>
          <w:sz w:val="17"/>
          <w:szCs w:val="17"/>
          <w:color w:val="auto"/>
        </w:rPr>
        <w:t>1.2, and SCN8A, or Na</w:t>
      </w:r>
      <w:r>
        <w:rPr>
          <w:rFonts w:ascii="Arial" w:cs="Arial" w:eastAsia="Arial" w:hAnsi="Arial"/>
          <w:sz w:val="15"/>
          <w:szCs w:val="15"/>
          <w:color w:val="auto"/>
        </w:rPr>
        <w:t>V</w:t>
      </w:r>
      <w:r>
        <w:rPr>
          <w:rFonts w:ascii="Arial" w:cs="Arial" w:eastAsia="Arial" w:hAnsi="Arial"/>
          <w:sz w:val="17"/>
          <w:szCs w:val="17"/>
          <w:color w:val="auto"/>
        </w:rPr>
        <w:t>1.6, two of the major sodium channels in the brain, cause early onset epileptic encephalopathies with frequent seizures and developmental delay. Gain-of-function mutations in Na</w:t>
      </w:r>
      <w:r>
        <w:rPr>
          <w:rFonts w:ascii="Arial" w:cs="Arial" w:eastAsia="Arial" w:hAnsi="Arial"/>
          <w:sz w:val="15"/>
          <w:szCs w:val="15"/>
          <w:color w:val="auto"/>
        </w:rPr>
        <w:t>V</w:t>
      </w:r>
      <w:r>
        <w:rPr>
          <w:rFonts w:ascii="Arial" w:cs="Arial" w:eastAsia="Arial" w:hAnsi="Arial"/>
          <w:sz w:val="17"/>
          <w:szCs w:val="17"/>
          <w:color w:val="auto"/>
        </w:rPr>
        <w:t>1.1, Na</w:t>
      </w:r>
      <w:r>
        <w:rPr>
          <w:rFonts w:ascii="Arial" w:cs="Arial" w:eastAsia="Arial" w:hAnsi="Arial"/>
          <w:sz w:val="15"/>
          <w:szCs w:val="15"/>
          <w:color w:val="auto"/>
        </w:rPr>
        <w:t>V</w:t>
      </w:r>
      <w:r>
        <w:rPr>
          <w:rFonts w:ascii="Arial" w:cs="Arial" w:eastAsia="Arial" w:hAnsi="Arial"/>
          <w:sz w:val="17"/>
          <w:szCs w:val="17"/>
          <w:color w:val="auto"/>
        </w:rPr>
        <w:t>1.4, Na</w:t>
      </w:r>
      <w:r>
        <w:rPr>
          <w:rFonts w:ascii="Arial" w:cs="Arial" w:eastAsia="Arial" w:hAnsi="Arial"/>
          <w:sz w:val="15"/>
          <w:szCs w:val="15"/>
          <w:color w:val="auto"/>
        </w:rPr>
        <w:t>V</w:t>
      </w:r>
      <w:r>
        <w:rPr>
          <w:rFonts w:ascii="Arial" w:cs="Arial" w:eastAsia="Arial" w:hAnsi="Arial"/>
          <w:sz w:val="17"/>
          <w:szCs w:val="17"/>
          <w:color w:val="auto"/>
        </w:rPr>
        <w:t>1.5 and Na</w:t>
      </w:r>
      <w:r>
        <w:rPr>
          <w:rFonts w:ascii="Arial" w:cs="Arial" w:eastAsia="Arial" w:hAnsi="Arial"/>
          <w:sz w:val="15"/>
          <w:szCs w:val="15"/>
          <w:color w:val="auto"/>
        </w:rPr>
        <w:t>V</w:t>
      </w:r>
      <w:r>
        <w:rPr>
          <w:rFonts w:ascii="Arial" w:cs="Arial" w:eastAsia="Arial" w:hAnsi="Arial"/>
          <w:sz w:val="17"/>
          <w:szCs w:val="17"/>
          <w:color w:val="auto"/>
        </w:rPr>
        <w:t>1.7 cause familial hemiplegic migraine, myotonia, cardiac arrythmia and severe pain disorders, based on their primary expression in the CNS, muscle, heart and pain pathways, respectively. These channelopathies demonstrate the important role persistent sodium current plays as a modulator of cellular excitability.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PRAX-562 preclinical data</w:t>
      </w:r>
    </w:p>
    <w:p>
      <w:pPr>
        <w:spacing w:after="0" w:line="141" w:lineRule="exact"/>
        <w:rPr>
          <w:sz w:val="20"/>
          <w:szCs w:val="20"/>
          <w:color w:val="auto"/>
        </w:rPr>
      </w:pPr>
    </w:p>
    <w:p>
      <w:pPr>
        <w:jc w:val="both"/>
        <w:ind w:right="60" w:firstLine="433"/>
        <w:spacing w:after="0" w:line="266" w:lineRule="auto"/>
        <w:rPr>
          <w:sz w:val="20"/>
          <w:szCs w:val="20"/>
          <w:color w:val="auto"/>
        </w:rPr>
      </w:pPr>
      <w:r>
        <w:rPr>
          <w:rFonts w:ascii="Arial" w:cs="Arial" w:eastAsia="Arial" w:hAnsi="Arial"/>
          <w:sz w:val="17"/>
          <w:szCs w:val="17"/>
          <w:color w:val="auto"/>
        </w:rPr>
        <w:t>PRAX-562 preclinical studies were designed to test our belief that the block of persistent sodium current is sufficient to demonstrate robust activity in animal models of hyperexcitation and that the selective block of persistent sodium current over physiological peak current could lead to an improved TI.</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Selective inhibition of persistent sodium channels</w:t>
      </w:r>
    </w:p>
    <w:p>
      <w:pPr>
        <w:spacing w:after="0" w:line="139" w:lineRule="exact"/>
        <w:rPr>
          <w:sz w:val="20"/>
          <w:szCs w:val="20"/>
          <w:color w:val="auto"/>
        </w:rPr>
      </w:pPr>
    </w:p>
    <w:p>
      <w:pPr>
        <w:ind w:firstLine="433"/>
        <w:spacing w:after="0" w:line="230" w:lineRule="auto"/>
        <w:rPr>
          <w:sz w:val="20"/>
          <w:szCs w:val="20"/>
          <w:color w:val="auto"/>
        </w:rPr>
      </w:pPr>
      <w:r>
        <w:rPr>
          <w:rFonts w:ascii="Arial" w:cs="Arial" w:eastAsia="Arial" w:hAnsi="Arial"/>
          <w:sz w:val="17"/>
          <w:szCs w:val="17"/>
          <w:color w:val="auto"/>
        </w:rPr>
        <w:t>PRAX-562 showed potent inhibition of persistent sodium current as measured in cell-based assays, in which sodium channel isoforms were heterologously expressed and channel activity was measured via patch clamp electrophysiology. Using electrophysiological voltage protocols, the effect of compounds on a specific channel state (</w:t>
      </w:r>
      <w:r>
        <w:rPr>
          <w:rFonts w:ascii="Arial" w:cs="Arial" w:eastAsia="Arial" w:hAnsi="Arial"/>
          <w:sz w:val="17"/>
          <w:szCs w:val="17"/>
          <w:i w:val="1"/>
          <w:iCs w:val="1"/>
          <w:color w:val="auto"/>
        </w:rPr>
        <w:t>e.g.</w:t>
      </w:r>
      <w:r>
        <w:rPr>
          <w:rFonts w:ascii="Arial" w:cs="Arial" w:eastAsia="Arial" w:hAnsi="Arial"/>
          <w:sz w:val="17"/>
          <w:szCs w:val="17"/>
          <w:color w:val="auto"/>
        </w:rPr>
        <w:t>, peak current vs persistent current) can be measured. When compared to other approved sodium channel inhibitors for various neurological indications, PRAX-562 showed hundreds of times greater potency in inhibiting persistent sodium current. PRAX-562 had an IC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of 141 nM compared to SOC sodium channel blockers lamotrigine and carbamazepine which had an IC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of 78,530 nM and 77,520 nM, respectively – a potency difference of over 500-fold. PRAX-562 also potently inhibited persistent I</w:t>
      </w:r>
      <w:r>
        <w:rPr>
          <w:rFonts w:ascii="Arial" w:cs="Arial" w:eastAsia="Arial" w:hAnsi="Arial"/>
          <w:sz w:val="22"/>
          <w:szCs w:val="22"/>
          <w:color w:val="auto"/>
          <w:vertAlign w:val="subscript"/>
        </w:rPr>
        <w:t>Na</w:t>
      </w:r>
      <w:r>
        <w:rPr>
          <w:rFonts w:ascii="Arial" w:cs="Arial" w:eastAsia="Arial" w:hAnsi="Arial"/>
          <w:sz w:val="17"/>
          <w:szCs w:val="17"/>
          <w:color w:val="auto"/>
        </w:rPr>
        <w:t xml:space="preserve"> expressed by the SCN8A-DEE mutant hNa</w:t>
      </w:r>
      <w:r>
        <w:rPr>
          <w:rFonts w:ascii="Arial" w:cs="Arial" w:eastAsia="Arial" w:hAnsi="Arial"/>
          <w:sz w:val="22"/>
          <w:szCs w:val="22"/>
          <w:color w:val="auto"/>
          <w:vertAlign w:val="subscript"/>
        </w:rPr>
        <w:t>V</w:t>
      </w:r>
      <w:r>
        <w:rPr>
          <w:rFonts w:ascii="Arial" w:cs="Arial" w:eastAsia="Arial" w:hAnsi="Arial"/>
          <w:sz w:val="17"/>
          <w:szCs w:val="17"/>
          <w:color w:val="auto"/>
        </w:rPr>
        <w:t>1.6-N1768D (IC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75 nM). PRAX-562 was ~60 fold selective for inhibiting persistent current over peak current.</w:t>
      </w:r>
    </w:p>
    <w:p>
      <w:pPr>
        <w:spacing w:after="0" w:line="97"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The selective block of persistent sodium current reduces neuronal hyperexcitability without affecting the action potential, or AP, amplitude, which is required for normal neuron function. In mouse brain slice experiments, a hyperexcitable state can be mimicked by artificially depolarizing the neuron using the patch clamp method, which elicits high frequency AP firing. PRAX-562 reduced the neuronal AP firing frequency, an indicator of neuronal excitability, without a significant effect on AP amplitude, an indicator of normal neuronal function, suggesting reduction of hyperexcitability without impacting the ability of the neuron to respond to physiologic stimuli. 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40"/>
        <w:spacing w:after="0" w:line="245" w:lineRule="auto"/>
        <w:rPr>
          <w:sz w:val="20"/>
          <w:szCs w:val="20"/>
          <w:color w:val="auto"/>
        </w:rPr>
      </w:pPr>
      <w:r>
        <w:rPr>
          <w:rFonts w:ascii="Arial" w:cs="Arial" w:eastAsia="Arial" w:hAnsi="Arial"/>
          <w:sz w:val="17"/>
          <w:szCs w:val="17"/>
          <w:color w:val="auto"/>
        </w:rPr>
        <w:t>comparison, carbamazepine, a SOC sodium channel blocker, at comparable concentrations (relative to the potency in cells heterologously expressing Na</w:t>
      </w:r>
      <w:r>
        <w:rPr>
          <w:rFonts w:ascii="Arial" w:cs="Arial" w:eastAsia="Arial" w:hAnsi="Arial"/>
          <w:sz w:val="20"/>
          <w:szCs w:val="20"/>
          <w:color w:val="auto"/>
          <w:vertAlign w:val="subscript"/>
        </w:rPr>
        <w:t>V</w:t>
      </w:r>
      <w:r>
        <w:rPr>
          <w:rFonts w:ascii="Arial" w:cs="Arial" w:eastAsia="Arial" w:hAnsi="Arial"/>
          <w:sz w:val="17"/>
          <w:szCs w:val="17"/>
          <w:color w:val="auto"/>
        </w:rPr>
        <w:t>1.6), excessively decreased AP firing almost completely and reduced the amplitude of APs, indicating impairment of normal function.</w:t>
      </w:r>
    </w:p>
    <w:p>
      <w:pPr>
        <w:spacing w:after="0" w:line="328" w:lineRule="exact"/>
        <w:rPr>
          <w:sz w:val="20"/>
          <w:szCs w:val="20"/>
          <w:color w:val="auto"/>
        </w:rPr>
      </w:pPr>
    </w:p>
    <w:p>
      <w:pPr>
        <w:ind w:left="1280"/>
        <w:spacing w:after="0"/>
        <w:tabs>
          <w:tab w:leader="none" w:pos="6520" w:val="left"/>
        </w:tabs>
        <w:rPr>
          <w:sz w:val="20"/>
          <w:szCs w:val="20"/>
          <w:color w:val="auto"/>
        </w:rPr>
      </w:pPr>
      <w:r>
        <w:rPr>
          <w:rFonts w:ascii="Arial" w:cs="Arial" w:eastAsia="Arial" w:hAnsi="Arial"/>
          <w:sz w:val="17"/>
          <w:szCs w:val="17"/>
          <w:b w:val="1"/>
          <w:bCs w:val="1"/>
          <w:color w:val="auto"/>
        </w:rPr>
        <w:t>PRAX-562 Representative AP Traces</w:t>
      </w:r>
      <w:r>
        <w:rPr>
          <w:sz w:val="20"/>
          <w:szCs w:val="20"/>
          <w:color w:val="auto"/>
        </w:rPr>
        <w:tab/>
      </w:r>
      <w:r>
        <w:rPr>
          <w:rFonts w:ascii="Arial" w:cs="Arial" w:eastAsia="Arial" w:hAnsi="Arial"/>
          <w:sz w:val="17"/>
          <w:szCs w:val="17"/>
          <w:b w:val="1"/>
          <w:bCs w:val="1"/>
          <w:color w:val="auto"/>
        </w:rPr>
        <w:t>Carbamazepine Representative AP Traces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331470</wp:posOffset>
            </wp:positionV>
            <wp:extent cx="5787390" cy="749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87390" cy="749300"/>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PRAX-562 Average AP Frequency</w:t>
      </w:r>
    </w:p>
    <w:p>
      <w:pPr>
        <w:ind w:left="1440"/>
        <w:spacing w:after="0"/>
        <w:rPr>
          <w:sz w:val="20"/>
          <w:szCs w:val="20"/>
          <w:color w:val="auto"/>
        </w:rPr>
      </w:pPr>
      <w:r>
        <w:rPr>
          <w:rFonts w:ascii="Arial" w:cs="Arial" w:eastAsia="Arial" w:hAnsi="Arial"/>
          <w:sz w:val="17"/>
          <w:szCs w:val="17"/>
          <w:b w:val="1"/>
          <w:bCs w:val="1"/>
          <w:color w:val="auto"/>
        </w:rPr>
        <w:t>During Increasing Current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317500</wp:posOffset>
            </wp:positionV>
            <wp:extent cx="1198880" cy="1040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8880" cy="1040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60"/>
        <w:spacing w:after="0"/>
        <w:rPr>
          <w:sz w:val="20"/>
          <w:szCs w:val="20"/>
          <w:color w:val="auto"/>
        </w:rPr>
      </w:pPr>
      <w:r>
        <w:rPr>
          <w:rFonts w:ascii="Arial" w:cs="Arial" w:eastAsia="Arial" w:hAnsi="Arial"/>
          <w:sz w:val="17"/>
          <w:szCs w:val="17"/>
          <w:b w:val="1"/>
          <w:bCs w:val="1"/>
          <w:color w:val="auto"/>
        </w:rPr>
        <w:t>Carbamazepine Average AP Frequency</w:t>
      </w:r>
    </w:p>
    <w:p>
      <w:pPr>
        <w:jc w:val="center"/>
        <w:ind w:right="1060"/>
        <w:spacing w:after="0"/>
        <w:rPr>
          <w:sz w:val="20"/>
          <w:szCs w:val="20"/>
          <w:color w:val="auto"/>
        </w:rPr>
      </w:pPr>
      <w:r>
        <w:rPr>
          <w:rFonts w:ascii="Arial" w:cs="Arial" w:eastAsia="Arial" w:hAnsi="Arial"/>
          <w:sz w:val="17"/>
          <w:szCs w:val="17"/>
          <w:b w:val="1"/>
          <w:bCs w:val="1"/>
          <w:color w:val="auto"/>
        </w:rPr>
        <w:t>During Increase Current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317500</wp:posOffset>
            </wp:positionV>
            <wp:extent cx="1207135" cy="1040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7135" cy="1040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300"/>
          </w:cols>
          <w:pgMar w:left="320" w:top="118"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PRAX-562 Average AP Amplitude</w:t>
      </w:r>
    </w:p>
    <w:p>
      <w:pPr>
        <w:jc w:val="center"/>
        <w:ind w:right="360"/>
        <w:spacing w:after="0"/>
        <w:rPr>
          <w:sz w:val="20"/>
          <w:szCs w:val="20"/>
          <w:color w:val="auto"/>
        </w:rPr>
      </w:pPr>
      <w:r>
        <w:rPr>
          <w:rFonts w:ascii="Arial" w:cs="Arial" w:eastAsia="Arial" w:hAnsi="Arial"/>
          <w:sz w:val="17"/>
          <w:szCs w:val="17"/>
          <w:b w:val="1"/>
          <w:bCs w:val="1"/>
          <w:color w:val="auto"/>
        </w:rPr>
        <w:t>During Current Step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309245</wp:posOffset>
            </wp:positionV>
            <wp:extent cx="1273810" cy="1099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3810" cy="1099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80"/>
        <w:spacing w:after="0"/>
        <w:rPr>
          <w:sz w:val="20"/>
          <w:szCs w:val="20"/>
          <w:color w:val="auto"/>
        </w:rPr>
      </w:pPr>
      <w:r>
        <w:rPr>
          <w:rFonts w:ascii="Arial" w:cs="Arial" w:eastAsia="Arial" w:hAnsi="Arial"/>
          <w:sz w:val="17"/>
          <w:szCs w:val="17"/>
          <w:b w:val="1"/>
          <w:bCs w:val="1"/>
          <w:color w:val="auto"/>
        </w:rPr>
        <w:t>Carbamazepine Average AP Amplitude</w:t>
      </w:r>
    </w:p>
    <w:p>
      <w:pPr>
        <w:jc w:val="center"/>
        <w:ind w:right="1080"/>
        <w:spacing w:after="0"/>
        <w:rPr>
          <w:sz w:val="20"/>
          <w:szCs w:val="20"/>
          <w:color w:val="auto"/>
        </w:rPr>
      </w:pPr>
      <w:r>
        <w:rPr>
          <w:rFonts w:ascii="Arial" w:cs="Arial" w:eastAsia="Arial" w:hAnsi="Arial"/>
          <w:sz w:val="17"/>
          <w:szCs w:val="17"/>
          <w:b w:val="1"/>
          <w:bCs w:val="1"/>
          <w:color w:val="auto"/>
        </w:rPr>
        <w:t>During Current Step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309245</wp:posOffset>
            </wp:positionV>
            <wp:extent cx="1290955" cy="10991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90955" cy="1099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280"/>
          </w:cols>
          <w:pgMar w:left="320" w:top="118"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00"/>
        <w:spacing w:after="0" w:line="302" w:lineRule="auto"/>
        <w:rPr>
          <w:sz w:val="20"/>
          <w:szCs w:val="20"/>
          <w:color w:val="auto"/>
        </w:rPr>
      </w:pPr>
      <w:r>
        <w:rPr>
          <w:rFonts w:ascii="Arial" w:cs="Arial" w:eastAsia="Arial" w:hAnsi="Arial"/>
          <w:sz w:val="17"/>
          <w:szCs w:val="17"/>
          <w:b w:val="1"/>
          <w:bCs w:val="1"/>
          <w:color w:val="auto"/>
        </w:rPr>
        <w:t>Figure 19. PRAX-562 reduced neuronal hyperexcitability (AP frequency) without impairing normal function (minimal effect on AP amplitude). In contrast, carbamazepine significantly reduced the AP amplitude suggesting impairment of normal function.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type w:val="continuous"/>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in vivo pharmacological activity, tolerability and EEG pharmacodynamic biomarker</w:t>
      </w:r>
    </w:p>
    <w:p>
      <w:pPr>
        <w:spacing w:after="0" w:line="13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We investigated the preclinical activity of PRAX-562 in the maximal electroshock model of epilepsy, or MES model, that has shown good predictive validity for clinical anti-convulsant activity, and compared it to the effects of SOC sodium channel blockers carbamazepine and lamotrigine. To determine how well PRAX-562 was tolerated in this study, we compared its effects on spontaneous locomotor activity, or sLMA, to the effects of carbamazepine and lamotrigine.</w:t>
      </w:r>
    </w:p>
    <w:p>
      <w:pPr>
        <w:spacing w:after="0" w:line="87"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PRAX-562 was able to block seizures completely in mice at a dose that did not impair locomotor function (10mg/kg). In contrast, carbamazepine and lamotrigine only achieved full block of seizures in this model at doses that also showed impairment of locomotion. PRAX-562 at a dose of 2mg/kg (concentration in brain of 116ng/g and plasma of 90.1ng/mL), inhibited the epilepsy response to half of its maximum value, or ED</w:t>
      </w:r>
      <w:r>
        <w:rPr>
          <w:rFonts w:ascii="Arial" w:cs="Arial" w:eastAsia="Arial" w:hAnsi="Arial"/>
          <w:sz w:val="15"/>
          <w:szCs w:val="15"/>
          <w:color w:val="auto"/>
        </w:rPr>
        <w:t>50</w:t>
      </w:r>
      <w:r>
        <w:rPr>
          <w:rFonts w:ascii="Arial" w:cs="Arial" w:eastAsia="Arial" w:hAnsi="Arial"/>
          <w:sz w:val="17"/>
          <w:szCs w:val="17"/>
          <w:color w:val="auto"/>
        </w:rPr>
        <w:t>. Inhibition of sLMA required an estimated dose of 44mg/kg (concentration in brain of 1,899ng/g and plasma of 1,553ng/mL), to obtain 50 percent inhibition, or TD</w:t>
      </w:r>
      <w:r>
        <w:rPr>
          <w:rFonts w:ascii="Arial" w:cs="Arial" w:eastAsia="Arial" w:hAnsi="Arial"/>
          <w:sz w:val="15"/>
          <w:szCs w:val="15"/>
          <w:color w:val="auto"/>
        </w:rPr>
        <w:t>50</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55880</wp:posOffset>
            </wp:positionV>
            <wp:extent cx="2531110" cy="2972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31110" cy="297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302" w:lineRule="auto"/>
        <w:rPr>
          <w:sz w:val="20"/>
          <w:szCs w:val="20"/>
          <w:color w:val="auto"/>
        </w:rPr>
      </w:pPr>
      <w:r>
        <w:rPr>
          <w:rFonts w:ascii="Arial" w:cs="Arial" w:eastAsia="Arial" w:hAnsi="Arial"/>
          <w:sz w:val="17"/>
          <w:szCs w:val="17"/>
          <w:b w:val="1"/>
          <w:bCs w:val="1"/>
          <w:color w:val="auto"/>
        </w:rPr>
        <w:t>Figure 20. Doses of PRAX-562 resulting in potent anticonvulsant activity were associated with minimal effects on general locomotor activity.</w:t>
      </w:r>
    </w:p>
    <w:p>
      <w:pPr>
        <w:spacing w:after="0" w:line="55"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calculated the TI of each molecule as the preclinical tolerability/pharmacological activity ratio. This ratio is calculated by dividing the plasma and brain concentrations at the dose that reduces locomotion by 50% by the concentrations that reduce seizures by 50%. We found that PRAX-562 had a significantly improved TI of ~16 fold (based on brain concentrations) and ~17 fold (based on plasma concentrations) compared to the currently prescribed sodium channel blockers carbamazepine and lamotrigine, which had a much lower protective index of three to six-fold. Notably, standard sodium channel blockers, such as carbamazepine and phenytoin, show severe toxicity in humans at exposures that are only about 1.5 to 3 times the target therapeutic exposures, underscoring the need for modulators of sodium channels with an improved tolerability.</w:t>
      </w:r>
    </w:p>
    <w:p>
      <w:pPr>
        <w:spacing w:after="0" w:line="88"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ASSR is a non-invasive EEG measure of E/I balance in the brain. This response is elicited with short lasting (2sec) auditory stimuli that lead to brain activity changes that are measured as a 40Hz EEG signature and depend on network activity between excitatory and inhibitory cortical neurons. We believe that persistent current block has the potential to lead to reduced excitability of the network and will be measurable with this endpoint.</w:t>
      </w:r>
    </w:p>
    <w:p>
      <w:pPr>
        <w:spacing w:after="0" w:line="87" w:lineRule="exact"/>
        <w:rPr>
          <w:sz w:val="20"/>
          <w:szCs w:val="20"/>
          <w:color w:val="auto"/>
        </w:rPr>
      </w:pPr>
    </w:p>
    <w:p>
      <w:pPr>
        <w:ind w:right="540" w:firstLine="433"/>
        <w:spacing w:after="0" w:line="275" w:lineRule="auto"/>
        <w:rPr>
          <w:sz w:val="20"/>
          <w:szCs w:val="20"/>
          <w:color w:val="auto"/>
        </w:rPr>
      </w:pPr>
      <w:r>
        <w:rPr>
          <w:rFonts w:ascii="Arial" w:cs="Arial" w:eastAsia="Arial" w:hAnsi="Arial"/>
          <w:sz w:val="17"/>
          <w:szCs w:val="17"/>
          <w:color w:val="auto"/>
        </w:rPr>
        <w:t>Consistent with this hypothesis, dosing normal mice with PRAX-562 led to a dose-dependent decrease in the ASSR amplitude (40Hz power). This decrease was greater at doses that showed robust anticonvulsant activity in the maximal electroshock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386080</wp:posOffset>
            </wp:positionV>
            <wp:extent cx="1498600" cy="1931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98600" cy="193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21. PRAX-562 dose-dependently reduced the 40Hz EEG power of the auditory steady state response in mice.</w:t>
      </w:r>
    </w:p>
    <w:p>
      <w:pPr>
        <w:spacing w:after="0" w:line="141"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Together, our data suggest that PRAX-562 selectively affected hyperexcitable states without affecting normal neuronal function, which led to the robust preclinical reduction of seizures and improved tolerability in animal models. As shown below, exposures of PRAX-562 that led to biomarker change (ASSR amplitude reduction shown in top row) also demonstrated robust anticonvulsant activity (shown in middle row). Moreover, PRAX-562 has shown a ~16.4 fold protective index based on the spontaneous locomotor activity (shown in bottom row). In the figure below, the lower bound of the preclinical pharmacological activity range, EEG and tolerability bars is determined by the brain EC</w:t>
      </w:r>
      <w:r>
        <w:rPr>
          <w:rFonts w:ascii="Arial" w:cs="Arial" w:eastAsia="Arial" w:hAnsi="Arial"/>
          <w:sz w:val="15"/>
          <w:szCs w:val="15"/>
          <w:color w:val="auto"/>
        </w:rPr>
        <w:t>50</w:t>
      </w:r>
      <w:r>
        <w:rPr>
          <w:rFonts w:ascii="Arial" w:cs="Arial" w:eastAsia="Arial" w:hAnsi="Arial"/>
          <w:sz w:val="17"/>
          <w:szCs w:val="17"/>
          <w:color w:val="auto"/>
        </w:rPr>
        <w:t xml:space="preserve"> (preclinical seizure and ASSR assays) or TC</w:t>
      </w:r>
      <w:r>
        <w:rPr>
          <w:rFonts w:ascii="Arial" w:cs="Arial" w:eastAsia="Arial" w:hAnsi="Arial"/>
          <w:sz w:val="15"/>
          <w:szCs w:val="15"/>
          <w:color w:val="auto"/>
        </w:rPr>
        <w:t>50</w:t>
      </w:r>
      <w:r>
        <w:rPr>
          <w:rFonts w:ascii="Arial" w:cs="Arial" w:eastAsia="Arial" w:hAnsi="Arial"/>
          <w:sz w:val="17"/>
          <w:szCs w:val="17"/>
          <w:color w:val="auto"/>
        </w:rPr>
        <w:t xml:space="preserve"> (tolerability assay) in a given assay and the upper bound represents the mean brain concentration at the highest dose tested in a given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1893570</wp:posOffset>
            </wp:positionH>
            <wp:positionV relativeFrom="paragraph">
              <wp:posOffset>281305</wp:posOffset>
            </wp:positionV>
            <wp:extent cx="3330575" cy="2473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30575" cy="247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22. Summary of PRAX-562 preclinical data.</w:t>
      </w:r>
    </w:p>
    <w:p>
      <w:pPr>
        <w:spacing w:after="0" w:line="141" w:lineRule="exact"/>
        <w:rPr>
          <w:sz w:val="20"/>
          <w:szCs w:val="20"/>
          <w:color w:val="auto"/>
        </w:rPr>
      </w:pPr>
    </w:p>
    <w:p>
      <w:pPr>
        <w:ind w:right="320" w:firstLine="433"/>
        <w:spacing w:after="0" w:line="266" w:lineRule="auto"/>
        <w:rPr>
          <w:sz w:val="20"/>
          <w:szCs w:val="20"/>
          <w:color w:val="auto"/>
        </w:rPr>
      </w:pPr>
      <w:r>
        <w:rPr>
          <w:rFonts w:ascii="Arial" w:cs="Arial" w:eastAsia="Arial" w:hAnsi="Arial"/>
          <w:sz w:val="17"/>
          <w:szCs w:val="17"/>
          <w:color w:val="auto"/>
        </w:rPr>
        <w:t>We believe that the preclinical results for PRAX-562 may support clinical development across several indications caused by underlying hyperexcitability where standard sodium channel blockers have shown efficacy, albeit with limited tolerability, such as rare pediatric epilepsies and cephalgias like SUNCT/SUNA and TN.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in vivo pharmacological evaluation in mouse models of SCN2A and SCN8A Gain-of-Function Epilepsy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433"/>
        <w:spacing w:after="0" w:line="218" w:lineRule="auto"/>
        <w:rPr>
          <w:sz w:val="20"/>
          <w:szCs w:val="20"/>
          <w:color w:val="auto"/>
        </w:rPr>
      </w:pPr>
      <w:r>
        <w:rPr>
          <w:rFonts w:ascii="Arial" w:cs="Arial" w:eastAsia="Arial" w:hAnsi="Arial"/>
          <w:sz w:val="17"/>
          <w:szCs w:val="17"/>
          <w:color w:val="auto"/>
        </w:rPr>
        <w:t>PRAX-562 also blocked seizures in two independent transgenic mice strains expressing mutant Na</w:t>
      </w:r>
      <w:r>
        <w:rPr>
          <w:rFonts w:ascii="Arial" w:cs="Arial" w:eastAsia="Arial" w:hAnsi="Arial"/>
          <w:sz w:val="22"/>
          <w:szCs w:val="22"/>
          <w:color w:val="auto"/>
          <w:vertAlign w:val="subscript"/>
        </w:rPr>
        <w:t>V</w:t>
      </w:r>
      <w:r>
        <w:rPr>
          <w:rFonts w:ascii="Arial" w:cs="Arial" w:eastAsia="Arial" w:hAnsi="Arial"/>
          <w:sz w:val="17"/>
          <w:szCs w:val="17"/>
          <w:color w:val="auto"/>
        </w:rPr>
        <w:t xml:space="preserve"> gene alleles which cause human seizure disorders and encode NaV channels with gain-of-function increases in persistent I</w:t>
      </w:r>
      <w:r>
        <w:rPr>
          <w:rFonts w:ascii="Arial" w:cs="Arial" w:eastAsia="Arial" w:hAnsi="Arial"/>
          <w:sz w:val="22"/>
          <w:szCs w:val="22"/>
          <w:color w:val="auto"/>
          <w:vertAlign w:val="subscript"/>
        </w:rPr>
        <w:t>Na</w:t>
      </w:r>
      <w:r>
        <w:rPr>
          <w:rFonts w:ascii="Arial" w:cs="Arial" w:eastAsia="Arial" w:hAnsi="Arial"/>
          <w:sz w:val="17"/>
          <w:szCs w:val="17"/>
          <w:color w:val="auto"/>
        </w:rPr>
        <w:t>. Transgenic mice heterozygous for Scn8a</w:t>
      </w:r>
      <w:r>
        <w:rPr>
          <w:rFonts w:ascii="Arial" w:cs="Arial" w:eastAsia="Arial" w:hAnsi="Arial"/>
          <w:sz w:val="22"/>
          <w:szCs w:val="22"/>
          <w:color w:val="auto"/>
          <w:vertAlign w:val="superscript"/>
        </w:rPr>
        <w:t>D/+</w:t>
      </w:r>
      <w:r>
        <w:rPr>
          <w:rFonts w:ascii="Arial" w:cs="Arial" w:eastAsia="Arial" w:hAnsi="Arial"/>
          <w:sz w:val="17"/>
          <w:szCs w:val="17"/>
          <w:color w:val="auto"/>
        </w:rPr>
        <w:t xml:space="preserve"> (encoding Na</w:t>
      </w:r>
      <w:r>
        <w:rPr>
          <w:rFonts w:ascii="Arial" w:cs="Arial" w:eastAsia="Arial" w:hAnsi="Arial"/>
          <w:sz w:val="22"/>
          <w:szCs w:val="22"/>
          <w:color w:val="auto"/>
          <w:vertAlign w:val="subscript"/>
        </w:rPr>
        <w:t>V</w:t>
      </w:r>
      <w:r>
        <w:rPr>
          <w:rFonts w:ascii="Arial" w:cs="Arial" w:eastAsia="Arial" w:hAnsi="Arial"/>
          <w:sz w:val="17"/>
          <w:szCs w:val="17"/>
          <w:color w:val="auto"/>
        </w:rPr>
        <w:t>1.6-N1768D) exhibit symptoms observed in the human disease, including spontaneous seizures, audiogenic seizures, and sudden unexpected death. PRAX-562 resulted in dose-dependent inhibition of audiogenic seizures with an ED</w:t>
      </w:r>
      <w:r>
        <w:rPr>
          <w:rFonts w:ascii="Arial" w:cs="Arial" w:eastAsia="Arial" w:hAnsi="Arial"/>
          <w:sz w:val="22"/>
          <w:szCs w:val="22"/>
          <w:color w:val="auto"/>
          <w:vertAlign w:val="subscript"/>
        </w:rPr>
        <w:t>50</w:t>
      </w:r>
      <w:r>
        <w:rPr>
          <w:rFonts w:ascii="Arial" w:cs="Arial" w:eastAsia="Arial" w:hAnsi="Arial"/>
          <w:sz w:val="17"/>
          <w:szCs w:val="17"/>
          <w:color w:val="auto"/>
        </w:rPr>
        <w:t xml:space="preserve"> of 3.7 mg/kg (concentration in brain of</w:t>
      </w:r>
    </w:p>
    <w:p>
      <w:pPr>
        <w:ind w:right="280"/>
        <w:spacing w:after="0" w:line="216" w:lineRule="auto"/>
        <w:rPr>
          <w:sz w:val="20"/>
          <w:szCs w:val="20"/>
          <w:color w:val="auto"/>
        </w:rPr>
      </w:pPr>
      <w:r>
        <w:rPr>
          <w:rFonts w:ascii="Arial" w:cs="Arial" w:eastAsia="Arial" w:hAnsi="Arial"/>
          <w:sz w:val="17"/>
          <w:szCs w:val="17"/>
          <w:color w:val="auto"/>
        </w:rPr>
        <w:t>120 ng/g and plasma of 114 ng/mL). The Scn2a</w:t>
      </w:r>
      <w:r>
        <w:rPr>
          <w:rFonts w:ascii="Arial" w:cs="Arial" w:eastAsia="Arial" w:hAnsi="Arial"/>
          <w:sz w:val="22"/>
          <w:szCs w:val="22"/>
          <w:color w:val="auto"/>
          <w:vertAlign w:val="superscript"/>
        </w:rPr>
        <w:t>Q54</w:t>
      </w:r>
      <w:r>
        <w:rPr>
          <w:rFonts w:ascii="Arial" w:cs="Arial" w:eastAsia="Arial" w:hAnsi="Arial"/>
          <w:sz w:val="17"/>
          <w:szCs w:val="17"/>
          <w:color w:val="auto"/>
        </w:rPr>
        <w:t xml:space="preserve"> mouse line is a model of Na</w:t>
      </w:r>
      <w:r>
        <w:rPr>
          <w:rFonts w:ascii="Arial" w:cs="Arial" w:eastAsia="Arial" w:hAnsi="Arial"/>
          <w:sz w:val="22"/>
          <w:szCs w:val="22"/>
          <w:color w:val="auto"/>
          <w:vertAlign w:val="subscript"/>
        </w:rPr>
        <w:t>V</w:t>
      </w:r>
      <w:r>
        <w:rPr>
          <w:rFonts w:ascii="Arial" w:cs="Arial" w:eastAsia="Arial" w:hAnsi="Arial"/>
          <w:sz w:val="17"/>
          <w:szCs w:val="17"/>
          <w:color w:val="auto"/>
        </w:rPr>
        <w:t>1.2 gain-of-function where an engineered mutation (GAL879-881QQQ) results in increased persistent I</w:t>
      </w:r>
      <w:r>
        <w:rPr>
          <w:rFonts w:ascii="Arial" w:cs="Arial" w:eastAsia="Arial" w:hAnsi="Arial"/>
          <w:sz w:val="22"/>
          <w:szCs w:val="22"/>
          <w:color w:val="auto"/>
          <w:vertAlign w:val="subscript"/>
        </w:rPr>
        <w:t>Na</w:t>
      </w:r>
      <w:r>
        <w:rPr>
          <w:rFonts w:ascii="Arial" w:cs="Arial" w:eastAsia="Arial" w:hAnsi="Arial"/>
          <w:sz w:val="17"/>
          <w:szCs w:val="17"/>
          <w:color w:val="auto"/>
        </w:rPr>
        <w:t>. Similar to patients, Scn2a</w:t>
      </w:r>
      <w:r>
        <w:rPr>
          <w:rFonts w:ascii="Arial" w:cs="Arial" w:eastAsia="Arial" w:hAnsi="Arial"/>
          <w:sz w:val="22"/>
          <w:szCs w:val="22"/>
          <w:color w:val="auto"/>
          <w:vertAlign w:val="superscript"/>
        </w:rPr>
        <w:t>Q54</w:t>
      </w:r>
      <w:r>
        <w:rPr>
          <w:rFonts w:ascii="Arial" w:cs="Arial" w:eastAsia="Arial" w:hAnsi="Arial"/>
          <w:sz w:val="17"/>
          <w:szCs w:val="17"/>
          <w:color w:val="auto"/>
        </w:rPr>
        <w:t xml:space="preserve"> mice exhibit spontaneous early life seizures and premature death. PRAX-562 resulted in dose-dependent reduction of spontaneous seizure frequency in the Scn2a</w:t>
      </w:r>
      <w:r>
        <w:rPr>
          <w:rFonts w:ascii="Arial" w:cs="Arial" w:eastAsia="Arial" w:hAnsi="Arial"/>
          <w:sz w:val="22"/>
          <w:szCs w:val="22"/>
          <w:color w:val="auto"/>
          <w:vertAlign w:val="superscript"/>
        </w:rPr>
        <w:t>Q54</w:t>
      </w:r>
      <w:r>
        <w:rPr>
          <w:rFonts w:ascii="Arial" w:cs="Arial" w:eastAsia="Arial" w:hAnsi="Arial"/>
          <w:sz w:val="17"/>
          <w:szCs w:val="17"/>
          <w:color w:val="auto"/>
        </w:rPr>
        <w:t xml:space="preserve"> mice with an ED</w:t>
      </w:r>
      <w:r>
        <w:rPr>
          <w:rFonts w:ascii="Arial" w:cs="Arial" w:eastAsia="Arial" w:hAnsi="Arial"/>
          <w:sz w:val="22"/>
          <w:szCs w:val="22"/>
          <w:color w:val="auto"/>
          <w:vertAlign w:val="subscript"/>
        </w:rPr>
        <w:t>50</w:t>
      </w:r>
      <w:r>
        <w:rPr>
          <w:rFonts w:ascii="Arial" w:cs="Arial" w:eastAsia="Arial" w:hAnsi="Arial"/>
          <w:sz w:val="17"/>
          <w:szCs w:val="17"/>
          <w:color w:val="auto"/>
        </w:rPr>
        <w:t xml:space="preserve"> of 0.73 mg/kg (concentration in brain of 51.0 ng/g and plasma of 17.8 ng/mL). These preclinical studies demonstrate a dose-dependent and complete prevention of seizures in two independent mouse models Na</w:t>
      </w:r>
      <w:r>
        <w:rPr>
          <w:rFonts w:ascii="Arial" w:cs="Arial" w:eastAsia="Arial" w:hAnsi="Arial"/>
          <w:sz w:val="22"/>
          <w:szCs w:val="22"/>
          <w:color w:val="auto"/>
          <w:vertAlign w:val="subscript"/>
        </w:rPr>
        <w:t>V</w:t>
      </w:r>
      <w:r>
        <w:rPr>
          <w:rFonts w:ascii="Arial" w:cs="Arial" w:eastAsia="Arial" w:hAnsi="Arial"/>
          <w:sz w:val="17"/>
          <w:szCs w:val="17"/>
          <w:color w:val="auto"/>
        </w:rPr>
        <w:t xml:space="preserve"> gain-of-function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129540</wp:posOffset>
            </wp:positionV>
            <wp:extent cx="1981835" cy="17570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8183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Figure 23. PRAX-562 protected against audiogenic seizures</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in Scn8a-N1768D (D/+) GOF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284480</wp:posOffset>
            </wp:positionV>
            <wp:extent cx="1807210" cy="17735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07210" cy="177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Figure 24. PRAX-562 protected against spontaneous seizures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Scn2a</w:t>
      </w:r>
      <w:r>
        <w:rPr>
          <w:rFonts w:ascii="Arial" w:cs="Arial" w:eastAsia="Arial" w:hAnsi="Arial"/>
          <w:sz w:val="22"/>
          <w:szCs w:val="22"/>
          <w:b w:val="1"/>
          <w:bCs w:val="1"/>
          <w:color w:val="auto"/>
          <w:vertAlign w:val="superscript"/>
        </w:rPr>
        <w:t>Q54</w:t>
      </w:r>
      <w:r>
        <w:rPr>
          <w:rFonts w:ascii="Arial" w:cs="Arial" w:eastAsia="Arial" w:hAnsi="Arial"/>
          <w:sz w:val="17"/>
          <w:szCs w:val="17"/>
          <w:b w:val="1"/>
          <w:bCs w:val="1"/>
          <w:color w:val="auto"/>
        </w:rPr>
        <w:t xml:space="preserve"> GOF Mice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PRAX-222</w:t>
      </w:r>
    </w:p>
    <w:p>
      <w:pPr>
        <w:spacing w:after="0" w:line="128"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PRAX-222 is an ASO for patients with SCN2A GOF epilepsy. The PRAX-222 program is ongoing under a three-way collaboration with Ionis and RogCon Inc., or RogCon. Under the terms of the collaboration agreement, Ionis was responsible for preclinical and IND-enabling toxicology studies and we are responsible for clinical development and commercialization. PRAX-222 has completed IND-enabling toxicology studies, and we expect to initiate a seamless study in SCN2A GOF patients in the second quarter of 2022. In January 2022, we exercised our option to in-license PRAX-222 from Ionis. The FDA has granted both rare pediatric disease and orphan drug designations for PRAX-222 for the treatment of SCN2A-DEE, and the EMA Committee for Orphan Medicinal Products has granted orphan drug designation for PRAX-222 for the treatment of SCN2A-DEE.</w:t>
      </w:r>
    </w:p>
    <w:p>
      <w:pPr>
        <w:spacing w:after="0" w:line="298"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SCN2A is the gene that encodes the voltage-gated sodium channel Na</w:t>
      </w:r>
      <w:r>
        <w:rPr>
          <w:rFonts w:ascii="Arial" w:cs="Arial" w:eastAsia="Arial" w:hAnsi="Arial"/>
          <w:sz w:val="15"/>
          <w:szCs w:val="15"/>
          <w:color w:val="auto"/>
        </w:rPr>
        <w:t>V</w:t>
      </w:r>
      <w:r>
        <w:rPr>
          <w:rFonts w:ascii="Arial" w:cs="Arial" w:eastAsia="Arial" w:hAnsi="Arial"/>
          <w:sz w:val="17"/>
          <w:szCs w:val="17"/>
          <w:color w:val="auto"/>
        </w:rPr>
        <w:t>1.2 that is primarily found in excitatory neurons throughout the brain and which plays a critical role in action potential generation and signaling between neurons. Individuals with gain-of-function mutations in SCN2A develop early-onset epileptic encephalopathy with</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severe seizures that begin within the first month of life that are often refractory to standard of care antiepileptic medications. SCN2A GOF DEE patients also suffer from significant intellectual disability, movement disorders and in some cases early death due to sudden unexpected death in epilepsy, or SUDEP. It is estimated that there are thousands of patients worldwide with gain-of-function changes in SCN2A leading to epileptic encephalopathy.</w:t>
      </w:r>
    </w:p>
    <w:p>
      <w:pPr>
        <w:spacing w:after="0" w:line="87" w:lineRule="exact"/>
        <w:rPr>
          <w:sz w:val="20"/>
          <w:szCs w:val="20"/>
          <w:color w:val="auto"/>
        </w:rPr>
      </w:pPr>
    </w:p>
    <w:p>
      <w:pPr>
        <w:ind w:right="60" w:firstLine="393"/>
        <w:spacing w:after="0" w:line="260" w:lineRule="auto"/>
        <w:rPr>
          <w:sz w:val="20"/>
          <w:szCs w:val="20"/>
          <w:color w:val="auto"/>
        </w:rPr>
      </w:pPr>
      <w:r>
        <w:rPr>
          <w:rFonts w:ascii="Arial" w:cs="Arial" w:eastAsia="Arial" w:hAnsi="Arial"/>
          <w:sz w:val="17"/>
          <w:szCs w:val="17"/>
          <w:color w:val="auto"/>
        </w:rPr>
        <w:t>The PRAX-222 program is designed to directly target the cause of SCN2A disease by down-regulating Na</w:t>
      </w:r>
      <w:r>
        <w:rPr>
          <w:rFonts w:ascii="Arial" w:cs="Arial" w:eastAsia="Arial" w:hAnsi="Arial"/>
          <w:sz w:val="15"/>
          <w:szCs w:val="15"/>
          <w:color w:val="auto"/>
        </w:rPr>
        <w:t>V</w:t>
      </w:r>
      <w:r>
        <w:rPr>
          <w:rFonts w:ascii="Arial" w:cs="Arial" w:eastAsia="Arial" w:hAnsi="Arial"/>
          <w:sz w:val="17"/>
          <w:szCs w:val="17"/>
          <w:color w:val="auto"/>
        </w:rPr>
        <w:t>1.2 expression, an effect that has demonstrated disease-modifying activity in animal models of SCN2A epileptic encephalopathy. In transgenic mice carrying a human SCN2A GOF mutation, we observed a significant, dose-dependent reduction in seizures and increased survival of mice treated with a mouse ASO that is designed to down-regulate SCN2A. The survival benefit from the ASO was maintained with repeat dosing. We also observed survival benefits following administration of a mouse ASO to a group of mice after onset of disease and around the time of onset of mortality. This observation suggests that candidate ASOs of the PRAX-222 program may have the potential to provide clinical benefits for children after disease onset. The ASO-treated disease model animals demonstrated similar behavior and locomotor activity as wild type animals, suggesting SCN2A knockdown was generally well-tolerated and that the potential benefits could extend beyond seizure control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215265</wp:posOffset>
            </wp:positionV>
            <wp:extent cx="5029200" cy="18649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29200" cy="186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25. An SCN2A ASO increased survival in a SCN2A gain-of-function mouse model.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KCNT1 Program</w:t>
      </w:r>
    </w:p>
    <w:p>
      <w:pPr>
        <w:spacing w:after="0" w:line="141"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We are currently identifying small molecule inhibitors of the sodium-activated potassium channel encoded by the gene KCNT1 for the treatment of KCNT1 GOF epilepsy. Potassium channels encoded by the KCNT1 gene play a key role in regulating neuronal AP firing. Gain-of-function KCNT1 mutations promote neuronal hyperexcitability, resulting in severe early onset epilepsy with continuous seizures and severe developmental delay, affecting thousands of patients worldwide. KCNT1 GOF epilepsy is often refractory to conventional treatment approaches. Anticonvulsants, such as stiripentol, benzodiazepines, levetiracetam and ketogenic diet, have all demonstrated limited efficacy.</w:t>
      </w:r>
    </w:p>
    <w:p>
      <w:pPr>
        <w:spacing w:after="0" w:line="87"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 xml:space="preserve">Genetically lowering KCNT1 expression in transgenic mice carrying a KCNT1 human GOF mutation has been reported to result in disease modifying preclinical activity including seizure reduction, improved cognitive function and survival benefit. Through chemical optimization of the potency and pharmacokinetic properties of hits from a high-throughput screen, we have identified novel small molecule inhibitors of KCNT1. These inhibitors restored normal action potential firing </w:t>
      </w:r>
      <w:r>
        <w:rPr>
          <w:rFonts w:ascii="Arial" w:cs="Arial" w:eastAsia="Arial" w:hAnsi="Arial"/>
          <w:sz w:val="17"/>
          <w:szCs w:val="17"/>
          <w:i w:val="1"/>
          <w:iCs w:val="1"/>
          <w:color w:val="auto"/>
        </w:rPr>
        <w:t>in-vitro</w:t>
      </w:r>
      <w:r>
        <w:rPr>
          <w:rFonts w:ascii="Arial" w:cs="Arial" w:eastAsia="Arial" w:hAnsi="Arial"/>
          <w:sz w:val="17"/>
          <w:szCs w:val="17"/>
          <w:color w:val="auto"/>
        </w:rPr>
        <w:t xml:space="preserve"> in KCNT1 GOF mutant neurons and reduce seizure and abnormal interictal spikes </w:t>
      </w:r>
      <w:r>
        <w:rPr>
          <w:rFonts w:ascii="Arial" w:cs="Arial" w:eastAsia="Arial" w:hAnsi="Arial"/>
          <w:sz w:val="17"/>
          <w:szCs w:val="17"/>
          <w:i w:val="1"/>
          <w:iCs w:val="1"/>
          <w:color w:val="auto"/>
        </w:rPr>
        <w:t xml:space="preserve">in-vivo </w:t>
      </w:r>
      <w:r>
        <w:rPr>
          <w:rFonts w:ascii="Arial" w:cs="Arial" w:eastAsia="Arial" w:hAnsi="Arial"/>
          <w:sz w:val="17"/>
          <w:szCs w:val="17"/>
          <w:color w:val="auto"/>
        </w:rPr>
        <w:t>in transgenic mice carrying a KCNT1 human GOF mutation, recapitulating the reported disease modifying preclinical activity demonstrated</w:t>
      </w:r>
      <w:r>
        <w:rPr>
          <w:rFonts w:ascii="Arial" w:cs="Arial" w:eastAsia="Arial" w:hAnsi="Arial"/>
          <w:sz w:val="17"/>
          <w:szCs w:val="17"/>
          <w:i w:val="1"/>
          <w:iCs w:val="1"/>
          <w:color w:val="auto"/>
        </w:rPr>
        <w:t xml:space="preserve"> </w:t>
      </w:r>
      <w:r>
        <w:rPr>
          <w:rFonts w:ascii="Arial" w:cs="Arial" w:eastAsia="Arial" w:hAnsi="Arial"/>
          <w:sz w:val="17"/>
          <w:szCs w:val="17"/>
          <w:color w:val="auto"/>
        </w:rPr>
        <w:t>by genetic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386080</wp:posOffset>
            </wp:positionV>
            <wp:extent cx="5029200" cy="21316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29200"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380" w:right="160"/>
        <w:spacing w:after="0" w:line="302" w:lineRule="auto"/>
        <w:rPr>
          <w:sz w:val="20"/>
          <w:szCs w:val="20"/>
          <w:color w:val="auto"/>
        </w:rPr>
      </w:pPr>
      <w:r>
        <w:rPr>
          <w:rFonts w:ascii="Arial" w:cs="Arial" w:eastAsia="Arial" w:hAnsi="Arial"/>
          <w:sz w:val="17"/>
          <w:szCs w:val="17"/>
          <w:b w:val="1"/>
          <w:bCs w:val="1"/>
          <w:color w:val="auto"/>
        </w:rPr>
        <w:t>Figure 26. A KCNT1 inhibitor eliminated the occurrence of seizures in a KCNT1 transgenic mouse model and suppressed interictal spikes (or abnormal electrographic discharges observed between seizures) as detected by EEG</w:t>
      </w:r>
    </w:p>
    <w:p>
      <w:pPr>
        <w:spacing w:after="0" w:line="55" w:lineRule="exact"/>
        <w:rPr>
          <w:sz w:val="20"/>
          <w:szCs w:val="20"/>
          <w:color w:val="auto"/>
        </w:rPr>
      </w:pPr>
    </w:p>
    <w:p>
      <w:pPr>
        <w:ind w:firstLine="433"/>
        <w:spacing w:after="0" w:line="386" w:lineRule="auto"/>
        <w:rPr>
          <w:sz w:val="20"/>
          <w:szCs w:val="20"/>
          <w:color w:val="auto"/>
        </w:rPr>
      </w:pPr>
      <w:r>
        <w:rPr>
          <w:rFonts w:ascii="Arial" w:cs="Arial" w:eastAsia="Arial" w:hAnsi="Arial"/>
          <w:sz w:val="17"/>
          <w:szCs w:val="17"/>
          <w:color w:val="auto"/>
        </w:rPr>
        <w:t xml:space="preserve">Development options based on ongoing preclinical work are under assessment and we expect to provide an update in the first half of 2022. </w:t>
      </w:r>
      <w:r>
        <w:rPr>
          <w:rFonts w:ascii="Arial" w:cs="Arial" w:eastAsia="Arial" w:hAnsi="Arial"/>
          <w:sz w:val="17"/>
          <w:szCs w:val="17"/>
          <w:b w:val="1"/>
          <w:bCs w:val="1"/>
          <w:color w:val="auto"/>
        </w:rPr>
        <w:t>COMPETITION</w:t>
      </w:r>
    </w:p>
    <w:p>
      <w:pPr>
        <w:spacing w:after="0" w:line="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The biopharmaceutical industry is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 and small pharmaceutical and biotechnology companies, academic research institutions, governmental agencies and public and private institutions.</w:t>
      </w:r>
    </w:p>
    <w:p>
      <w:pPr>
        <w:spacing w:after="0" w:line="87"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convenience, cost, effectiveness of promotional support and intellectual property protection of our products. Our competitors fall primarily into the following groups of treatment:</w:t>
      </w:r>
    </w:p>
    <w:p>
      <w:pPr>
        <w:spacing w:after="0" w:line="87" w:lineRule="exact"/>
        <w:rPr>
          <w:sz w:val="20"/>
          <w:szCs w:val="20"/>
          <w:color w:val="auto"/>
        </w:rPr>
      </w:pPr>
    </w:p>
    <w:p>
      <w:pPr>
        <w:ind w:left="800" w:right="80" w:hanging="323"/>
        <w:spacing w:after="0" w:line="275"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GABA</w:t>
      </w:r>
      <w:r>
        <w:rPr>
          <w:rFonts w:ascii="Arial" w:cs="Arial" w:eastAsia="Arial" w:hAnsi="Arial"/>
          <w:sz w:val="15"/>
          <w:szCs w:val="15"/>
          <w:color w:val="auto"/>
        </w:rPr>
        <w:t>A</w:t>
      </w:r>
      <w:r>
        <w:rPr>
          <w:rFonts w:ascii="Arial" w:cs="Arial" w:eastAsia="Arial" w:hAnsi="Arial"/>
          <w:sz w:val="17"/>
          <w:szCs w:val="17"/>
          <w:color w:val="auto"/>
        </w:rPr>
        <w:t xml:space="preserve"> receptor modulator programs in development targeting MDD, including that of SAGE Therapeutics, as well as other programs in clinical development targeting other mechanisms of action and approved therapies such as SSRIs.</w:t>
      </w:r>
    </w:p>
    <w:p>
      <w:pPr>
        <w:spacing w:after="0" w:line="76" w:lineRule="exact"/>
        <w:rPr>
          <w:rFonts w:ascii="Arial" w:cs="Arial" w:eastAsia="Arial" w:hAnsi="Arial"/>
          <w:sz w:val="17"/>
          <w:szCs w:val="17"/>
          <w:color w:val="auto"/>
        </w:rPr>
      </w:pPr>
    </w:p>
    <w:p>
      <w:pPr>
        <w:ind w:left="800" w:right="60" w:hanging="323"/>
        <w:spacing w:after="0" w:line="266"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T-type calcium channel inhibitor programs in development targeting ET, including that of Jazz Pharmaceuticals and Neurocrine Biosciences, as well as other programs in clinical development targeting other mechanisms of action and approved therapies, such as propranolol, and off-label therapies, such as primidone.</w:t>
      </w:r>
    </w:p>
    <w:p>
      <w:pPr>
        <w:spacing w:after="0" w:line="84" w:lineRule="exact"/>
        <w:rPr>
          <w:rFonts w:ascii="Arial" w:cs="Arial" w:eastAsia="Arial" w:hAnsi="Arial"/>
          <w:sz w:val="17"/>
          <w:szCs w:val="17"/>
          <w:color w:val="auto"/>
        </w:rPr>
      </w:pPr>
    </w:p>
    <w:p>
      <w:pPr>
        <w:ind w:left="800" w:right="360" w:hanging="323"/>
        <w:spacing w:after="0" w:line="266"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Sodium channel blocker or similar programs in development for DEEs, including those of SK-Pharma, Xenon Pharmaceuticals, Neurocrine Biosciences and Stoke Therapeutics, as well as other programs in clinical development targeting other mechanisms of action and approved therapies including other existing ion channel blockers.</w:t>
      </w:r>
    </w:p>
    <w:p>
      <w:pPr>
        <w:spacing w:after="0" w:line="84" w:lineRule="exact"/>
        <w:rPr>
          <w:rFonts w:ascii="Arial" w:cs="Arial" w:eastAsia="Arial" w:hAnsi="Arial"/>
          <w:sz w:val="17"/>
          <w:szCs w:val="17"/>
          <w:color w:val="auto"/>
        </w:rPr>
      </w:pPr>
    </w:p>
    <w:p>
      <w:pPr>
        <w:jc w:val="both"/>
        <w:ind w:left="800" w:right="60" w:hanging="323"/>
        <w:spacing w:after="0" w:line="266"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Treatments for TN include anticonvulsive medications, such as carbamazepine as well as various procedures or surgical interventions (vascular decompression or gamma knife). We are not aware of any development programs targeting SUNCT and SUNA, but we may face competition from off-label therapies such as intravenous lidocaine.</w:t>
      </w:r>
    </w:p>
    <w:p>
      <w:pPr>
        <w:spacing w:after="0" w:line="84" w:lineRule="exact"/>
        <w:rPr>
          <w:sz w:val="20"/>
          <w:szCs w:val="20"/>
          <w:color w:val="auto"/>
        </w:rPr>
      </w:pPr>
    </w:p>
    <w:p>
      <w:pPr>
        <w:jc w:val="both"/>
        <w:ind w:right="560" w:firstLine="433"/>
        <w:spacing w:after="0" w:line="266" w:lineRule="auto"/>
        <w:rPr>
          <w:sz w:val="20"/>
          <w:szCs w:val="20"/>
          <w:color w:val="auto"/>
        </w:rPr>
      </w:pPr>
      <w:r>
        <w:rPr>
          <w:rFonts w:ascii="Arial" w:cs="Arial" w:eastAsia="Arial" w:hAnsi="Arial"/>
          <w:sz w:val="17"/>
          <w:szCs w:val="17"/>
          <w:color w:val="auto"/>
        </w:rPr>
        <w:t>Many of our competitors have substantially greater financial resources, expertise and capabilities in research and development, the regulatory approval process, manufacturing and marketing than we do. Smaller or early-stage companies may also prove to be significant competitors, particularly through M&amp;A activity and sizeable collaborative arrangements with established companies.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41"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 secrets relating to our proprietary technology platform and on know-how, continuing technological innovation and in-licensing opportunities to develop, strengthen and maintain our proprietary position in the field of neuroscience that may be important for the development of our business. We additionally may rely on regulatory protection afforded through data exclusivity, market exclusivity and patent term extensions, where available.</w:t>
      </w:r>
    </w:p>
    <w:p>
      <w:pPr>
        <w:spacing w:after="0" w:line="88"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Patent expiration dates noted in the following paragraphs refer to statutory expiration dates and do not take into account any potential patent term adjustment or extension that may be available. Depending upon the timing, duration and specifics of FDA approval of our drug product candidates, some of our U.S. patents may be eligible for limited patent term extension. These patent term extensions permit a patent restoration term of up to five years as compensation for any patent term lost during product development and the FDA regulatory review process. However, patent term restoration cannot extend the remaining term of a patent beyond a total of 14 years from the drug product’s approval date. The patent term restoration period is generally one-half the time between the effective date of an IND and the submission date of a New Drug Application, or NDA, plus the time between the submission date of an NDA and the approval of that application. Only one patent applicable to an approved drug is eligible for the extension and the extension must be applied for prior to expiration of the patent. The United States Patent and Trademark Office, or the USPTO, in consultation with the FDA, reviews and approves the application for any patent term extension or restoration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 positive allosteric modulators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own twelve patent families directed to GABA</w:t>
      </w:r>
      <w:r>
        <w:rPr>
          <w:rFonts w:ascii="Arial" w:cs="Arial" w:eastAsia="Arial" w:hAnsi="Arial"/>
          <w:sz w:val="15"/>
          <w:szCs w:val="15"/>
          <w:color w:val="auto"/>
        </w:rPr>
        <w:t>A</w:t>
      </w:r>
      <w:r>
        <w:rPr>
          <w:rFonts w:ascii="Arial" w:cs="Arial" w:eastAsia="Arial" w:hAnsi="Arial"/>
          <w:sz w:val="17"/>
          <w:szCs w:val="17"/>
          <w:color w:val="auto"/>
        </w:rPr>
        <w:t xml:space="preserve"> receptor positive allosteric modulators. Several patent families disclose and claim salts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polymorphs of PRAX-114, including the current clinical candidate salt. Two patents are granted in the United States (U.S. 10,562,930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 10,927,141), and patent applications are pending in other potentially commercially relevant jurisdictions, which expire in 2039. Other patent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families are directed to alternative salt forms of PRAX-114 and deuterated forms of PRAX-114, which expire in 2041. Other patent applications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cover formulations and processes for making related to PRAX-114, which expire in 2043. Several patent applications covers various methods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use, including treatment of major depressive disorder (the current lead clinical indication,) with PRAX-114, which expire in 2039. Other patent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applications are directed to methods of treating various perimenopausal symptoms with PRAX-114 (which expire in 2040); methods of treating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mood disorders (including depression) with combinations of GABA-PAMs (including PRAX-114) with NMDA antagonists, NMDA Negative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Allosteric Modulators or NMDA partial agonists (which expire in 2040); methods of treating adjustment disorder with PRAX-114 (which expire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2041); and methods of treating motor disorders (including essential tremor) and musculoskeletal conditions with PRAX-114 (which expire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2042).</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T-type Calcium channel blockers</w:t>
      </w:r>
    </w:p>
    <w:p>
      <w:pPr>
        <w:spacing w:after="0" w:line="141" w:lineRule="exact"/>
        <w:rPr>
          <w:sz w:val="20"/>
          <w:szCs w:val="20"/>
          <w:color w:val="auto"/>
        </w:rPr>
      </w:pPr>
    </w:p>
    <w:p>
      <w:pPr>
        <w:ind w:right="140" w:firstLine="433"/>
        <w:spacing w:after="0" w:line="260" w:lineRule="auto"/>
        <w:rPr>
          <w:sz w:val="20"/>
          <w:szCs w:val="20"/>
          <w:color w:val="auto"/>
        </w:rPr>
      </w:pPr>
      <w:r>
        <w:rPr>
          <w:rFonts w:ascii="Arial" w:cs="Arial" w:eastAsia="Arial" w:hAnsi="Arial"/>
          <w:sz w:val="17"/>
          <w:szCs w:val="17"/>
          <w:color w:val="auto"/>
        </w:rPr>
        <w:t>We own six patent families directed to T-type Calcium channel blockers. One patent family discloses and claims compositions of matter of certain T-type calcium channel modulators, including PRAX-944. This patent family has issued in many major pharmaceutical markets and is pending in others, and expires in 2029. A second family is directed to methods of use of certain T-type calcium channel modulators, including PRAX-944, in treating disease such as epilepsy. This patent family is pending in the United States and expires in 2037. A third patent family is directed to certain pharmaceutical formulations of PRAX-944 and methods of use in treating disorders such as essential tremor. This patent family is pending in multiple jurisdictions of potential commercial interest, and expires in 2029. A fourth family is directed to titration methods of using PRAX-944, and expires in 2041 A fifth patent family is directed to certain analog compounds of PRAX-944, and expires in 2041. The sixth patent family is directed to the adjunctive use of a beta blocker and/or certain anticonvulsants with PRAX-944 and expires in 2043.</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Persistent sodium current blockers</w:t>
      </w:r>
    </w:p>
    <w:p>
      <w:pPr>
        <w:spacing w:after="0" w:line="141"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own fifteen patent families directed to persistent sodium current blockers, including a patent family that relates to PRAX-562 and PRAX-1451, two additional patent families that relate to PRAX-562 program, and the remaining patent families related to other persistent sodium current blockers. One patent family discloses and claims certain persistent sodium current blockers, including PRAX-562 and PRAX-1451, and methods of use in treating diseases such as epilepsy (including pediatric epilepsy), as well as migraine and pain. In this patent family, PRAX-562 is covered by a patent that has granted in the United States (U.S. 11,014,931), and patent applications pending in other potentially commercially relevant jurisdictions, which expire in 2039. A second family discloses other persistent sodium current blockers and generically claims PRAX-562, as well as methods of treating diseases such as pediatric epilepsy. This patent family is pending in multiple jurisdictions, and expires in 2037. A third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is directed to pharmaceutical formulations of PRAX-562, methods of use in treating diseases such as pediatric epilepsy, cephalgia, SUNCT and SUNA, and methods of making PRAX-562, and expires in 2040. The remaining patent families are directed to other persistent sodium current blockers of various core structures and methods of use in treating diseases such as pediatric epilepsy, expiring between 2037 and 2040.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SCN2A downregulation</w:t>
      </w:r>
    </w:p>
    <w:p>
      <w:pPr>
        <w:spacing w:after="0" w:line="141"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We have exclusively in-licensed three patent families directed to our SCN2A program. Two of these patent families are owned by RogCon, and disclose and claim certain antisense oligonucleotides targeting SCN2A and methods of use in treating diseases such as epilepsy, including epilepsy having certain SCN2A mutations. One patent family is pending in the United States, and expires in 2038. A second patent family is directed to methods of treating SCN1A encephalopathy using antisense oligonucleotides targeting SCN2A, and expires in 2039.</w:t>
      </w:r>
    </w:p>
    <w:p>
      <w:pPr>
        <w:spacing w:after="0" w:line="87"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The other in-licensed patent family is owned by Ionis, and is directed to compositions of matter of PRAX-222. It includes pending PCT and Taiwanese applications that expire in 2041.</w:t>
      </w:r>
    </w:p>
    <w:p>
      <w:pPr>
        <w:spacing w:after="0" w:line="77"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own two patent families directed to our PRAX-222 program. The first has claims directed to a method of treating SCN2A gain of function neurological diseases using certain antisense oligonucelotides. This patent family is pending in the United States, and expires in 2041. The second is directed to methods of treating SCN2A-related disorders using SCN2A inhibitors and expires in 2043.</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KCNT1 blockers</w:t>
      </w:r>
    </w:p>
    <w:p>
      <w:pPr>
        <w:spacing w:after="0" w:line="141"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We own eleven patent families directed to KCNT1 blockers including ten families related to our KCNT1 program and one family related to antisense oligonucleotides. Ten patent families disclose and claim small molecule KCNT1 blockers and methods of use in treating diseases such as epilepsy, including epilepsy having certain KCNT1 mutations, and expire between 2040 and 2042. One patent family is directed to certain antisense oligonucleotides and methods of use in treating diseases such as epilepsy, including epilepsy having certain KCNT1 mutations, and expires in 2039.</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RogCon</w:t>
      </w:r>
    </w:p>
    <w:p>
      <w:pPr>
        <w:spacing w:after="0" w:line="141" w:lineRule="exact"/>
        <w:rPr>
          <w:sz w:val="20"/>
          <w:szCs w:val="20"/>
          <w:color w:val="auto"/>
        </w:rPr>
      </w:pPr>
    </w:p>
    <w:p>
      <w:pPr>
        <w:ind w:right="80" w:firstLine="433"/>
        <w:spacing w:after="0" w:line="257" w:lineRule="auto"/>
        <w:rPr>
          <w:sz w:val="20"/>
          <w:szCs w:val="20"/>
          <w:color w:val="auto"/>
        </w:rPr>
      </w:pPr>
      <w:r>
        <w:rPr>
          <w:rFonts w:ascii="Arial" w:cs="Arial" w:eastAsia="Arial" w:hAnsi="Arial"/>
          <w:sz w:val="17"/>
          <w:szCs w:val="17"/>
          <w:color w:val="auto"/>
        </w:rPr>
        <w:t>In September 2019, we and RogCon entered into a Cooperation and License Agreement, or the RogCon Agreement, to collaborate to develop antisense oligonucleotides for the treatment of epilepsy caused by mutations of the SCN2A gene. RogCon had an existing collaboration arrangement with Ionis and as a result, we and Ionis negotiated a Research Collaboration, Option and License Agreement, or the Ionis Agreement, (described below) in order to complete the license agreement with RogCon. In December 2018, we entered into an agreement with RogCon to advance to them a fully refundable deposit of up to $1.0 million while the RogCon Agreement was being negotiated. Under the RogCon Agreement, RogCon granted us, subject to a concurrent license grant of certain rights to Ionis, an exclusive, worldwide license under RogCon’s intellectual property to research, develop and commercialize products for the treatment of all forms of epilepsy and/or neurodevelopmental disorders in each case caused by any mutation of the SCN2A gene. Under the RogCon Agreement, we will conduct, at our own cost and expense, the research and development activities assigned to us under the research plan set out in the Research Collaboration, Option and License Agreement with Ionis. Under the terms of the RogCon Agreement, RogCon is eligible to receive a one-time milestone payment of $3.0 million as well as profit share payments as a percentage of net profits in the mid-teens. Profit share payments will be calculated and due quarterly on any net profits generated from a product commercialized under the RogCon Agreement. The $ 3.0 million milestone payment will become due when (i) the first profit share payment has become due and payable and (ii) the Additional Milestone, the Initial Interest Amount and the Second Interest Amount (each as defined within the Ionis Agreement as described below) have all become due and payable to Ionis under our collaboration agreement with Ionis. As part of the RogCon Agreement, we agreed to provide up-front consideration of</w:t>
      </w:r>
    </w:p>
    <w:p>
      <w:pPr>
        <w:spacing w:after="0" w:line="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$2.1 million, consisting of a $1.0 million deposit, $ 0.7 million in cash reimbursements for certain historical costs previously incurred by RogCon and $0.4 million for the retirement of existing loan balances as of September 11, 2019.</w:t>
      </w:r>
    </w:p>
    <w:p>
      <w:pPr>
        <w:spacing w:after="0" w:line="77"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Subsequent to September 11, 2019, we will reimburse RogCon for its out-of-pocket costs incurred for activities performed under the RogCon Agreement. We expense these costs as incurred as research and development. We expensed $0.1 million and $0.2 million related to the reimbursement of RogCon’s out-of-pocket costs in the years ended December 31, 2021 and 2020, respectively.</w:t>
      </w:r>
    </w:p>
    <w:p>
      <w:pPr>
        <w:spacing w:after="0" w:line="84"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Additionally, RogCon has agreed to certain defined exclusivity obligations. The RogCon Agreement, unless earlier terminated, will continue until the latest of: (i) the expiration of all patent rights within RogCon patents, (ii) we certify we have abandoned the research, development and commercialization of product with no intention to 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establish such activities and (iii) no third party is obligated to pay any amounts that comprise net sublicense revenue. Either party may terminate the RogCon Agreement for material breach or insolvency of the other party. Additionally, we may terminate for convenience with prior written notice to RogCon. Upon termination by either party, all rights and licenses granted by RogCon to us will revert back to RogCon.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Ionis Collaboration Agreement</w:t>
      </w:r>
    </w:p>
    <w:p>
      <w:pPr>
        <w:spacing w:after="0" w:line="141"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September 2019, we and Ionis entered into the Ionis Agreement to discover and develop antisense oligonucleotides to treat forms of epilepsy caused by mutations of the SCN2A gene. Pursuant to the Ionis Agreement, we and Ionis each conducted certain research activities and Ionis was responsible for identifying a development candidate and conducting an IND-enabling toxicology study. The design of the IND-enabling toxicology study was prepared and mutually agreed to by us and Ionis. We are obligated to reimburse any out-of-pocket costs incurred by Ionis related to research activities, identification of a development candidate and conducting IND-enabling studies. Ionis granted us an exclusive option to obtain the rights and license to further develop and commercialize a development candidate in the field of epilepsy and neurodevelopmental disorders, other than Dravet Syndrome, following the results of the IND-enabling toxicology study. We exercised this exclusive option in January 2022 and paid a $2.0 million license fee. Ionis is eligible to receive certain contingent payments from us relating to development and other milestones, interest payments, royalties as a percentage of net product sales worldwide in the low-20s and any potential sublicense fees calculated as a percentage of sublicense revenue using a rate in the low-to-mid double digits.</w:t>
      </w:r>
    </w:p>
    <w:p>
      <w:pPr>
        <w:spacing w:after="0" w:line="94"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Development milestones of $5.0 million for each product developed under the agreement are due upon the completion of the first clinical trial for each product, or the Development Milestone. Ionis will be entitled to receive an additional one-time milestone payment of $5.0 million, or the Additional Milestone, upon the earliest to occur of the following (each, a Payment Trigger): (i) the first acceptance of an NDA filing for a product by the regulatory authority in a major market, (ii) we have both (a) received, in the aggregate, $300.0 million in cash since September 11, 2019 and (b) initiated the first clinical study with respect to a product or (iii) the closing of a change of control event affecting Praxis. In addition, upon the occurrence of a Payment Trigger, Ionis is also entitled to certain interest payments equal to (i) 10% simple interest per annum calculated from the effective date of the agreement on the Additional Milestone, or the Initial Interest Amount, plus (ii) 10% simple interest per annum calculated from the date the Additional Milestone is paid on the initial Interest Amount, or the Second Interest Amount, until the earliest to occur of the following: (i) aggregate net sales of $100.0 million has been received, (ii) a change in control event affecting Praxis occurs or (iii) the Ionis Agreement has been terminated. Upon the occurrence of one of these three payment triggers, both the Initial Interest Amount and Second Interest Amount are due and payable to Ionis.</w:t>
      </w:r>
    </w:p>
    <w:p>
      <w:pPr>
        <w:spacing w:after="0" w:line="92" w:lineRule="exact"/>
        <w:rPr>
          <w:sz w:val="20"/>
          <w:szCs w:val="20"/>
          <w:color w:val="auto"/>
        </w:rPr>
      </w:pPr>
    </w:p>
    <w:p>
      <w:pPr>
        <w:jc w:val="both"/>
        <w:ind w:right="100" w:firstLine="433"/>
        <w:spacing w:after="0" w:line="263" w:lineRule="auto"/>
        <w:rPr>
          <w:sz w:val="20"/>
          <w:szCs w:val="20"/>
          <w:color w:val="auto"/>
        </w:rPr>
      </w:pPr>
      <w:r>
        <w:rPr>
          <w:rFonts w:ascii="Arial" w:cs="Arial" w:eastAsia="Arial" w:hAnsi="Arial"/>
          <w:sz w:val="17"/>
          <w:szCs w:val="17"/>
          <w:color w:val="auto"/>
        </w:rPr>
        <w:t>The Ionis Agreement will continue in full force and effect until the expiration of all payment obligations to Ionis, unless terminated earlier by either party. Either party may terminate the agreement upon material breach or insolvency of the other party. Praxis is able to terminate the Ionis Agreement for convenience with prior written notice. Ionis may terminate if we fail to achieve certain performance milestones. Upon termination by us for convenience, we will stop selling all products, subject to certain wind-down provisions and all products will revert back to Ionis.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Purdue</w:t>
      </w:r>
    </w:p>
    <w:p>
      <w:pPr>
        <w:spacing w:after="0" w:line="141"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In December 2017, we and Purdue Neuroscience Company, or Purdue, entered into a license agreement, or the Purdue Agreement, pursuant to which we were granted exclusive rights under certain Purdue know-how to research, develop and commercialize pharmaceutical products concerning a GABA</w:t>
      </w:r>
      <w:r>
        <w:rPr>
          <w:rFonts w:ascii="Arial" w:cs="Arial" w:eastAsia="Arial" w:hAnsi="Arial"/>
          <w:sz w:val="15"/>
          <w:szCs w:val="15"/>
          <w:color w:val="auto"/>
        </w:rPr>
        <w:t>A</w:t>
      </w:r>
      <w:r>
        <w:rPr>
          <w:rFonts w:ascii="Arial" w:cs="Arial" w:eastAsia="Arial" w:hAnsi="Arial"/>
          <w:sz w:val="17"/>
          <w:szCs w:val="17"/>
          <w:color w:val="auto"/>
        </w:rPr>
        <w:t xml:space="preserve"> positive allosteric modulator. We are obligated to make future milestone payments based on the achievement of specified development and sales milestones up to $33.0 million. Additionally, under the Purdue Agreement, we were obligated to sell to Purdue $0.6 million of our Series B Preferred Stock in connection with our Series B financing. In addition, as consideration for the license obtained, we issued Purdue the anti-dilution obligation to ensure Purdue’s ownership remained at a specified percentage throughout the Series B financing. Further, we are obligated to pay to Purdue a royalty percentage in the low single-digits of net sales of each licensed product for 12 years from the date of the first commercial sale of such product.</w:t>
      </w:r>
    </w:p>
    <w:p>
      <w:pPr>
        <w:spacing w:after="0" w:line="89" w:lineRule="exact"/>
        <w:rPr>
          <w:sz w:val="20"/>
          <w:szCs w:val="20"/>
          <w:color w:val="auto"/>
        </w:rPr>
      </w:pPr>
    </w:p>
    <w:p>
      <w:pPr>
        <w:ind w:right="220" w:firstLine="433"/>
        <w:spacing w:after="0" w:line="262" w:lineRule="auto"/>
        <w:rPr>
          <w:sz w:val="20"/>
          <w:szCs w:val="20"/>
          <w:color w:val="auto"/>
        </w:rPr>
      </w:pPr>
      <w:r>
        <w:rPr>
          <w:rFonts w:ascii="Arial" w:cs="Arial" w:eastAsia="Arial" w:hAnsi="Arial"/>
          <w:sz w:val="17"/>
          <w:szCs w:val="17"/>
          <w:color w:val="auto"/>
        </w:rPr>
        <w:t>The Purdue Agreement will remain in effect until the expiration of our royalty obligation for all licensed products. Either us or Purdue may terminate the agreement in the event of a material breach by the other party and such party fails to cure such breach within a certain period of time. Either party may voluntarily terminate the agreement with prior notice. If the agreement is voluntarily terminated by Purdue, our license rights will survive such termination and such rights will become fully paid, perpetual and irrevocable. Purdue may also terminate in the event of our insolvency.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41"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source all of our non-clinical and clinical compound supply through third-party contract development and manufacturing organizations, or CDMOs.</w:t>
      </w:r>
    </w:p>
    <w:p>
      <w:pPr>
        <w:spacing w:after="0" w:line="77"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For clinical supply, we rely on CDMOs to manufacture drug substance and drug product in accordance with the FDA’s current Good Manufacturing Practices, or cGMP. We expect to rely on third parties for our manufacturing processes and the production of all clinical supply drug substance and drug product and currently expect to continue to do so for commercial supplies of our product candidates, if approved. We use additional contract manufacturers to fill, label, package, store and distribute our investigational drug products and currently expect to continue to do so for commercial supplies of our product candidates, if approved. It is our intent to identify and qualify additional manufacturers to provide active pharmaceutical ingredient and fill-and-finish services prior to submission of a new drug application, or NDA, to the FDA for any product candidates that complete clinical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41" w:lineRule="exact"/>
        <w:rPr>
          <w:sz w:val="20"/>
          <w:szCs w:val="20"/>
          <w:color w:val="auto"/>
        </w:rPr>
      </w:pPr>
    </w:p>
    <w:p>
      <w:pPr>
        <w:ind w:right="120" w:firstLine="393"/>
        <w:spacing w:after="0" w:line="261" w:lineRule="auto"/>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upon companies involved in the clinical development, manufacture, marketing and distribution of prescription drugs, such as those we are developing. These agencies regulate, among other things, the research and development, testing, manufacture, quality control, safety, effectiveness, labeling, storage, record keeping, approval, advertising and promotion, distribution, post-approval monitoring and reporting, sampling and export and import of drug products. The process of obtaining regulatory approvals and the subsequent compliance with applicable federal, state, local and foreign statutes and regulations requires the expenditure of substantial time and financial resources.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regulation of drug products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drug may be marketed in the United States generally involves the following:</w:t>
      </w:r>
    </w:p>
    <w:p>
      <w:pPr>
        <w:spacing w:after="0" w:line="119" w:lineRule="exact"/>
        <w:rPr>
          <w:sz w:val="20"/>
          <w:szCs w:val="20"/>
          <w:color w:val="auto"/>
        </w:rPr>
      </w:pPr>
    </w:p>
    <w:p>
      <w:pPr>
        <w:ind w:left="640" w:right="240" w:hanging="320"/>
        <w:spacing w:after="0" w:line="275"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76" w:lineRule="exact"/>
        <w:rPr>
          <w:rFonts w:ascii="Arial" w:cs="Arial" w:eastAsia="Arial" w:hAnsi="Arial"/>
          <w:sz w:val="17"/>
          <w:szCs w:val="17"/>
          <w:color w:val="auto"/>
        </w:rPr>
      </w:pPr>
    </w:p>
    <w:p>
      <w:pPr>
        <w:ind w:left="640" w:right="80" w:hanging="320"/>
        <w:spacing w:after="0" w:line="275"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human clinical trials may begin;</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each trial may be initiated;</w:t>
      </w:r>
    </w:p>
    <w:p>
      <w:pPr>
        <w:spacing w:after="0" w:line="119" w:lineRule="exact"/>
        <w:rPr>
          <w:rFonts w:ascii="Arial" w:cs="Arial" w:eastAsia="Arial" w:hAnsi="Arial"/>
          <w:sz w:val="17"/>
          <w:szCs w:val="17"/>
          <w:color w:val="auto"/>
        </w:rPr>
      </w:pPr>
    </w:p>
    <w:p>
      <w:pPr>
        <w:ind w:left="640" w:right="440" w:hanging="320"/>
        <w:spacing w:after="0" w:line="275"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or GCP, requirements to establish the safety and efficacy of the proposed drug product for each intended use;</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preparation and submission to the FDA of an NDA;</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application for review;</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19" w:lineRule="exact"/>
        <w:rPr>
          <w:rFonts w:ascii="Arial" w:cs="Arial" w:eastAsia="Arial" w:hAnsi="Arial"/>
          <w:sz w:val="17"/>
          <w:szCs w:val="17"/>
          <w:color w:val="auto"/>
        </w:rPr>
      </w:pPr>
    </w:p>
    <w:p>
      <w:pPr>
        <w:ind w:left="640" w:right="120" w:hanging="320"/>
        <w:spacing w:after="0" w:line="266"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w:t>
      </w:r>
    </w:p>
    <w:p>
      <w:pPr>
        <w:spacing w:after="0" w:line="84"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potential FDA audits of clinical trial sites to assess compliance with GCPs and the integrity of the clinical data;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of the product for particular indications for use in the United States.</w:t>
      </w:r>
    </w:p>
    <w:p>
      <w:pPr>
        <w:spacing w:after="0" w:line="9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Preclinical studies</w:t>
      </w:r>
    </w:p>
    <w:p>
      <w:pPr>
        <w:spacing w:after="0" w:line="139" w:lineRule="exact"/>
        <w:rPr>
          <w:sz w:val="20"/>
          <w:szCs w:val="20"/>
          <w:color w:val="auto"/>
        </w:rPr>
      </w:pPr>
    </w:p>
    <w:p>
      <w:pPr>
        <w:ind w:firstLine="393"/>
        <w:spacing w:after="0" w:line="263" w:lineRule="auto"/>
        <w:rPr>
          <w:sz w:val="20"/>
          <w:szCs w:val="20"/>
          <w:color w:val="auto"/>
        </w:rPr>
      </w:pPr>
      <w:r>
        <w:rPr>
          <w:rFonts w:ascii="Arial" w:cs="Arial" w:eastAsia="Arial" w:hAnsi="Arial"/>
          <w:sz w:val="17"/>
          <w:szCs w:val="17"/>
          <w:color w:val="auto"/>
        </w:rPr>
        <w:t>Before testing any product candidate in humans, the product candidate must undergo preclinical testing. Preclinical studies generally include laboratory evaluation of product chemistry, formulation and stability, as well as animal studies to assess potential toxicity, which support subsequent clinical testing. An IND sponsor must submit the results of the preclinical tests, together with manufacturing information, analytical data and any available clinical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data or literature and a proposed clinical protocol, among other things, to the FDA as part of an IND. An IND is a request for authorization from the FDA to administer an investigational product to humans and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Additionally, the FDA will review any data from clinical trials conducted outside the United States when determining whether to allow an IND to proceed in the United States. Specifically, the FDA’s acceptance of data from trials conducted outside of the United States is subject to certain conditions, including that the clinical trial must be well designed and conducted and performed by qualified investigators in accordance with GCPs; the data must be applicable to the U.S. population and U.S. medical practice in ways that the FDA deems clinically meaningful; and that the trials are conducted in compliance with all applicable U.S. laws and regulations. Clinical holds also may be imposed by the FDA at any time before or during studies due to safety concerns or non-compliance.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Clinical trials involve the administration of the product candidate to human subjects under the supervision of qualified investigators, generally</w:t>
      </w:r>
    </w:p>
    <w:p>
      <w:pPr>
        <w:spacing w:after="0" w:line="5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w:t>
      </w:r>
    </w:p>
    <w:p>
      <w:pPr>
        <w:spacing w:after="0" w:line="19"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protocol for each clinical trial and any subsequent protocol amendments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Specifically, information about certain clinical trials must be submitted within specific timeframes to the National Institutes of Health, or NIH, for public dissemination on their www.clinicaltrials.gov website. Information related to the product candidate,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w:t>
      </w:r>
    </w:p>
    <w:p>
      <w:pPr>
        <w:spacing w:after="0" w:line="91" w:lineRule="exact"/>
        <w:rPr>
          <w:sz w:val="20"/>
          <w:szCs w:val="20"/>
          <w:color w:val="auto"/>
        </w:rPr>
      </w:pPr>
    </w:p>
    <w:p>
      <w:pPr>
        <w:ind w:right="40" w:firstLine="393"/>
        <w:spacing w:after="0" w:line="260" w:lineRule="auto"/>
        <w:rPr>
          <w:sz w:val="20"/>
          <w:szCs w:val="20"/>
          <w:color w:val="auto"/>
        </w:rPr>
      </w:pPr>
      <w:r>
        <w:rPr>
          <w:rFonts w:ascii="Arial" w:cs="Arial" w:eastAsia="Arial" w:hAnsi="Arial"/>
          <w:sz w:val="17"/>
          <w:szCs w:val="17"/>
          <w:color w:val="auto"/>
        </w:rPr>
        <w:t>Human clinical trials are typically conducted in three phases, which may overlap or be combined. In Phase 1, the product candidate is introduced into healthy human subjects or patients with the target disease or condition to test for safety, dosage tolerance, absorption, metabolism, distribution, excretion and, if possible, to gain an early evaluation of effectiveness. In Phase 2, the product candidate is administered to a limited patient population with a specified disease or condition to evaluate possible adverse effects and safety risks, to preliminarily evaluate the efficacy of the product for the specified disease or condition, and to determine dosage tolerance and optimal dosage. In Phase 3, the product candidate is administered to an expanded patient population, generally at geographically dispersed clinical trial sites, in well-controlled clinical trials to generate enough data to statistically evaluate the efficacy and safety of the product candidate for approval, to establish the overall risk-benefit profile of the product candidate, and to provide adequate information for the labeling of the product candidate.</w:t>
      </w:r>
    </w:p>
    <w:p>
      <w:pPr>
        <w:spacing w:after="0" w:line="89" w:lineRule="exact"/>
        <w:rPr>
          <w:sz w:val="20"/>
          <w:szCs w:val="20"/>
          <w:color w:val="auto"/>
        </w:rPr>
      </w:pPr>
    </w:p>
    <w:p>
      <w:pPr>
        <w:ind w:right="220" w:firstLine="393"/>
        <w:spacing w:after="0" w:line="263" w:lineRule="auto"/>
        <w:rPr>
          <w:sz w:val="20"/>
          <w:szCs w:val="20"/>
          <w:color w:val="auto"/>
        </w:rPr>
      </w:pPr>
      <w:r>
        <w:rPr>
          <w:rFonts w:ascii="Arial" w:cs="Arial" w:eastAsia="Arial" w:hAnsi="Arial"/>
          <w:sz w:val="17"/>
          <w:szCs w:val="17"/>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or requirement of approval of an NDA.</w:t>
      </w:r>
    </w:p>
    <w:p>
      <w:pPr>
        <w:spacing w:after="0" w:line="87"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 xml:space="preserve">Progress reports summarizing the results of clinical trials and nonclinical studies must be submitted at least annually to the FDA and written IND safety reports must be submitted to the FDA and investigators if serious and unexpected suspected adverse events occur, findings from other studies of the same or similar drug or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suggest a significant risk, or there is an increased incidence of a serious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suspected adverse reaction compared to that in the protocol or investigator brochure. Furthermore, the FDA or the sponsor may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suspend or terminate a clinical trial at any time on various grounds, including a finding that the research subjects are being exposed to an unacceptable health risk. Similarly, an IRB can suspend or terminate approval of a clinical trial at its institution for a variety of reasons, including if the clinical trial is not being conducted in accordance with the IRB’s requirements or if the drug has been associated with unexpected serious harm to patients.</w:t>
      </w:r>
    </w:p>
    <w:p>
      <w:pPr>
        <w:spacing w:after="0" w:line="87" w:lineRule="exact"/>
        <w:rPr>
          <w:sz w:val="20"/>
          <w:szCs w:val="20"/>
          <w:color w:val="auto"/>
        </w:rPr>
      </w:pPr>
    </w:p>
    <w:p>
      <w:pPr>
        <w:ind w:right="80" w:firstLine="393"/>
        <w:spacing w:after="0" w:line="261"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application submission and FDA review and approval</w:t>
      </w:r>
    </w:p>
    <w:p>
      <w:pPr>
        <w:spacing w:after="0" w:line="139" w:lineRule="exact"/>
        <w:rPr>
          <w:sz w:val="20"/>
          <w:szCs w:val="20"/>
          <w:color w:val="auto"/>
        </w:rPr>
      </w:pPr>
    </w:p>
    <w:p>
      <w:pPr>
        <w:ind w:right="320" w:firstLine="393"/>
        <w:spacing w:after="0" w:line="263" w:lineRule="auto"/>
        <w:rPr>
          <w:sz w:val="20"/>
          <w:szCs w:val="20"/>
          <w:color w:val="auto"/>
        </w:rPr>
      </w:pPr>
      <w:r>
        <w:rPr>
          <w:rFonts w:ascii="Arial" w:cs="Arial" w:eastAsia="Arial" w:hAnsi="Arial"/>
          <w:sz w:val="17"/>
          <w:szCs w:val="17"/>
          <w:color w:val="auto"/>
        </w:rPr>
        <w:t>Assuming successful completion of the required clinical testing, the results of preclinical and clinical studies, together with detailed information relating to the product’s chemistry, manufacture, controls and proposed labeling, among other things, are submitted to the FDA as part of an NDA requesting approval to market the product for one or more indications. The submission of an NDA is subject to a substantial application user fee, unless a waiver or exemption applies.</w:t>
      </w:r>
    </w:p>
    <w:p>
      <w:pPr>
        <w:spacing w:after="0" w:line="87" w:lineRule="exact"/>
        <w:rPr>
          <w:sz w:val="20"/>
          <w:szCs w:val="20"/>
          <w:color w:val="auto"/>
        </w:rPr>
      </w:pPr>
    </w:p>
    <w:p>
      <w:pPr>
        <w:ind w:right="60" w:firstLine="393"/>
        <w:spacing w:after="0" w:line="259"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withdrawn and resubmitted with the additional information. The resubmitted application is also subject to review before the FDA accepts it for filing. Once an application is accepted for filing, the FDA has a goal of ten months from the date of “filing” to complete a standard review of an NDA for a drug that is a new molecular entity, and six months from the filing date to complete a priority review. The FDA does not always meet its goal dates, and the review process can be extended by FDA requests for additional information or clarification and a sponsor’s process to respond to such inquiries. This FDA review process typically takes 12 months from the date the NDA is submitted to FDA (for a standard review) or eight months (for a priority review) inclusive of the 60 days to make a “filing” decision after the application is submitted. Once the submission is accepted for filing, the FDA begins an in-depth substantive review.</w:t>
      </w:r>
    </w:p>
    <w:p>
      <w:pPr>
        <w:spacing w:after="0" w:line="95"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The FDA reviews an NDA to determine, among other things, whether the drug is safe and effective and whether the facilities in which it is manufactured, processed, packaged or held meets standards designed to assure the product’s continued safety, quality and purity. Before approving an NDA, the FDA typically will inspect the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and/or the study sponsor to assure compliance with GCP requirements.</w:t>
      </w:r>
    </w:p>
    <w:p>
      <w:pPr>
        <w:spacing w:after="0" w:line="88"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Additionally, the FDA may refer any application to an advisory committee, including applications for novel drug candidates that present difficult questions of safety or efficacy.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87" w:lineRule="exact"/>
        <w:rPr>
          <w:sz w:val="20"/>
          <w:szCs w:val="20"/>
          <w:color w:val="auto"/>
        </w:rPr>
      </w:pPr>
    </w:p>
    <w:p>
      <w:pPr>
        <w:ind w:right="20" w:firstLine="393"/>
        <w:spacing w:after="0" w:line="260" w:lineRule="auto"/>
        <w:rPr>
          <w:sz w:val="20"/>
          <w:szCs w:val="20"/>
          <w:color w:val="auto"/>
        </w:rPr>
      </w:pPr>
      <w:r>
        <w:rPr>
          <w:rFonts w:ascii="Arial" w:cs="Arial" w:eastAsia="Arial" w:hAnsi="Arial"/>
          <w:sz w:val="17"/>
          <w:szCs w:val="17"/>
          <w:color w:val="auto"/>
        </w:rPr>
        <w:t>The FDA also may require submission of a risk evaluation and mitigation strategy, or REMS, plan, if it determines that a REMS is necessary to ensure that the benefits of the drug outweigh its risks and to assure the safe use of the drug product.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the NDA without a REMS, if required.</w:t>
      </w:r>
    </w:p>
    <w:p>
      <w:pPr>
        <w:spacing w:after="0" w:line="91" w:lineRule="exact"/>
        <w:rPr>
          <w:sz w:val="20"/>
          <w:szCs w:val="20"/>
          <w:color w:val="auto"/>
        </w:rPr>
      </w:pPr>
    </w:p>
    <w:p>
      <w:pPr>
        <w:ind w:firstLine="393"/>
        <w:spacing w:after="0" w:line="263" w:lineRule="auto"/>
        <w:rPr>
          <w:sz w:val="20"/>
          <w:szCs w:val="20"/>
          <w:color w:val="auto"/>
        </w:rPr>
      </w:pPr>
      <w:r>
        <w:rPr>
          <w:rFonts w:ascii="Arial" w:cs="Arial" w:eastAsia="Arial" w:hAnsi="Arial"/>
          <w:sz w:val="17"/>
          <w:szCs w:val="17"/>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sponsor or FDA may request a deferral of pediatric clinical trials for some or all of the pediatric subpopulations. The FDA must send a non-compliance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700"/>
        <w:spacing w:after="0" w:line="275" w:lineRule="auto"/>
        <w:rPr>
          <w:sz w:val="20"/>
          <w:szCs w:val="20"/>
          <w:color w:val="auto"/>
        </w:rPr>
      </w:pPr>
      <w:r>
        <w:rPr>
          <w:rFonts w:ascii="Arial" w:cs="Arial" w:eastAsia="Arial" w:hAnsi="Arial"/>
          <w:sz w:val="17"/>
          <w:szCs w:val="17"/>
          <w:color w:val="auto"/>
        </w:rPr>
        <w:t>to any sponsor that fails to submit the required assessment, keep a deferral current or fails to submit a request for approval of a pediatric formulation.</w:t>
      </w:r>
    </w:p>
    <w:p>
      <w:pPr>
        <w:spacing w:after="0" w:line="77"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 xml:space="preserve">After evaluating the NDA and all related information, including the advisory committee recommendation, if any, and inspection reports regarding the manufacturing facilities, </w:t>
      </w:r>
      <w:r>
        <w:rPr>
          <w:rFonts w:ascii="Arial" w:cs="Arial" w:eastAsia="Arial" w:hAnsi="Arial"/>
          <w:sz w:val="20"/>
          <w:szCs w:val="20"/>
          <w:color w:val="auto"/>
        </w:rPr>
        <w:t>sponsor</w:t>
      </w:r>
      <w:r>
        <w:rPr>
          <w:rFonts w:ascii="Arial" w:cs="Arial" w:eastAsia="Arial" w:hAnsi="Arial"/>
          <w:sz w:val="17"/>
          <w:szCs w:val="17"/>
          <w:color w:val="auto"/>
        </w:rPr>
        <w:t>, and clinical trial sites, the FDA may issue either an approval letter or a complete response letter, or CRL. An approval letter authorizes commercial marketing of the drug with specific prescribing information and for specific indications. A CRL will describe all of the deficiencies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a CRL is issued, the applicant may choose to either resubmit the NDA, addressing all of the deficiencies identified in the letter, or withdraw the application. If those deficiencies have been addressed to the FDA’s satisfaction, the FDA will issue an approval letter. Even with submission of this additional information, the FDA ultimately may decide that the application does not satisfy the regulatory criteria for approval.</w:t>
      </w:r>
    </w:p>
    <w:p>
      <w:pPr>
        <w:spacing w:after="0" w:line="307"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safety, require testing and surveillance programs to monitor the product,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39" w:lineRule="exact"/>
        <w:rPr>
          <w:sz w:val="20"/>
          <w:szCs w:val="20"/>
          <w:color w:val="auto"/>
        </w:rPr>
      </w:pPr>
    </w:p>
    <w:p>
      <w:pPr>
        <w:ind w:firstLine="393"/>
        <w:spacing w:after="0" w:line="258"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drug designation before submitting an NDA. If the request is granted, the FDA will disclose the identity of the therapeutic agent and its potential use. If a product with orphan status receives the first FDA approval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disease or condition for seven years. If a drug or drug product designated as an orphan product ultimately receives marketing approval for an indication broader than what was designated in its orphan product application, it may not be entitled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to provide a major contribution to patient care, or if the company with orphan drug exclusivity is not able to meet market demand. Among the other benefits of orphan drug designation are tax credits for certain research and a waiver of the NDA application user fee. Orphan product designation, however, does not convey any advantage in or shorten the duration of the regulatory review and approval process.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Rare pediatric disease designation and priority review vouchers</w:t>
      </w:r>
    </w:p>
    <w:p>
      <w:pPr>
        <w:spacing w:after="0" w:line="139" w:lineRule="exact"/>
        <w:rPr>
          <w:sz w:val="20"/>
          <w:szCs w:val="20"/>
          <w:color w:val="auto"/>
        </w:rPr>
      </w:pPr>
    </w:p>
    <w:p>
      <w:pPr>
        <w:ind w:right="60" w:firstLine="393"/>
        <w:spacing w:after="0" w:line="260" w:lineRule="auto"/>
        <w:rPr>
          <w:sz w:val="20"/>
          <w:szCs w:val="20"/>
          <w:color w:val="auto"/>
        </w:rPr>
      </w:pPr>
      <w:r>
        <w:rPr>
          <w:rFonts w:ascii="Arial" w:cs="Arial" w:eastAsia="Arial" w:hAnsi="Arial"/>
          <w:sz w:val="17"/>
          <w:szCs w:val="17"/>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89" w:lineRule="exact"/>
        <w:rPr>
          <w:sz w:val="20"/>
          <w:szCs w:val="20"/>
          <w:color w:val="auto"/>
        </w:rPr>
      </w:pPr>
    </w:p>
    <w:p>
      <w:pPr>
        <w:ind w:right="320" w:firstLine="393"/>
        <w:spacing w:after="0" w:line="275" w:lineRule="auto"/>
        <w:rPr>
          <w:sz w:val="20"/>
          <w:szCs w:val="20"/>
          <w:color w:val="auto"/>
        </w:rPr>
      </w:pPr>
      <w:r>
        <w:rPr>
          <w:rFonts w:ascii="Arial" w:cs="Arial" w:eastAsia="Arial" w:hAnsi="Arial"/>
          <w:sz w:val="17"/>
          <w:szCs w:val="17"/>
          <w:color w:val="auto"/>
        </w:rPr>
        <w:t>For purposes of this program, a “rare pediatric disease” is a (a) serious or life-threatening disease in which the serious or life-threatening manifestations primarily affect individuals aged from birth to 18 years; and (b) rare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0"/>
        <w:spacing w:after="0" w:line="305" w:lineRule="auto"/>
        <w:rPr>
          <w:sz w:val="20"/>
          <w:szCs w:val="20"/>
          <w:color w:val="auto"/>
        </w:rPr>
      </w:pPr>
      <w:r>
        <w:rPr>
          <w:rFonts w:ascii="Arial" w:cs="Arial" w:eastAsia="Arial" w:hAnsi="Arial"/>
          <w:sz w:val="17"/>
          <w:szCs w:val="17"/>
          <w:color w:val="auto"/>
        </w:rPr>
        <w:t>diseases or conditions within the meaning of the Orphan Drug Act. Congress has only authorized the Rare Pediatric Disease Priority Review Voucher program until September 30, 2024. Consequently, sponsors of marketing applications approved after that date will not receive the</w:t>
      </w:r>
    </w:p>
    <w:p>
      <w:pPr>
        <w:spacing w:after="0" w:line="1"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voucher unless Congress reauthorizes the program. If the program is not reauthorized, if a drug candidate receives Rare Pediatric Disease Designation before October 1, 2024, the sponsor of the marketing application for such drug will only be eligible to receive a voucher if the application for the designated drug is approved by the FDA before October 1, 2026.</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Fast track, breakthrough therapy and priority review designations</w:t>
      </w:r>
    </w:p>
    <w:p>
      <w:pPr>
        <w:spacing w:after="0" w:line="139" w:lineRule="exact"/>
        <w:rPr>
          <w:sz w:val="20"/>
          <w:szCs w:val="20"/>
          <w:color w:val="auto"/>
        </w:rPr>
      </w:pPr>
    </w:p>
    <w:p>
      <w:pPr>
        <w:jc w:val="both"/>
        <w:ind w:right="120" w:firstLine="393"/>
        <w:spacing w:after="0" w:line="266" w:lineRule="auto"/>
        <w:rPr>
          <w:sz w:val="20"/>
          <w:szCs w:val="20"/>
          <w:color w:val="auto"/>
        </w:rPr>
      </w:pPr>
      <w:r>
        <w:rPr>
          <w:rFonts w:ascii="Arial" w:cs="Arial" w:eastAsia="Arial" w:hAnsi="Arial"/>
          <w:sz w:val="17"/>
          <w:szCs w:val="17"/>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84"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To be eligible for a fast track designation, the FDA must determine that a product candidate is intended to treat a serious or life threatening disease or condition and demonstrates the potential to address unmet medical needs for the condition. Fast track designation provides opportunities for more frequent interactions with the FDA review team to expedite development and review of the product candidate. The FDA may also agree to review sections of the NDA for a fast track product candidate on a rolling basis before the complete application is submitted.</w:t>
      </w:r>
    </w:p>
    <w:p>
      <w:pPr>
        <w:spacing w:after="0" w:line="87"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88"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Finally, the FDA may designate an NDA for priority review if the product candidate treats a serious condition and, if approved, would provide a significant improvement in safety or effectiveness. The FDA determines at the time that the marketing application is submitted, on a case-by-case basis, whether the product candidate represents a significant improvement when compared with other available therapies. Significant improvement may be illustrated by, among other things, evidence of increased effectiveness,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the filing date for an NDA for a new molecular entity.</w:t>
      </w:r>
    </w:p>
    <w:p>
      <w:pPr>
        <w:spacing w:after="0" w:line="89"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and breakthrough therapy designation do not change the standards for approval and may not ultimately expedite the development or approval process.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Accelerated approval pathway</w:t>
      </w:r>
    </w:p>
    <w:p>
      <w:pPr>
        <w:spacing w:after="0" w:line="139"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A drug product may also be eligible for accelerated approval if it is designed to treat a serious or life-threatening disease or condition and provides a meaningful therapeutic benefit over existing treatments. Such product candidates can be approved upon a determination that the product candidate has an effect on either a surrogate endpoint that is reasonably likely to predict clinical benefit or on an intermediate clinical endpoint that can be measured earlier than irreversible morbidity or mortality, or IMM, that is reasonably likely to predict an effect on IMM or other clinical benefit, taking into account the severity, rarity, or prevalence of the disease or condition and the availability or lack of alternative treatments. As a condition of approval, the FDA may require that a sponsor of a drug receiving accelerated approval perform adequate and well-controlled post-marketing clinical trials to verify and describe the predicted effect on IMM or other clinical endpoint. The FDA may withdraw approval of a drug or indication approved under accelerated approval on an expedited basis if, for example, the confirmatory trial fails to verify the predicted clinical benefit of the product or the sponsor fails to conduct such confirmatory trials in a timely manner. Drugs granted accelerated approval must meet the same statutory standards for safety and effectiveness as those granted traditional approval. In addition, all promotional materials for products approved under the accelerated approval program are subject to prior review by the FDA.</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product marketing exclusivity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firstLine="393"/>
        <w:spacing w:after="0" w:line="260" w:lineRule="auto"/>
        <w:rPr>
          <w:sz w:val="20"/>
          <w:szCs w:val="20"/>
          <w:color w:val="auto"/>
        </w:rPr>
      </w:pPr>
      <w:r>
        <w:rPr>
          <w:rFonts w:ascii="Arial" w:cs="Arial" w:eastAsia="Arial" w:hAnsi="Arial"/>
          <w:sz w:val="17"/>
          <w:szCs w:val="17"/>
          <w:color w:val="auto"/>
        </w:rPr>
        <w:t>Market exclusivity provisions under the FDCA can delay the submission or the approval of certain marketing applications. For example,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or follow-on version of the protected drug product, respectively, where the applicant does not own or have a legal right of reference to all the data required for approval. However, an application may be submitted after four years if it contains a certification of patent invalidity or non-infringement.</w:t>
      </w:r>
    </w:p>
    <w:p>
      <w:pPr>
        <w:spacing w:after="0" w:line="91"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FDCA also provides three years of marketing exclusivity when an NDA, or a supplement to an existing NDA, includes new clinical investigations, other than bioavailability studies, conducted or sponsored by the applicant that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or follow-on 505(b)(2) NDAs if the protected clinical data are not referenced. Five-year and three-year exclusivity will not delay the submission or approval of a stand-alone NDA submitted under section 505(b)(1) of the FDCA. However, an applicant submitting a stand-alone NDA would be required to conduct or obtain a right of reference to all of the preclinical studies and adequate and well-controlled clinical trials necessary to demonstrate safety and effectiveness, if applicable.</w:t>
      </w:r>
    </w:p>
    <w:p>
      <w:pPr>
        <w:spacing w:after="0" w:line="301" w:lineRule="exact"/>
        <w:rPr>
          <w:sz w:val="20"/>
          <w:szCs w:val="20"/>
          <w:color w:val="auto"/>
        </w:rPr>
      </w:pPr>
    </w:p>
    <w:p>
      <w:pPr>
        <w:ind w:right="100" w:firstLine="393"/>
        <w:spacing w:after="0" w:line="266" w:lineRule="auto"/>
        <w:rPr>
          <w:sz w:val="20"/>
          <w:szCs w:val="20"/>
          <w:color w:val="auto"/>
        </w:rPr>
      </w:pPr>
      <w:r>
        <w:rPr>
          <w:rFonts w:ascii="Arial" w:cs="Arial" w:eastAsia="Arial" w:hAnsi="Arial"/>
          <w:sz w:val="17"/>
          <w:szCs w:val="17"/>
          <w:color w:val="auto"/>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39" w:lineRule="exact"/>
        <w:rPr>
          <w:sz w:val="20"/>
          <w:szCs w:val="20"/>
          <w:color w:val="auto"/>
        </w:rPr>
      </w:pPr>
    </w:p>
    <w:p>
      <w:pPr>
        <w:ind w:right="40" w:firstLine="393"/>
        <w:spacing w:after="0" w:line="259" w:lineRule="auto"/>
        <w:rPr>
          <w:sz w:val="20"/>
          <w:szCs w:val="20"/>
          <w:color w:val="auto"/>
        </w:rPr>
      </w:pPr>
      <w:r>
        <w:rPr>
          <w:rFonts w:ascii="Arial" w:cs="Arial" w:eastAsia="Arial" w:hAnsi="Arial"/>
          <w:sz w:val="17"/>
          <w:szCs w:val="17"/>
          <w:color w:val="auto"/>
        </w:rPr>
        <w:t>Following approval of a new prescription drug product, the manufacturer and the approved drug are subject to pervasive and continuing regulation by the FDA, including, among other things, requirements relating to monitoring and recordkeeping, periodic reporting, product sampling and distribution, advertising and promotion and reporting of adverse experiences with the product.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After approval, most changes to the approved product, such as adding new indications or other labeling claims or changes to the manufacturing processes or facilities, are subject to prior FDA review and approval. There are continuing, annual program fee requirements for any marketed products.</w:t>
      </w:r>
    </w:p>
    <w:p>
      <w:pPr>
        <w:spacing w:after="0" w:line="94" w:lineRule="exact"/>
        <w:rPr>
          <w:sz w:val="20"/>
          <w:szCs w:val="20"/>
          <w:color w:val="auto"/>
        </w:rPr>
      </w:pPr>
    </w:p>
    <w:p>
      <w:pPr>
        <w:ind w:right="80" w:firstLine="393"/>
        <w:spacing w:after="0" w:line="263" w:lineRule="auto"/>
        <w:rPr>
          <w:sz w:val="20"/>
          <w:szCs w:val="20"/>
          <w:color w:val="auto"/>
        </w:rPr>
      </w:pPr>
      <w:r>
        <w:rPr>
          <w:rFonts w:ascii="Arial" w:cs="Arial" w:eastAsia="Arial" w:hAnsi="Arial"/>
          <w:sz w:val="17"/>
          <w:szCs w:val="17"/>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87"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Imposition of post-marketing studies or clinical trials to assess new safety risks, or restrictions under a REMS program;</w:t>
      </w:r>
    </w:p>
    <w:p>
      <w:pPr>
        <w:spacing w:after="0" w:line="11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marketing, manufacturing or distribution of the product, complete withdrawal of the product from the market or product recalls;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Fines, warning letters, untitled letters or other enforcement-related letters or clinical holds on post-approval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right="20" w:hanging="320"/>
        <w:spacing w:after="0" w:line="275"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Issuance of safety alerts, Dear Healthcare Provider letters, press releases and other communications containing warnings or other safety information about the product;</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9" w:lineRule="exact"/>
        <w:rPr>
          <w:sz w:val="20"/>
          <w:szCs w:val="20"/>
          <w:color w:val="auto"/>
        </w:rPr>
      </w:pPr>
    </w:p>
    <w:p>
      <w:pPr>
        <w:jc w:val="both"/>
        <w:ind w:right="700" w:firstLine="393"/>
        <w:spacing w:after="0" w:line="257"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must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Physicians may prescribe, in their independent professional medical judgment, legally available products for uses that are not described in the product’s labeling and that differ from those tested and approved by the FDA. The FDA does not regulate the behavior of physicians in their choice of treatments, but it does restrict the manufacturer’s communications on the subject of off-label use of their products. However, companies may share truthful and not misleading information that is otherwise consistent with a product’s FDA-approved labeling.</w:t>
      </w:r>
    </w:p>
    <w:p>
      <w:pPr>
        <w:spacing w:after="0" w:line="87" w:lineRule="exact"/>
        <w:rPr>
          <w:sz w:val="20"/>
          <w:szCs w:val="20"/>
          <w:color w:val="auto"/>
        </w:rPr>
      </w:pPr>
    </w:p>
    <w:p>
      <w:pPr>
        <w:ind w:right="180" w:firstLine="393"/>
        <w:spacing w:after="0" w:line="263"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laws and regulations</w:t>
      </w:r>
    </w:p>
    <w:p>
      <w:pPr>
        <w:spacing w:after="0" w:line="141" w:lineRule="exact"/>
        <w:rPr>
          <w:sz w:val="20"/>
          <w:szCs w:val="20"/>
          <w:color w:val="auto"/>
        </w:rPr>
      </w:pPr>
    </w:p>
    <w:p>
      <w:pPr>
        <w:ind w:right="60" w:firstLine="393"/>
        <w:spacing w:after="0" w:line="259"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in which they conduct their business, which may constrain the financial arrangements and relationships through which these companies and their partners research, sell, market and distribute any products for which marketing approval is obtained. Such laws include, without limitation, state and federal anti-kickback, fraud and abuse, false claims and transparency laws regarding drug pricing and payments and other transfer of value to physicians and other healthcare providers. If their operations are found to be in violation of any of such laws or any other governmental regulations that apply, they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future healthcare reform legislation</w:t>
      </w:r>
    </w:p>
    <w:p>
      <w:pPr>
        <w:spacing w:after="0" w:line="139"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In the United States, there have been, and likely will continue to be, a number of legislative and regulatory changes regarding the healthcare system directed at broadening the availability of health care, improving the quality of health care and containing or lowering the cost of health care. For example, in March 2010 the Affordable Care Act, or ACA, was enacted, which substantially changed the way health care is financed by both governmental and private insurers, and significantly impacted the U.S. pharmaceutical industry. The ACA, among other things, subjected biological products to potential competition by lower-cost biosimilars; expanded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91"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Since its enactment, there have been judicial, administrative,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among other things, instruct certain governmental agencies to review and reconsider their existing policies and rules that limit access to health care, including among others, reexamining Medicaid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demonstration projects and waiver programs that include work requirements, and policies that create unnecessary barriers to obtaining access to health insurance coverage through Medicaid or the ACA.</w:t>
      </w:r>
    </w:p>
    <w:p>
      <w:pPr>
        <w:spacing w:after="0" w:line="77"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in August 2011, the Budget Control Act of 2011, among other things, included aggregate reductions of Medicare payments to providers of 2% per fiscal year. These reductions went into effect on April 1, 2013, and, due to subsequent legislative amendments, will remain in effect through 2030,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91"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Moreover,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Payment methodologies may also be subject to changes in healthcare legislation and regulatory initiatives. For example, Centers for Medicare and Medicaid Services may develop new payment and delivery models, such as bundled payment models. There also has been heightened governmental scrutiny in the United States of pharmaceutical pricing practices in light of the rising cost of prescription drugs and biologics.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9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At the state level, legislatures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87" w:lineRule="exact"/>
        <w:rPr>
          <w:sz w:val="20"/>
          <w:szCs w:val="20"/>
          <w:color w:val="auto"/>
        </w:rPr>
      </w:pPr>
    </w:p>
    <w:p>
      <w:pPr>
        <w:jc w:val="both"/>
        <w:ind w:right="140" w:firstLine="393"/>
        <w:spacing w:after="0" w:line="266" w:lineRule="auto"/>
        <w:rPr>
          <w:sz w:val="20"/>
          <w:szCs w:val="20"/>
          <w:color w:val="auto"/>
        </w:rPr>
      </w:pPr>
      <w:r>
        <w:rPr>
          <w:rFonts w:ascii="Arial" w:cs="Arial" w:eastAsia="Arial" w:hAnsi="Arial"/>
          <w:sz w:val="17"/>
          <w:szCs w:val="17"/>
          <w:color w:val="auto"/>
        </w:rPr>
        <w:t>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pricing and reimbursement</w:t>
      </w:r>
    </w:p>
    <w:p>
      <w:pPr>
        <w:spacing w:after="0" w:line="139" w:lineRule="exact"/>
        <w:rPr>
          <w:sz w:val="20"/>
          <w:szCs w:val="20"/>
          <w:color w:val="auto"/>
        </w:rPr>
      </w:pPr>
    </w:p>
    <w:p>
      <w:pPr>
        <w:ind w:right="280" w:firstLine="393"/>
        <w:spacing w:after="0" w:line="261"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Sales of any products for which we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 care providers, private health insurers and other organizations. For products administered under the supervision of a physician, obtaining coverage and adequate reimbursement may be particularly difficult because of the higher prices often associated with such drugs.</w:t>
      </w:r>
    </w:p>
    <w:p>
      <w:pPr>
        <w:spacing w:after="0" w:line="88"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may need to conduct expensive pharmaco-economic studies in order to demonstrate the medical necessity and cost-effectiveness of our product candidates, if approved,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drug products and healthcare laws and regulations outside of the United States</w:t>
      </w:r>
    </w:p>
    <w:p>
      <w:pPr>
        <w:spacing w:after="0" w:line="139" w:lineRule="exact"/>
        <w:rPr>
          <w:sz w:val="20"/>
          <w:szCs w:val="20"/>
          <w:color w:val="auto"/>
        </w:rPr>
      </w:pPr>
    </w:p>
    <w:p>
      <w:pPr>
        <w:ind w:right="20" w:firstLine="393"/>
        <w:spacing w:after="0" w:line="261" w:lineRule="auto"/>
        <w:rPr>
          <w:sz w:val="20"/>
          <w:szCs w:val="20"/>
          <w:color w:val="auto"/>
        </w:rPr>
      </w:pPr>
      <w:r>
        <w:rPr>
          <w:rFonts w:ascii="Arial" w:cs="Arial" w:eastAsia="Arial" w:hAnsi="Arial"/>
          <w:sz w:val="17"/>
          <w:szCs w:val="17"/>
          <w:color w:val="auto"/>
        </w:rPr>
        <w:t>Our product candidates may be subject in the future to laws and regulations related to drug products and health care imposed by jurisdictions outside of the United States, which may include, for instance, applicable post-marketing requirements, including safety surveillance, anti-fraud and abuse laws and implementation of corporate compliance programs and reporting of payments or other transfers of value to healthcare professionals. Outside of the United States, the provision of health care, including the pricing of pharmaceutical products, is subject to governmental control in many countries, and efforts to control prices and costs, including legislative action, will likely continue as countries attempt to manage healthcare expenditures.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139" w:lineRule="exact"/>
        <w:rPr>
          <w:sz w:val="20"/>
          <w:szCs w:val="20"/>
          <w:color w:val="auto"/>
        </w:rPr>
      </w:pPr>
    </w:p>
    <w:p>
      <w:pPr>
        <w:ind w:right="40" w:firstLine="393"/>
        <w:spacing w:after="0" w:line="259" w:lineRule="auto"/>
        <w:rPr>
          <w:sz w:val="20"/>
          <w:szCs w:val="20"/>
          <w:color w:val="auto"/>
        </w:rPr>
      </w:pPr>
      <w:r>
        <w:rPr>
          <w:rFonts w:ascii="Arial" w:cs="Arial" w:eastAsia="Arial" w:hAnsi="Arial"/>
          <w:sz w:val="17"/>
          <w:szCs w:val="17"/>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the Health Insurance Portability and Accountability Act, or HIPAA, and federal and state consumer protection laws and regulations that govern the collection, use, disclosure, and protection of health-related and other personal information could apply now or in the future to our operations or the operations of our partners. In addition, certain state and non-U.S. laws, such as the California Consumer Privacy Act of 2018, the California Privacy Rights Act of 2020, and the General Data Protection Regulation, or GDPR, and the UK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and regulations governing international operations</w:t>
      </w:r>
    </w:p>
    <w:p>
      <w:pPr>
        <w:spacing w:after="0" w:line="13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91"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by U.S. authorities that enforce the FCPA, including the Department of Justice, to be foreign officials. Certain payments to hospitals in connection with clinical trials and other work have been deemed to be improper payments to government officials and have led to FCPA enforcement actions.</w:t>
      </w:r>
    </w:p>
    <w:p>
      <w:pPr>
        <w:spacing w:after="0" w:line="87"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firstLine="393"/>
        <w:spacing w:after="0" w:line="266"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41"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 xml:space="preserve">At Praxis, we are fiercely dedicated to our mission to translate genetic insights into the development of therapies for CNS disorders characterized by neuronal imbalance. We strive each day to innovate and adapt to deliver treatments that could potentially change the course of CNS disorders and to do so based on a culture built to attract, develop and retain a talent-dense workforce. We are committed to developing our culture and our employees through our company core values –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Curiosity</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w:t>
      </w:r>
    </w:p>
    <w:p>
      <w:pPr>
        <w:spacing w:after="0" w:line="87" w:lineRule="exact"/>
        <w:rPr>
          <w:sz w:val="20"/>
          <w:szCs w:val="20"/>
          <w:color w:val="auto"/>
        </w:rPr>
      </w:pPr>
    </w:p>
    <w:p>
      <w:pPr>
        <w:ind w:right="340" w:firstLine="433"/>
        <w:spacing w:after="0" w:line="275" w:lineRule="auto"/>
        <w:rPr>
          <w:sz w:val="20"/>
          <w:szCs w:val="20"/>
          <w:color w:val="auto"/>
        </w:rPr>
      </w:pPr>
      <w:r>
        <w:rPr>
          <w:rFonts w:ascii="Arial" w:cs="Arial" w:eastAsia="Arial" w:hAnsi="Arial"/>
          <w:sz w:val="17"/>
          <w:szCs w:val="17"/>
          <w:color w:val="auto"/>
        </w:rPr>
        <w:t>It is the strength of our culture and our work environment that allow us to attract top talent to Praxis, which is how we were able to grow from 62 employees in 11 states at the end of 2020 to 139 in 22 states as of February 18, 2022.</w:t>
      </w:r>
    </w:p>
    <w:p>
      <w:pPr>
        <w:spacing w:after="0" w:line="57"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each other’s judgement, which is why we do not implement excessive policies. We value transparency among team members that leads to direct, clear, and timely feedback so we can all improve together. We commit to be one another’s checks and balances. We respect all opinions and encourage diversity. Discrimination is never tolerated. Because we trust employees to have good judgment, there is a lot of freedom built into the way we operate. As an example, we do not have prescriptive policies on vacation, sick or personal time – we encourage employees to take that time as they need it and simply align with their manager about their plans.</w:t>
      </w:r>
    </w:p>
    <w:p>
      <w:pPr>
        <w:spacing w:after="0" w:line="83"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 xml:space="preserve">We have adapted to new working methodologies that embrace a virtual and cooperative work environment while emphasizing personal </w:t>
      </w:r>
      <w:r>
        <w:rPr>
          <w:rFonts w:ascii="Arial" w:cs="Arial" w:eastAsia="Arial" w:hAnsi="Arial"/>
          <w:sz w:val="17"/>
          <w:szCs w:val="17"/>
          <w:b w:val="1"/>
          <w:bCs w:val="1"/>
          <w:i w:val="1"/>
          <w:iCs w:val="1"/>
          <w:color w:val="auto"/>
        </w:rPr>
        <w:t xml:space="preserve">Ownership </w:t>
      </w:r>
      <w:r>
        <w:rPr>
          <w:rFonts w:ascii="Arial" w:cs="Arial" w:eastAsia="Arial" w:hAnsi="Arial"/>
          <w:sz w:val="17"/>
          <w:szCs w:val="17"/>
          <w:color w:val="auto"/>
        </w:rPr>
        <w:t>for actions and outcomes. We want employees to own projects and stay engaged through communication, but we also make 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know that Praxis is not a nine-to-five culture. We are a culture where employees have real accountability as we all work towards a greater goal. Our headquarters is designated as a collaborative workspace where we gather in teams or as a company when practical and safe. Being able to own projects, while expressing when you need a break, is something we value. Allowing employees to best structure their days to their needs is one of the most important foundations we believe is necessary for having a sturdy organization.</w:t>
      </w:r>
    </w:p>
    <w:p>
      <w:pPr>
        <w:spacing w:after="0" w:line="68"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b w:val="1"/>
          <w:bCs w:val="1"/>
          <w:i w:val="1"/>
          <w:iCs w:val="1"/>
          <w:color w:val="auto"/>
        </w:rPr>
        <w:t xml:space="preserve">Curiosity </w:t>
      </w:r>
      <w:r>
        <w:rPr>
          <w:rFonts w:ascii="Arial" w:cs="Arial" w:eastAsia="Arial" w:hAnsi="Arial"/>
          <w:sz w:val="17"/>
          <w:szCs w:val="17"/>
          <w:color w:val="auto"/>
        </w:rPr>
        <w:t>is at the center of innovation, and we are always asking how we can better help our patients. We love to learn. One day a month,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commit to what we call “Curiosity Day.” We ask our employees to step away from the computer, meetings and calls for a single day to focus solely on being curious – whether that means catching up on professional articles or journals, diving deeper into a rare disease we do not currently support, challenging ourselves by exploring an area outside our comfort zone, perfecting a new skill, or even taking some time to safely enjoy the outdoors. These opportunities have a positive impact on our employees, and enables them to bring the new knowledge and learnings to the work they do and increase the ability to deliver on our mission.</w:t>
      </w:r>
    </w:p>
    <w:p>
      <w:pPr>
        <w:spacing w:after="0" w:line="64" w:lineRule="exact"/>
        <w:rPr>
          <w:sz w:val="20"/>
          <w:szCs w:val="20"/>
          <w:color w:val="auto"/>
        </w:rPr>
      </w:pPr>
    </w:p>
    <w:p>
      <w:pPr>
        <w:jc w:val="both"/>
        <w:ind w:right="600" w:firstLine="433"/>
        <w:spacing w:after="0" w:line="278" w:lineRule="auto"/>
        <w:rPr>
          <w:sz w:val="20"/>
          <w:szCs w:val="20"/>
          <w:color w:val="auto"/>
        </w:rPr>
      </w:pPr>
      <w:r>
        <w:rPr>
          <w:rFonts w:ascii="Arial" w:cs="Arial" w:eastAsia="Arial" w:hAnsi="Arial"/>
          <w:sz w:val="17"/>
          <w:szCs w:val="17"/>
          <w:color w:val="auto"/>
        </w:rPr>
        <w:t xml:space="preserve">As we pursue objectives to achieve the ultimate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 we challenge ourselves daily. Through trust, ownership and curiosity, our employees are positioned to leave lasting results that reach the communities we serve. At the end of the day, the magic we witness when employees put their minds together is what we are most proud of as a company.</w:t>
      </w:r>
    </w:p>
    <w:p>
      <w:pPr>
        <w:spacing w:after="0" w:line="75"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To hold ourselves accountable for fulfilling our core values, we have established a unique social feedback system process that supports our agile, self-managed teams and is conducted on a regular schedule throughout the year. Each employee chooses approximately 10 colleagues to provide them with thoughtful and constructive feedback on performance and our Praxis values. Feedback givers are instructed to be candid but with positive intent, so that the feedback receiver has the opportunity to learn valuable lessons and identify development opportunities, both of which are crucial for our collective and individual growth. To promote a culture of openness and transparency, the feedback is not given anonymously and each employee sees the reviewer's ratings and comments. We feel the breadth of feedback helps ensure employees best understand what they do well, what they have improved on, where improvement is still needed and ultimately results in a high-performance culture.</w:t>
      </w:r>
    </w:p>
    <w:p>
      <w:pPr>
        <w:spacing w:after="0" w:line="301"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In line with our core values, we are committed to providing a highly competitive total rewards package. Our compensation is a mix of salary, bonus, long-term equity and health and welfare benefits.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41"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Our Internet address is http://praxismedicines.com. Our Annual Reports on Form 10-K, Quarterly Reports on Form 10-Q, Current Reports on Form 8-K, including exhibits, proxy and information statements and amendments to those reports filed or furnished pursuant to Sections 13(a) and 15(d) of the Exchange Act are available through the “Investors + Media” portion of our website free of charge as soon as reasonably practicable after we electronically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3"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and in our other filings with the Securities and Exchange Commission, or SEC,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64" w:lineRule="exact"/>
        <w:rPr>
          <w:sz w:val="20"/>
          <w:szCs w:val="20"/>
          <w:color w:val="auto"/>
        </w:rPr>
      </w:pPr>
    </w:p>
    <w:p>
      <w:pPr>
        <w:ind w:right="5300"/>
        <w:spacing w:after="0" w:line="387" w:lineRule="auto"/>
        <w:rPr>
          <w:sz w:val="20"/>
          <w:szCs w:val="20"/>
          <w:color w:val="auto"/>
        </w:rPr>
      </w:pPr>
      <w:r>
        <w:rPr>
          <w:rFonts w:ascii="Arial" w:cs="Arial" w:eastAsia="Arial" w:hAnsi="Arial"/>
          <w:sz w:val="17"/>
          <w:szCs w:val="17"/>
          <w:b w:val="1"/>
          <w:bCs w:val="1"/>
          <w:color w:val="auto"/>
        </w:rPr>
        <w:t xml:space="preserve">Risks Related to Our Financial Position and Need for Additional Capital </w:t>
      </w:r>
      <w:r>
        <w:rPr>
          <w:rFonts w:ascii="Arial" w:cs="Arial" w:eastAsia="Arial" w:hAnsi="Arial"/>
          <w:sz w:val="17"/>
          <w:szCs w:val="17"/>
          <w:u w:val="single" w:color="auto"/>
          <w:color w:val="auto"/>
        </w:rPr>
        <w:t>Risks Related to Past Financial Condition</w:t>
      </w:r>
    </w:p>
    <w:p>
      <w:pPr>
        <w:spacing w:after="0" w:line="1"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We are a clinical-stage biopharmaceutical company and we have incurred significant losses since our inception. We anticipate that we will continue to incur significant losses for the foreseeable future.</w:t>
      </w:r>
    </w:p>
    <w:p>
      <w:pPr>
        <w:spacing w:after="0" w:line="56"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(deficit) equity and working capital. Our net losses were $167.1 million and $61.8 million for the years ended December 31, 2021 and 2020, respectively. As of December 31, 2021, we had an accumulated deficit of $316.6 million. We expect to continue to incur significant losses for the foreseeable future, and we expect these losses to increase as we continue our research and development of and seek regulatory approvals for our product candidates in our initial and potential additional indications as well as for other product candidates.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19" w:lineRule="exact"/>
        <w:rPr>
          <w:sz w:val="20"/>
          <w:szCs w:val="20"/>
          <w:color w:val="auto"/>
        </w:rPr>
      </w:pPr>
    </w:p>
    <w:p>
      <w:pPr>
        <w:ind w:left="640" w:right="200" w:hanging="320"/>
        <w:spacing w:after="0" w:line="275"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to develop and conduct clinical trials, including in expanded geographies such as the United States or Europe, for our product candidates;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initiate and continue research and development, including preclinical, clinical and discovery efforts for any future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 to identify additional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 that may successfully complete clinical development;</w:t>
      </w:r>
    </w:p>
    <w:p>
      <w:pPr>
        <w:spacing w:after="0" w:line="119" w:lineRule="exact"/>
        <w:rPr>
          <w:rFonts w:ascii="Arial" w:cs="Arial" w:eastAsia="Arial" w:hAnsi="Arial"/>
          <w:sz w:val="17"/>
          <w:szCs w:val="17"/>
          <w:color w:val="auto"/>
        </w:rPr>
      </w:pPr>
    </w:p>
    <w:p>
      <w:pPr>
        <w:ind w:left="640" w:right="320" w:hanging="320"/>
        <w:spacing w:after="0" w:line="275"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help us comply with our obligations as a public company;</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quality control, scientific, commercial and administrative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9"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sales, marketing, distribution, manufacturing, supply chain and other commercial infrastructure in the future to commercialize various products for which we may obtain regulatory approval;</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research and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w:t>
      </w:r>
    </w:p>
    <w:p>
      <w:pPr>
        <w:spacing w:after="0" w:line="119"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Our expenses could increase beyond our expectations if we are required by the U.S. Food and Drug Administration, or the FDA, or other regulatory authorities to perform clinical trials in addition to those that we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currently expect, or if there are any delays in establishing appropriate manufacturing arrangements for or in completing our clinical trials or the development of any of our product candidates.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Future Financial Condition</w:t>
      </w:r>
    </w:p>
    <w:p>
      <w:pPr>
        <w:spacing w:after="0" w:line="99"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56"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Our operations have consumed substantial amounts of cash since inception. We expect to continue to spend substantial amounts to continue the preclinical and clinical development of our current and future programs. If we are able to gain marketing approval for our product candidates, we will require significant additional amounts of cash in order to launch and commercialize such product candidates to the extent that such launch and commercialization are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19" w:lineRule="exact"/>
        <w:rPr>
          <w:sz w:val="20"/>
          <w:szCs w:val="20"/>
          <w:color w:val="auto"/>
        </w:rPr>
      </w:pPr>
    </w:p>
    <w:p>
      <w:pPr>
        <w:ind w:left="640" w:right="260" w:hanging="320"/>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current product candidates and other product candidates we may develop and pursue, including drug product manufacturing;</w:t>
      </w:r>
    </w:p>
    <w:p>
      <w:pPr>
        <w:spacing w:after="0" w:line="76" w:lineRule="exact"/>
        <w:rPr>
          <w:rFonts w:ascii="Arial" w:cs="Arial" w:eastAsia="Arial" w:hAnsi="Arial"/>
          <w:sz w:val="17"/>
          <w:szCs w:val="17"/>
          <w:color w:val="auto"/>
        </w:rPr>
      </w:pPr>
    </w:p>
    <w:p>
      <w:pPr>
        <w:ind w:left="640" w:right="440" w:hanging="320"/>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uncertainty of, and the costs involved in, obtaining marketing approvals for our current product candidates, and other product candidates we may develop and pursue;</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future product candidates that we may pursue and their development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jurisdictions in which we plan to seek regulatory approvals;</w:t>
      </w:r>
    </w:p>
    <w:p>
      <w:pPr>
        <w:spacing w:after="0" w:line="119" w:lineRule="exact"/>
        <w:rPr>
          <w:rFonts w:ascii="Arial" w:cs="Arial" w:eastAsia="Arial" w:hAnsi="Arial"/>
          <w:sz w:val="17"/>
          <w:szCs w:val="17"/>
          <w:color w:val="auto"/>
        </w:rPr>
      </w:pPr>
    </w:p>
    <w:p>
      <w:pPr>
        <w:ind w:left="640" w:right="260" w:hanging="320"/>
        <w:spacing w:after="0" w:line="266"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approved, the costs of commercialization activities for our product candidates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84" w:lineRule="exact"/>
        <w:rPr>
          <w:rFonts w:ascii="Arial" w:cs="Arial" w:eastAsia="Arial" w:hAnsi="Arial"/>
          <w:sz w:val="17"/>
          <w:szCs w:val="17"/>
          <w:color w:val="auto"/>
        </w:rPr>
      </w:pPr>
    </w:p>
    <w:p>
      <w:pPr>
        <w:ind w:left="640" w:right="360" w:hanging="320"/>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receipt of regulatory approval, revenue, if any, received from commercial sales of our product candidates for any approved indications or any other product candidates;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19" w:lineRule="exact"/>
        <w:rPr>
          <w:rFonts w:ascii="Arial" w:cs="Arial" w:eastAsia="Arial" w:hAnsi="Arial"/>
          <w:sz w:val="17"/>
          <w:szCs w:val="17"/>
          <w:color w:val="auto"/>
        </w:rPr>
      </w:pPr>
    </w:p>
    <w:p>
      <w:pPr>
        <w:ind w:left="640" w:right="80" w:hanging="320"/>
        <w:spacing w:after="0" w:line="275"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and maintaining and protecting our intellectual property rights, including enforcing and defending intellectual property related claims;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ongoing costs of operating as a public company.</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87"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believe that our existing cash, cash equivalents and marketable securities as of December 31, 2021 will enable us to fund our operating expenses and capital expenditure requirements into the second quarter of 2023.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67" w:lineRule="exact"/>
        <w:rPr>
          <w:sz w:val="20"/>
          <w:szCs w:val="20"/>
          <w:color w:val="auto"/>
        </w:rPr>
      </w:pPr>
    </w:p>
    <w:p>
      <w:pPr>
        <w:ind w:right="560"/>
        <w:spacing w:after="0" w:line="30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56"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We expect our expenses to increase in connection with our planned operations. Unless and until we can generate a substantial amount of revenue from our product candidates, we expect to finance our future cash needs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8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To the extent that we raise additional capital through the sale of common stock, convertible securities or other equity securities, our existing stockholders' ownership interests may be diluted, and the terms of these securities could include liquidation or other preferences and anti-dilution protections that could adversely affect the rights of our stockholders.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89"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If we raise additional funds through collaborations or marketing, distribution, licensing and royalty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7"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b w:val="1"/>
          <w:bCs w:val="1"/>
          <w:i w:val="1"/>
          <w:iCs w:val="1"/>
          <w:color w:val="auto"/>
        </w:rPr>
        <w:t>We are a clinical-stage biopharmaceutical company with a very limited operating history and no products approved for commercial sale, which may make it difficult to evaluate our current business and predict our future success and viability.</w:t>
      </w:r>
    </w:p>
    <w:p>
      <w:pPr>
        <w:spacing w:after="0" w:line="56" w:lineRule="exact"/>
        <w:rPr>
          <w:sz w:val="20"/>
          <w:szCs w:val="20"/>
          <w:color w:val="auto"/>
        </w:rPr>
      </w:pPr>
    </w:p>
    <w:p>
      <w:pPr>
        <w:ind w:right="140" w:firstLine="433"/>
        <w:spacing w:after="0" w:line="259" w:lineRule="auto"/>
        <w:rPr>
          <w:sz w:val="20"/>
          <w:szCs w:val="20"/>
          <w:color w:val="auto"/>
        </w:rPr>
      </w:pPr>
      <w:r>
        <w:rPr>
          <w:rFonts w:ascii="Arial" w:cs="Arial" w:eastAsia="Arial" w:hAnsi="Arial"/>
          <w:sz w:val="17"/>
          <w:szCs w:val="17"/>
          <w:color w:val="auto"/>
        </w:rPr>
        <w:t>We are a clinical-stage biopharmaceutical company, focused on translating genetic insights into the development of therapies for CNS disorders characterized by neuronal imbalance. We commenced operations in 2016, have no products approved for commercial sale and have not generated any revenue from product sales. Our operations have been focused on developing and conducting preclinical and clinical studies of our product candidates.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development is a highly uncertain undertaking and involves a substantial degree of risk.</w:t>
      </w:r>
    </w:p>
    <w:p>
      <w:pPr>
        <w:spacing w:after="0" w:line="139" w:lineRule="exact"/>
        <w:rPr>
          <w:sz w:val="20"/>
          <w:szCs w:val="20"/>
          <w:color w:val="auto"/>
        </w:rPr>
      </w:pPr>
    </w:p>
    <w:p>
      <w:pPr>
        <w:ind w:right="380" w:firstLine="433"/>
        <w:spacing w:after="0" w:line="263" w:lineRule="auto"/>
        <w:rPr>
          <w:sz w:val="20"/>
          <w:szCs w:val="20"/>
          <w:color w:val="auto"/>
        </w:rPr>
      </w:pPr>
      <w:r>
        <w:rPr>
          <w:rFonts w:ascii="Arial" w:cs="Arial" w:eastAsia="Arial" w:hAnsi="Arial"/>
          <w:sz w:val="17"/>
          <w:szCs w:val="17"/>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our product candidates. Our ability to generate revenue and achieve profitability depends on many factors, including:</w:t>
      </w:r>
    </w:p>
    <w:p>
      <w:pPr>
        <w:spacing w:after="0" w:line="87" w:lineRule="exact"/>
        <w:rPr>
          <w:sz w:val="20"/>
          <w:szCs w:val="20"/>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initiating and successfully completing research and preclinical and clinical development of our product candidates;</w:t>
      </w:r>
    </w:p>
    <w:p>
      <w:pPr>
        <w:spacing w:after="0" w:line="119" w:lineRule="exact"/>
        <w:rPr>
          <w:rFonts w:ascii="Arial" w:cs="Arial" w:eastAsia="Arial" w:hAnsi="Arial"/>
          <w:sz w:val="17"/>
          <w:szCs w:val="17"/>
          <w:color w:val="auto"/>
        </w:rPr>
      </w:pPr>
    </w:p>
    <w:p>
      <w:pPr>
        <w:ind w:left="640" w:right="84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regulatory approvals and marketing authorizations for product candidates for which we successfully complete clinical development and clinical trials, if any;</w:t>
      </w:r>
    </w:p>
    <w:p>
      <w:pPr>
        <w:spacing w:after="0" w:line="76" w:lineRule="exact"/>
        <w:rPr>
          <w:rFonts w:ascii="Arial" w:cs="Arial" w:eastAsia="Arial" w:hAnsi="Arial"/>
          <w:sz w:val="17"/>
          <w:szCs w:val="17"/>
          <w:color w:val="auto"/>
        </w:rPr>
      </w:pPr>
    </w:p>
    <w:p>
      <w:pPr>
        <w:ind w:left="640" w:right="220" w:hanging="320"/>
        <w:spacing w:after="0" w:line="266"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of our product candidates;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identifying, assessing, acquiring and/or developing new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119"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launching and successfully commercializing product candidates for which we obtain regulatory and marketing approval, if any, either by collaborating with a partner or, if launched independently, by establishing a sales, marketing and distribution infrastructure;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an adequate price for our product candidates in the countries where our products are commercialized, if any;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adequate reimbursement for our product candidates from payors;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viable treatment options;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receiving milestone and other payments under any future collaboration arrangements;</w:t>
      </w:r>
    </w:p>
    <w:p>
      <w:pPr>
        <w:spacing w:after="0" w:line="119"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protecting, expanding and enforcing our portfolio of intellectual property rights, including patents, trade secrets and know-how;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68"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b w:val="1"/>
          <w:bCs w:val="1"/>
          <w:i w:val="1"/>
          <w:iCs w:val="1"/>
          <w:color w:val="auto"/>
        </w:rPr>
        <w:t>We may expend our limited resources on programs that do not yield a successful product candidate or fail to capitalize on product candidates or indications that may be more profitable or for which there is a greater likelihood of success.</w:t>
      </w:r>
    </w:p>
    <w:p>
      <w:pPr>
        <w:spacing w:after="0" w:line="5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currently have three product candidates, PRAX-114, PRAX-944 and PRAX-562, in clinical trials, and intend to initiate a clinical study for PRAX-222 in 2022.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We are currently evaluating (i) PRAX-114 for the treatment of major depressive disorder, or MDD, post-traumatic stress disorder, essential tremor, or ET, and women with menopausal and mood symptoms, (ii) PRAX-944 for the treatment of ET and Parkinson's Disease, (iii) PRAX-562 for the treatment of a broad range of rare CNS disorders, including severe pediatric epilepsies and rare adult cephalgias; and (iv) PRAX-222 for the treatment of SCN2A development and epileptic encephalopathy, or SCN2A-DEE. Our drug development strategy is to clinically test and seek regulatory approval for our product candidates in indications in which we believe we will be able to efficiently generate proof-of-concept data. If any of our product candidates is approved, we then intend to expand to clinical testing and potentially seek regulatory approvals in other neurological and psychiatric disease indications based on genetic and mechanistic overlap with the primary indication. However, even if our product candidates are able to gain regulatory approval in one indication, there is no guarantee that we will be able to gain regulatory approval in another indication or expand to other indications.</w:t>
      </w:r>
    </w:p>
    <w:p>
      <w:pPr>
        <w:spacing w:after="0" w:line="73"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In addition, we may focus resources on pursuing indications outside of neurology based on the same strategic approach (</w:t>
      </w:r>
      <w:r>
        <w:rPr>
          <w:rFonts w:ascii="Arial" w:cs="Arial" w:eastAsia="Arial" w:hAnsi="Arial"/>
          <w:sz w:val="17"/>
          <w:szCs w:val="17"/>
          <w:i w:val="1"/>
          <w:iCs w:val="1"/>
          <w:color w:val="auto"/>
        </w:rPr>
        <w:t>e.g.</w:t>
      </w:r>
      <w:r>
        <w:rPr>
          <w:rFonts w:ascii="Arial" w:cs="Arial" w:eastAsia="Arial" w:hAnsi="Arial"/>
          <w:sz w:val="17"/>
          <w:szCs w:val="17"/>
          <w:color w:val="auto"/>
        </w:rPr>
        <w:t>, human genetics,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neurological and psychiatric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460"/>
        <w:spacing w:after="0" w:line="387" w:lineRule="auto"/>
        <w:rPr>
          <w:sz w:val="20"/>
          <w:szCs w:val="20"/>
          <w:color w:val="auto"/>
        </w:rPr>
      </w:pPr>
      <w:r>
        <w:rPr>
          <w:rFonts w:ascii="Arial" w:cs="Arial" w:eastAsia="Arial" w:hAnsi="Arial"/>
          <w:sz w:val="17"/>
          <w:szCs w:val="17"/>
          <w:b w:val="1"/>
          <w:bCs w:val="1"/>
          <w:color w:val="auto"/>
        </w:rPr>
        <w:t xml:space="preserve">Risks Related to Research and Development and the Biopharmaceutical Industry </w:t>
      </w:r>
      <w:r>
        <w:rPr>
          <w:rFonts w:ascii="Arial" w:cs="Arial" w:eastAsia="Arial" w:hAnsi="Arial"/>
          <w:sz w:val="17"/>
          <w:szCs w:val="17"/>
          <w:u w:val="single" w:color="auto"/>
          <w:color w:val="auto"/>
        </w:rPr>
        <w:t>Risks Related to Preclinical and Clinical Development</w:t>
      </w:r>
    </w:p>
    <w:p>
      <w:pPr>
        <w:spacing w:after="0" w:line="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i w:val="1"/>
          <w:iCs w:val="1"/>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75" w:lineRule="exact"/>
        <w:rPr>
          <w:sz w:val="20"/>
          <w:szCs w:val="20"/>
          <w:color w:val="auto"/>
        </w:rPr>
      </w:pPr>
    </w:p>
    <w:p>
      <w:pPr>
        <w:ind w:right="20" w:firstLine="393"/>
        <w:spacing w:after="0" w:line="260" w:lineRule="auto"/>
        <w:rPr>
          <w:sz w:val="20"/>
          <w:szCs w:val="20"/>
          <w:color w:val="auto"/>
        </w:rPr>
      </w:pPr>
      <w:r>
        <w:rPr>
          <w:rFonts w:ascii="Arial" w:cs="Arial" w:eastAsia="Arial" w:hAnsi="Arial"/>
          <w:sz w:val="17"/>
          <w:szCs w:val="17"/>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or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91" w:lineRule="exact"/>
        <w:rPr>
          <w:sz w:val="20"/>
          <w:szCs w:val="20"/>
          <w:color w:val="auto"/>
        </w:rPr>
      </w:pPr>
    </w:p>
    <w:p>
      <w:pPr>
        <w:ind w:right="60" w:firstLine="393"/>
        <w:spacing w:after="0" w:line="263" w:lineRule="auto"/>
        <w:rPr>
          <w:sz w:val="20"/>
          <w:szCs w:val="20"/>
          <w:color w:val="auto"/>
        </w:rPr>
      </w:pPr>
      <w:r>
        <w:rPr>
          <w:rFonts w:ascii="Arial" w:cs="Arial" w:eastAsia="Arial" w:hAnsi="Arial"/>
          <w:sz w:val="17"/>
          <w:szCs w:val="17"/>
          <w:color w:val="auto"/>
        </w:rPr>
        <w:t>We have not previously submitted an NDA to the FDA or similar marketing authorization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authorization application.</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product candidates could fail to receive regulatory approval for many reasons, including the following:</w:t>
      </w:r>
    </w:p>
    <w:p>
      <w:pPr>
        <w:spacing w:after="0" w:line="119" w:lineRule="exact"/>
        <w:rPr>
          <w:sz w:val="20"/>
          <w:szCs w:val="20"/>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119" w:lineRule="exact"/>
        <w:rPr>
          <w:rFonts w:ascii="Arial" w:cs="Arial" w:eastAsia="Arial" w:hAnsi="Arial"/>
          <w:sz w:val="17"/>
          <w:szCs w:val="17"/>
          <w:color w:val="auto"/>
        </w:rPr>
      </w:pPr>
    </w:p>
    <w:p>
      <w:pPr>
        <w:ind w:left="640" w:right="100" w:hanging="320"/>
        <w:spacing w:after="0" w:line="275"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w:t>
      </w:r>
    </w:p>
    <w:p>
      <w:pPr>
        <w:spacing w:after="0" w:line="76" w:lineRule="exact"/>
        <w:rPr>
          <w:rFonts w:ascii="Arial" w:cs="Arial" w:eastAsia="Arial" w:hAnsi="Arial"/>
          <w:sz w:val="17"/>
          <w:szCs w:val="17"/>
          <w:color w:val="auto"/>
        </w:rPr>
      </w:pPr>
    </w:p>
    <w:p>
      <w:pPr>
        <w:ind w:left="640" w:right="640" w:hanging="320"/>
        <w:spacing w:after="0" w:line="275"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19" w:lineRule="exact"/>
        <w:rPr>
          <w:rFonts w:ascii="Arial" w:cs="Arial" w:eastAsia="Arial" w:hAnsi="Arial"/>
          <w:sz w:val="17"/>
          <w:szCs w:val="17"/>
          <w:color w:val="auto"/>
        </w:rPr>
      </w:pPr>
    </w:p>
    <w:p>
      <w:pPr>
        <w:ind w:left="640" w:hanging="320"/>
        <w:spacing w:after="0" w:line="266"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84" w:lineRule="exact"/>
        <w:rPr>
          <w:rFonts w:ascii="Arial" w:cs="Arial" w:eastAsia="Arial" w:hAnsi="Arial"/>
          <w:sz w:val="17"/>
          <w:szCs w:val="17"/>
          <w:color w:val="auto"/>
        </w:rPr>
      </w:pPr>
    </w:p>
    <w:p>
      <w:pPr>
        <w:ind w:left="640" w:right="60" w:hanging="320"/>
        <w:spacing w:after="0" w:line="275"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our manufacturing processes or facilities or those of third-party manufacturers with which we contract for clinical and commercial supplies; and</w:t>
      </w:r>
    </w:p>
    <w:p>
      <w:pPr>
        <w:spacing w:after="0" w:line="76" w:lineRule="exact"/>
        <w:rPr>
          <w:rFonts w:ascii="Arial" w:cs="Arial" w:eastAsia="Arial" w:hAnsi="Arial"/>
          <w:sz w:val="17"/>
          <w:szCs w:val="17"/>
          <w:color w:val="auto"/>
        </w:rPr>
      </w:pPr>
    </w:p>
    <w:p>
      <w:pPr>
        <w:ind w:left="640" w:right="620" w:hanging="320"/>
        <w:spacing w:after="0" w:line="275"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77" w:lineRule="exact"/>
        <w:rPr>
          <w:sz w:val="20"/>
          <w:szCs w:val="20"/>
          <w:color w:val="auto"/>
        </w:rPr>
      </w:pPr>
    </w:p>
    <w:p>
      <w:pPr>
        <w:ind w:right="80" w:firstLine="393"/>
        <w:spacing w:after="0" w:line="259"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6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75"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298"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73"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of clinical studies;</w:t>
      </w:r>
    </w:p>
    <w:p>
      <w:pPr>
        <w:spacing w:after="0" w:line="137"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timely completion of preclinical laboratory tests, animal studies and formulation studies in accordance with the FDA’s Good Laboratory Practice, or GLP, requirements and other applicable regulations;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each trial may be initiated;</w:t>
      </w:r>
    </w:p>
    <w:p>
      <w:pPr>
        <w:spacing w:after="0" w:line="119" w:lineRule="exact"/>
        <w:rPr>
          <w:rFonts w:ascii="Arial" w:cs="Arial" w:eastAsia="Arial" w:hAnsi="Arial"/>
          <w:sz w:val="17"/>
          <w:szCs w:val="17"/>
          <w:color w:val="auto"/>
        </w:rPr>
      </w:pPr>
    </w:p>
    <w:p>
      <w:pPr>
        <w:ind w:left="640" w:right="100" w:hanging="320"/>
        <w:spacing w:after="0" w:line="266"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identifying, recruiting and training suitable clinical investigators;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recruiting suitable patients to participate in our clinical trials;</w:t>
      </w:r>
    </w:p>
    <w:p>
      <w:pPr>
        <w:spacing w:after="0" w:line="119" w:lineRule="exact"/>
        <w:rPr>
          <w:rFonts w:ascii="Arial" w:cs="Arial" w:eastAsia="Arial" w:hAnsi="Arial"/>
          <w:sz w:val="17"/>
          <w:szCs w:val="17"/>
          <w:color w:val="auto"/>
        </w:rPr>
      </w:pPr>
    </w:p>
    <w:p>
      <w:pPr>
        <w:ind w:left="640" w:right="80" w:hanging="320"/>
        <w:spacing w:after="0" w:line="275"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trials or the inability to do any of the foregoing;</w:t>
      </w:r>
    </w:p>
    <w:p>
      <w:pPr>
        <w:spacing w:after="0" w:line="76" w:lineRule="exact"/>
        <w:rPr>
          <w:rFonts w:ascii="Arial" w:cs="Arial" w:eastAsia="Arial" w:hAnsi="Arial"/>
          <w:sz w:val="17"/>
          <w:szCs w:val="17"/>
          <w:color w:val="auto"/>
        </w:rPr>
      </w:pPr>
    </w:p>
    <w:p>
      <w:pPr>
        <w:ind w:left="640" w:right="600" w:hanging="320"/>
        <w:spacing w:after="0" w:line="275"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regulatory authorities;</w:t>
      </w:r>
    </w:p>
    <w:p>
      <w:pPr>
        <w:spacing w:after="0" w:line="119" w:lineRule="exact"/>
        <w:rPr>
          <w:rFonts w:ascii="Arial" w:cs="Arial" w:eastAsia="Arial" w:hAnsi="Arial"/>
          <w:sz w:val="17"/>
          <w:szCs w:val="17"/>
          <w:color w:val="auto"/>
        </w:rPr>
      </w:pPr>
    </w:p>
    <w:p>
      <w:pPr>
        <w:jc w:val="both"/>
        <w:ind w:left="640" w:right="220" w:hanging="320"/>
        <w:spacing w:after="0" w:line="266"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84"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recruiting, screening and enrolling patients and delays caused by patients withdrawing from clinical trials or failing to return for post-treatment follow-up;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difficulty collaborating with patient groups and investigators;</w:t>
      </w:r>
    </w:p>
    <w:p>
      <w:pPr>
        <w:spacing w:after="0" w:line="119"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trial protocols; failure to perform in accordance with the FDA’s or any other regulatory authority’s Good Clinical Practice, or GCP, requirements, or applicable regulatory guidelines in other countries;</w:t>
      </w:r>
    </w:p>
    <w:p>
      <w:pPr>
        <w:spacing w:after="0" w:line="76" w:lineRule="exact"/>
        <w:rPr>
          <w:rFonts w:ascii="Arial" w:cs="Arial" w:eastAsia="Arial" w:hAnsi="Arial"/>
          <w:sz w:val="17"/>
          <w:szCs w:val="17"/>
          <w:color w:val="auto"/>
        </w:rPr>
      </w:pPr>
    </w:p>
    <w:p>
      <w:pPr>
        <w:ind w:left="640" w:right="220" w:hanging="320"/>
        <w:spacing w:after="0" w:line="27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 or occurrence of adverse events in trial of the same class of agents conducted by other companies;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to the clinical trial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sites deviating from trial protocol or dropping out of a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observation or analyses of resulting data;</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being greater than we anticipated;</w:t>
      </w:r>
    </w:p>
    <w:p>
      <w:pPr>
        <w:spacing w:after="0" w:line="119" w:lineRule="exact"/>
        <w:rPr>
          <w:rFonts w:ascii="Arial" w:cs="Arial" w:eastAsia="Arial" w:hAnsi="Arial"/>
          <w:sz w:val="17"/>
          <w:szCs w:val="17"/>
          <w:color w:val="auto"/>
        </w:rPr>
      </w:pPr>
    </w:p>
    <w:p>
      <w:pPr>
        <w:ind w:left="640" w:right="700" w:hanging="320"/>
        <w:spacing w:after="0" w:line="27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76"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transfer of manufacturing processes to larger-scale facilities operated by a contract manufacturing organization, or CMO, and delays or failure by our CMOs or us to make any necessary changes to such manufacturing process;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 parties being unwilling or unable to satisfy their contractual obligations to us.</w:t>
      </w:r>
    </w:p>
    <w:p>
      <w:pPr>
        <w:spacing w:after="0" w:line="119" w:lineRule="exact"/>
        <w:rPr>
          <w:sz w:val="20"/>
          <w:szCs w:val="20"/>
          <w:color w:val="auto"/>
        </w:rPr>
      </w:pPr>
    </w:p>
    <w:p>
      <w:pPr>
        <w:ind w:right="480" w:firstLine="433"/>
        <w:spacing w:after="0" w:line="275"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preclinical studies and clinical trials.</w:t>
      </w:r>
    </w:p>
    <w:p>
      <w:pPr>
        <w:spacing w:after="0" w:line="77"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or DSMB, for such trial or by the FDA or comparable foreign regulatory authorities. Such authorities may impose such a suspension or termination due to a number of factors, including failure to conduct the</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87" w:lineRule="exact"/>
        <w:rPr>
          <w:sz w:val="20"/>
          <w:szCs w:val="20"/>
          <w:color w:val="auto"/>
        </w:rPr>
      </w:pPr>
    </w:p>
    <w:p>
      <w:pPr>
        <w:ind w:firstLine="393"/>
        <w:spacing w:after="0" w:line="259" w:lineRule="auto"/>
        <w:rPr>
          <w:sz w:val="20"/>
          <w:szCs w:val="20"/>
          <w:color w:val="auto"/>
        </w:rPr>
      </w:pPr>
      <w:r>
        <w:rPr>
          <w:rFonts w:ascii="Arial" w:cs="Arial" w:eastAsia="Arial" w:hAnsi="Arial"/>
          <w:sz w:val="17"/>
          <w:szCs w:val="17"/>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For example, prior MDD studies have exhibited a high placebo effect.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Further, conducting clinical trials in foreign countries, as we have done and may continue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87"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301"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71" w:lineRule="exact"/>
        <w:rPr>
          <w:sz w:val="20"/>
          <w:szCs w:val="20"/>
          <w:color w:val="auto"/>
        </w:rPr>
      </w:pPr>
    </w:p>
    <w:p>
      <w:pPr>
        <w:ind w:right="400"/>
        <w:spacing w:after="0" w:line="300"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56" w:lineRule="exact"/>
        <w:rPr>
          <w:sz w:val="20"/>
          <w:szCs w:val="20"/>
          <w:color w:val="auto"/>
        </w:rPr>
      </w:pPr>
    </w:p>
    <w:p>
      <w:pPr>
        <w:jc w:val="both"/>
        <w:ind w:right="340" w:firstLine="433"/>
        <w:spacing w:after="0" w:line="257"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In addition, many compounds that have initially showed promise in clinical or earlier stage testing are later found to cause undesirable or unexpected side effects that prevented further development of the compound. Additionally, the composition of our product candidates or learnings in preclinical studies or clinical trials may result in contraindications for any product candidates for which we may obtain regulatory approval.</w:t>
      </w:r>
    </w:p>
    <w:p>
      <w:pPr>
        <w:spacing w:after="0" w:line="87"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If unacceptable side effects arise in the development of our product candidates, we, foreign regulatory authorities, or the FDA, the IRBs or DSMBs at the institutions in which our trials are conducted could suspend or terminate our preclinical studies or clinical trials or foreign regulatory authorities or the FDA could order us to cease preclinical studies or clinical trials or deny approval of our product candidates for any or all targeted indications.</w:t>
      </w:r>
    </w:p>
    <w:p>
      <w:pPr>
        <w:spacing w:after="0" w:line="87"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87"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Moreover, 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91"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product candidates;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contraindications;</w:t>
      </w:r>
    </w:p>
    <w:p>
      <w:pPr>
        <w:spacing w:after="0" w:line="119" w:lineRule="exact"/>
        <w:rPr>
          <w:rFonts w:ascii="Arial" w:cs="Arial" w:eastAsia="Arial" w:hAnsi="Arial"/>
          <w:sz w:val="17"/>
          <w:szCs w:val="17"/>
          <w:color w:val="auto"/>
        </w:rPr>
      </w:pPr>
    </w:p>
    <w:p>
      <w:pPr>
        <w:ind w:left="640" w:right="320" w:hanging="320"/>
        <w:spacing w:after="0" w:line="275"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or change the labeling of the product candidates;</w:t>
      </w:r>
    </w:p>
    <w:p>
      <w:pPr>
        <w:spacing w:after="0" w:line="76" w:lineRule="exact"/>
        <w:rPr>
          <w:rFonts w:ascii="Arial" w:cs="Arial" w:eastAsia="Arial" w:hAnsi="Arial"/>
          <w:sz w:val="17"/>
          <w:szCs w:val="17"/>
          <w:color w:val="auto"/>
        </w:rPr>
      </w:pPr>
    </w:p>
    <w:p>
      <w:pPr>
        <w:jc w:val="both"/>
        <w:ind w:left="640" w:right="160" w:hanging="320"/>
        <w:spacing w:after="0" w:line="266"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may require a Risk Evaluation and Mitigation Strategy, or REMS, plan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19" w:lineRule="exact"/>
        <w:rPr>
          <w:rFonts w:ascii="Arial" w:cs="Arial" w:eastAsia="Arial" w:hAnsi="Arial"/>
          <w:sz w:val="17"/>
          <w:szCs w:val="17"/>
          <w:color w:val="auto"/>
        </w:rPr>
      </w:pPr>
    </w:p>
    <w:p>
      <w:pPr>
        <w:ind w:left="640" w:right="220" w:hanging="320"/>
        <w:spacing w:after="0" w:line="275"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a comparable foreign regulatory authority may require us to conduct additional clinical trials or costly post-marketing testing and surveillance to monitor the safety and efficacy of the product;</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 candidates;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For example, we are developing PRAX-114, an extrasynaptic-preferring GABA</w:t>
      </w:r>
      <w:r>
        <w:rPr>
          <w:rFonts w:ascii="Arial" w:cs="Arial" w:eastAsia="Arial" w:hAnsi="Arial"/>
          <w:sz w:val="15"/>
          <w:szCs w:val="15"/>
          <w:color w:val="auto"/>
        </w:rPr>
        <w:t>A</w:t>
      </w:r>
      <w:r>
        <w:rPr>
          <w:rFonts w:ascii="Arial" w:cs="Arial" w:eastAsia="Arial" w:hAnsi="Arial"/>
          <w:sz w:val="17"/>
          <w:szCs w:val="17"/>
          <w:color w:val="auto"/>
        </w:rPr>
        <w:t xml:space="preserve"> receptor positive allosteric modulator, or PAM, for the treatment of patients suffering from MDD. There have been documented cases of approved GABA</w:t>
      </w:r>
      <w:r>
        <w:rPr>
          <w:rFonts w:ascii="Arial" w:cs="Arial" w:eastAsia="Arial" w:hAnsi="Arial"/>
          <w:sz w:val="15"/>
          <w:szCs w:val="15"/>
          <w:color w:val="auto"/>
        </w:rPr>
        <w:t>A</w:t>
      </w:r>
      <w:r>
        <w:rPr>
          <w:rFonts w:ascii="Arial" w:cs="Arial" w:eastAsia="Arial" w:hAnsi="Arial"/>
          <w:sz w:val="17"/>
          <w:szCs w:val="17"/>
          <w:color w:val="auto"/>
        </w:rPr>
        <w:t xml:space="preserve"> receptor modulators leading to addiction and having the potential for abuse. We have not observed this in our clinical trials of PRAX-114; however, in any such instance, we would be subject to the risks outlined above, which would impact our ability to achieve or maintain market acceptance.</w:t>
      </w:r>
    </w:p>
    <w:p>
      <w:pPr>
        <w:spacing w:after="0" w:line="87" w:lineRule="exact"/>
        <w:rPr>
          <w:sz w:val="20"/>
          <w:szCs w:val="20"/>
          <w:color w:val="auto"/>
        </w:rPr>
      </w:pPr>
    </w:p>
    <w:p>
      <w:pPr>
        <w:jc w:val="both"/>
        <w:ind w:right="600" w:firstLine="433"/>
        <w:spacing w:after="0" w:line="266"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64" w:lineRule="exact"/>
        <w:rPr>
          <w:sz w:val="20"/>
          <w:szCs w:val="20"/>
          <w:color w:val="auto"/>
        </w:rPr>
      </w:pPr>
    </w:p>
    <w:p>
      <w:pPr>
        <w:ind w:right="720"/>
        <w:spacing w:after="0" w:line="300" w:lineRule="auto"/>
        <w:rPr>
          <w:sz w:val="20"/>
          <w:szCs w:val="20"/>
          <w:color w:val="auto"/>
        </w:rPr>
      </w:pPr>
      <w:r>
        <w:rPr>
          <w:rFonts w:ascii="Arial" w:cs="Arial" w:eastAsia="Arial" w:hAnsi="Arial"/>
          <w:sz w:val="17"/>
          <w:szCs w:val="17"/>
          <w:b w:val="1"/>
          <w:bCs w:val="1"/>
          <w:i w:val="1"/>
          <w:iCs w:val="1"/>
          <w:color w:val="auto"/>
        </w:rPr>
        <w:t>If we encounter difficulties enrolling patients in our future clinical trials, our clinical development activities could be delayed or otherwise adversely affected.</w:t>
      </w:r>
    </w:p>
    <w:p>
      <w:pPr>
        <w:spacing w:after="0" w:line="56"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We have, and may in the future,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Patient enrollment is affected by many factors, including:</w:t>
      </w:r>
    </w:p>
    <w:p>
      <w:pPr>
        <w:spacing w:after="0" w:line="119"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patient eligibility criteria defined in the protocol;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size and nature of the patient population required for analysis of the trial’s primary endpoints;</w:t>
      </w:r>
    </w:p>
    <w:p>
      <w:pPr>
        <w:spacing w:after="0" w:line="11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clinical trials focused on rare disease, the small size of the patient population and the potential of a patient being undiagnosed or misdiagnosed;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9"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273" w:lineRule="exact"/>
        <w:rPr>
          <w:rFonts w:ascii="Arial" w:cs="Arial" w:eastAsia="Arial" w:hAnsi="Arial"/>
          <w:sz w:val="17"/>
          <w:szCs w:val="17"/>
          <w:color w:val="auto"/>
        </w:rPr>
      </w:pPr>
    </w:p>
    <w:p>
      <w:pPr>
        <w:ind w:left="640" w:right="240" w:hanging="320"/>
        <w:spacing w:after="0" w:line="236"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impacts of the COVID-19 pandemic on clinical trial sites, personnel and patient travel (see —Business interruptions resulting from COVID-19 or a similar pandemic, epidemic or outbreak of an infectious disease in the United States or worldwide may adversely affect our business);</w:t>
      </w:r>
    </w:p>
    <w:p>
      <w:pPr>
        <w:spacing w:after="0" w:line="92"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9" w:lineRule="exact"/>
        <w:rPr>
          <w:sz w:val="20"/>
          <w:szCs w:val="20"/>
          <w:color w:val="auto"/>
        </w:rPr>
      </w:pPr>
    </w:p>
    <w:p>
      <w:pPr>
        <w:ind w:right="300" w:firstLine="433"/>
        <w:spacing w:after="0" w:line="263"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conduct some of our clinical trials at the same clinical trial sites that some of our competitors use, which will reduce the number of patients who are available for our clinical trials in such clinical trial site.</w:t>
      </w:r>
    </w:p>
    <w:p>
      <w:pPr>
        <w:spacing w:after="0" w:line="77"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87" w:lineRule="exact"/>
        <w:rPr>
          <w:sz w:val="20"/>
          <w:szCs w:val="20"/>
          <w:color w:val="auto"/>
        </w:rPr>
      </w:pPr>
    </w:p>
    <w:p>
      <w:pPr>
        <w:jc w:val="both"/>
        <w:ind w:right="100" w:firstLine="433"/>
        <w:spacing w:after="0" w:line="266" w:lineRule="auto"/>
        <w:rPr>
          <w:sz w:val="20"/>
          <w:szCs w:val="20"/>
          <w:color w:val="auto"/>
        </w:rPr>
      </w:pPr>
      <w:r>
        <w:rPr>
          <w:rFonts w:ascii="Arial" w:cs="Arial" w:eastAsia="Arial" w:hAnsi="Arial"/>
          <w:sz w:val="17"/>
          <w:szCs w:val="17"/>
          <w:color w:val="auto"/>
        </w:rPr>
        <w:t>We are also required to register certain clinical trials and post the results of completed clinical trials on a government-sponsored database, such as www.ClinicalTrials.gov in the United States, within certain timeframes. Failure to do so can result in fines, adverse publicity and civil and criminal sanctions.</w:t>
      </w:r>
    </w:p>
    <w:p>
      <w:pPr>
        <w:spacing w:after="0" w:line="64"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6"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reported. As a result, topline and preliminary data should be viewed with caution until the final data are available.</w:t>
      </w:r>
    </w:p>
    <w:p>
      <w:pPr>
        <w:spacing w:after="0" w:line="89"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7"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later, final or actual results, or if others, including the FDA and comparable foreign regulatory authorities, disagree with the conclusions reached, our ability to obtain approval for, and commercialize our product candidates may be harmed, which could harm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markets for our product candidates may be smaller than we expect.</w:t>
      </w:r>
    </w:p>
    <w:p>
      <w:pPr>
        <w:spacing w:after="0" w:line="139"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Our estimates of the potential market opportunities in each of our franchises include several key assumptions based on our industry knowledge, industry publications and third-party research reports and other data sources and estimates. There can be no assurance that any of these assumptions are, or will remain, accurate. If the actual markets identified in each of our franchises, or for any other product candidate we may develop in the future, is smaller than we expect, our revenues, if any, may be limited and it may be more difficult for us to achieve or maintain profitability.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39"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or commercialization for a number of reasons, including: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or pharmacokinetic properties that we desire; or</w:t>
      </w:r>
    </w:p>
    <w:p>
      <w:pPr>
        <w:spacing w:after="0" w:line="119"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77"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64"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auto"/>
        </w:rPr>
        <w:t>We have begun conducting clinical trials for our product candidates in the United States, and may in the future conduct clinical trials in Europe and other jurisdictions, and the FDA, the European Medicines Agency, or EMA, and applicable foreign regulatory authorities may not accept data from trials conducted outside those respective jurisdictions.</w:t>
      </w:r>
    </w:p>
    <w:p>
      <w:pPr>
        <w:spacing w:after="0" w:line="62" w:lineRule="exact"/>
        <w:rPr>
          <w:sz w:val="20"/>
          <w:szCs w:val="20"/>
          <w:color w:val="auto"/>
        </w:rPr>
      </w:pPr>
    </w:p>
    <w:p>
      <w:pPr>
        <w:ind w:right="20" w:firstLine="433"/>
        <w:spacing w:after="0" w:line="227" w:lineRule="auto"/>
        <w:rPr>
          <w:sz w:val="20"/>
          <w:szCs w:val="20"/>
          <w:color w:val="auto"/>
        </w:rPr>
      </w:pPr>
      <w:r>
        <w:rPr>
          <w:rFonts w:ascii="Arial" w:cs="Arial" w:eastAsia="Arial" w:hAnsi="Arial"/>
          <w:sz w:val="17"/>
          <w:szCs w:val="17"/>
          <w:color w:val="auto"/>
        </w:rPr>
        <w:t>We previously conducted preclinical studies and clinical trials in Australia and New Zealand. The acceptance of study data from preclinical studies and clinical trials conducted outside the United States may be subject to certain conditions for acceptance. For example,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pursuant to GCP regulations; and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Investigational New Drug Application, or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provide advance comment on the clinical protocols for the trials, and therefore there is an additional potential risk that the FDA could determine that the trial design or protocol for a non-United States clinical trial was inadequate, which could require us to conduct additional clinical trials.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5"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auto"/>
        </w:rPr>
        <w:t>We have obtained orphan drug designation for PRAX-562 and PRAX-222 and may plan to seek orphan drug designation for additional product candidates, but we may be unable to obtain or maintain such a designation or the benefits associated with orphan drug status, including marketing exclusivity, which may cause our revenue, if any, to be reduced.</w:t>
      </w:r>
    </w:p>
    <w:p>
      <w:pPr>
        <w:spacing w:after="0" w:line="75" w:lineRule="exact"/>
        <w:rPr>
          <w:sz w:val="20"/>
          <w:szCs w:val="20"/>
          <w:color w:val="auto"/>
        </w:rPr>
      </w:pPr>
    </w:p>
    <w:p>
      <w:pPr>
        <w:ind w:right="140" w:firstLine="433"/>
        <w:spacing w:after="0" w:line="244" w:lineRule="auto"/>
        <w:rPr>
          <w:sz w:val="20"/>
          <w:szCs w:val="20"/>
          <w:color w:val="auto"/>
        </w:rPr>
      </w:pPr>
      <w:r>
        <w:rPr>
          <w:rFonts w:ascii="Arial" w:cs="Arial" w:eastAsia="Arial" w:hAnsi="Arial"/>
          <w:sz w:val="17"/>
          <w:szCs w:val="17"/>
          <w:color w:val="auto"/>
        </w:rPr>
        <w:t>In the United States,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Orphan drug designation must be requested and granted by the FDA before a new NDA is submitted. After the FDA grants orphan drug designation, it will disclose publicly the generic identity of the drug and its potential orphan use. Orphan drug designation does not convey any advantage in, or shorten the duration of, the regulatory review and approval process. The FDA has granted orphan drug designation to PRAX-562 for the treatment of SCN2A and SCN8A developmental and epileptic encephalopathies, or SCN2A-DEE and SCN8A-DEE, respectively, and to PRAX-222 for the treatment of SCN2A-DEE.</w:t>
      </w:r>
    </w:p>
    <w:p>
      <w:pPr>
        <w:spacing w:after="0" w:line="89" w:lineRule="exact"/>
        <w:rPr>
          <w:sz w:val="20"/>
          <w:szCs w:val="20"/>
          <w:color w:val="auto"/>
        </w:rPr>
      </w:pPr>
    </w:p>
    <w:p>
      <w:pPr>
        <w:ind w:right="80" w:firstLine="433"/>
        <w:spacing w:after="0" w:line="245"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biologics license application, to market the same product for the same indication for seven years, except in limited circumstances, such as a showing of clinical superiority to the product with orphan drug exclusivity or where the manufacturer is unable to assure sufficient product quantity. The applicable exclusivity period is ten years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Europe, but such exclusivity period can be reduced to six years if a product no longer meets the criteria for orphan designation or if the product is sufficiently profitable that market exclusivity is no longer justified.</w:t>
      </w:r>
    </w:p>
    <w:p>
      <w:pPr>
        <w:spacing w:after="0" w:line="76" w:lineRule="exact"/>
        <w:rPr>
          <w:sz w:val="20"/>
          <w:szCs w:val="20"/>
          <w:color w:val="auto"/>
        </w:rPr>
      </w:pPr>
    </w:p>
    <w:p>
      <w:pPr>
        <w:ind w:right="100" w:firstLine="393"/>
        <w:spacing w:after="0" w:line="243"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 Orphan drug exclusivity may also be lost if the FDA or comparable foreign regulatory authority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271"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b w:val="1"/>
          <w:bCs w:val="1"/>
          <w:i w:val="1"/>
          <w:iCs w:val="1"/>
          <w:color w:val="auto"/>
        </w:rPr>
        <w:t>We have received rare pediatric disease designation for PRAX-562 and PRAX-222. However, a marketing application for these product candidates, if approved, may not meet the eligibility criteria for a rare pediatric disease priority review voucher.</w:t>
      </w:r>
    </w:p>
    <w:p>
      <w:pPr>
        <w:spacing w:after="0" w:line="56"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In 2012,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8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received rare pediatric disease designation for PRAX-562 for the treatment of SCN2A-DEE and SCN8A-DEE, and for PRAX-222 for the treatment of SCN2A-DEE. Designation of a drug product as a product for a rare pediatric disease does not guarantee that a NDA for such drug product will meet the eligibility criteria for a rare pediatric disease priority review voucher at the time the application is approved. Under the Federal Food, Drug, and Cosmetic Act, or FDCA, we will need to request a rare pediatric disease priority review voucher in our original NDA for our product candidates for which we have received rare pediatric disease designation. The FDA may determine that a NDA for any such product candidates, if approved, do not meet the eligibility criteria for a priority review voucher.</w:t>
      </w:r>
    </w:p>
    <w:p>
      <w:pPr>
        <w:spacing w:after="0" w:line="88"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The authority for the FDA to award rare pediatric disease priority review vouchers for drug products after September 30, 2024 is currently limited to product candidates that receive rare pediatric disease designation on or prior to September 30, 2024, and the FDA may only award rare pediatric disease priority review vouchers through September 30, 2026. However, it is possible the authority for the FDA to award rare pediatric disease priority review vouchers will be further extended by Congress.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Re</w:t>
      </w:r>
      <w:r>
        <w:rPr>
          <w:rFonts w:ascii="Arial" w:cs="Arial" w:eastAsia="Arial" w:hAnsi="Arial"/>
          <w:sz w:val="17"/>
          <w:szCs w:val="17"/>
          <w:color w:val="auto"/>
        </w:rPr>
        <w:t>g</w:t>
      </w:r>
      <w:r>
        <w:rPr>
          <w:rFonts w:ascii="Arial" w:cs="Arial" w:eastAsia="Arial" w:hAnsi="Arial"/>
          <w:sz w:val="17"/>
          <w:szCs w:val="17"/>
          <w:u w:val="single" w:color="auto"/>
          <w:color w:val="auto"/>
        </w:rPr>
        <w:t>ulatory Approval</w:t>
      </w:r>
    </w:p>
    <w:p>
      <w:pPr>
        <w:spacing w:after="0" w:line="99"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6" w:lineRule="exact"/>
        <w:rPr>
          <w:sz w:val="20"/>
          <w:szCs w:val="20"/>
          <w:color w:val="auto"/>
        </w:rPr>
      </w:pPr>
    </w:p>
    <w:p>
      <w:pPr>
        <w:ind w:firstLine="433"/>
        <w:spacing w:after="0" w:line="243"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comparable regulatory authorities in other jurisdictions, including Australia and Europe,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also be approved for reimbursement before it can be approved for sale in that jurisdiction. In some cases, the price that we intend to charge for our products is also subject to governmental approval.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67"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b w:val="1"/>
          <w:bCs w:val="1"/>
          <w:i w:val="1"/>
          <w:iCs w:val="1"/>
          <w:color w:val="auto"/>
        </w:rPr>
        <w:t>Our product candidates may be regulated as controlled substances, the making, use, sale, importation, exportation, and distribution of which are subject to significant regulation by the U.S. Drug Enforcement Administration, or DEA, and other regulatory agencies.</w:t>
      </w:r>
    </w:p>
    <w:p>
      <w:pPr>
        <w:spacing w:after="0" w:line="56" w:lineRule="exact"/>
        <w:rPr>
          <w:sz w:val="20"/>
          <w:szCs w:val="20"/>
          <w:color w:val="auto"/>
        </w:rPr>
      </w:pPr>
    </w:p>
    <w:p>
      <w:pPr>
        <w:ind w:right="100" w:firstLine="393"/>
        <w:spacing w:after="0" w:line="266" w:lineRule="auto"/>
        <w:rPr>
          <w:sz w:val="20"/>
          <w:szCs w:val="20"/>
          <w:color w:val="auto"/>
        </w:rPr>
      </w:pPr>
      <w:r>
        <w:rPr>
          <w:rFonts w:ascii="Arial" w:cs="Arial" w:eastAsia="Arial" w:hAnsi="Arial"/>
          <w:sz w:val="17"/>
          <w:szCs w:val="17"/>
          <w:color w:val="auto"/>
        </w:rPr>
        <w:t>Our product candidates may be classified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and regulations of the DEA.</w:t>
      </w:r>
    </w:p>
    <w:p>
      <w:pPr>
        <w:spacing w:after="0" w:line="84" w:lineRule="exact"/>
        <w:rPr>
          <w:sz w:val="20"/>
          <w:szCs w:val="20"/>
          <w:color w:val="auto"/>
        </w:rPr>
      </w:pPr>
    </w:p>
    <w:p>
      <w:pPr>
        <w:ind w:right="40" w:firstLine="393"/>
        <w:spacing w:after="0" w:line="260" w:lineRule="auto"/>
        <w:rPr>
          <w:sz w:val="20"/>
          <w:szCs w:val="20"/>
          <w:color w:val="auto"/>
        </w:rPr>
      </w:pPr>
      <w:r>
        <w:rPr>
          <w:rFonts w:ascii="Arial" w:cs="Arial" w:eastAsia="Arial" w:hAnsi="Arial"/>
          <w:sz w:val="17"/>
          <w:szCs w:val="17"/>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Prior to commercialization, centrally acting drugs, such as those we are developing, are generally subject to review and potential scheduling by the DEA. It is possible that PRAX-114 or our other product candidates may be regulated by the DEA as controlled substances, which would subject PRAX-114 or such product candidates to additional restrictions regarding their manufacture, shipment, storage, sale and use, depending on the scheduling of the active ingredients, and may limit the commercial potential of any of our product candidates, if approved.</w:t>
      </w:r>
    </w:p>
    <w:p>
      <w:pPr>
        <w:spacing w:after="0" w:line="91" w:lineRule="exact"/>
        <w:rPr>
          <w:sz w:val="20"/>
          <w:szCs w:val="20"/>
          <w:color w:val="auto"/>
        </w:rPr>
      </w:pPr>
    </w:p>
    <w:p>
      <w:pPr>
        <w:ind w:right="360" w:firstLine="393"/>
        <w:spacing w:after="0" w:line="260" w:lineRule="auto"/>
        <w:rPr>
          <w:sz w:val="20"/>
          <w:szCs w:val="20"/>
          <w:color w:val="auto"/>
        </w:rPr>
      </w:pPr>
      <w:r>
        <w:rPr>
          <w:rFonts w:ascii="Arial" w:cs="Arial" w:eastAsia="Arial" w:hAnsi="Arial"/>
          <w:sz w:val="17"/>
          <w:szCs w:val="17"/>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 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91" w:lineRule="exact"/>
        <w:rPr>
          <w:sz w:val="20"/>
          <w:szCs w:val="20"/>
          <w:color w:val="auto"/>
        </w:rPr>
      </w:pPr>
    </w:p>
    <w:p>
      <w:pPr>
        <w:ind w:right="100" w:firstLine="393"/>
        <w:spacing w:after="0" w:line="259" w:lineRule="auto"/>
        <w:rPr>
          <w:sz w:val="20"/>
          <w:szCs w:val="20"/>
          <w:color w:val="auto"/>
        </w:rPr>
      </w:pPr>
      <w:r>
        <w:rPr>
          <w:rFonts w:ascii="Arial" w:cs="Arial" w:eastAsia="Arial" w:hAnsi="Arial"/>
          <w:sz w:val="17"/>
          <w:szCs w:val="17"/>
          <w:color w:val="auto"/>
        </w:rPr>
        <w:t>For any of our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 candidates that are classified as controlled substances.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8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by us and any collaborators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clinical trials may expose us to liability claims. We will face an even greater risk if product candidates are approved by regulatory authorities and introduced commercially. 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 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Regardless of the merits or eventual outcome, product liability claims may result in:</w:t>
      </w:r>
    </w:p>
    <w:p>
      <w:pPr>
        <w:spacing w:after="0" w:line="119" w:lineRule="exact"/>
        <w:rPr>
          <w:sz w:val="20"/>
          <w:szCs w:val="20"/>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any of our future approved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litigation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substantial monetary awards to, or costly settlements with, patients or other claimants;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recalls or a change in the indications for which any approved drug products may be used;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11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8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81"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The development and commercialization of new drug products is highly competitive. We may face competition with respect to any product candidates that we seek to develop or commercialize in the future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7"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Specifically, we face competition with GABA</w:t>
      </w:r>
      <w:r>
        <w:rPr>
          <w:rFonts w:ascii="Arial" w:cs="Arial" w:eastAsia="Arial" w:hAnsi="Arial"/>
          <w:sz w:val="15"/>
          <w:szCs w:val="15"/>
          <w:color w:val="auto"/>
        </w:rPr>
        <w:t>A</w:t>
      </w:r>
      <w:r>
        <w:rPr>
          <w:rFonts w:ascii="Arial" w:cs="Arial" w:eastAsia="Arial" w:hAnsi="Arial"/>
          <w:sz w:val="17"/>
          <w:szCs w:val="17"/>
          <w:color w:val="auto"/>
        </w:rPr>
        <w:t xml:space="preserve"> receptor modulator programs in development targeting MDD, including that of SAGE Therapeutics, as well as other programs in clinical development targeting other mechanisms of action and approved therapies such as selective serotonin reuptake inhibitors, or SSRIs; T-type calcium channel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inhibitor programs in development targeting ET, including that of Jazz Pharmaceuticals and Neurocrine Biosciences, as well as other programs in clinical development targeting other mechanisms of action, and approved therapies, such as propranolol, and off-label therapies, such as primidone; and sodium channel blocker or similar programs in development for DEEs, including those of SK-Pharma, Xenon Pharmaceuticals, Neurocrine Biosciences and Stoke Therapeutics, as well as other programs in clinical development targeting other mechanisms of action, and approved therapies including other existing ion channel blockers.</w:t>
      </w:r>
    </w:p>
    <w:p>
      <w:pPr>
        <w:spacing w:after="0" w:line="87"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If any of these competitors or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Many of our current or potential competitors, either alone or with their strategic partners, have:</w:t>
      </w:r>
    </w:p>
    <w:p>
      <w:pPr>
        <w:spacing w:after="0" w:line="119" w:lineRule="exact"/>
        <w:rPr>
          <w:sz w:val="20"/>
          <w:szCs w:val="20"/>
          <w:color w:val="auto"/>
        </w:rPr>
      </w:pPr>
    </w:p>
    <w:p>
      <w:pPr>
        <w:ind w:left="640" w:right="840" w:hanging="320"/>
        <w:spacing w:after="0" w:line="275"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greater financial, technical and human resources than we have at every stage of the discovery, development, manufacture and commercialization of products;</w:t>
      </w:r>
    </w:p>
    <w:p>
      <w:pPr>
        <w:spacing w:after="0" w:line="76" w:lineRule="exact"/>
        <w:rPr>
          <w:rFonts w:ascii="Arial" w:cs="Arial" w:eastAsia="Arial" w:hAnsi="Arial"/>
          <w:sz w:val="17"/>
          <w:szCs w:val="17"/>
          <w:color w:val="auto"/>
        </w:rPr>
      </w:pPr>
    </w:p>
    <w:p>
      <w:pPr>
        <w:ind w:left="640" w:right="800" w:hanging="320"/>
        <w:spacing w:after="0" w:line="275"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more extensive experience in preclinical testing, conducting clinical trials, obtaining regulatory approvals, and in manufacturing, marketing and selling drug products;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1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301"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Post-Marketin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Regulatory Requirements</w:t>
      </w:r>
    </w:p>
    <w:p>
      <w:pPr>
        <w:spacing w:after="0" w:line="99"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81"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Even if the FDA or a comparable foreign regulatory authority approves any of our product candidates, we will be subject to ongoing regulatory requirements in the applicable jurisdictions for manufacturing, labeling, packaging, storage, advertising, promotion, sampling, record-keeping, conduct of post-marketing studies and submission of safety, efficacy and other post-market information. In addition, we will be subject to continued compliance with cGMP or similar regulatory requirements outside the United States and GCP requirements for any clinical trials that we conduct post-approval.</w:t>
      </w:r>
    </w:p>
    <w:p>
      <w:pPr>
        <w:spacing w:after="0" w:line="87" w:lineRule="exact"/>
        <w:rPr>
          <w:sz w:val="20"/>
          <w:szCs w:val="20"/>
          <w:color w:val="auto"/>
        </w:rPr>
      </w:pPr>
    </w:p>
    <w:p>
      <w:pPr>
        <w:ind w:right="340" w:firstLine="433"/>
        <w:spacing w:after="0" w:line="275" w:lineRule="auto"/>
        <w:rPr>
          <w:sz w:val="20"/>
          <w:szCs w:val="20"/>
          <w:color w:val="auto"/>
        </w:rPr>
      </w:pPr>
      <w:r>
        <w:rPr>
          <w:rFonts w:ascii="Arial" w:cs="Arial" w:eastAsia="Arial" w:hAnsi="Arial"/>
          <w:sz w:val="17"/>
          <w:szCs w:val="17"/>
          <w:color w:val="auto"/>
        </w:rPr>
        <w:t>Manufacturers and their facilities are required to comply with extensive regulatory authority requirements, including ensuring that quality control and manufacturing procedures conform to cGMP or other similar regulations.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As such, we and our contract manufacturers will be subject to continual review and inspections to assess compliance with cGMP or similar regulatory requirements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87"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Similar requirements may apply in foreign jurisdictions. In addition, if the FDA or a comparable foreign regulatory authority approves our product candidates, we will have to comply with requirements including submissions of safety and other post-marketing information and reports and registration.</w:t>
      </w:r>
    </w:p>
    <w:p>
      <w:pPr>
        <w:spacing w:after="0" w:line="89"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In the United States and elsewhere, the FDA and foreign regulatory authorities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or similar program. Other potential consequences include, among other things:</w:t>
      </w:r>
    </w:p>
    <w:p>
      <w:pPr>
        <w:spacing w:after="0" w:line="88"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the manufacturing of our products, the approved manufacturers or the manufacturing process;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withdrawal of the product from the market or voluntary product recalls;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warning or untitled letters from the FDA or comparable notice of violations from foreign regulatory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suspensions of any of our ongoing clinical trials;</w:t>
      </w:r>
    </w:p>
    <w:p>
      <w:pPr>
        <w:spacing w:after="0" w:line="119"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refusal by the FDA or foreign regulatory authorities to approve pending applications or supplements to approved applications filed by us or suspension or withdrawal of marketing approvals;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consent decrees, injunctions or the imposition of civil or criminal penalties.</w:t>
      </w:r>
    </w:p>
    <w:p>
      <w:pPr>
        <w:spacing w:after="0" w:line="106" w:lineRule="exact"/>
        <w:rPr>
          <w:sz w:val="20"/>
          <w:szCs w:val="20"/>
          <w:color w:val="auto"/>
        </w:rPr>
      </w:pPr>
    </w:p>
    <w:p>
      <w:pPr>
        <w:ind w:right="80" w:firstLine="433"/>
        <w:spacing w:after="0" w:line="229" w:lineRule="auto"/>
        <w:rPr>
          <w:sz w:val="20"/>
          <w:szCs w:val="20"/>
          <w:color w:val="auto"/>
        </w:rPr>
      </w:pPr>
      <w:r>
        <w:rPr>
          <w:rFonts w:ascii="Arial" w:cs="Arial" w:eastAsia="Arial" w:hAnsi="Arial"/>
          <w:sz w:val="17"/>
          <w:szCs w:val="17"/>
          <w:color w:val="auto"/>
        </w:rPr>
        <w:t>Violations of the FDCA relating to the promotion of prescription drugs may also lead to investigations alleging violations of federal and state health 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95"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56"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87"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w:t>
      </w:r>
    </w:p>
    <w:p>
      <w:pPr>
        <w:spacing w:after="0" w:line="1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Sales, Marketing and Competition</w:t>
      </w:r>
    </w:p>
    <w:p>
      <w:pPr>
        <w:spacing w:after="0" w:line="99" w:lineRule="exact"/>
        <w:rPr>
          <w:sz w:val="20"/>
          <w:szCs w:val="20"/>
          <w:color w:val="auto"/>
        </w:rPr>
      </w:pPr>
    </w:p>
    <w:p>
      <w:pPr>
        <w:ind w:right="220"/>
        <w:spacing w:after="0" w:line="300" w:lineRule="auto"/>
        <w:rPr>
          <w:sz w:val="20"/>
          <w:szCs w:val="20"/>
          <w:color w:val="auto"/>
        </w:rPr>
      </w:pPr>
      <w:r>
        <w:rPr>
          <w:rFonts w:ascii="Arial" w:cs="Arial" w:eastAsia="Arial" w:hAnsi="Arial"/>
          <w:sz w:val="17"/>
          <w:szCs w:val="17"/>
          <w:b w:val="1"/>
          <w:bCs w:val="1"/>
          <w:i w:val="1"/>
          <w:iCs w:val="1"/>
          <w:color w:val="auto"/>
        </w:rPr>
        <w:t>Our commercial success depends upon attaining significant market acceptance of our drug product candidates, if approved, among physicians, patients, third-party payors and other members of the medical community.</w:t>
      </w:r>
    </w:p>
    <w:p>
      <w:pPr>
        <w:spacing w:after="0" w:line="56"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19" w:lineRule="exact"/>
        <w:rPr>
          <w:sz w:val="20"/>
          <w:szCs w:val="20"/>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efficacy and potential advantages compared to alternative treatments;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relative convenience and ease of administration compared to alternative treatments;</w:t>
      </w:r>
    </w:p>
    <w:p>
      <w:pPr>
        <w:spacing w:after="0" w:line="119" w:lineRule="exact"/>
        <w:rPr>
          <w:rFonts w:ascii="Arial" w:cs="Arial" w:eastAsia="Arial" w:hAnsi="Arial"/>
          <w:sz w:val="17"/>
          <w:szCs w:val="17"/>
          <w:color w:val="auto"/>
        </w:rPr>
      </w:pPr>
    </w:p>
    <w:p>
      <w:pPr>
        <w:ind w:left="640" w:right="76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76" w:lineRule="exact"/>
        <w:rPr>
          <w:rFonts w:ascii="Arial" w:cs="Arial" w:eastAsia="Arial" w:hAnsi="Arial"/>
          <w:sz w:val="17"/>
          <w:szCs w:val="17"/>
          <w:color w:val="auto"/>
        </w:rPr>
      </w:pPr>
    </w:p>
    <w:p>
      <w:pPr>
        <w:ind w:left="640" w:right="42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size of the market for such product candidate, based on the size of the patient subsets that we are targeting, in the territories for which we gain regulatory approval;</w:t>
      </w:r>
    </w:p>
    <w:p>
      <w:pPr>
        <w:spacing w:after="0" w:line="76"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strength of sales, marketing and distribution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of any such marketing approval in relation to other product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restrictions on concomitant use of other medications;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support from patient advocacy groups;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5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94"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Arial" w:cs="Arial" w:eastAsia="Arial" w:hAnsi="Arial"/>
          <w:sz w:val="17"/>
          <w:szCs w:val="17"/>
          <w:i w:val="1"/>
          <w:iCs w:val="1"/>
          <w:color w:val="auto"/>
        </w:rPr>
        <w:t>e.g.</w:t>
      </w:r>
      <w:r>
        <w:rPr>
          <w:rFonts w:ascii="Arial" w:cs="Arial" w:eastAsia="Arial" w:hAnsi="Arial"/>
          <w:sz w:val="17"/>
          <w:szCs w:val="17"/>
          <w:color w:val="auto"/>
        </w:rPr>
        <w:t>,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91" w:lineRule="exact"/>
        <w:rPr>
          <w:sz w:val="20"/>
          <w:szCs w:val="20"/>
          <w:color w:val="auto"/>
        </w:rPr>
      </w:pPr>
    </w:p>
    <w:p>
      <w:pPr>
        <w:jc w:val="both"/>
        <w:ind w:right="100" w:firstLine="433"/>
        <w:spacing w:after="0" w:line="266" w:lineRule="auto"/>
        <w:rPr>
          <w:sz w:val="20"/>
          <w:szCs w:val="20"/>
          <w:color w:val="auto"/>
        </w:rPr>
      </w:pPr>
      <w:r>
        <w:rPr>
          <w:rFonts w:ascii="Arial" w:cs="Arial" w:eastAsia="Arial" w:hAnsi="Arial"/>
          <w:sz w:val="17"/>
          <w:szCs w:val="17"/>
          <w:color w:val="auto"/>
        </w:rPr>
        <w:t>In the United States, the Centers for Medicare &amp; Medicaid Services, or CMS, an agency within the U.S. Department of Health and Human Services, or HHS, determines whether and to what extent new products will be covered and reimbursed under Medicare and private payors tend to follow CMS to a substantial degree. Factors payors consider in determining reimbursement are based on whether the product is:</w:t>
      </w:r>
    </w:p>
    <w:p>
      <w:pPr>
        <w:spacing w:after="0" w:line="84" w:lineRule="exact"/>
        <w:rPr>
          <w:sz w:val="20"/>
          <w:szCs w:val="20"/>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97"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91"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88"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139"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In some foreign countries, the proposed pricing for a drug must be approved before it may be lawfully marketed. The requirements governing drug pricing vary widely from country to country. For example, in the 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Approaches between member states are diverging. For example, in France, effective market access will be supported by agreements with hospitals and products may be reimbursed by the Social Security Fund. The price of reimbursed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282" w:lineRule="exact"/>
        <w:rPr>
          <w:sz w:val="20"/>
          <w:szCs w:val="20"/>
          <w:color w:val="auto"/>
        </w:rPr>
      </w:pPr>
    </w:p>
    <w:p>
      <w:pPr>
        <w:ind w:right="900"/>
        <w:spacing w:after="0" w:line="300" w:lineRule="auto"/>
        <w:rPr>
          <w:sz w:val="20"/>
          <w:szCs w:val="20"/>
          <w:color w:val="auto"/>
        </w:rPr>
      </w:pPr>
      <w:r>
        <w:rPr>
          <w:rFonts w:ascii="Arial" w:cs="Arial" w:eastAsia="Arial" w:hAnsi="Arial"/>
          <w:sz w:val="17"/>
          <w:szCs w:val="17"/>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5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In order to market any products in the United States or Europe,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1"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292"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Ongoing Regulatory and Legal Compliance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Healthcare and Related Laws</w:t>
      </w:r>
    </w:p>
    <w:p>
      <w:pPr>
        <w:spacing w:after="0" w:line="99"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5"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Although we do not currently have any products on the market, upon commercialization of our product candidates, if approved, we will be subject to additional health 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94" w:lineRule="exact"/>
        <w:rPr>
          <w:sz w:val="20"/>
          <w:szCs w:val="20"/>
          <w:color w:val="auto"/>
        </w:rPr>
      </w:pPr>
    </w:p>
    <w:p>
      <w:pPr>
        <w:ind w:right="420" w:firstLine="433"/>
        <w:spacing w:after="0" w:line="275" w:lineRule="auto"/>
        <w:rPr>
          <w:sz w:val="20"/>
          <w:szCs w:val="20"/>
          <w:color w:val="auto"/>
        </w:rPr>
      </w:pPr>
      <w:r>
        <w:rPr>
          <w:rFonts w:ascii="Arial" w:cs="Arial" w:eastAsia="Arial" w:hAnsi="Arial"/>
          <w:sz w:val="17"/>
          <w:szCs w:val="17"/>
          <w:color w:val="auto"/>
        </w:rPr>
        <w:t>The applicable federal, state and foreign healthcare laws and regulations laws that may affect our ability to operate include, but are not limited to:</w:t>
      </w:r>
    </w:p>
    <w:p>
      <w:pPr>
        <w:spacing w:after="0" w:line="77" w:lineRule="exact"/>
        <w:rPr>
          <w:sz w:val="20"/>
          <w:szCs w:val="20"/>
          <w:color w:val="auto"/>
        </w:rPr>
      </w:pPr>
    </w:p>
    <w:p>
      <w:pPr>
        <w:ind w:left="640" w:right="40" w:hanging="320"/>
        <w:spacing w:after="0" w:line="259"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93" w:lineRule="exact"/>
        <w:rPr>
          <w:rFonts w:ascii="Arial" w:cs="Arial" w:eastAsia="Arial" w:hAnsi="Arial"/>
          <w:sz w:val="17"/>
          <w:szCs w:val="17"/>
          <w:color w:val="auto"/>
        </w:rPr>
      </w:pPr>
    </w:p>
    <w:p>
      <w:pPr>
        <w:ind w:left="640" w:right="120" w:hanging="320"/>
        <w:spacing w:after="0" w:line="259"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In addition,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w:t>
      </w:r>
    </w:p>
    <w:p>
      <w:pPr>
        <w:spacing w:after="0" w:line="93" w:lineRule="exact"/>
        <w:rPr>
          <w:rFonts w:ascii="Arial" w:cs="Arial" w:eastAsia="Arial" w:hAnsi="Arial"/>
          <w:sz w:val="17"/>
          <w:szCs w:val="17"/>
          <w:color w:val="auto"/>
        </w:rPr>
      </w:pPr>
    </w:p>
    <w:p>
      <w:pPr>
        <w:ind w:left="640" w:right="180" w:hanging="320"/>
        <w:spacing w:after="0" w:line="266"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60"/>
        <w:spacing w:after="0" w:line="260" w:lineRule="auto"/>
        <w:rPr>
          <w:sz w:val="20"/>
          <w:szCs w:val="20"/>
          <w:color w:val="auto"/>
        </w:rPr>
      </w:pPr>
      <w:r>
        <w:rPr>
          <w:rFonts w:ascii="Arial" w:cs="Arial" w:eastAsia="Arial" w:hAnsi="Arial"/>
          <w:sz w:val="17"/>
          <w:szCs w:val="17"/>
          <w:color w:val="auto"/>
        </w:rPr>
        <w:t>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91" w:lineRule="exact"/>
        <w:rPr>
          <w:sz w:val="20"/>
          <w:szCs w:val="20"/>
          <w:color w:val="auto"/>
        </w:rPr>
      </w:pPr>
    </w:p>
    <w:p>
      <w:pPr>
        <w:ind w:left="640" w:right="80" w:hanging="320"/>
        <w:spacing w:after="0" w:line="261"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Payments Sunshine Act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certain non-physician providers including physician providers including physician assistants and nurse practitioners, and teaching hospitals, as well as ownership and investment interests held by the physicians and their immediate family members;</w:t>
      </w:r>
    </w:p>
    <w:p>
      <w:pPr>
        <w:spacing w:after="0" w:line="88" w:lineRule="exact"/>
        <w:rPr>
          <w:rFonts w:ascii="Arial" w:cs="Arial" w:eastAsia="Arial" w:hAnsi="Arial"/>
          <w:sz w:val="17"/>
          <w:szCs w:val="17"/>
          <w:color w:val="auto"/>
        </w:rPr>
      </w:pPr>
    </w:p>
    <w:p>
      <w:pPr>
        <w:ind w:left="640" w:right="40" w:hanging="320"/>
        <w:spacing w:after="0" w:line="275"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spacing w:after="0" w:line="76" w:lineRule="exact"/>
        <w:rPr>
          <w:rFonts w:ascii="Arial" w:cs="Arial" w:eastAsia="Arial" w:hAnsi="Arial"/>
          <w:sz w:val="17"/>
          <w:szCs w:val="17"/>
          <w:color w:val="auto"/>
        </w:rPr>
      </w:pPr>
    </w:p>
    <w:p>
      <w:pPr>
        <w:ind w:left="640" w:hanging="320"/>
        <w:spacing w:after="0" w:line="260"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and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w:t>
      </w:r>
    </w:p>
    <w:p>
      <w:pPr>
        <w:spacing w:after="0" w:line="76" w:lineRule="exact"/>
        <w:rPr>
          <w:sz w:val="20"/>
          <w:szCs w:val="20"/>
          <w:color w:val="auto"/>
        </w:rPr>
      </w:pPr>
    </w:p>
    <w:p>
      <w:pPr>
        <w:ind w:right="60" w:firstLine="433"/>
        <w:spacing w:after="0" w:line="229"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95"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w:t>
      </w:r>
    </w:p>
    <w:p>
      <w:pPr>
        <w:spacing w:after="0" w:line="8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81"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303" w:lineRule="exact"/>
        <w:rPr>
          <w:sz w:val="20"/>
          <w:szCs w:val="20"/>
          <w:color w:val="auto"/>
        </w:rPr>
      </w:pPr>
    </w:p>
    <w:p>
      <w:pPr>
        <w:ind w:right="40" w:firstLine="433"/>
        <w:spacing w:after="0" w:line="258" w:lineRule="auto"/>
        <w:rPr>
          <w:sz w:val="20"/>
          <w:szCs w:val="20"/>
          <w:color w:val="auto"/>
        </w:rPr>
      </w:pPr>
      <w:r>
        <w:rPr>
          <w:rFonts w:ascii="Arial" w:cs="Arial" w:eastAsia="Arial" w:hAnsi="Arial"/>
          <w:sz w:val="17"/>
          <w:szCs w:val="17"/>
          <w:color w:val="auto"/>
        </w:rPr>
        <w:t>In Europe, the General Data Protection Regulation, or GDPR, took effect in May 2018. The GDPR imposes stringent requirements on entities that process personal data of individuals in the European Economic Area, or EEA. These requirements include, for example, establishing a legal basis for processing, providing notice to data subjects about how personal data is collected and processed, developing procedures to vindicate expanded data subject rights, implementing appropriate technical and organizational measures to safeguard personal data,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In addition, the GDPR establishes obligations for entities that process “special categories” of personal data, such as health data. Nearly all clinical trials involve the processing of these “special categories” of personal data, and processing of personal data collected during the course of clinical trials is therefore subject to heightened protections under the GDPR. Violations of the GDPR can lead to potential fines of up to €20 million or 4% of the annual global revenues of the noncompliant undertaking, whichever is greater. In addition to the foregoing, a breach of the GDPR could result in regulatory investigations, reputational damage, orders to cease /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31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 European Union and United States agreed to a transfer framework for data transferred from the European Union to the United States called the Privacy Shield, but in July 2020 the Court of Justice of the EU, or the CJEU, limited how organizations could lawfully transfer personal data from the EEA to the United States by invalidating the Privacy Shield for purposes of international transfers and imposing further restrictions on use of the standard contractual clauses, or SCCs. While the CJEU upheld the adequacy of the SCCs, it made clear that reliance on them alone may not necessarily be sufficient in all circumstances. Use of the SCCs must now be assessed on a case-by-case basis taking into account the legal regime applicable in the</w:t>
      </w:r>
    </w:p>
    <w:p>
      <w:pPr>
        <w:spacing w:after="0" w:line="2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United Kingdom; the UK’s Information Commissioner’s Office launched a public consultation on its draft revised data transfers mechanisms in August 2021.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92" w:lineRule="exact"/>
        <w:rPr>
          <w:sz w:val="20"/>
          <w:szCs w:val="20"/>
          <w:color w:val="auto"/>
        </w:rPr>
      </w:pPr>
    </w:p>
    <w:p>
      <w:pPr>
        <w:ind w:right="200" w:firstLine="433"/>
        <w:spacing w:after="0" w:line="259" w:lineRule="auto"/>
        <w:rPr>
          <w:sz w:val="20"/>
          <w:szCs w:val="20"/>
          <w:color w:val="auto"/>
        </w:rPr>
      </w:pPr>
      <w:r>
        <w:rPr>
          <w:rFonts w:ascii="Arial" w:cs="Arial" w:eastAsia="Arial" w:hAnsi="Arial"/>
          <w:sz w:val="17"/>
          <w:szCs w:val="17"/>
          <w:color w:val="auto"/>
        </w:rPr>
        <w:t>Further, since January 2021, we may also be subject to the UK GDPR, which, together with the UK Data Protection Act 2018, retains the GDPR in UK national law. The UK GDPR mirrors the fines under the GDPR, meaning the potential of parallel fines of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United Kingdom losing its adequacy decision if the European Commission deems the UK to no longer provide adequate protection for personal data. The relationship between the United Kingdom and the European Union in relation to certain aspects of data protection law remains uncertain, and it is unclear how UK data protection laws and regulations will develop in the medium to longer term.</w:t>
      </w:r>
    </w:p>
    <w:p>
      <w:pPr>
        <w:spacing w:after="0" w:line="9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the United States, HIPAA establishes a set of national privacy and security standards for the protection of individually identifiable health information, including protected health information, or PHI, by health plans, certain health care clearinghouses and health 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as well as their covered subcontractors. While we do not believe that we are currently acting as a covered entity or business associate under HIPAA, we may receive individually identifiable health information from these entities. Failure to receive this information properly could subject us to HIPAA’s criminal penalties, which may include fines up to $ 250,000 per violation and/or imprisonment. Further, any person may be prosecuted under HIPAA’s criminal provisions either directly or under aiding-and-abetting or conspiracy principles.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91"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Various states, such as California and Massachusetts, have also implemented similar privacy laws and regulations, such as the California Confidentiality of Medical Information Act, or the CMIA, that impose restrictive requirements regulating the use and disclosure of health information and other personally identifiable information. In addition to imposing fines and penalties, some of these state laws afford private rights of action to individuals who believe their personal information has been misused. California’s patient privacy laws, for example, provide for penalties of up to $250,000 and permit injured parties to sue for damages. In addition to the CMIA, California also recently enacted the California Consumer Privacy Act of 2018, or CCPA, which came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the CCPA, the CPRA or other domestic privacy and data protection laws, any liability from failure to comply with the requirements of these laws could adversely affect our financial condition.</w:t>
      </w:r>
    </w:p>
    <w:p>
      <w:pPr>
        <w:spacing w:after="0" w:line="87"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Furthermore, the Federal Trade Commission, or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88"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The legislative and regulatory landscape for privacy and data security continues to evolve, and there has been an increasing focus on privacy and data security issues which may affect our business. Any failure or perceived failure by us or our employees, representatives, contractors, consultants, collaborators, or other third parties to comply with current and future laws and regulations could result in government enforcement actions (including the imposition of significant penalties), criminal and/or civil liability for us and our officers and directors, private litigation and/or adverse publicity that negatively affects our business.</w:t>
      </w:r>
    </w:p>
    <w:p>
      <w:pPr>
        <w:spacing w:after="0" w:line="69" w:lineRule="exact"/>
        <w:rPr>
          <w:sz w:val="20"/>
          <w:szCs w:val="20"/>
          <w:color w:val="auto"/>
        </w:rPr>
      </w:pPr>
    </w:p>
    <w:p>
      <w:pPr>
        <w:ind w:right="420"/>
        <w:spacing w:after="0" w:line="300" w:lineRule="auto"/>
        <w:rPr>
          <w:sz w:val="20"/>
          <w:szCs w:val="20"/>
          <w:color w:val="auto"/>
        </w:rPr>
      </w:pPr>
      <w:r>
        <w:rPr>
          <w:rFonts w:ascii="Arial" w:cs="Arial" w:eastAsia="Arial" w:hAnsi="Arial"/>
          <w:sz w:val="17"/>
          <w:szCs w:val="17"/>
          <w:b w:val="1"/>
          <w:bCs w:val="1"/>
          <w:i w:val="1"/>
          <w:iCs w:val="1"/>
          <w:color w:val="auto"/>
        </w:rPr>
        <w:t>Ongoing healthcare legislative and regulatory reform measures may have a material adverse effect on our business and results of operations.</w:t>
      </w:r>
    </w:p>
    <w:p>
      <w:pPr>
        <w:spacing w:after="0" w:line="56"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91"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8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unless additional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84"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Moreover, on March 11, 2021, President Biden signed the American Rescue Plan Act of 2021 into law, which eliminates the statutory Medicaid drug rebate cap, currently set at 100% of a drug’s AMP, for single source and innovator multiple source drugs, beginning January 1, 2024. Payment methodologies may also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89"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89"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In the United States, 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1"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95"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domestic facilities and was continuing to maintain this level of operation as of September 2021. Regulatory authorities outside the United States may adopt similar restrictions or other policy measures in response to the COVID-19 pandemic.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International Re</w:t>
      </w:r>
      <w:r>
        <w:rPr>
          <w:rFonts w:ascii="Arial" w:cs="Arial" w:eastAsia="Arial" w:hAnsi="Arial"/>
          <w:sz w:val="17"/>
          <w:szCs w:val="17"/>
          <w:color w:val="auto"/>
        </w:rPr>
        <w:t>g</w:t>
      </w:r>
      <w:r>
        <w:rPr>
          <w:rFonts w:ascii="Arial" w:cs="Arial" w:eastAsia="Arial" w:hAnsi="Arial"/>
          <w:sz w:val="17"/>
          <w:szCs w:val="17"/>
          <w:u w:val="single" w:color="auto"/>
          <w:color w:val="auto"/>
        </w:rPr>
        <w:t>ulations</w:t>
      </w:r>
    </w:p>
    <w:p>
      <w:pPr>
        <w:spacing w:after="0" w:line="99"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b w:val="1"/>
          <w:bCs w:val="1"/>
          <w:i w:val="1"/>
          <w:iCs w:val="1"/>
          <w:color w:val="auto"/>
        </w:rPr>
        <w:t>EU drug marketing and reimbursement regulations may materially affect our ability to market and receive coverage for our products in the European member states.</w:t>
      </w:r>
    </w:p>
    <w:p>
      <w:pPr>
        <w:spacing w:after="0" w:line="56"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91"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laws of EU member states, and in respect of the United Kingdom (which is longer a member of the European Union), the U.K. Bribery Act of 2010. Infringement of these laws could result in substantial fines and imprisonment.</w:t>
      </w:r>
    </w:p>
    <w:p>
      <w:pPr>
        <w:spacing w:after="0" w:line="87"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must often be subject to a prior notification and/or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7"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addition,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7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62" w:lineRule="exact"/>
        <w:rPr>
          <w:sz w:val="20"/>
          <w:szCs w:val="20"/>
          <w:color w:val="auto"/>
        </w:rPr>
      </w:pPr>
    </w:p>
    <w:p>
      <w:pPr>
        <w:ind w:right="220" w:firstLine="433"/>
        <w:spacing w:after="0" w:line="233" w:lineRule="auto"/>
        <w:rPr>
          <w:sz w:val="20"/>
          <w:szCs w:val="20"/>
          <w:color w:val="auto"/>
        </w:rPr>
      </w:pPr>
      <w:r>
        <w:rPr>
          <w:rFonts w:ascii="Arial" w:cs="Arial" w:eastAsia="Arial" w:hAnsi="Arial"/>
          <w:sz w:val="17"/>
          <w:szCs w:val="17"/>
          <w:color w:val="auto"/>
        </w:rPr>
        <w:t>On June 23, 2016, the United Kingdom held a referendum in which a majority of the eligible members of the electorate voted to leave the European Union, commonly referred to as Brexit. Pursuant to Article 50 of the Treaty on EU, the United Kingdom ceased being an EU member state on January 31, 2020. Under the terms of its departure, the United Kingdom entered a transition period, or the Transition Period, during which it continued to follow all EU rules, which ended on December 31, 2020. On December 30, 2020, the United Kingdom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European Union signed the Trade and Cooperation Agreement, or TCA, which includes an agreement on free trade between the two parties and has been provisionally applicable since January 1,2021. Since January 1, 2021, the United Kingdom. has operated under a separate regulatory regime to the European Union. EU laws regarding medicinal products only apply in respect of the United Kingdom to Northern Ireland (as set out in the Protocol on Ireland/Northern Ireland). The EU laws that have been transposed into U.K. law through secondary legislation remain applicable. While the United Kingdom has indicated a general intention that new laws regarding the development, manufacture and commercialization of medicinal products in the United Kingdom will align closely with EU law, there are limited detailed proposals for future regulation of medicinal products. The TCA includes specific provisions concerning medicinal products, which include the mutual recognition of Good Manufacturing Practice, or GMP, inspections of manufacturing facilities for medicinal products and GMP documents issued (such mutual recognition can be rejected by either party in certain circumstances), but does not foresee wholesale mutual recognition of U.K. and EU pharmaceutical regulations. Therefore, there remains political and economic uncertainty regarding to what extent the regulation of medicinal products will differ between the United Kingdom and the EU in the future. Any divergences will increase the cost and complexity of running our business, including with respect to the conduct of clinical trials. Since a significant proportion of the regulatory framework in the United Kingdom applicable to our business and our drug candidates is derived from EU directives and regulations, Brexit could materially impact the regulatory regime with respect to the development, manufacture, importation, approval and commercialization of our drug candidates in the United Kingdom or the European Union. Great Britain is no longer covered by the European Union’s procedures for the grant of marketing authorizations (Northern Ireland is covered by the centralized authorization procedure and can be covered under the decentralized or mutual recognition procedures). A separate marketing authorization will be required to market drugs in Great Britain. It is also currently unclear whether the U.K. regulator, the Medicines and Healthcare Products regulatory Agency, is sufficiently prepared to handle the increased volume of marketing authorization applications that it is likely to receive. Any delay in obtaining, or an inability to obtain, any marketing approvals, as a result of Brexit or otherwise, could prevent us and our collaborators or delay us and our collaborators from commercializing our drug candidates in the United Kingdom and/or the EEA and restrict our ability to generate revenue and achieve and sustain profitability.</w:t>
      </w:r>
    </w:p>
    <w:p>
      <w:pPr>
        <w:spacing w:after="0" w:line="108" w:lineRule="exact"/>
        <w:rPr>
          <w:sz w:val="20"/>
          <w:szCs w:val="20"/>
          <w:color w:val="auto"/>
        </w:rPr>
      </w:pPr>
    </w:p>
    <w:p>
      <w:pPr>
        <w:jc w:val="both"/>
        <w:ind w:right="140" w:firstLine="433"/>
        <w:spacing w:after="0" w:line="266" w:lineRule="auto"/>
        <w:rPr>
          <w:sz w:val="20"/>
          <w:szCs w:val="20"/>
          <w:color w:val="auto"/>
        </w:rPr>
      </w:pPr>
      <w:r>
        <w:rPr>
          <w:rFonts w:ascii="Arial" w:cs="Arial" w:eastAsia="Arial" w:hAnsi="Arial"/>
          <w:sz w:val="17"/>
          <w:szCs w:val="17"/>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84"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87"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Such a withdrawal from the European Union is unprecedented, and it is unclear how the United Kingdom’s access to the European single market for goods, capital, services and labor within the European Union, or single market, and the wider commercial, legal and regulatory environment, will impact our current and future operations (including business activities conducted by third parties and contract manufacturers on our behalf) and clinical activities in the 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39" w:lineRule="exact"/>
        <w:rPr>
          <w:sz w:val="20"/>
          <w:szCs w:val="20"/>
          <w:color w:val="auto"/>
        </w:rPr>
      </w:pPr>
    </w:p>
    <w:p>
      <w:pPr>
        <w:ind w:right="260" w:firstLine="433"/>
        <w:spacing w:after="0" w:line="260" w:lineRule="auto"/>
        <w:rPr>
          <w:sz w:val="20"/>
          <w:szCs w:val="20"/>
          <w:color w:val="auto"/>
        </w:rPr>
      </w:pPr>
      <w:r>
        <w:rPr>
          <w:rFonts w:ascii="Arial" w:cs="Arial" w:eastAsia="Arial" w:hAnsi="Arial"/>
          <w:sz w:val="17"/>
          <w:szCs w:val="17"/>
          <w:color w:val="auto"/>
        </w:rPr>
        <w:t>For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91"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enforcement actions.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w:t>
      </w:r>
    </w:p>
    <w:p>
      <w:pPr>
        <w:spacing w:after="0" w:line="84"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relatingto those products. If we continue and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7"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 The SEC also may suspend or bar issuers from trading securities on U.S. exchanges for violations of the FCPA’s accounting provisions.</w:t>
      </w:r>
    </w:p>
    <w:p>
      <w:pPr>
        <w:spacing w:after="0" w:line="68"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56"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1"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84"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Licensed Intellectual Property</w:t>
      </w:r>
    </w:p>
    <w:p>
      <w:pPr>
        <w:spacing w:after="0" w:line="99"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80" w:firstLine="433"/>
        <w:spacing w:after="0" w:line="26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88" w:lineRule="exact"/>
        <w:rPr>
          <w:sz w:val="20"/>
          <w:szCs w:val="20"/>
          <w:color w:val="auto"/>
        </w:rPr>
      </w:pPr>
    </w:p>
    <w:p>
      <w:pPr>
        <w:ind w:right="180" w:firstLine="433"/>
        <w:spacing w:after="0" w:line="259"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95"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77"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88"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303"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580" w:firstLine="433"/>
        <w:spacing w:after="0" w:line="275"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7" w:lineRule="exact"/>
        <w:rPr>
          <w:sz w:val="20"/>
          <w:szCs w:val="20"/>
          <w:color w:val="auto"/>
        </w:rPr>
      </w:pPr>
    </w:p>
    <w:p>
      <w:pPr>
        <w:ind w:left="640" w:right="4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76"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9"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w:t>
      </w:r>
    </w:p>
    <w:p>
      <w:pPr>
        <w:spacing w:after="0" w:line="119" w:lineRule="exact"/>
        <w:rPr>
          <w:rFonts w:ascii="Arial" w:cs="Arial" w:eastAsia="Arial" w:hAnsi="Arial"/>
          <w:sz w:val="17"/>
          <w:szCs w:val="17"/>
          <w:color w:val="auto"/>
        </w:rPr>
      </w:pPr>
    </w:p>
    <w:p>
      <w:pPr>
        <w:ind w:left="640" w:right="68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76" w:lineRule="exact"/>
        <w:rPr>
          <w:rFonts w:ascii="Arial" w:cs="Arial" w:eastAsia="Arial" w:hAnsi="Arial"/>
          <w:sz w:val="17"/>
          <w:szCs w:val="17"/>
          <w:color w:val="auto"/>
        </w:rPr>
      </w:pPr>
    </w:p>
    <w:p>
      <w:pPr>
        <w:ind w:left="640" w:right="14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9" w:lineRule="exact"/>
        <w:rPr>
          <w:rFonts w:ascii="Arial" w:cs="Arial" w:eastAsia="Arial" w:hAnsi="Arial"/>
          <w:sz w:val="17"/>
          <w:szCs w:val="17"/>
          <w:color w:val="auto"/>
        </w:rPr>
      </w:pPr>
    </w:p>
    <w:p>
      <w:pPr>
        <w:ind w:left="640" w:right="38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spacing w:after="0" w:line="76" w:lineRule="exact"/>
        <w:rPr>
          <w:rFonts w:ascii="Arial" w:cs="Arial" w:eastAsia="Arial" w:hAnsi="Arial"/>
          <w:sz w:val="17"/>
          <w:szCs w:val="17"/>
          <w:color w:val="auto"/>
        </w:rPr>
      </w:pPr>
    </w:p>
    <w:p>
      <w:pPr>
        <w:ind w:left="640" w:right="30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4" w:lineRule="exact"/>
        <w:rPr>
          <w:rFonts w:ascii="Arial" w:cs="Arial" w:eastAsia="Arial" w:hAnsi="Arial"/>
          <w:sz w:val="17"/>
          <w:szCs w:val="17"/>
          <w:color w:val="auto"/>
        </w:rPr>
      </w:pPr>
    </w:p>
    <w:p>
      <w:pPr>
        <w:jc w:val="both"/>
        <w:ind w:left="640" w:right="120" w:hanging="320"/>
        <w:spacing w:after="0" w:line="266"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4"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 and Collaboration A</w:t>
      </w:r>
      <w:r>
        <w:rPr>
          <w:rFonts w:ascii="Arial" w:cs="Arial" w:eastAsia="Arial" w:hAnsi="Arial"/>
          <w:sz w:val="17"/>
          <w:szCs w:val="17"/>
          <w:color w:val="auto"/>
        </w:rPr>
        <w:t>g</w:t>
      </w:r>
      <w:r>
        <w:rPr>
          <w:rFonts w:ascii="Arial" w:cs="Arial" w:eastAsia="Arial" w:hAnsi="Arial"/>
          <w:sz w:val="17"/>
          <w:szCs w:val="17"/>
          <w:u w:val="single" w:color="auto"/>
          <w:color w:val="auto"/>
        </w:rPr>
        <w:t>reements</w:t>
      </w:r>
    </w:p>
    <w:p>
      <w:pPr>
        <w:spacing w:after="0" w:line="99"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b w:val="1"/>
          <w:bCs w:val="1"/>
          <w:i w:val="1"/>
          <w:iCs w:val="1"/>
          <w:color w:val="auto"/>
        </w:rPr>
        <w:t>We have entered into, and may enter into, license or other collaboration agreements that impose certain obligations on us. If we fail to comply with our obligations under such agreements with third parties, we could lose rights that may be important to our business.</w:t>
      </w:r>
    </w:p>
    <w:p>
      <w:pPr>
        <w:spacing w:after="0" w:line="56"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connection with our efforts to expand our pipeline of product candidates, we have entered into and may further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 or to pursue other remedies.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19" w:lineRule="exact"/>
        <w:rPr>
          <w:sz w:val="20"/>
          <w:szCs w:val="20"/>
          <w:color w:val="auto"/>
        </w:rPr>
      </w:pPr>
    </w:p>
    <w:p>
      <w:pPr>
        <w:ind w:left="620" w:hanging="300"/>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right="20" w:hanging="320"/>
        <w:spacing w:after="0" w:line="275"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9" w:lineRule="exact"/>
        <w:rPr>
          <w:rFonts w:ascii="Arial" w:cs="Arial" w:eastAsia="Arial" w:hAnsi="Arial"/>
          <w:sz w:val="17"/>
          <w:szCs w:val="17"/>
          <w:color w:val="auto"/>
        </w:rPr>
      </w:pPr>
    </w:p>
    <w:p>
      <w:pPr>
        <w:ind w:left="640" w:right="720" w:hanging="320"/>
        <w:spacing w:after="0" w:line="275"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1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301" w:lineRule="exact"/>
        <w:rPr>
          <w:sz w:val="20"/>
          <w:szCs w:val="20"/>
          <w:color w:val="auto"/>
        </w:rPr>
      </w:pPr>
    </w:p>
    <w:p>
      <w:pPr>
        <w:ind w:right="120" w:firstLine="433"/>
        <w:spacing w:after="0" w:line="261"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3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92"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87"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Potential Third-Party Claims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39"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91"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We also may be subject to other third party claims relating to alleged infringement of intellectual property or other proprietary rights, including breach of nondisclosure, nonuse, noncompetition and non-solicitation provisions, intellectual property assignment and ownership, and misuse or misappropriation of intellectual property, trade secrets and other confidential information, among others. If a court of competent jurisdiction finds us liable for any such claims, we may be prohibited from using certain intellectual property, trade secrets and confidential information, effectively blocking our ability to seek patent protection for our inventions and halting the progress of our clinical development and commercialization efforts. For example, on May 20, 2020, we received a cease and desist letter from Sage Therapeutics, Inc., or Sage, in which Sage alleges a claim that we improperly accessed and benefited from Sage confidential information in connection with the in-license of our PRAX-114 development program as a result of our employment or engagement of former Sage employees and consultants. We believe that there is no merit to these claims and intend to defend our position. However, an adverse result could harm our business and result of operations.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19" w:lineRule="exact"/>
        <w:rPr>
          <w:sz w:val="20"/>
          <w:szCs w:val="20"/>
          <w:color w:val="auto"/>
        </w:rPr>
      </w:pPr>
    </w:p>
    <w:p>
      <w:pPr>
        <w:ind w:left="640" w:right="120" w:hanging="320"/>
        <w:spacing w:after="0" w:line="275"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76" w:lineRule="exact"/>
        <w:rPr>
          <w:rFonts w:ascii="Arial" w:cs="Arial" w:eastAsia="Arial" w:hAnsi="Arial"/>
          <w:sz w:val="17"/>
          <w:szCs w:val="17"/>
          <w:color w:val="auto"/>
        </w:rPr>
      </w:pPr>
    </w:p>
    <w:p>
      <w:pPr>
        <w:ind w:left="640" w:right="240" w:hanging="320"/>
        <w:spacing w:after="0" w:line="266"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84" w:lineRule="exact"/>
        <w:rPr>
          <w:rFonts w:ascii="Arial" w:cs="Arial" w:eastAsia="Arial" w:hAnsi="Arial"/>
          <w:sz w:val="17"/>
          <w:szCs w:val="17"/>
          <w:color w:val="auto"/>
        </w:rPr>
      </w:pPr>
    </w:p>
    <w:p>
      <w:pPr>
        <w:ind w:left="640" w:right="740" w:hanging="320"/>
        <w:spacing w:after="0" w:line="275"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76" w:lineRule="exact"/>
        <w:rPr>
          <w:rFonts w:ascii="Arial" w:cs="Arial" w:eastAsia="Arial" w:hAnsi="Arial"/>
          <w:sz w:val="17"/>
          <w:szCs w:val="17"/>
          <w:color w:val="auto"/>
        </w:rPr>
      </w:pPr>
    </w:p>
    <w:p>
      <w:pPr>
        <w:jc w:val="both"/>
        <w:ind w:left="640" w:hanging="320"/>
        <w:spacing w:after="0" w:line="266"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84"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8"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or otherwise arising from the collaboration.</w:t>
      </w:r>
    </w:p>
    <w:p>
      <w:pPr>
        <w:spacing w:after="0" w:line="56"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in cases where written agreements either do or do not exist, we may be limited in our ability to capitalize on the market potential of these inventions or developments.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3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 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0"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5" w:lineRule="exact"/>
        <w:rPr>
          <w:sz w:val="20"/>
          <w:szCs w:val="20"/>
          <w:color w:val="auto"/>
        </w:rPr>
      </w:pPr>
    </w:p>
    <w:p>
      <w:pPr>
        <w:ind w:right="1120"/>
        <w:spacing w:after="0" w:line="30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5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39" w:lineRule="exact"/>
        <w:rPr>
          <w:sz w:val="20"/>
          <w:szCs w:val="20"/>
          <w:color w:val="auto"/>
        </w:rPr>
      </w:pPr>
    </w:p>
    <w:p>
      <w:pPr>
        <w:ind w:right="340" w:firstLine="433"/>
        <w:spacing w:after="0" w:line="275"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77"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95"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91"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68" w:lineRule="exact"/>
        <w:rPr>
          <w:sz w:val="20"/>
          <w:szCs w:val="20"/>
          <w:color w:val="auto"/>
        </w:rPr>
      </w:pPr>
    </w:p>
    <w:p>
      <w:pPr>
        <w:ind w:right="540"/>
        <w:spacing w:after="0" w:line="30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56"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ex-parte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88"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92"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89"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Patent Laws and Protection</w:t>
      </w:r>
    </w:p>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right="140" w:firstLine="433"/>
        <w:spacing w:after="0" w:line="259"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patents, if issued, covering our product candidates could be found invalid or unenforceable if challenged in court or the USPTO.</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91"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Likewise, our current licensed or owned patents are expected to expire between 2029 and 2041,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Our current licensed or owned pending patent applications covering our proprietary technologies or our product candidates that if issued as patents are expected to expire from 2029 through 2041, without taking into account any possible patent term adjustments or extensions. However, we cannot be assured that the USPTO or relevant foreign patent offices will grant any of these patent applications.</w:t>
      </w:r>
    </w:p>
    <w:p>
      <w:pPr>
        <w:spacing w:after="0" w:line="281" w:lineRule="exact"/>
        <w:rPr>
          <w:sz w:val="20"/>
          <w:szCs w:val="20"/>
          <w:color w:val="auto"/>
        </w:rPr>
      </w:pPr>
    </w:p>
    <w:p>
      <w:pPr>
        <w:spacing w:after="0" w:line="300" w:lineRule="auto"/>
        <w:rPr>
          <w:sz w:val="20"/>
          <w:szCs w:val="20"/>
          <w:color w:val="auto"/>
        </w:rPr>
      </w:pPr>
      <w:r>
        <w:rPr>
          <w:rFonts w:ascii="Arial" w:cs="Arial" w:eastAsia="Arial" w:hAnsi="Arial"/>
          <w:sz w:val="17"/>
          <w:szCs w:val="17"/>
          <w:b w:val="1"/>
          <w:bCs w:val="1"/>
          <w:i w:val="1"/>
          <w:iCs w:val="1"/>
          <w:color w:val="auto"/>
        </w:rPr>
        <w:t>Changes in patent law in the United States and in foreign jurisdictions could diminish the value of patents in general, thereby impairing our ability to protect our products.</w:t>
      </w:r>
    </w:p>
    <w:p>
      <w:pPr>
        <w:spacing w:after="0" w:line="5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92"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inter-parties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303" w:lineRule="exact"/>
        <w:rPr>
          <w:sz w:val="20"/>
          <w:szCs w:val="20"/>
          <w:color w:val="auto"/>
        </w:rPr>
      </w:pPr>
    </w:p>
    <w:p>
      <w:pPr>
        <w:jc w:val="both"/>
        <w:ind w:right="140" w:firstLine="433"/>
        <w:spacing w:after="0" w:line="266"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39"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95"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w:t>
      </w:r>
    </w:p>
    <w:p>
      <w:pPr>
        <w:spacing w:after="0" w:line="87" w:lineRule="exact"/>
        <w:rPr>
          <w:sz w:val="20"/>
          <w:szCs w:val="20"/>
          <w:color w:val="auto"/>
        </w:rPr>
      </w:pPr>
    </w:p>
    <w:p>
      <w:pPr>
        <w:ind w:right="180" w:firstLine="433"/>
        <w:spacing w:after="0" w:line="260" w:lineRule="auto"/>
        <w:rPr>
          <w:sz w:val="20"/>
          <w:szCs w:val="20"/>
          <w:color w:val="auto"/>
        </w:rPr>
      </w:pPr>
      <w:r>
        <w:rPr>
          <w:rFonts w:ascii="Arial" w:cs="Arial" w:eastAsia="Arial" w:hAnsi="Arial"/>
          <w:sz w:val="17"/>
          <w:szCs w:val="17"/>
          <w:color w:val="auto"/>
        </w:rPr>
        <w:t>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3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1" w:lineRule="exact"/>
        <w:rPr>
          <w:sz w:val="20"/>
          <w:szCs w:val="20"/>
          <w:color w:val="auto"/>
        </w:rPr>
      </w:pPr>
    </w:p>
    <w:p>
      <w:pPr>
        <w:ind w:right="600"/>
        <w:spacing w:after="0" w:line="30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56"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64"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6"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 Parties Generally</w:t>
      </w:r>
    </w:p>
    <w:p>
      <w:pPr>
        <w:spacing w:after="0" w:line="9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We rely on third parties to assist in conducting our preclinical studies and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75"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We have relied upon and plan to continue to rely on third parties, such as laboratories, CROs, clinical data management organizations, medical institutions and clinical investigators, to conduct our preclinical studies and clinical trials and expect to rely on these third parties to conduct preclinical studies and clinical trials of any other product candidate that we develop. Any of these third parties may terminate their engagements with us under certain circumstances. We may not be able to enter into alternative arrangements or do so on commercially reasonable terms. Moreover, delays may occur, which could negatively impact our ability to meet our expected clinical development timelines and harm our business, financial condition and prospects.</w:t>
      </w:r>
    </w:p>
    <w:p>
      <w:pPr>
        <w:spacing w:after="0" w:line="88"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Although our reliance on these third parties for preclinical and clinical development activities limits our control over these activities, we remain responsible for ensuring that each of our preclinical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95"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303"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preclinical and clinical development timelines. Although we carefully manage our relationships with third parties conducting our studies, we cannot assure that we will not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760"/>
        <w:spacing w:after="0" w:line="275" w:lineRule="auto"/>
        <w:rPr>
          <w:sz w:val="20"/>
          <w:szCs w:val="20"/>
          <w:color w:val="auto"/>
        </w:rPr>
      </w:pPr>
      <w:r>
        <w:rPr>
          <w:rFonts w:ascii="Arial" w:cs="Arial" w:eastAsia="Arial" w:hAnsi="Arial"/>
          <w:sz w:val="17"/>
          <w:szCs w:val="17"/>
          <w:color w:val="auto"/>
        </w:rPr>
        <w:t>encounter similar challenges or delays in the future or that these delays or challenges will not have a material and adverse effect on our business, financial condition and results of operations.</w:t>
      </w:r>
    </w:p>
    <w:p>
      <w:pPr>
        <w:spacing w:after="0" w:line="77" w:lineRule="exact"/>
        <w:rPr>
          <w:sz w:val="20"/>
          <w:szCs w:val="20"/>
          <w:color w:val="auto"/>
        </w:rPr>
      </w:pPr>
    </w:p>
    <w:p>
      <w:pPr>
        <w:ind w:right="380" w:firstLine="433"/>
        <w:spacing w:after="0" w:line="266"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Manufacturers</w:t>
      </w:r>
    </w:p>
    <w:p>
      <w:pPr>
        <w:spacing w:after="0" w:line="9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75"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w:t>
      </w:r>
    </w:p>
    <w:p>
      <w:pPr>
        <w:spacing w:after="0" w:line="89" w:lineRule="exact"/>
        <w:rPr>
          <w:sz w:val="20"/>
          <w:szCs w:val="20"/>
          <w:color w:val="auto"/>
        </w:rPr>
      </w:pPr>
    </w:p>
    <w:p>
      <w:pPr>
        <w:ind w:right="160" w:firstLine="393"/>
        <w:spacing w:after="0" w:line="263" w:lineRule="auto"/>
        <w:rPr>
          <w:sz w:val="20"/>
          <w:szCs w:val="20"/>
          <w:color w:val="auto"/>
        </w:rPr>
      </w:pPr>
      <w:r>
        <w:rPr>
          <w:rFonts w:ascii="Arial" w:cs="Arial" w:eastAsia="Arial" w:hAnsi="Arial"/>
          <w:sz w:val="17"/>
          <w:szCs w:val="17"/>
          <w:color w:val="auto"/>
        </w:rPr>
        <w:t>We expect to continue to rely on third -party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87" w:lineRule="exact"/>
        <w:rPr>
          <w:sz w:val="20"/>
          <w:szCs w:val="20"/>
          <w:color w:val="auto"/>
        </w:rPr>
      </w:pPr>
    </w:p>
    <w:p>
      <w:pPr>
        <w:ind w:left="640" w:right="360" w:hanging="320"/>
        <w:spacing w:after="0" w:line="266"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23"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breach by the third-party contractors of our agreements with them;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failure of third-party contractors to comply with applicable regulatory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specifications;</w:t>
      </w:r>
    </w:p>
    <w:p>
      <w:pPr>
        <w:spacing w:after="0" w:line="119" w:lineRule="exact"/>
        <w:rPr>
          <w:rFonts w:ascii="Arial" w:cs="Arial" w:eastAsia="Arial" w:hAnsi="Arial"/>
          <w:sz w:val="17"/>
          <w:szCs w:val="17"/>
          <w:color w:val="auto"/>
        </w:rPr>
      </w:pPr>
    </w:p>
    <w:p>
      <w:pPr>
        <w:ind w:left="640" w:right="340" w:hanging="320"/>
        <w:spacing w:after="0" w:line="275"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mislabeling of clinical supplies, potentially resulting in the wrong dose amounts being supplied or study drug or placebo not being properly identified;</w:t>
      </w:r>
    </w:p>
    <w:p>
      <w:pPr>
        <w:spacing w:after="0" w:line="76" w:lineRule="exact"/>
        <w:rPr>
          <w:rFonts w:ascii="Arial" w:cs="Arial" w:eastAsia="Arial" w:hAnsi="Arial"/>
          <w:sz w:val="17"/>
          <w:szCs w:val="17"/>
          <w:color w:val="auto"/>
        </w:rPr>
      </w:pPr>
    </w:p>
    <w:p>
      <w:pPr>
        <w:ind w:left="640" w:right="560" w:hanging="320"/>
        <w:spacing w:after="0" w:line="275"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clinical supplies not being delivered to clinical sites on time and at expected cost due to inflationary impacts, leading to clinical trial interruptions, or of drug supplies not being distributed to commercial vendors in a timely manner, resulting in lost sales;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misappropriation of our proprietary information, including our trade secrets and know-how.</w:t>
      </w:r>
    </w:p>
    <w:p>
      <w:pPr>
        <w:spacing w:after="0" w:line="119" w:lineRule="exact"/>
        <w:rPr>
          <w:sz w:val="20"/>
          <w:szCs w:val="20"/>
          <w:color w:val="auto"/>
        </w:rPr>
      </w:pPr>
    </w:p>
    <w:p>
      <w:pPr>
        <w:ind w:right="40" w:firstLine="393"/>
        <w:spacing w:after="0" w:line="260"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or similar regulations for manufacturing both active drug substances and finished drug products. Third-party manufacturers may not be able to comply with cGMP or similar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87" w:lineRule="exact"/>
        <w:rPr>
          <w:sz w:val="20"/>
          <w:szCs w:val="20"/>
          <w:color w:val="auto"/>
        </w:rPr>
      </w:pPr>
    </w:p>
    <w:p>
      <w:pPr>
        <w:ind w:right="200" w:firstLine="393"/>
        <w:spacing w:after="0" w:line="275"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5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75"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Suppliers</w:t>
      </w:r>
    </w:p>
    <w:p>
      <w:pPr>
        <w:spacing w:after="0" w:line="99" w:lineRule="exact"/>
        <w:rPr>
          <w:sz w:val="20"/>
          <w:szCs w:val="20"/>
          <w:color w:val="auto"/>
        </w:rPr>
      </w:pPr>
    </w:p>
    <w:p>
      <w:pPr>
        <w:jc w:val="both"/>
        <w:ind w:right="80"/>
        <w:spacing w:after="0" w:line="300" w:lineRule="auto"/>
        <w:rPr>
          <w:sz w:val="20"/>
          <w:szCs w:val="20"/>
          <w:color w:val="auto"/>
        </w:rPr>
      </w:pPr>
      <w:r>
        <w:rPr>
          <w:rFonts w:ascii="Arial" w:cs="Arial" w:eastAsia="Arial" w:hAnsi="Arial"/>
          <w:sz w:val="17"/>
          <w:szCs w:val="17"/>
          <w:b w:val="1"/>
          <w:bCs w:val="1"/>
          <w:i w:val="1"/>
          <w:iCs w:val="1"/>
          <w:color w:val="auto"/>
        </w:rPr>
        <w:t>We depend on third-party suppliers for key raw materials used in our manufacturing processes, some of which are our sole source of supply, and the loss of these third-party suppliers or their inability to supply us with adequate raw materials could harm our business.</w:t>
      </w:r>
    </w:p>
    <w:p>
      <w:pPr>
        <w:spacing w:after="0" w:line="56"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We rely on our CMOs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CMOs’ acquisition of raw materials needed to produce our product candidates. Any significant delay in the supply of a product candidate or the raw material components thereof for an ongoing clinical trial due to a manufacturer’s need to replace a third-party supplier of raw materials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the commercial launch of our product candidates would be delayed or there would be a shortage in supply, which would impair our ability to generate revenues from the sale of our product candidates.</w:t>
      </w:r>
    </w:p>
    <w:p>
      <w:pPr>
        <w:spacing w:after="0" w:line="89" w:lineRule="exact"/>
        <w:rPr>
          <w:sz w:val="20"/>
          <w:szCs w:val="20"/>
          <w:color w:val="auto"/>
        </w:rPr>
      </w:pPr>
    </w:p>
    <w:p>
      <w:pPr>
        <w:ind w:right="220" w:firstLine="433"/>
        <w:spacing w:after="0" w:line="262" w:lineRule="auto"/>
        <w:rPr>
          <w:sz w:val="20"/>
          <w:szCs w:val="20"/>
          <w:color w:val="auto"/>
        </w:rPr>
      </w:pPr>
      <w:r>
        <w:rPr>
          <w:rFonts w:ascii="Arial" w:cs="Arial" w:eastAsia="Arial" w:hAnsi="Arial"/>
          <w:sz w:val="17"/>
          <w:szCs w:val="17"/>
          <w:color w:val="auto"/>
        </w:rPr>
        <w:t>Furthermore, for those third-party suppliers who may be our sole source of supply of certain materials, we may not have arrangements in place for a redundant or second-source supply of any such materials in the event any of our current suppliers cease their operations for any reason. Establishing additional or replacement suppliers for the raw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67"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75"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We may seek third-party collaborators for the research, development and commercialization of certain of the product candidates we may develop. For example, we have a collaboration with Ionis Pharmaceuticals, Inc. to further our development of product candidates and to enhance our research efforts directed to developing a product candidate for the treatment of epilepsy. Our likely collaborators for any other collaboration arrangements include large and mid-size pharmaceutical companies, regional and national pharmaceutical companies, biotechnology companies and academic institutions, such as The Florey Institute of Neuroscience.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commercial entities will depend on our collaborators’ abilities to successfully perform the functions assigned to them in these arrangements. We cannot predict the success of any collaboration that we enter into.</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Collaborations involving our research programs, or any product candidates we may develop, pose the following risks to us:</w:t>
      </w:r>
    </w:p>
    <w:p>
      <w:pPr>
        <w:spacing w:after="0" w:line="119" w:lineRule="exact"/>
        <w:rPr>
          <w:sz w:val="20"/>
          <w:szCs w:val="20"/>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19" w:lineRule="exact"/>
        <w:rPr>
          <w:rFonts w:ascii="Arial" w:cs="Arial" w:eastAsia="Arial" w:hAnsi="Arial"/>
          <w:sz w:val="17"/>
          <w:szCs w:val="17"/>
          <w:color w:val="auto"/>
        </w:rPr>
      </w:pPr>
    </w:p>
    <w:p>
      <w:pPr>
        <w:ind w:left="640" w:right="340" w:hanging="320"/>
        <w:spacing w:after="0" w:line="263"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87" w:lineRule="exact"/>
        <w:rPr>
          <w:rFonts w:ascii="Arial" w:cs="Arial" w:eastAsia="Arial" w:hAnsi="Arial"/>
          <w:sz w:val="17"/>
          <w:szCs w:val="17"/>
          <w:color w:val="auto"/>
        </w:rPr>
      </w:pPr>
    </w:p>
    <w:p>
      <w:pPr>
        <w:ind w:left="640" w:right="480" w:hanging="320"/>
        <w:spacing w:after="0" w:line="266"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84"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need the cooperation of our collaborators to enforce or defend any intellectual property we contribute to or that arises out of our collaborations, which may not be provided to us;</w:t>
      </w:r>
    </w:p>
    <w:p>
      <w:pPr>
        <w:spacing w:after="0" w:line="76" w:lineRule="exact"/>
        <w:rPr>
          <w:rFonts w:ascii="Arial" w:cs="Arial" w:eastAsia="Arial" w:hAnsi="Arial"/>
          <w:sz w:val="17"/>
          <w:szCs w:val="17"/>
          <w:color w:val="auto"/>
        </w:rPr>
      </w:pPr>
    </w:p>
    <w:p>
      <w:pPr>
        <w:ind w:left="640" w:right="20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control certain interactions with regulatory authorities, which may impact our ability to obtain and maintain regulatory approval of our products candidates;</w:t>
      </w:r>
    </w:p>
    <w:p>
      <w:pPr>
        <w:spacing w:after="0" w:line="76" w:lineRule="exact"/>
        <w:rPr>
          <w:rFonts w:ascii="Arial" w:cs="Arial" w:eastAsia="Arial" w:hAnsi="Arial"/>
          <w:sz w:val="17"/>
          <w:szCs w:val="17"/>
          <w:color w:val="auto"/>
        </w:rPr>
      </w:pPr>
    </w:p>
    <w:p>
      <w:pPr>
        <w:ind w:left="640" w:right="60" w:hanging="320"/>
        <w:spacing w:after="0" w:line="266"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84" w:lineRule="exact"/>
        <w:rPr>
          <w:rFonts w:ascii="Arial" w:cs="Arial" w:eastAsia="Arial" w:hAnsi="Arial"/>
          <w:sz w:val="17"/>
          <w:szCs w:val="17"/>
          <w:color w:val="auto"/>
        </w:rPr>
      </w:pPr>
    </w:p>
    <w:p>
      <w:pPr>
        <w:ind w:left="640" w:right="280" w:hanging="320"/>
        <w:spacing w:after="0" w:line="266"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4" w:lineRule="exact"/>
        <w:rPr>
          <w:rFonts w:ascii="Arial" w:cs="Arial" w:eastAsia="Arial" w:hAnsi="Arial"/>
          <w:sz w:val="17"/>
          <w:szCs w:val="17"/>
          <w:color w:val="auto"/>
        </w:rPr>
      </w:pPr>
    </w:p>
    <w:p>
      <w:pPr>
        <w:ind w:left="640" w:right="40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6" w:lineRule="exact"/>
        <w:rPr>
          <w:rFonts w:ascii="Arial" w:cs="Arial" w:eastAsia="Arial" w:hAnsi="Arial"/>
          <w:sz w:val="17"/>
          <w:szCs w:val="17"/>
          <w:color w:val="auto"/>
        </w:rPr>
      </w:pPr>
    </w:p>
    <w:p>
      <w:pPr>
        <w:ind w:left="640" w:right="280" w:hanging="320"/>
        <w:spacing w:after="0" w:line="266"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restrict us from researching, developing or commercializing certain products or technologies without their involvement;</w:t>
      </w:r>
    </w:p>
    <w:p>
      <w:pPr>
        <w:spacing w:after="0" w:line="119" w:lineRule="exact"/>
        <w:rPr>
          <w:rFonts w:ascii="Arial" w:cs="Arial" w:eastAsia="Arial" w:hAnsi="Arial"/>
          <w:sz w:val="17"/>
          <w:szCs w:val="17"/>
          <w:color w:val="auto"/>
        </w:rPr>
      </w:pPr>
    </w:p>
    <w:p>
      <w:pPr>
        <w:ind w:left="640" w:right="68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 candidates may not commit sufficient resources to the marketing and distribution of such product candidates;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1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76" w:lineRule="exact"/>
        <w:rPr>
          <w:rFonts w:ascii="Arial" w:cs="Arial" w:eastAsia="Arial" w:hAnsi="Arial"/>
          <w:sz w:val="17"/>
          <w:szCs w:val="17"/>
          <w:color w:val="auto"/>
        </w:rPr>
      </w:pPr>
    </w:p>
    <w:p>
      <w:pPr>
        <w:ind w:left="640" w:right="460" w:hanging="320"/>
        <w:spacing w:after="0" w:line="266"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key personnel at our collaborators may leave, which could negatively impact our ability to productively work with our collaborators;</w:t>
      </w:r>
    </w:p>
    <w:p>
      <w:pPr>
        <w:spacing w:after="0" w:line="119" w:lineRule="exact"/>
        <w:rPr>
          <w:rFonts w:ascii="Arial" w:cs="Arial" w:eastAsia="Arial" w:hAnsi="Arial"/>
          <w:sz w:val="17"/>
          <w:szCs w:val="17"/>
          <w:color w:val="auto"/>
        </w:rPr>
      </w:pPr>
    </w:p>
    <w:p>
      <w:pPr>
        <w:ind w:left="640" w:right="56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collaborations may require us to incur short and long-term expenditures, issue securities that dilute our stockholders or disrupt our management and business;</w:t>
      </w:r>
    </w:p>
    <w:p>
      <w:pPr>
        <w:spacing w:after="0" w:line="76" w:lineRule="exact"/>
        <w:rPr>
          <w:rFonts w:ascii="Arial" w:cs="Arial" w:eastAsia="Arial" w:hAnsi="Arial"/>
          <w:sz w:val="17"/>
          <w:szCs w:val="17"/>
          <w:color w:val="auto"/>
        </w:rPr>
      </w:pPr>
    </w:p>
    <w:p>
      <w:pPr>
        <w:ind w:left="640" w:right="140" w:hanging="320"/>
        <w:spacing w:after="0" w:line="275"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our collaborators do not satisfy their obligations under our agreements with them, or if they terminate our collaborations with them, we may not be able to develop or commercialize product candidates as planned;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40" w:right="80" w:hanging="320"/>
        <w:spacing w:after="0" w:line="266"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84" w:lineRule="exact"/>
        <w:rPr>
          <w:rFonts w:ascii="Arial" w:cs="Arial" w:eastAsia="Arial" w:hAnsi="Arial"/>
          <w:sz w:val="17"/>
          <w:szCs w:val="17"/>
          <w:color w:val="auto"/>
        </w:rPr>
      </w:pPr>
    </w:p>
    <w:p>
      <w:pPr>
        <w:ind w:left="640" w:right="20" w:hanging="320"/>
        <w:spacing w:after="0" w:line="266"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84" w:lineRule="exact"/>
        <w:rPr>
          <w:rFonts w:ascii="Arial" w:cs="Arial" w:eastAsia="Arial" w:hAnsi="Arial"/>
          <w:sz w:val="17"/>
          <w:szCs w:val="17"/>
          <w:color w:val="auto"/>
        </w:rPr>
      </w:pPr>
    </w:p>
    <w:p>
      <w:pPr>
        <w:ind w:left="640" w:right="80" w:hanging="320"/>
        <w:spacing w:after="0" w:line="266"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84"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95"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72" w:lineRule="exact"/>
        <w:rPr>
          <w:sz w:val="20"/>
          <w:szCs w:val="20"/>
          <w:color w:val="auto"/>
        </w:rPr>
      </w:pPr>
    </w:p>
    <w:p>
      <w:pPr>
        <w:ind w:right="760"/>
        <w:spacing w:after="0" w:line="300" w:lineRule="auto"/>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 or alliances.</w:t>
      </w:r>
    </w:p>
    <w:p>
      <w:pPr>
        <w:spacing w:after="0" w:line="56" w:lineRule="exact"/>
        <w:rPr>
          <w:sz w:val="20"/>
          <w:szCs w:val="20"/>
          <w:color w:val="auto"/>
        </w:rPr>
      </w:pPr>
    </w:p>
    <w:p>
      <w:pPr>
        <w:ind w:right="120" w:firstLine="433"/>
        <w:spacing w:after="0" w:line="261"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66" w:lineRule="exact"/>
        <w:rPr>
          <w:sz w:val="20"/>
          <w:szCs w:val="20"/>
          <w:color w:val="auto"/>
        </w:rPr>
      </w:pPr>
    </w:p>
    <w:p>
      <w:pPr>
        <w:ind w:right="4860"/>
        <w:spacing w:after="0" w:line="387" w:lineRule="auto"/>
        <w:rPr>
          <w:sz w:val="20"/>
          <w:szCs w:val="20"/>
          <w:color w:val="auto"/>
        </w:rPr>
      </w:pPr>
      <w:r>
        <w:rPr>
          <w:rFonts w:ascii="Arial" w:cs="Arial" w:eastAsia="Arial" w:hAnsi="Arial"/>
          <w:sz w:val="17"/>
          <w:szCs w:val="17"/>
          <w:b w:val="1"/>
          <w:bCs w:val="1"/>
          <w:color w:val="auto"/>
        </w:rPr>
        <w:t xml:space="preserve">Risks Related to Employee Matters, Managing Our Business and Operations </w:t>
      </w:r>
      <w:r>
        <w:rPr>
          <w:rFonts w:ascii="Arial" w:cs="Arial" w:eastAsia="Arial" w:hAnsi="Arial"/>
          <w:sz w:val="17"/>
          <w:szCs w:val="17"/>
          <w:u w:val="single" w:color="auto"/>
          <w:color w:val="auto"/>
        </w:rPr>
        <w:t>Risks Related to Business Operations</w:t>
      </w:r>
    </w:p>
    <w:p>
      <w:pPr>
        <w:spacing w:after="0" w:line="1"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b w:val="1"/>
          <w:bCs w:val="1"/>
          <w:i w:val="1"/>
          <w:iCs w:val="1"/>
          <w:color w:val="auto"/>
        </w:rPr>
        <w:t>Business interruptions resulting from COVID-19 or a similar pandemic, epidemic or outbreak of an infectious disease in the United States or worldwide may adversely affect our business.</w:t>
      </w:r>
    </w:p>
    <w:p>
      <w:pPr>
        <w:spacing w:after="0" w:line="43" w:lineRule="exact"/>
        <w:rPr>
          <w:sz w:val="20"/>
          <w:szCs w:val="20"/>
          <w:color w:val="auto"/>
        </w:rPr>
      </w:pPr>
    </w:p>
    <w:p>
      <w:pPr>
        <w:ind w:right="20" w:firstLine="433"/>
        <w:spacing w:after="0" w:line="233" w:lineRule="auto"/>
        <w:rPr>
          <w:sz w:val="20"/>
          <w:szCs w:val="20"/>
          <w:color w:val="auto"/>
        </w:rPr>
      </w:pPr>
      <w:r>
        <w:rPr>
          <w:rFonts w:ascii="Arial" w:cs="Arial" w:eastAsia="Arial" w:hAnsi="Arial"/>
          <w:sz w:val="17"/>
          <w:szCs w:val="17"/>
          <w:color w:val="auto"/>
        </w:rPr>
        <w:t>In December 2019, a novel strain of coronavirus named SARS-CoV-2 was identified in Wuhan, China. This virus continues to spread globally, including in the United States and the disease it causes, COVID-19, has been declared a pandemic by the World Health Organization. The COVID-19 pandemic has impacted the global economy and may impact our operations, including the potential interruption of our clinical trial activities, regulatory reviews and our supply chain.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393"/>
        <w:spacing w:after="0" w:line="230" w:lineRule="auto"/>
        <w:rPr>
          <w:sz w:val="20"/>
          <w:szCs w:val="20"/>
          <w:color w:val="auto"/>
        </w:rPr>
      </w:pPr>
      <w:r>
        <w:rPr>
          <w:rFonts w:ascii="Arial" w:cs="Arial" w:eastAsia="Arial" w:hAnsi="Arial"/>
          <w:sz w:val="17"/>
          <w:szCs w:val="17"/>
          <w:color w:val="auto"/>
        </w:rPr>
        <w:t>The COVID-19 pandemic has and may in the future delay enrollment in our clinical trials due to prioritization of hospital resources or patients being either unwilling to enroll in our trials or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For example, we had previously observed delays in our trial enrollment in Australia for our PRAX-944 Phase 2a trial due to stringent COVID-19 lockdown restrictions. While these lockdowns did not lead to a material impact on this trial from the delay in enrollment, we cannot predict the scope and severity of potential shutdowns or disruptions of businesses due to COVID-19 in the future.</w:t>
      </w:r>
    </w:p>
    <w:p>
      <w:pPr>
        <w:spacing w:after="0" w:line="79" w:lineRule="exact"/>
        <w:rPr>
          <w:sz w:val="20"/>
          <w:szCs w:val="20"/>
          <w:color w:val="auto"/>
        </w:rPr>
      </w:pPr>
    </w:p>
    <w:p>
      <w:pPr>
        <w:ind w:right="20" w:firstLine="393"/>
        <w:spacing w:after="0"/>
        <w:rPr>
          <w:sz w:val="20"/>
          <w:szCs w:val="20"/>
          <w:color w:val="auto"/>
        </w:rPr>
      </w:pPr>
      <w:r>
        <w:rPr>
          <w:rFonts w:ascii="Arial" w:cs="Arial" w:eastAsia="Arial" w:hAnsi="Arial"/>
          <w:sz w:val="17"/>
          <w:szCs w:val="17"/>
          <w:color w:val="auto"/>
        </w:rPr>
        <w:t>We continue to closely monitor the COVID-19 pandemic as we evolve our business continuity plans, clinical development plans and response strategy. The extent to which the COVID-19 pandemic impacts our business will depend on future developments, which are highly uncertain and cannot be predicted, including new information which may emerge concerning the severity of the novel coronavirus, the actions to contain the coronavirus or treat its impact and the extent and duration of the pandemic's impact on economic conditions and social activity, including with respect to inflationary pressures and supply chain shortages and disruptions, among others. At present, we are not experiencing significant impact or delays from the COVID-19 pandemic on our business, operations and, if approved, commercialization plans. In addition, we have taken steps to mitigate against COVID-19 pandemic-related delays, and may take additional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82" w:lineRule="exact"/>
        <w:rPr>
          <w:sz w:val="20"/>
          <w:szCs w:val="20"/>
          <w:color w:val="auto"/>
        </w:rPr>
      </w:pPr>
    </w:p>
    <w:p>
      <w:pPr>
        <w:ind w:right="20" w:firstLine="393"/>
        <w:spacing w:after="0" w:line="227" w:lineRule="auto"/>
        <w:rPr>
          <w:sz w:val="20"/>
          <w:szCs w:val="20"/>
          <w:color w:val="auto"/>
        </w:rPr>
      </w:pPr>
      <w:r>
        <w:rPr>
          <w:rFonts w:ascii="Arial" w:cs="Arial" w:eastAsia="Arial" w:hAnsi="Arial"/>
          <w:sz w:val="17"/>
          <w:szCs w:val="17"/>
          <w:color w:val="auto"/>
        </w:rPr>
        <w:t>While we have taken and are continuing to take steps to mitigate against possible delays,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 A significant outbreak of other infectious diseases in the future also could result in a widespread health crisis that could adversely affect the economies and financial markets worldwide, resulting in an economic downturn that could impact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economic, political, regulatory and other risks associated with international operations.</w:t>
      </w:r>
    </w:p>
    <w:p>
      <w:pPr>
        <w:spacing w:after="0" w:line="139"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77" w:lineRule="exact"/>
        <w:rPr>
          <w:sz w:val="20"/>
          <w:szCs w:val="20"/>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differing and changing regulatory requirements in non-U.S. countries;</w:t>
      </w:r>
    </w:p>
    <w:p>
      <w:pPr>
        <w:spacing w:after="0" w:line="119" w:lineRule="exact"/>
        <w:rPr>
          <w:rFonts w:ascii="Arial" w:cs="Arial" w:eastAsia="Arial" w:hAnsi="Arial"/>
          <w:sz w:val="17"/>
          <w:szCs w:val="17"/>
          <w:color w:val="auto"/>
        </w:rPr>
      </w:pPr>
    </w:p>
    <w:p>
      <w:pPr>
        <w:ind w:left="640" w:right="140" w:hanging="320"/>
        <w:spacing w:after="0" w:line="275"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difficulties in compliance with non-U.S. laws and regulations;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non-U.S. currency exchange rates and currency controls;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potential liability under the FCPA, U.K. Bribery Act of 2010 or comparable foreign laws;</w:t>
      </w:r>
    </w:p>
    <w:p>
      <w:pPr>
        <w:spacing w:after="0" w:line="119" w:lineRule="exact"/>
        <w:rPr>
          <w:rFonts w:ascii="Arial" w:cs="Arial" w:eastAsia="Arial" w:hAnsi="Arial"/>
          <w:sz w:val="17"/>
          <w:szCs w:val="17"/>
          <w:color w:val="auto"/>
        </w:rPr>
      </w:pPr>
    </w:p>
    <w:p>
      <w:pPr>
        <w:ind w:left="640" w:right="40" w:hanging="320"/>
        <w:spacing w:after="0" w:line="275"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natural disasters including earthquakes, typhoons, floods and fires, or health epidemics such as COVID-19;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cyberattacks, which are growing in frequency, sophistication and intensity, and are becoming increasingly difficult to detect.</w:t>
      </w:r>
    </w:p>
    <w:p>
      <w:pPr>
        <w:spacing w:after="0" w:line="119" w:lineRule="exact"/>
        <w:rPr>
          <w:sz w:val="20"/>
          <w:szCs w:val="20"/>
          <w:color w:val="auto"/>
        </w:rPr>
      </w:pPr>
    </w:p>
    <w:p>
      <w:pPr>
        <w:ind w:right="360" w:firstLine="433"/>
        <w:spacing w:after="0" w:line="275" w:lineRule="auto"/>
        <w:rPr>
          <w:sz w:val="20"/>
          <w:szCs w:val="20"/>
          <w:color w:val="auto"/>
        </w:rPr>
      </w:pPr>
      <w:r>
        <w:rPr>
          <w:rFonts w:ascii="Arial" w:cs="Arial" w:eastAsia="Arial" w:hAnsi="Arial"/>
          <w:sz w:val="17"/>
          <w:szCs w:val="17"/>
          <w:color w:val="auto"/>
        </w:rPr>
        <w:t>These and other risks associated with our planned international operations may materially adversely affect our ability to attain profitable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Employees</w:t>
      </w:r>
    </w:p>
    <w:p>
      <w:pPr>
        <w:spacing w:after="0" w:line="99"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b w:val="1"/>
          <w:bCs w:val="1"/>
          <w:i w:val="1"/>
          <w:iCs w:val="1"/>
          <w:color w:val="auto"/>
        </w:rPr>
        <w:t>We depend heavily on our executive officers, principal consultants and others, and the loss of their services would materially harm our business.</w:t>
      </w:r>
    </w:p>
    <w:p>
      <w:pPr>
        <w:spacing w:after="0" w:line="56"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Our success depends, and will likely continue to depend, upon our ability to hire, retain the services of our current executive officers, principal consultants and others, including Marcio Souza, our President and Chief Executive Officer, Timothy Kelly, our Chief Financial Officer, and Bernard Ravina, our Chief Medical Officer. We have entered into employment agreements with Mr. Souza, Mr. Kelly and Dr. Ravina, but they may terminate their employment with us at any time. The loss of their services might impede the achievement of our research, development and commercialization objectives. We do not maintain “key person” insurance for any of our executives or other employees.</w:t>
      </w:r>
    </w:p>
    <w:p>
      <w:pPr>
        <w:spacing w:after="0" w:line="87"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significant demand for, and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87"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4"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67" w:lineRule="exact"/>
        <w:rPr>
          <w:sz w:val="20"/>
          <w:szCs w:val="20"/>
          <w:color w:val="auto"/>
        </w:rPr>
      </w:pPr>
    </w:p>
    <w:p>
      <w:pPr>
        <w:ind w:right="860"/>
        <w:spacing w:after="0" w:line="300" w:lineRule="auto"/>
        <w:rPr>
          <w:sz w:val="20"/>
          <w:szCs w:val="20"/>
          <w:color w:val="auto"/>
        </w:rPr>
      </w:pPr>
      <w:r>
        <w:rPr>
          <w:rFonts w:ascii="Arial" w:cs="Arial" w:eastAsia="Arial" w:hAnsi="Arial"/>
          <w:sz w:val="17"/>
          <w:szCs w:val="17"/>
          <w:b w:val="1"/>
          <w:bCs w:val="1"/>
          <w:i w:val="1"/>
          <w:iCs w:val="1"/>
          <w:color w:val="auto"/>
        </w:rPr>
        <w:t>We only have a limited number of employees to manage and operate our business. If we are unable to hire to retain adequate personnel, then we may not be able to meet our operational goals.</w:t>
      </w:r>
    </w:p>
    <w:p>
      <w:pPr>
        <w:spacing w:after="0" w:line="56"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As of February 18, 2022, we had 139 full-time employees. Our focus on the clinical development of our product candidates requires us to optimize cash utilization and to manage and operate our business in a highly efficient manner. We cannot ensure that we will be able to hire and/or retain adequate staffing levels to develop our product candidates or to run our operations and/or to accomplish all of the objectives that we otherwise would seek to accomplish.</w:t>
      </w:r>
    </w:p>
    <w:p>
      <w:pPr>
        <w:spacing w:after="0" w:line="67"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75"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w:t>
      </w:r>
    </w:p>
    <w:p>
      <w:pPr>
        <w:spacing w:after="0" w:line="84"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authorities, including those laws requiring the reporting of true, complete and accurate information to such authorities;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manufacturing standards;</w:t>
      </w:r>
    </w:p>
    <w:p>
      <w:pPr>
        <w:spacing w:after="0" w:line="119" w:lineRule="exact"/>
        <w:rPr>
          <w:rFonts w:ascii="Arial" w:cs="Arial" w:eastAsia="Arial" w:hAnsi="Arial"/>
          <w:sz w:val="17"/>
          <w:szCs w:val="17"/>
          <w:color w:val="auto"/>
        </w:rPr>
      </w:pPr>
    </w:p>
    <w:p>
      <w:pPr>
        <w:ind w:left="640" w:right="680" w:hanging="320"/>
        <w:spacing w:after="0" w:line="275"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federal and state healthcare fraud and abuse laws and regulations and similar laws and regulations established and enforced by comparable non-U.S. regulatory authorities; and</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laws that require the accurate reporting of financial information or data.</w:t>
      </w:r>
    </w:p>
    <w:p>
      <w:pPr>
        <w:spacing w:after="0" w:line="119" w:lineRule="exact"/>
        <w:rPr>
          <w:sz w:val="20"/>
          <w:szCs w:val="20"/>
          <w:color w:val="auto"/>
        </w:rPr>
      </w:pPr>
    </w:p>
    <w:p>
      <w:pPr>
        <w:ind w:right="140" w:firstLine="433"/>
        <w:spacing w:after="0" w:line="259" w:lineRule="auto"/>
        <w:rPr>
          <w:sz w:val="20"/>
          <w:szCs w:val="20"/>
          <w:color w:val="auto"/>
        </w:rPr>
      </w:pPr>
      <w:r>
        <w:rPr>
          <w:rFonts w:ascii="Arial" w:cs="Arial" w:eastAsia="Arial" w:hAnsi="Arial"/>
          <w:sz w:val="17"/>
          <w:szCs w:val="17"/>
          <w:color w:val="auto"/>
        </w:rPr>
        <w:t>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72"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We expect to expand our organization, and as a result, we may encounter difficulties in managing our growth, which could disrupt our operations.</w:t>
      </w:r>
    </w:p>
    <w:p>
      <w:pPr>
        <w:spacing w:after="0" w:line="56" w:lineRule="exact"/>
        <w:rPr>
          <w:sz w:val="20"/>
          <w:szCs w:val="20"/>
          <w:color w:val="auto"/>
        </w:rPr>
      </w:pPr>
    </w:p>
    <w:p>
      <w:pPr>
        <w:ind w:right="100" w:firstLine="433"/>
        <w:spacing w:after="0" w:line="259"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Data Privacy</w:t>
      </w:r>
    </w:p>
    <w:p>
      <w:pPr>
        <w:spacing w:after="0" w:line="99"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75"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cyber incidents, including third parties gaining access to employee accounts using stolen or inferred credentials, computer malware, viruses, spamming, phishing attacks or other means, and deliberate attacks and attempts to gain unauthorized access to computer systems and networks, have increased in frequency and sophistication. Attacks upon information technology systems are also increasing in their levels of persistence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firstLine="433"/>
        <w:spacing w:after="0" w:line="258" w:lineRule="auto"/>
        <w:rPr>
          <w:sz w:val="20"/>
          <w:szCs w:val="20"/>
          <w:color w:val="auto"/>
        </w:rPr>
      </w:pPr>
      <w:r>
        <w:rPr>
          <w:rFonts w:ascii="Arial" w:cs="Arial" w:eastAsia="Arial" w:hAnsi="Arial"/>
          <w:sz w:val="17"/>
          <w:szCs w:val="17"/>
          <w:color w:val="auto"/>
        </w:rPr>
        <w:t>While we do not believe that we have experienced any such system failure, accident or security breach to date, if such an event were to occur and cause interruptions in our operations, it could result in a material disruption of our drug development programs.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80" w:lineRule="exact"/>
        <w:rPr>
          <w:sz w:val="20"/>
          <w:szCs w:val="20"/>
          <w:color w:val="auto"/>
        </w:rPr>
      </w:pPr>
    </w:p>
    <w:p>
      <w:pPr>
        <w:jc w:val="both"/>
        <w:ind w:right="320"/>
        <w:spacing w:after="0" w:line="278" w:lineRule="auto"/>
        <w:rPr>
          <w:sz w:val="20"/>
          <w:szCs w:val="20"/>
          <w:color w:val="auto"/>
        </w:rPr>
      </w:pPr>
      <w:r>
        <w:rPr>
          <w:rFonts w:ascii="Arial" w:cs="Arial" w:eastAsia="Arial" w:hAnsi="Arial"/>
          <w:sz w:val="17"/>
          <w:szCs w:val="17"/>
          <w:b w:val="1"/>
          <w:bCs w:val="1"/>
          <w:i w:val="1"/>
          <w:iCs w:val="1"/>
          <w:color w:val="auto"/>
        </w:rPr>
        <w:t>We rely on a set of cloud-based software services and access these services via the Internet for the vast majority of our computing, storage, bandwidth and other services. Any disruption of or interference with our use of our cloud-based services would negatively affect our operations and could seriously harm our business.</w:t>
      </w:r>
    </w:p>
    <w:p>
      <w:pPr>
        <w:spacing w:after="0" w:line="75"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We use several distributed computing infrastructure platforms for business operations, or what is commonly referred to as “cloud” computing services and we access these services via the Internet. Any transition of the cloud services currently provided by an existing vendor to another cloud provider would be difficult to implement and will cause us to incur significant time and expense. Given this, any significant disruption of or interference with our use of these cloud computing services would negatively impact our operations and our business would be seriously harmed. If our employees or partners are not able to access our cloud computing services or encounter difficulties in doing so, we may experience business disruption. The level of service provided by our cloud computing vendors, including the ability to secure our confidential information and the confidential information of third parties that is shared with us, may also impact the perception of our company and could seriously harm our business and reputation and create liability for us. If a cloud computing service that we use experiences interruptions in service regularly or for a prolonged basis, or other similar issues, our business could be seriously harmed.</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a cloud computing service may take actions beyond our control that could seriously harm our business, including:</w:t>
      </w:r>
    </w:p>
    <w:p>
      <w:pPr>
        <w:spacing w:after="0" w:line="119" w:lineRule="exact"/>
        <w:rPr>
          <w:sz w:val="20"/>
          <w:szCs w:val="20"/>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discontinuing or limiting our access to its platform;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increasing pricing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terminating or seeking to terminate our contractual relationship altogether;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modifying or interpreting its terms of service or other policies in a manner that impacts our ability to run our business and operations.</w:t>
      </w:r>
    </w:p>
    <w:p>
      <w:pPr>
        <w:spacing w:after="0" w:line="119"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7"/>
          <w:szCs w:val="17"/>
          <w:color w:val="auto"/>
        </w:rPr>
        <w:t>Our cloud computing services have broad discretion to change and interpret its terms of service and other policies with respect to us, and those actions may be unfavorable to us. Our cloud computing services may also alter how we are able to process data on the platform. If a cloud computing services makes changes or interpretations that are unfavorable to us, our business could be seriously harmed.</w:t>
      </w:r>
    </w:p>
    <w:p>
      <w:pPr>
        <w:spacing w:after="0" w:line="84"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Our efforts to protect the information shared with us may be unsuccessful due to the actions of third parties, software bugs or other technical malfunctions, employee error or malfeasance or other factors. In addition, third parties may attempt to fraudulently induce employees or users to disclose information to gain access to our data or third-party data entrusted to us. If any of these events occur, our or third-party information could be accessed or disclosed improperly. Some partners or collaborators may store information that we share with them on their own computing system. If these third parties fail to implement adequate data-security practices or fail to comply with our policies, our data may be improperly accessed or disclosed. And even if these third parties take all of these steps, their networks may still suffer a breach, which could compromise our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80" w:firstLine="433"/>
        <w:spacing w:after="0" w:line="261" w:lineRule="auto"/>
        <w:rPr>
          <w:sz w:val="20"/>
          <w:szCs w:val="20"/>
          <w:color w:val="auto"/>
        </w:rPr>
      </w:pPr>
      <w:r>
        <w:rPr>
          <w:rFonts w:ascii="Arial" w:cs="Arial" w:eastAsia="Arial" w:hAnsi="Arial"/>
          <w:sz w:val="17"/>
          <w:szCs w:val="17"/>
          <w:color w:val="auto"/>
        </w:rPr>
        <w:t>Any incidents where our information is accessed without authorization, or is improperly used, or incidents that violate our policies, could damage our reputation and our brand and diminish our competitive position. In addition, affected parties or government authorities could initiate legal or regulatory action against us over those incidents, which could cause us to incur significant expense and liability or result in orders or consent decrees forcing us to modify our business practices. Concerns over our privacy practices, whether actual or unfounded, could damage our reputation and brand and deter users, advertisers and partners from using our products and services. Any of these occurrences could seriously harm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Tax Laws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Legislation or other changes in U.S. tax law could adversely affect our business and financial condition.</w:t>
      </w:r>
    </w:p>
    <w:p>
      <w:pPr>
        <w:spacing w:after="0" w:line="13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legislation, regulations and rules regarding U.S. federal, state and local income taxation are constantly under review by persons involved in the legislative process and by the Internal Revenue Service and the U.S. Treasury Department and by state and local tax agencies. Changes to tax laws (which changes may have retroactive application) could adversely affect us or holders of our common stock. In recent years, many changes have been made to applicable tax laws and changes are likely to continue to occur in the future. In particular, the U.S. federal government may enact significant changes to the taxation of business entities including, among others, an increase in the corporate income tax rate and the imposition of minimum taxes or surtaxes on certain types of income.</w:t>
      </w:r>
    </w:p>
    <w:p>
      <w:pPr>
        <w:spacing w:after="0" w:line="88"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It cannot be predicted whether, when, in what form or with what effective dates any changes in tax laws, regulations or rules,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 If any such changes are enacted or implemented, we care currently unable to predict the ultimate impact on our business or holders of our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U.S. federal and state net operating loss carryforwards and certain other tax attributes may be limited.</w:t>
      </w:r>
    </w:p>
    <w:p>
      <w:pPr>
        <w:spacing w:after="0" w:line="139"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Our ability to use our U.S. federal and state net operating losses and tax credits is dependent upon our generation of future taxable income and income tax liabilities, and we cannot predict with certainty when, or whether, we will generate sufficient taxable income or income tax liabilities to use any or all of our net operating losses or tax credits.</w:t>
      </w:r>
    </w:p>
    <w:p>
      <w:pPr>
        <w:spacing w:after="0" w:line="84"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Our unused U.S. federal net operating losses generated in tax years beginning before January 1, 2018, and unused state net operating losses subject to expiration, will carry forward to offset future taxable income, if any, until such unused net operating losses expire. Our unused U.S. federal net operating losses generated in tax years beginning after December 31, 2017 will not expire and may be carried forward indefinitely, although, for taxable years beginning after December 31, 2020, the deductibility of such U.S. federal net operating losses is limited to 80% of our taxable income in such taxable year.</w:t>
      </w:r>
    </w:p>
    <w:p>
      <w:pPr>
        <w:spacing w:after="0" w:line="87"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In addition, both our current and future net operating losses and tax credits may be subject to limitation under Sections 382 and 383 of the Internal Revenue Code of 1986, as amended, or the Code, if we undergo an “ownership change,” generally defined as a greater than 50 percentage point change (by value) in its equity ownership by certain stockholders or groups of stockholders over a rolling three-year period.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Investment in Securities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26"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84" w:lineRule="exact"/>
        <w:rPr>
          <w:sz w:val="20"/>
          <w:szCs w:val="20"/>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commencement, enrollment, completion or results of our current clinical trials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delay in identifying and advancing a clinical candidate for our other programs;</w:t>
      </w:r>
    </w:p>
    <w:p>
      <w:pPr>
        <w:spacing w:after="0" w:line="119" w:lineRule="exact"/>
        <w:rPr>
          <w:rFonts w:ascii="Arial" w:cs="Arial" w:eastAsia="Arial" w:hAnsi="Arial"/>
          <w:sz w:val="17"/>
          <w:szCs w:val="17"/>
          <w:color w:val="auto"/>
        </w:rPr>
      </w:pPr>
    </w:p>
    <w:p>
      <w:pPr>
        <w:jc w:val="both"/>
        <w:ind w:left="640" w:hanging="320"/>
        <w:spacing w:after="0" w:line="266"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4"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adverse results or delays, suspensions or terminations in future preclinical studies or clinical trials;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19"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any of our product candidates or the failure of a regulatory authority to accept data from preclinical studies or clinical trials conducted in other countries;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 candidates, including but not limited to clinical trial requirements for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developments concerning our manufacturers;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establish collaborations, if needed;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to commercialize our product candidates, if approved;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introduction of new products or services offered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variations in quarterly operating results;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cash position;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failure to meet the estimates and projections of the investment community or that we may otherwise provide to the public;</w:t>
      </w:r>
    </w:p>
    <w:p>
      <w:pPr>
        <w:spacing w:after="0" w:line="119" w:lineRule="exact"/>
        <w:rPr>
          <w:rFonts w:ascii="Arial" w:cs="Arial" w:eastAsia="Arial" w:hAnsi="Arial"/>
          <w:sz w:val="17"/>
          <w:szCs w:val="17"/>
          <w:color w:val="auto"/>
        </w:rPr>
      </w:pPr>
    </w:p>
    <w:p>
      <w:pPr>
        <w:ind w:left="640" w:right="220" w:hanging="320"/>
        <w:spacing w:after="0" w:line="275"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structure of the healthcare payment systems;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accounting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ineffectiveness of our internal controls;</w:t>
      </w:r>
    </w:p>
    <w:p>
      <w:pPr>
        <w:spacing w:after="0" w:line="119" w:lineRule="exact"/>
        <w:rPr>
          <w:rFonts w:ascii="Arial" w:cs="Arial" w:eastAsia="Arial" w:hAnsi="Arial"/>
          <w:sz w:val="17"/>
          <w:szCs w:val="17"/>
          <w:color w:val="auto"/>
        </w:rPr>
      </w:pPr>
    </w:p>
    <w:p>
      <w:pPr>
        <w:ind w:left="640" w:right="20" w:hanging="320"/>
        <w:spacing w:after="0" w:line="275"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8"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may never obtain research coverage by industry or financial analysts.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ind w:right="220" w:firstLine="433"/>
        <w:spacing w:after="0" w:line="263"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67" w:lineRule="exact"/>
        <w:rPr>
          <w:sz w:val="20"/>
          <w:szCs w:val="20"/>
          <w:color w:val="auto"/>
        </w:rPr>
      </w:pPr>
    </w:p>
    <w:p>
      <w:pPr>
        <w:ind w:right="780"/>
        <w:spacing w:after="0" w:line="300"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5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Arial" w:cs="Arial" w:eastAsia="Arial" w:hAnsi="Arial"/>
          <w:sz w:val="17"/>
          <w:szCs w:val="17"/>
          <w:i w:val="1"/>
          <w:iCs w:val="1"/>
          <w:color w:val="auto"/>
        </w:rPr>
        <w:t>.</w:t>
      </w:r>
    </w:p>
    <w:p>
      <w:pPr>
        <w:spacing w:after="0" w:line="67" w:lineRule="exact"/>
        <w:rPr>
          <w:sz w:val="20"/>
          <w:szCs w:val="20"/>
          <w:color w:val="auto"/>
        </w:rPr>
      </w:pPr>
    </w:p>
    <w:p>
      <w:pPr>
        <w:jc w:val="both"/>
        <w:ind w:right="220"/>
        <w:spacing w:after="0" w:line="300"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control over matters subject to stockholder approval.</w:t>
      </w:r>
    </w:p>
    <w:p>
      <w:pPr>
        <w:spacing w:after="0" w:line="56" w:lineRule="exact"/>
        <w:rPr>
          <w:sz w:val="20"/>
          <w:szCs w:val="20"/>
          <w:color w:val="auto"/>
        </w:rPr>
      </w:pPr>
    </w:p>
    <w:p>
      <w:pPr>
        <w:jc w:val="both"/>
        <w:ind w:right="220" w:firstLine="433"/>
        <w:spacing w:after="0" w:line="263" w:lineRule="auto"/>
        <w:rPr>
          <w:sz w:val="20"/>
          <w:szCs w:val="20"/>
          <w:color w:val="auto"/>
        </w:rPr>
      </w:pPr>
      <w:r>
        <w:rPr>
          <w:rFonts w:ascii="Arial" w:cs="Arial" w:eastAsia="Arial" w:hAnsi="Arial"/>
          <w:sz w:val="17"/>
          <w:szCs w:val="17"/>
          <w:color w:val="auto"/>
        </w:rPr>
        <w:t>Based on shares outstanding as of December 31, 2021, our executive officers, directors and their affiliates and our principal stockholders beneficially hold, in the aggregate, approximately 62.2% of our outstanding voting stock. These stockholders, acting together, would be able to control all matters requiring stockholder approval. The concentration of voting power among these stockholders may have an adverse effect on the price of our common stock. This concentration of ownership control may adversely affect the market price of our common stock by:</w:t>
      </w:r>
    </w:p>
    <w:p>
      <w:pPr>
        <w:spacing w:after="0" w:line="87" w:lineRule="exact"/>
        <w:rPr>
          <w:sz w:val="20"/>
          <w:szCs w:val="20"/>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entrenching our management and the board of directors;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that other stockholders may desire; and/or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Controls and Reporting Requirements</w:t>
      </w:r>
    </w:p>
    <w:p>
      <w:pPr>
        <w:spacing w:after="0" w:line="99" w:lineRule="exact"/>
        <w:rPr>
          <w:sz w:val="20"/>
          <w:szCs w:val="20"/>
          <w:color w:val="auto"/>
        </w:rPr>
      </w:pPr>
    </w:p>
    <w:p>
      <w:pPr>
        <w:ind w:right="700"/>
        <w:spacing w:after="0" w:line="300" w:lineRule="auto"/>
        <w:rPr>
          <w:sz w:val="20"/>
          <w:szCs w:val="20"/>
          <w:color w:val="auto"/>
        </w:rPr>
      </w:pPr>
      <w:r>
        <w:rPr>
          <w:rFonts w:ascii="Arial" w:cs="Arial" w:eastAsia="Arial" w:hAnsi="Arial"/>
          <w:sz w:val="17"/>
          <w:szCs w:val="17"/>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5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 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firstLine="433"/>
        <w:spacing w:after="0" w:line="260" w:lineRule="auto"/>
        <w:rPr>
          <w:sz w:val="20"/>
          <w:szCs w:val="20"/>
          <w:color w:val="auto"/>
        </w:rPr>
      </w:pPr>
      <w:r>
        <w:rPr>
          <w:rFonts w:ascii="Arial" w:cs="Arial" w:eastAsia="Arial" w:hAnsi="Arial"/>
          <w:sz w:val="17"/>
          <w:szCs w:val="17"/>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69" w:lineRule="exact"/>
        <w:rPr>
          <w:sz w:val="20"/>
          <w:szCs w:val="20"/>
          <w:color w:val="auto"/>
        </w:rPr>
      </w:pPr>
    </w:p>
    <w:p>
      <w:pPr>
        <w:ind w:right="780"/>
        <w:spacing w:after="0" w:line="300" w:lineRule="auto"/>
        <w:rPr>
          <w:sz w:val="20"/>
          <w:szCs w:val="20"/>
          <w:color w:val="auto"/>
        </w:rPr>
      </w:pPr>
      <w:r>
        <w:rPr>
          <w:rFonts w:ascii="Arial" w:cs="Arial" w:eastAsia="Arial" w:hAnsi="Arial"/>
          <w:sz w:val="17"/>
          <w:szCs w:val="17"/>
          <w:b w:val="1"/>
          <w:bCs w:val="1"/>
          <w:i w:val="1"/>
          <w:iCs w:val="1"/>
          <w:color w:val="auto"/>
        </w:rPr>
        <w:t>We are no longer an “emerging growth company” or a “smaller reporting company” and the reduced disclosure requirements applicable to emerging growth companies and smaller reporting companies no longer apply to us.</w:t>
      </w:r>
    </w:p>
    <w:p>
      <w:pPr>
        <w:spacing w:after="0" w:line="43" w:lineRule="exact"/>
        <w:rPr>
          <w:sz w:val="20"/>
          <w:szCs w:val="20"/>
          <w:color w:val="auto"/>
        </w:rPr>
      </w:pPr>
    </w:p>
    <w:p>
      <w:pPr>
        <w:ind w:right="280" w:firstLine="393"/>
        <w:spacing w:after="0" w:line="243" w:lineRule="auto"/>
        <w:rPr>
          <w:sz w:val="20"/>
          <w:szCs w:val="20"/>
          <w:color w:val="auto"/>
        </w:rPr>
      </w:pPr>
      <w:r>
        <w:rPr>
          <w:rFonts w:ascii="Arial" w:cs="Arial" w:eastAsia="Arial" w:hAnsi="Arial"/>
          <w:sz w:val="17"/>
          <w:szCs w:val="17"/>
          <w:color w:val="auto"/>
        </w:rPr>
        <w:t>We are no longer an emerging growth company. As a result, we are now subject to certain disclosure requirements that are applicable to other public companies that had not been applicable to us as an emerging growth company. These requirements include:</w:t>
      </w:r>
    </w:p>
    <w:p>
      <w:pPr>
        <w:spacing w:after="0" w:line="89" w:lineRule="exact"/>
        <w:rPr>
          <w:sz w:val="20"/>
          <w:szCs w:val="20"/>
          <w:color w:val="auto"/>
        </w:rPr>
      </w:pPr>
    </w:p>
    <w:p>
      <w:pPr>
        <w:ind w:left="620" w:hanging="300"/>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compliance with the auditor attestation requirements in the assessment of our internal control over financial reporting;</w:t>
      </w:r>
    </w:p>
    <w:p>
      <w:pPr>
        <w:spacing w:after="0" w:line="119" w:lineRule="exact"/>
        <w:rPr>
          <w:rFonts w:ascii="Arial" w:cs="Arial" w:eastAsia="Arial" w:hAnsi="Arial"/>
          <w:sz w:val="17"/>
          <w:szCs w:val="17"/>
          <w:color w:val="auto"/>
        </w:rPr>
      </w:pPr>
    </w:p>
    <w:p>
      <w:pPr>
        <w:ind w:left="640" w:right="240" w:hanging="320"/>
        <w:spacing w:after="0" w:line="275"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full disclosure obligations regarding executive compensation; and</w:t>
      </w:r>
    </w:p>
    <w:p>
      <w:pPr>
        <w:spacing w:after="0" w:line="119" w:lineRule="exact"/>
        <w:rPr>
          <w:rFonts w:ascii="Arial" w:cs="Arial" w:eastAsia="Arial" w:hAnsi="Arial"/>
          <w:sz w:val="17"/>
          <w:szCs w:val="17"/>
          <w:color w:val="auto"/>
        </w:rPr>
      </w:pPr>
    </w:p>
    <w:p>
      <w:pPr>
        <w:ind w:left="640" w:right="340" w:hanging="320"/>
        <w:spacing w:after="0" w:line="275"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compliance with the requirements of holding a nonbinding advisory vote on executive compensation and shareholder approval of any golden parachute payments not previously approved.</w:t>
      </w:r>
    </w:p>
    <w:p>
      <w:pPr>
        <w:spacing w:after="0" w:line="63" w:lineRule="exact"/>
        <w:rPr>
          <w:sz w:val="20"/>
          <w:szCs w:val="20"/>
          <w:color w:val="auto"/>
        </w:rPr>
      </w:pPr>
    </w:p>
    <w:p>
      <w:pPr>
        <w:ind w:firstLine="393"/>
        <w:spacing w:after="0" w:line="231" w:lineRule="auto"/>
        <w:rPr>
          <w:sz w:val="20"/>
          <w:szCs w:val="20"/>
          <w:color w:val="auto"/>
        </w:rPr>
      </w:pPr>
      <w:r>
        <w:rPr>
          <w:rFonts w:ascii="Arial" w:cs="Arial" w:eastAsia="Arial" w:hAnsi="Arial"/>
          <w:sz w:val="17"/>
          <w:szCs w:val="17"/>
          <w:color w:val="auto"/>
        </w:rPr>
        <w:t>We are also no longer a smaller reporting company and are no longer permitted to rely on exemptions for smaller reporting companies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75"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5"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91"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We will be required to disclose changes made in our internal controls and procedures on a quarterly basis and our management will be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over the use of our cash and cash equivalents and may not use them effectively.</w:t>
      </w:r>
    </w:p>
    <w:p>
      <w:pPr>
        <w:spacing w:after="0" w:line="139"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Our management has broad discretion to use our cash and cash equivalents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Charter and Bylaws</w:t>
      </w:r>
    </w:p>
    <w:p>
      <w:pPr>
        <w:spacing w:after="0" w:line="99"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75" w:lineRule="exact"/>
        <w:rPr>
          <w:sz w:val="20"/>
          <w:szCs w:val="20"/>
          <w:color w:val="auto"/>
        </w:rPr>
      </w:pPr>
    </w:p>
    <w:p>
      <w:pPr>
        <w:jc w:val="both"/>
        <w:ind w:right="160" w:firstLine="433"/>
        <w:spacing w:after="0" w:line="26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84" w:lineRule="exact"/>
        <w:rPr>
          <w:sz w:val="20"/>
          <w:szCs w:val="20"/>
          <w:color w:val="auto"/>
        </w:rPr>
      </w:pPr>
    </w:p>
    <w:p>
      <w:pPr>
        <w:ind w:left="640" w:right="100" w:hanging="320"/>
        <w:spacing w:after="0" w:line="275"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76" w:lineRule="exact"/>
        <w:rPr>
          <w:rFonts w:ascii="Arial" w:cs="Arial" w:eastAsia="Arial" w:hAnsi="Arial"/>
          <w:sz w:val="17"/>
          <w:szCs w:val="17"/>
          <w:color w:val="auto"/>
        </w:rPr>
      </w:pPr>
    </w:p>
    <w:p>
      <w:pPr>
        <w:ind w:left="640" w:right="540" w:hanging="320"/>
        <w:spacing w:after="0" w:line="275"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76" w:lineRule="exact"/>
        <w:rPr>
          <w:rFonts w:ascii="Arial" w:cs="Arial" w:eastAsia="Arial" w:hAnsi="Arial"/>
          <w:sz w:val="17"/>
          <w:szCs w:val="17"/>
          <w:color w:val="auto"/>
        </w:rPr>
      </w:pPr>
    </w:p>
    <w:p>
      <w:pPr>
        <w:ind w:left="640" w:right="160" w:hanging="320"/>
        <w:spacing w:after="0" w:line="275"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76"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9" w:lineRule="exact"/>
        <w:rPr>
          <w:rFonts w:ascii="Arial" w:cs="Arial" w:eastAsia="Arial" w:hAnsi="Arial"/>
          <w:sz w:val="17"/>
          <w:szCs w:val="17"/>
          <w:color w:val="auto"/>
        </w:rPr>
      </w:pPr>
    </w:p>
    <w:p>
      <w:pPr>
        <w:ind w:left="640" w:right="20" w:hanging="320"/>
        <w:spacing w:after="0" w:line="266"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84" w:lineRule="exact"/>
        <w:rPr>
          <w:rFonts w:ascii="Arial" w:cs="Arial" w:eastAsia="Arial" w:hAnsi="Arial"/>
          <w:sz w:val="17"/>
          <w:szCs w:val="17"/>
          <w:color w:val="auto"/>
        </w:rPr>
      </w:pPr>
    </w:p>
    <w:p>
      <w:pPr>
        <w:ind w:left="640" w:right="300" w:hanging="320"/>
        <w:spacing w:after="0" w:line="275"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76" w:lineRule="exact"/>
        <w:rPr>
          <w:rFonts w:ascii="Arial" w:cs="Arial" w:eastAsia="Arial" w:hAnsi="Arial"/>
          <w:sz w:val="17"/>
          <w:szCs w:val="17"/>
          <w:color w:val="auto"/>
        </w:rPr>
      </w:pPr>
    </w:p>
    <w:p>
      <w:pPr>
        <w:ind w:left="640" w:right="420" w:hanging="320"/>
        <w:spacing w:after="0" w:line="275"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77"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6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0" w:firstLine="433"/>
        <w:spacing w:after="0" w:line="226"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 (in each case, as they may be amended from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specify that unless we consent in writing to the selection of an alternate forum, the federal district courts of the United States shall be the exclusive forum for the resolution of any complaint asserting a cause of action arising under the Securities Act.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enforceability of similar choice of forum provisions in other companies’ governing documents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0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sublease a facility containing 25,445 square feet of office space, which is located at 99 High Street, Boston, Massachusetts 02110. Our sublease expires on January 31, 2026. We believe that our current facility is sufficient to meet our current and near-term needs and that, should it be needed, suitable additional space will be available. Our previous sublease of 6,374 square feet of office space at One Broadway, Cambridge, Massachusetts 02142 expired on December 30, 2021.</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15" w:lineRule="exact"/>
        <w:rPr>
          <w:sz w:val="20"/>
          <w:szCs w:val="20"/>
          <w:color w:val="auto"/>
        </w:rPr>
      </w:pPr>
    </w:p>
    <w:p>
      <w:pPr>
        <w:ind w:right="240" w:firstLine="433"/>
        <w:spacing w:after="0" w:line="266" w:lineRule="auto"/>
        <w:rPr>
          <w:sz w:val="20"/>
          <w:szCs w:val="20"/>
          <w:color w:val="auto"/>
        </w:rPr>
      </w:pPr>
      <w:r>
        <w:rPr>
          <w:rFonts w:ascii="Arial" w:cs="Arial" w:eastAsia="Arial" w:hAnsi="Arial"/>
          <w:sz w:val="17"/>
          <w:szCs w:val="17"/>
          <w:color w:val="auto"/>
        </w:rPr>
        <w:t>We are not currently a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PART II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Information Regarding the Trading of Our Common Stock</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common stock trades under the symbol “PRAX” on the Nasdaq Global Select Market.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Common Stock</w:t>
      </w:r>
    </w:p>
    <w:p>
      <w:pPr>
        <w:spacing w:after="0" w:line="270"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7"/>
          <w:szCs w:val="17"/>
          <w:color w:val="auto"/>
        </w:rPr>
        <w:t>As of February 18, 2022, there were approximately 4 holders of record of shares of our common stock. The actual number of stockholders is greater than this number of record holders, and includes stockholders who are beneficial owners, but whose shares are held in street name by brokers and other nominees.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270"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did not make any sales of unregistered securities during the three months ended December 31, 2021.</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 from Initial Public Offering</w:t>
      </w:r>
    </w:p>
    <w:p>
      <w:pPr>
        <w:spacing w:after="0" w:line="270" w:lineRule="exact"/>
        <w:rPr>
          <w:sz w:val="20"/>
          <w:szCs w:val="20"/>
          <w:color w:val="auto"/>
        </w:rPr>
      </w:pPr>
    </w:p>
    <w:p>
      <w:pPr>
        <w:ind w:right="160" w:firstLine="433"/>
        <w:spacing w:after="0" w:line="210" w:lineRule="exact"/>
        <w:rPr>
          <w:sz w:val="20"/>
          <w:szCs w:val="20"/>
          <w:color w:val="auto"/>
        </w:rPr>
      </w:pPr>
      <w:r>
        <w:rPr>
          <w:rFonts w:ascii="Arial" w:cs="Arial" w:eastAsia="Arial" w:hAnsi="Arial"/>
          <w:sz w:val="17"/>
          <w:szCs w:val="17"/>
          <w:color w:val="auto"/>
        </w:rPr>
        <w:t>In October 2020, we completed the initial public offering of our common stock, or IPO, pursuant to which we issued and sold 11,500,000 shares of our common stock at a price to the public of $19.00 per share. All of the shares issued and sold in the IPO were registered under the Securities Act pursuant to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(File No. 333-249074), which was declared effective by the Securities and Exchange Commission on October 15, 2020.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no repurchases of shares of common stock made during the three months ended December 31, 2021.</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333"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financing needs,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36"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We are a clinical-stage biopharmaceutical company translating genetic insights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disease. We are applying insights from genetic epilepsies to both rare and more prevalent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CNS portfolio with multiple programs, including product candidates across psychiatric disorders, movement disorders, epilepsy and other exploratory CNS indications, with three clinical-stage product candidates. Each of our clinical-stage product candidates is advancing in more than one indication and we anticipate expansion into additional indications. We expect multiple topline readouts from our clinical-stage programs and anticipate the launch of a fourth clinical development program in 2022. In addition, we have established a robust pipeline of preclinical stage programs through internal research and in-licensing.</w:t>
      </w:r>
    </w:p>
    <w:p>
      <w:pPr>
        <w:spacing w:after="0" w:line="224"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Our broad portfolio of CNS programs is currently structured by therapeutic focus in three primary franchises – Psychiatry, Movement Disorders and Epilepsy. In addition, we are pursuing development in other exploratory CNS indications such as rare adult cephalgias. Within our Psychiatry franchise, our most advanced clinical candidate, PRAX-114, is being developed for the treatment of a broad range of patients suffering from major depressive disorder, or MDD, and post-traumatic stress disorder, or PTSD. We expect to report topline results from the Aria Study, a Phase 2/3, placebo-controlled study evaluating PRAX-114 for monotherapy treatment of MDD, in the second quarter of 2022. We also expect to report topline results from the Acapella Study, a Phase 2, placebo-controlled, dose-ranging study evaluating PRAX-114 for treatment of MDD, in mid-2022. In addition, we have initiated a Phase 2, placebo-controlled study evaluating PRAX-114 for the treatment of PTSD and expect to report topline results in the second half of 2022.</w:t>
      </w:r>
    </w:p>
    <w:p>
      <w:pPr>
        <w:spacing w:after="0" w:line="220"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Within our Movement Disorders franchise, our second clinical candidate, PRAX-944, is being developed for the treatment of Essential Tremor, or ET, and Parkinson's Disease, or PD. We anticipate reporting topline results from the second cohort of our ongoing Phase 2a trial evaluating PRAX-944 for the treatment of ET in the second quarter of 2022, including both open-label and placebo-controlled, randomized withdrawal period results. We have initiated a Phase 2b placebo-controlled, dose-range finding trial, the Essential1 Study, to evaluate the tolerability, safety and efficacy of PRAX-944 in adults with ET and we expect to report topline results in the second half of 2022. We also expect to initiate a Phase 2, placebo-controlled, crossover study to evaluate the safety, pharmacokinetics, or PK, and efficacy of daytime dosing of PRAX-114 for the treatment of ET in the first quarter of 2022 and expect to report topline results in the second half of 2022. We expect to initiate a Phase 2, placebo-controlled trial to evaluate the safety, PK and efficacy of PRAX-944 as a non-dopaminergic treatment for the motor symptoms of PD in the second quarter of 2022.</w:t>
      </w:r>
    </w:p>
    <w:p>
      <w:pPr>
        <w:spacing w:after="0" w:line="200" w:lineRule="exact"/>
        <w:rPr>
          <w:sz w:val="20"/>
          <w:szCs w:val="20"/>
          <w:color w:val="auto"/>
        </w:rPr>
      </w:pPr>
    </w:p>
    <w:p>
      <w:pPr>
        <w:spacing w:after="0" w:line="230"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Within our Epilepsy franchise, we expect to initiate a Phase 2 study with our third clinical-stage candidate, PRAX-562, in the second quarter of 2022 in patients with rare pediatric Developmental and Epileptic Encephalopathies. Our most advanced preclinical stage product candidate within our Epilepsy franchise, PRAX-222, is an antisense oligonucleotide, or ASO, designed to decrease the expression levels of the protein</w:t>
      </w:r>
    </w:p>
    <w:p>
      <w:pPr>
        <w:spacing w:after="0" w:line="1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encoded by the gene SCN2A in patients with gain-of-function SCN2A mutations. We expect to initiate a seamless study of PRAX-222 in the second quarter of 2022, which would be our fourth program to reach clinical stage. We also expect to initiate a Phase 2 proof-of-concept clinical trial evaluating PRAX-562 in patients with rare adult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cephalgias in the first quarter of 2022. In addition, our preclinical pipeline consists of a discovery program in development for KCNT1 related epilepsy, PRAX-628, a product candidate nominated in the fourth quarter of 2021 for focal epilepsy, three ASOs targeting SCN2A in patients with loss-of-function mutations, PCDH19 and SYNGAP1, respectively, and three additional discovery programs for undisclosed targets in psychiatry, movement disorders and epilepsy.</w:t>
      </w:r>
    </w:p>
    <w:p>
      <w:pPr>
        <w:spacing w:after="0" w:line="192"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and contract research organizations, or CROs, to conduct our preclinical and clinical activities. Since inception, we have financed our operations primarily with proceeds from the sale and issuance of equity securities.</w:t>
      </w:r>
    </w:p>
    <w:p>
      <w:pPr>
        <w:spacing w:after="0" w:line="19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On May 18, 2021, we completed a follow-on public offering in which we issued and sold 5,750,000 shares of our common stock at a public offering price of $18.25 per share, including 750,000 shares of common stock issued and sold pursuant to the underwriters' exercise, in full, of their option to purchase additional shares of common stock, for aggregate gross proceeds of $ 104.9 million. We received approximately $98.4 million in net proceeds after deducting discounts, commissions and offering expenses payable by us.</w:t>
      </w:r>
    </w:p>
    <w:p>
      <w:pPr>
        <w:spacing w:after="0" w:line="192" w:lineRule="exact"/>
        <w:rPr>
          <w:sz w:val="20"/>
          <w:szCs w:val="20"/>
          <w:color w:val="auto"/>
        </w:rPr>
      </w:pPr>
    </w:p>
    <w:p>
      <w:pPr>
        <w:ind w:right="240" w:firstLine="433"/>
        <w:spacing w:after="0" w:line="262" w:lineRule="auto"/>
        <w:rPr>
          <w:sz w:val="20"/>
          <w:szCs w:val="20"/>
          <w:color w:val="auto"/>
        </w:rPr>
      </w:pPr>
      <w:r>
        <w:rPr>
          <w:rFonts w:ascii="Arial" w:cs="Arial" w:eastAsia="Arial" w:hAnsi="Arial"/>
          <w:sz w:val="17"/>
          <w:szCs w:val="17"/>
          <w:color w:val="auto"/>
        </w:rPr>
        <w:t>On November 3, 2021, we entered into an Open Market Sale Agreement, or the sales agreement, with Jefferies LLC, or Jefferies, to provide for the offering, issuance and sale of up to an aggregate amount of $125.0 million of common stock from time to time in at-the-market offerings for which Jefferies acts as sales agent. As of December 31, 2021, we issued and sold 391,997 shares under the sales agreement for aggregate gross proceeds of $7.6 million. We received approximately $7.0 million of net proceeds after deducting commissions and offering expenses payable by us.</w:t>
      </w:r>
    </w:p>
    <w:p>
      <w:pPr>
        <w:spacing w:after="0" w:line="19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net losses of $167.1 million and $61.8 million for the years ended December 31, 2021 and 2020, respectively. As of December 31, 2021, we had an accumulated deficit of $316.6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increase significantly in connection with our ongoing activities, as we:</w:t>
      </w:r>
    </w:p>
    <w:p>
      <w:pPr>
        <w:spacing w:after="0" w:line="200" w:lineRule="exact"/>
        <w:rPr>
          <w:sz w:val="20"/>
          <w:szCs w:val="20"/>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lead product candidates, PRAX-114 and PRAX-944, to late stage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PRAX-562 product candidate to Phase 2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PRAX-222 product candidate to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 our preclinical candidates to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further invest in our pipeline;</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further invest in our manufacturing capabilities;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seek regulatory approval for our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maintain, expand, protect and defend our IP portfolio;</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acquire or in-license technology;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secure facilities to support continued growth in our research, development and commercialization efforts;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take temporary precautionary measures to help minimize the risk of COVID-19 to our employees;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increase our headcount to support our development efforts and to expand our clinical development team.</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In addition, as we progress toward marketing approval for any of our product candidates, we expect to incur significant commercialization expenses related to product manufacturing, marketing, sales and distribution.</w:t>
      </w:r>
    </w:p>
    <w:p>
      <w:pPr>
        <w:spacing w:after="0" w:line="181"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3" w:lineRule="exact"/>
        <w:rPr>
          <w:sz w:val="20"/>
          <w:szCs w:val="20"/>
          <w:color w:val="auto"/>
        </w:rPr>
      </w:pPr>
    </w:p>
    <w:p>
      <w:pPr>
        <w:jc w:val="both"/>
        <w:ind w:right="200" w:firstLine="433"/>
        <w:spacing w:after="0" w:line="263"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2" w:lineRule="exact"/>
        <w:rPr>
          <w:sz w:val="20"/>
          <w:szCs w:val="20"/>
          <w:color w:val="auto"/>
        </w:rPr>
      </w:pPr>
    </w:p>
    <w:p>
      <w:pPr>
        <w:ind w:right="200" w:firstLine="433"/>
        <w:spacing w:after="0" w:line="263" w:lineRule="auto"/>
        <w:rPr>
          <w:sz w:val="20"/>
          <w:szCs w:val="20"/>
          <w:color w:val="auto"/>
        </w:rPr>
      </w:pPr>
      <w:r>
        <w:rPr>
          <w:rFonts w:ascii="Arial" w:cs="Arial" w:eastAsia="Arial" w:hAnsi="Arial"/>
          <w:sz w:val="17"/>
          <w:szCs w:val="17"/>
          <w:color w:val="auto"/>
        </w:rPr>
        <w:t>As of December 31, 2021, we had cash, cash equivalents, and marketable securities of $275.9 million. We believe that our existing cash, cash equivalents and marketable securities will enable us to fund our operating expenses and capital expenditures into the second quarter of 2023. We have based this estimate on assumptions that may prove to be wrong, and we could exhaust our available capital resources sooner than we expect. See “—Liquidity and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Business Update</w:t>
      </w:r>
    </w:p>
    <w:p>
      <w:pPr>
        <w:spacing w:after="0" w:line="139"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In light of the ongoing COVID-19 pandemic, we continue to experience some disruptions and increased risk in our operations and those third parties upon whom we rely. These include disruptions and risks related to the conduct of our clinical trials and preclinical studies as policies at various clinical sites and federal, state, local and foreign laws, rules and regulations continue to evolve, including quarantines, travel restrictions and redirection of healthcare resources toward pandemic response efforts. The COVID-19 pandemic has impacted the enrollment of some of our ongoing clinical trials, including slower patient enrollment and treatment in some of our clinical studies, the impact of which has varied by clinical study and program, but none of which have significantly impacted our overall clinical trial timelines. While we have experienced limited financial impacts to date, given the global economic slowdown, the overall disruption of global healthcare systems and the other risks and uncertainties associated with the pandemic such as increased inflation,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0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collaboration or license agreements that we may enter into with third parties.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37"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The nature of our business and primary focus of our activities generate a significant amount of research and development costs. Research and development expenses represent costs incurred by us for the following:</w:t>
      </w:r>
    </w:p>
    <w:p>
      <w:pPr>
        <w:spacing w:after="0" w:line="129" w:lineRule="exact"/>
        <w:rPr>
          <w:sz w:val="20"/>
          <w:szCs w:val="20"/>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to develop our portfolio;</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discovery efforts leading to development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clinical development costs for our product candidates; and</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to develop our manufacturing technology and infrastructure.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costs above comprise the following categories:</w:t>
      </w:r>
    </w:p>
    <w:p>
      <w:pPr>
        <w:spacing w:after="0" w:line="172" w:lineRule="exact"/>
        <w:rPr>
          <w:sz w:val="20"/>
          <w:szCs w:val="20"/>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personnel-related expenses, including salaries, benefits and stock-based compensation expense;</w:t>
      </w:r>
    </w:p>
    <w:p>
      <w:pPr>
        <w:spacing w:after="0" w:line="171" w:lineRule="exact"/>
        <w:rPr>
          <w:rFonts w:ascii="Arial" w:cs="Arial" w:eastAsia="Arial" w:hAnsi="Arial"/>
          <w:sz w:val="17"/>
          <w:szCs w:val="17"/>
          <w:color w:val="auto"/>
        </w:rPr>
      </w:pPr>
    </w:p>
    <w:p>
      <w:pPr>
        <w:ind w:left="640" w:right="260" w:hanging="320"/>
        <w:spacing w:after="0" w:line="275"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such as consultants, investigative sites and CROs, that conduct our preclinical and clinical studies and in-licensing arrangements;</w:t>
      </w:r>
    </w:p>
    <w:p>
      <w:pPr>
        <w:spacing w:after="0" w:line="129"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costs incurred to maintain compliance with regulatory requirements;</w:t>
      </w:r>
    </w:p>
    <w:p>
      <w:pPr>
        <w:spacing w:after="0" w:line="171" w:lineRule="exact"/>
        <w:rPr>
          <w:rFonts w:ascii="Arial" w:cs="Arial" w:eastAsia="Arial" w:hAnsi="Arial"/>
          <w:sz w:val="17"/>
          <w:szCs w:val="17"/>
          <w:color w:val="auto"/>
        </w:rPr>
      </w:pPr>
    </w:p>
    <w:p>
      <w:pPr>
        <w:ind w:left="640" w:right="120" w:hanging="320"/>
        <w:spacing w:after="0" w:line="275"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costs incurred with third-party contract development and manufacturing organizations to acquire, develop and manufacture materials for preclinical and clinical studies; and</w:t>
      </w:r>
    </w:p>
    <w:p>
      <w:pPr>
        <w:spacing w:after="0" w:line="129" w:lineRule="exact"/>
        <w:rPr>
          <w:rFonts w:ascii="Arial" w:cs="Arial" w:eastAsia="Arial" w:hAnsi="Arial"/>
          <w:sz w:val="17"/>
          <w:szCs w:val="17"/>
          <w:color w:val="auto"/>
        </w:rPr>
      </w:pPr>
    </w:p>
    <w:p>
      <w:pPr>
        <w:ind w:left="640" w:right="340" w:hanging="320"/>
        <w:spacing w:after="0" w:line="275"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depreciation, amortization and other direct and allocated expenses, including rent, insurance and other operating costs, incurred as a result of our research and development activities.</w:t>
      </w:r>
    </w:p>
    <w:p>
      <w:pPr>
        <w:spacing w:after="0" w:line="181"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3" w:lineRule="exact"/>
        <w:rPr>
          <w:sz w:val="20"/>
          <w:szCs w:val="20"/>
          <w:color w:val="auto"/>
        </w:rPr>
      </w:pPr>
    </w:p>
    <w:p>
      <w:pPr>
        <w:ind w:right="160" w:firstLine="433"/>
        <w:spacing w:after="0" w:line="263" w:lineRule="auto"/>
        <w:rPr>
          <w:sz w:val="20"/>
          <w:szCs w:val="20"/>
          <w:color w:val="auto"/>
        </w:rPr>
      </w:pPr>
      <w:r>
        <w:rPr>
          <w:rFonts w:ascii="Arial" w:cs="Arial" w:eastAsia="Arial" w:hAnsi="Arial"/>
          <w:sz w:val="17"/>
          <w:szCs w:val="17"/>
          <w:color w:val="auto"/>
        </w:rPr>
        <w:t>A significant portion of our research and development costs have been external costs. We track direct external research and development expenses to specific franchises and product candidates upon commencement. Due to the number of ongoing studies and our ability to use resources across several projects, indirect or shared operating costs incurred for our research and development franchises, such as personnel, facility costs and certain consulting costs, are not recorded or maintained on a franchise-specific basis.</w:t>
      </w:r>
    </w:p>
    <w:p>
      <w:pPr>
        <w:spacing w:after="0" w:line="192"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The following table reflects our research and development expenses, including direct expenses summarized by major franchise and other exploratory CNS indications and indirect or shared operating costs recognized as research and development expenses during each period presented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8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13,077</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Epilepsy</w:t>
            </w: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23,122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9,953</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9,509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13,483</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8,858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3,605</w:t>
            </w: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120,257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44,976</w:t>
            </w:r>
          </w:p>
        </w:tc>
      </w:tr>
    </w:tbl>
    <w:p>
      <w:pPr>
        <w:spacing w:after="0" w:line="28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9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add and retain key research and development personnel;</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number and scope of our preclinical and clinical product candidates we decide to pursue;</w:t>
      </w:r>
    </w:p>
    <w:p>
      <w:pPr>
        <w:spacing w:after="0" w:line="119" w:lineRule="exact"/>
        <w:rPr>
          <w:rFonts w:ascii="Arial" w:cs="Arial" w:eastAsia="Arial" w:hAnsi="Arial"/>
          <w:sz w:val="17"/>
          <w:szCs w:val="17"/>
          <w:color w:val="auto"/>
        </w:rPr>
      </w:pPr>
    </w:p>
    <w:p>
      <w:pPr>
        <w:ind w:left="800" w:right="160" w:hanging="323"/>
        <w:spacing w:after="0" w:line="275" w:lineRule="auto"/>
        <w:tabs>
          <w:tab w:leader="none" w:pos="7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successfully complete clinical trials with safety, tolerability and efficacy profiles that are satisfactory to the U.S. Food and Drug Administration, or the FDA, or any comparable foreign regulatory authority;</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successfully develop, obtain regulatory approval for, and then successfully commercialize, our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successful enrollment in and completion of clinical trials;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product candidates we identify in-house or acquire through collaborations;</w:t>
      </w:r>
    </w:p>
    <w:p>
      <w:pPr>
        <w:spacing w:after="0" w:line="119" w:lineRule="exact"/>
        <w:rPr>
          <w:rFonts w:ascii="Arial" w:cs="Arial" w:eastAsia="Arial" w:hAnsi="Arial"/>
          <w:sz w:val="17"/>
          <w:szCs w:val="17"/>
          <w:color w:val="auto"/>
        </w:rPr>
      </w:pPr>
    </w:p>
    <w:p>
      <w:pPr>
        <w:ind w:left="800" w:right="380" w:hanging="323"/>
        <w:spacing w:after="0" w:line="275" w:lineRule="auto"/>
        <w:tabs>
          <w:tab w:leader="none" w:pos="7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discover, develop and utilize biomarkers to demonstrate target engagement, pathway engagement and the impact on disease progression of our product candidates;</w:t>
      </w:r>
    </w:p>
    <w:p>
      <w:pPr>
        <w:spacing w:after="0" w:line="76" w:lineRule="exact"/>
        <w:rPr>
          <w:rFonts w:ascii="Arial" w:cs="Arial" w:eastAsia="Arial" w:hAnsi="Arial"/>
          <w:sz w:val="17"/>
          <w:szCs w:val="17"/>
          <w:color w:val="auto"/>
        </w:rPr>
      </w:pPr>
    </w:p>
    <w:p>
      <w:pPr>
        <w:ind w:left="800" w:right="140" w:hanging="323"/>
        <w:spacing w:after="0" w:line="275" w:lineRule="auto"/>
        <w:tabs>
          <w:tab w:leader="none" w:pos="7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establish and maintain agreements with third-party manufacturers for clinical supply for our clinical trials and commercial manufacturing, if our product candidates are approved;</w:t>
      </w:r>
    </w:p>
    <w:p>
      <w:pPr>
        <w:spacing w:after="0" w:line="76" w:lineRule="exact"/>
        <w:rPr>
          <w:rFonts w:ascii="Arial" w:cs="Arial" w:eastAsia="Arial" w:hAnsi="Arial"/>
          <w:sz w:val="17"/>
          <w:szCs w:val="17"/>
          <w:color w:val="auto"/>
        </w:rPr>
      </w:pPr>
    </w:p>
    <w:p>
      <w:pPr>
        <w:ind w:left="800" w:right="380" w:hanging="323"/>
        <w:spacing w:after="0" w:line="275" w:lineRule="auto"/>
        <w:tabs>
          <w:tab w:leader="none" w:pos="7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terms and timing of any collaboration, license or other arrangement, including the terms and timing of any milestone payments thereunder;</w:t>
      </w:r>
    </w:p>
    <w:p>
      <w:pPr>
        <w:spacing w:after="0" w:line="76" w:lineRule="exact"/>
        <w:rPr>
          <w:rFonts w:ascii="Arial" w:cs="Arial" w:eastAsia="Arial" w:hAnsi="Arial"/>
          <w:sz w:val="17"/>
          <w:szCs w:val="17"/>
          <w:color w:val="auto"/>
        </w:rPr>
      </w:pPr>
    </w:p>
    <w:p>
      <w:pPr>
        <w:ind w:left="800" w:right="260" w:hanging="323"/>
        <w:spacing w:after="0" w:line="275" w:lineRule="auto"/>
        <w:tabs>
          <w:tab w:leader="none" w:pos="7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obtain and maintain patent, trade secret and other IP protection and regulatory exclusivity for our product candidates, if approved;</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receipt of marketing approvals from applicable regulatory authorities;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commercialize products, if approved, whether alone or in collaboration with others;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continued acceptable safety profiles of any product candidates following approval.</w:t>
      </w:r>
    </w:p>
    <w:p>
      <w:pPr>
        <w:spacing w:after="0" w:line="224"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The drug commercialization of any of our product candidates, if ever, will take several years and require significant development 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7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insurance costs; administrative travel expenses; and facility-related expenses, which include direct depreciation costs and allocated expenses for office rent and other operating costs. These costs relate to the operation of the business, unrelated to the research and development function, or any individual franchise or product candidate. Costs to secure and defend our IP are expensed as incurred and are classified as general and administrative expenses.</w:t>
      </w:r>
    </w:p>
    <w:p>
      <w:pPr>
        <w:spacing w:after="0" w:line="200" w:lineRule="exact"/>
        <w:rPr>
          <w:sz w:val="20"/>
          <w:szCs w:val="20"/>
          <w:color w:val="auto"/>
        </w:rPr>
      </w:pPr>
    </w:p>
    <w:p>
      <w:pPr>
        <w:spacing w:after="0" w:line="203"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37"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Other income, net consists of interest income from our cash, cash equivalents and marketable securities and amortization of investment premiums and discounts.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00"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Since our inception, we have not recorded any U.S. federal or state income tax benefits for the net losses we have incurred in each year or for our earned research and development tax credits due to our uncertainty of realizing a benefit from those items. As of December 31, 2021 and 2020, we had U.S. federal and state net operating loss carryforwards which may be available to offset future taxable income and which begin to expire in 2035. As of December 31, 2021 and 2020, we also had federal and state research and development tax credit carryforwards which may be available to offset future income tax liabilities and which begin to expire in 2031.</w:t>
      </w:r>
    </w:p>
    <w:p>
      <w:pPr>
        <w:spacing w:after="0" w:line="192"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Income taxes are determined at the applicable tax rates adjusted for non-deductible expenses, research and development tax credits and other permanent differences. Our income tax provision may be significantly affected by changes to our estimates. There was no income tax benefit (provision) recognized for the year ended December 31, 2021. The income tax benefit recognized for the year ended December 31, 2020 was not material.</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2021 and 2020</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consolidated statements of operations for each period presented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5"/>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CCEEFF"/>
            </w:tcBorders>
          </w:tcPr>
          <w:p>
            <w:pPr>
              <w:spacing w:after="0"/>
              <w:rPr>
                <w:sz w:val="17"/>
                <w:szCs w:val="17"/>
                <w:color w:val="auto"/>
              </w:rPr>
            </w:pPr>
          </w:p>
        </w:tc>
      </w:tr>
      <w:tr>
        <w:trPr>
          <w:trHeight w:val="19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67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120,257</w:t>
            </w:r>
          </w:p>
        </w:tc>
        <w:tc>
          <w:tcPr>
            <w:tcW w:w="12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44,976</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75,281</w:t>
            </w:r>
          </w:p>
        </w:tc>
      </w:tr>
      <w:tr>
        <w:trPr>
          <w:trHeight w:val="210"/>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16,992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30,083</w:t>
            </w:r>
          </w:p>
        </w:tc>
      </w:tr>
      <w:tr>
        <w:trPr>
          <w:trHeight w:val="203"/>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167,332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61,968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105,364</w:t>
            </w:r>
          </w:p>
        </w:tc>
      </w:tr>
      <w:tr>
        <w:trPr>
          <w:trHeight w:val="20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(105,364)</w:t>
            </w: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6700" w:type="dxa"/>
            <w:vAlign w:val="bottom"/>
          </w:tcPr>
          <w:p>
            <w:pPr>
              <w:ind w:left="660"/>
              <w:spacing w:after="0"/>
              <w:rPr>
                <w:sz w:val="20"/>
                <w:szCs w:val="20"/>
                <w:color w:val="auto"/>
              </w:rPr>
            </w:pPr>
            <w:r>
              <w:rPr>
                <w:rFonts w:ascii="Arial" w:cs="Arial" w:eastAsia="Arial" w:hAnsi="Arial"/>
                <w:sz w:val="16"/>
                <w:szCs w:val="16"/>
                <w:color w:val="auto"/>
              </w:rPr>
              <w:t>Total other income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(105,233)</w:t>
            </w: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3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(105,241)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72"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following table summarizes our research and development expenses for each period presented, along with the changes in those items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18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5"/>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180" w:type="dxa"/>
            <w:vAlign w:val="bottom"/>
            <w:tcBorders>
              <w:top w:val="single" w:sz="8" w:color="auto"/>
              <w:bottom w:val="single" w:sz="8" w:color="CCEEFF"/>
            </w:tcBorders>
          </w:tcPr>
          <w:p>
            <w:pPr>
              <w:spacing w:after="0"/>
              <w:rPr>
                <w:sz w:val="17"/>
                <w:szCs w:val="17"/>
                <w:color w:val="auto"/>
              </w:rPr>
            </w:pP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16,141</w:t>
            </w: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Epilepsy</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9,953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13,169</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w:t>
            </w:r>
          </w:p>
        </w:tc>
      </w:tr>
      <w:tr>
        <w:trPr>
          <w:trHeight w:val="207"/>
        </w:trPr>
        <w:tc>
          <w:tcPr>
            <w:tcW w:w="670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8,809</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17,607</w:t>
            </w:r>
          </w:p>
        </w:tc>
      </w:tr>
      <w:tr>
        <w:trPr>
          <w:trHeight w:val="20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44,976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75,281</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$75.3 million increase in research and development expenses was primarily attributable to the following:</w:t>
      </w:r>
    </w:p>
    <w:p>
      <w:pPr>
        <w:spacing w:after="0" w:line="172" w:lineRule="exact"/>
        <w:rPr>
          <w:sz w:val="20"/>
          <w:szCs w:val="20"/>
          <w:color w:val="auto"/>
        </w:rPr>
      </w:pPr>
    </w:p>
    <w:p>
      <w:pPr>
        <w:ind w:left="640" w:right="280" w:hanging="320"/>
        <w:spacing w:after="0" w:line="275"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$17.6 million increase in personnel-related costs due to increased headcount, driven primarily by an increase of $8.0 million in stock-based compensation expense;</w:t>
      </w:r>
    </w:p>
    <w:p>
      <w:pPr>
        <w:spacing w:after="0" w:line="129" w:lineRule="exact"/>
        <w:rPr>
          <w:rFonts w:ascii="Arial" w:cs="Arial" w:eastAsia="Arial" w:hAnsi="Arial"/>
          <w:sz w:val="17"/>
          <w:szCs w:val="17"/>
          <w:color w:val="auto"/>
        </w:rPr>
      </w:pPr>
    </w:p>
    <w:p>
      <w:pPr>
        <w:ind w:left="640" w:right="280" w:hanging="320"/>
        <w:spacing w:after="0" w:line="275"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$16.1 million increase in expense related to our psychiatry franchise, driven primarily by an increase in clinical-related and toxicology spend for our PRAX-114 Phase 2/3 Aria and Acapella clinical trials;</w:t>
      </w:r>
    </w:p>
    <w:p>
      <w:pPr>
        <w:spacing w:after="0" w:line="129" w:lineRule="exact"/>
        <w:rPr>
          <w:rFonts w:ascii="Arial" w:cs="Arial" w:eastAsia="Arial" w:hAnsi="Arial"/>
          <w:sz w:val="17"/>
          <w:szCs w:val="17"/>
          <w:color w:val="auto"/>
        </w:rPr>
      </w:pPr>
    </w:p>
    <w:p>
      <w:pPr>
        <w:ind w:left="640" w:right="420" w:hanging="320"/>
        <w:spacing w:after="0" w:line="266"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$13.2 million increase in expense related to our epilepsy franchise, driven primarily by an increase in clinical-related and toxicology spend to support the initiation of our PRAX-562 Phase 2 developmental epileptic encephalopathies clinical trial and an increase in preclinical activities for our earlier stage assets;</w:t>
      </w:r>
    </w:p>
    <w:p>
      <w:pPr>
        <w:spacing w:after="0" w:line="136" w:lineRule="exact"/>
        <w:rPr>
          <w:rFonts w:ascii="Arial" w:cs="Arial" w:eastAsia="Arial" w:hAnsi="Arial"/>
          <w:sz w:val="17"/>
          <w:szCs w:val="17"/>
          <w:color w:val="auto"/>
        </w:rPr>
      </w:pPr>
    </w:p>
    <w:p>
      <w:pPr>
        <w:ind w:left="640" w:hanging="320"/>
        <w:spacing w:after="0" w:line="275"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$14.3 million increase in expense related to our movement disorders franchise, driven primarily by an increase in toxicology and clinical-related spend for our PRAX-944 Phase 2 Essential1 clinical trial;</w:t>
      </w:r>
    </w:p>
    <w:p>
      <w:pPr>
        <w:spacing w:after="0" w:line="115" w:lineRule="exact"/>
        <w:rPr>
          <w:rFonts w:ascii="Arial" w:cs="Arial" w:eastAsia="Arial" w:hAnsi="Arial"/>
          <w:sz w:val="17"/>
          <w:szCs w:val="17"/>
          <w:color w:val="auto"/>
        </w:rPr>
      </w:pPr>
    </w:p>
    <w:p>
      <w:pPr>
        <w:ind w:left="640" w:right="40" w:hanging="320"/>
        <w:spacing w:after="0" w:line="236"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$8.8 million increase in other exploratory CNS indications, driven primarily by an increase in clinical-related expenses for our PRAX-562 Phase 2 trial in Short-lasting Unilateral Neuralgiform headache attacks, Short-lasting Unilateral Neuralgiform headache with Autonomic symptoms and Trigeminal Neuralgia, as well as increased preclinical activities for our earlier stage assets; and</w:t>
      </w:r>
    </w:p>
    <w:p>
      <w:pPr>
        <w:spacing w:after="0" w:line="144" w:lineRule="exact"/>
        <w:rPr>
          <w:rFonts w:ascii="Arial" w:cs="Arial" w:eastAsia="Arial" w:hAnsi="Arial"/>
          <w:sz w:val="17"/>
          <w:szCs w:val="17"/>
          <w:color w:val="auto"/>
        </w:rPr>
      </w:pPr>
    </w:p>
    <w:p>
      <w:pPr>
        <w:ind w:left="640" w:right="80" w:hanging="320"/>
        <w:spacing w:after="0" w:line="266" w:lineRule="auto"/>
        <w:tabs>
          <w:tab w:leader="none" w:pos="6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$5.3 million increase in other indirect research and development expenses, driven primarily by an increase in general clinical related spend, as well as increases in facility and other allocated overhead costs and technology spend and related consulting costs to support our clinical and quality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$30.1 million increase in general and administrative expenses was primarily attributable to the following:</w:t>
      </w:r>
    </w:p>
    <w:p>
      <w:pPr>
        <w:spacing w:after="0" w:line="172" w:lineRule="exact"/>
        <w:rPr>
          <w:sz w:val="20"/>
          <w:szCs w:val="20"/>
          <w:color w:val="auto"/>
        </w:rPr>
      </w:pPr>
    </w:p>
    <w:p>
      <w:pPr>
        <w:ind w:left="640" w:right="20" w:hanging="320"/>
        <w:spacing w:after="0" w:line="275" w:lineRule="auto"/>
        <w:tabs>
          <w:tab w:leader="none" w:pos="6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$14.6 million increase in personnel-related costs, driven primarily by increased headcount, including an increase of $9.5 million in stock-based compensation expense;</w:t>
      </w:r>
    </w:p>
    <w:p>
      <w:pPr>
        <w:spacing w:after="0" w:line="129" w:lineRule="exact"/>
        <w:rPr>
          <w:rFonts w:ascii="Arial" w:cs="Arial" w:eastAsia="Arial" w:hAnsi="Arial"/>
          <w:sz w:val="17"/>
          <w:szCs w:val="17"/>
          <w:color w:val="auto"/>
        </w:rPr>
      </w:pPr>
    </w:p>
    <w:p>
      <w:pPr>
        <w:ind w:left="640" w:right="280" w:hanging="320"/>
        <w:spacing w:after="0" w:line="266" w:lineRule="auto"/>
        <w:tabs>
          <w:tab w:leader="none" w:pos="6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$9.9 million increase in professional fees, driven primarily by $5.1 million of increased commercial-related spend to support market assessments of our clinical-stage programs, a $2.2 million increase in audit and legal fees and a $1.7 million increase in general and administrative infrastructure-related costs; and</w:t>
      </w:r>
    </w:p>
    <w:p>
      <w:pPr>
        <w:spacing w:after="0" w:line="136" w:lineRule="exact"/>
        <w:rPr>
          <w:rFonts w:ascii="Arial" w:cs="Arial" w:eastAsia="Arial" w:hAnsi="Arial"/>
          <w:sz w:val="17"/>
          <w:szCs w:val="17"/>
          <w:color w:val="auto"/>
        </w:rPr>
      </w:pPr>
    </w:p>
    <w:p>
      <w:pPr>
        <w:ind w:left="640" w:right="80" w:hanging="320"/>
        <w:spacing w:after="0" w:line="266" w:lineRule="auto"/>
        <w:tabs>
          <w:tab w:leader="none" w:pos="6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$5.6 million increase in other general and administrative expenses, driven primarily by a $3.5 million increase in insurance and related costs due to our first full year as a public company, a $0.8 million increase in technology spend and a $0.7 million increase in donations and sponsorships.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59" w:lineRule="exact"/>
        <w:rPr>
          <w:sz w:val="20"/>
          <w:szCs w:val="20"/>
          <w:color w:val="auto"/>
        </w:rPr>
      </w:pPr>
    </w:p>
    <w:p>
      <w:pPr>
        <w:ind w:right="400" w:firstLine="433"/>
        <w:spacing w:after="0" w:line="275" w:lineRule="auto"/>
        <w:rPr>
          <w:sz w:val="20"/>
          <w:szCs w:val="20"/>
          <w:color w:val="auto"/>
        </w:rPr>
      </w:pPr>
      <w:r>
        <w:rPr>
          <w:rFonts w:ascii="Arial" w:cs="Arial" w:eastAsia="Arial" w:hAnsi="Arial"/>
          <w:sz w:val="17"/>
          <w:szCs w:val="17"/>
          <w:color w:val="auto"/>
        </w:rPr>
        <w:t>Other income for the years ended December 31, 2021 and 2020 was comprised of interest income on our cash, cash equivalents and marketable securities and investment premium and discount amortization.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3" w:lineRule="exact"/>
        <w:rPr>
          <w:sz w:val="20"/>
          <w:szCs w:val="20"/>
          <w:color w:val="auto"/>
        </w:rPr>
      </w:pPr>
    </w:p>
    <w:p>
      <w:pPr>
        <w:jc w:val="both"/>
        <w:ind w:right="260" w:firstLine="433"/>
        <w:spacing w:after="0" w:line="266" w:lineRule="auto"/>
        <w:rPr>
          <w:sz w:val="20"/>
          <w:szCs w:val="20"/>
          <w:color w:val="auto"/>
        </w:rPr>
      </w:pPr>
      <w:r>
        <w:rPr>
          <w:rFonts w:ascii="Arial" w:cs="Arial" w:eastAsia="Arial" w:hAnsi="Arial"/>
          <w:sz w:val="17"/>
          <w:szCs w:val="17"/>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84"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To date, we have financed our operations primarily with proceeds from the sale and issuance of equity securities. From inception through December 31, 2021, we have raised $516.4 million in aggregate cash proceeds from such transactions, net of issuance costs. As of December 31, 2021, we had cash, cash equivalents and marketable securities of $275.9 million.</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our cash flows for each period presented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8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r>
      <w:tr>
        <w:trPr>
          <w:trHeight w:val="19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301"/>
              <w:spacing w:after="0"/>
              <w:rPr>
                <w:sz w:val="20"/>
                <w:szCs w:val="20"/>
                <w:color w:val="auto"/>
              </w:rPr>
            </w:pPr>
            <w:r>
              <w:rPr>
                <w:rFonts w:ascii="Arial" w:cs="Arial" w:eastAsia="Arial" w:hAnsi="Arial"/>
                <w:sz w:val="16"/>
                <w:szCs w:val="16"/>
                <w:color w:val="auto"/>
                <w:w w:val="96"/>
              </w:rPr>
              <w:t>(124,554)</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(52,623)</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301"/>
              <w:spacing w:after="0"/>
              <w:rPr>
                <w:sz w:val="20"/>
                <w:szCs w:val="20"/>
                <w:color w:val="auto"/>
              </w:rPr>
            </w:pPr>
            <w:r>
              <w:rPr>
                <w:rFonts w:ascii="Arial" w:cs="Arial" w:eastAsia="Arial" w:hAnsi="Arial"/>
                <w:sz w:val="16"/>
                <w:szCs w:val="16"/>
                <w:color w:val="auto"/>
                <w:w w:val="96"/>
              </w:rPr>
              <w:t>(140,520)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w w:val="96"/>
              </w:rPr>
              <w:t>107,586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304,416</w:t>
            </w: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center"/>
              <w:ind w:left="301"/>
              <w:spacing w:after="0"/>
              <w:rPr>
                <w:sz w:val="20"/>
                <w:szCs w:val="20"/>
                <w:color w:val="auto"/>
              </w:rPr>
            </w:pPr>
            <w:r>
              <w:rPr>
                <w:rFonts w:ascii="Arial" w:cs="Arial" w:eastAsia="Arial" w:hAnsi="Arial"/>
                <w:sz w:val="16"/>
                <w:szCs w:val="16"/>
                <w:color w:val="auto"/>
                <w:w w:val="96"/>
              </w:rPr>
              <w:t>(157,488)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251,793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37"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200" w:lineRule="exact"/>
        <w:rPr>
          <w:sz w:val="20"/>
          <w:szCs w:val="20"/>
          <w:color w:val="auto"/>
        </w:rPr>
      </w:pPr>
    </w:p>
    <w:p>
      <w:pPr>
        <w:spacing w:after="0" w:line="202" w:lineRule="exact"/>
        <w:rPr>
          <w:sz w:val="20"/>
          <w:szCs w:val="20"/>
          <w:color w:val="auto"/>
        </w:rPr>
      </w:pPr>
    </w:p>
    <w:p>
      <w:pPr>
        <w:ind w:right="280" w:firstLine="433"/>
        <w:spacing w:after="0" w:line="263" w:lineRule="auto"/>
        <w:rPr>
          <w:sz w:val="20"/>
          <w:szCs w:val="20"/>
          <w:color w:val="auto"/>
        </w:rPr>
      </w:pPr>
      <w:r>
        <w:rPr>
          <w:rFonts w:ascii="Arial" w:cs="Arial" w:eastAsia="Arial" w:hAnsi="Arial"/>
          <w:sz w:val="17"/>
          <w:szCs w:val="17"/>
          <w:color w:val="auto"/>
        </w:rPr>
        <w:t>During the year ended December 31, 2021, net cash used in operating activities of $124.6 million was primarily due to our $167.1 million net loss, partially offset by $26.4 million of non-cash charges primarily related to stock-based compensation, amortization of premiums and discounts on marketable securities and non-cash operating lease expense, and $16.1 million in changes in operating assets and liabilities primarily related to increases in accounts payable and accrued expenses.</w:t>
      </w:r>
    </w:p>
    <w:p>
      <w:pPr>
        <w:spacing w:after="0" w:line="192" w:lineRule="exact"/>
        <w:rPr>
          <w:sz w:val="20"/>
          <w:szCs w:val="20"/>
          <w:color w:val="auto"/>
        </w:rPr>
      </w:pPr>
    </w:p>
    <w:p>
      <w:pPr>
        <w:jc w:val="both"/>
        <w:ind w:right="180" w:firstLine="433"/>
        <w:spacing w:after="0" w:line="266" w:lineRule="auto"/>
        <w:rPr>
          <w:sz w:val="20"/>
          <w:szCs w:val="20"/>
          <w:color w:val="auto"/>
        </w:rPr>
      </w:pPr>
      <w:r>
        <w:rPr>
          <w:rFonts w:ascii="Arial" w:cs="Arial" w:eastAsia="Arial" w:hAnsi="Arial"/>
          <w:sz w:val="17"/>
          <w:szCs w:val="17"/>
          <w:color w:val="auto"/>
        </w:rPr>
        <w:t>During the year ended December 31, 2020, net cash used in operating activities of $52.6 million was primarily due to our $61.8 million net loss, partially offset by $6.0 million of non-cash charges primarily related to stock-based compensation and $3.2 million in changes in operating assets and liabilities primarily related to an increase in accrued expenses.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37"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During the year ended December 31, 2021, net cash used in investing activities of $ 140.5 million primarily related to the purchase of marketable securities, partially offset by the maturity of marketable securities. There were no cash flows from investing activities during the year ended December 31, 2020.</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37"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During the year ended December 31, 2021, net cash provided by financing activities of $107.6 million consisted of net proceeds from our follow-on public offering and at-the-market offerings of $105.7 million and net proceeds from the exercise of stock options of $2.4 million partially offset by the payment of issuance costs for our initial public offering, or IPO.</w:t>
      </w:r>
    </w:p>
    <w:p>
      <w:pPr>
        <w:spacing w:after="0" w:line="189"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During the year ended December 31, 2020, net cash provided by financing activities of $304.4 million primarily consisted of net proceeds from our IPO and from the issuance of our Series C and Series C-1 redeemable convertible preferred stock, partially offset by our repurchase of Series C redeemable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 and Future Funding Requirements</w:t>
      </w:r>
    </w:p>
    <w:p>
      <w:pPr>
        <w:spacing w:after="0" w:line="100" w:lineRule="exact"/>
        <w:rPr>
          <w:sz w:val="20"/>
          <w:szCs w:val="20"/>
          <w:color w:val="auto"/>
        </w:rPr>
      </w:pPr>
    </w:p>
    <w:p>
      <w:pPr>
        <w:ind w:right="220" w:firstLine="433"/>
        <w:spacing w:after="0" w:line="262"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In addition, we expect to incur additional costs associated with operating as a public company and as we transition from being an emerging growth company and a smaller reporting company. As a result, we expect to incur substantial operating losses and negative operating cash flows for the foreseeable future. We anticipate that our expenses will increase substantially if and as we: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0" w:right="460" w:hanging="323"/>
        <w:spacing w:after="0" w:line="275" w:lineRule="auto"/>
        <w:tabs>
          <w:tab w:leader="none" w:pos="7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advance the clinical development of our clinical-stage product candidates within our psychiatry, movement disorders and epilepsy franchises, respectively;</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advance the development of any additional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potential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make strategic investments in manufacturing capabilities;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maintain our IP portfolio and opportunistically acquire complementary IP;</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seek to obtain regulatory approvals for our product candidates;</w:t>
      </w:r>
    </w:p>
    <w:p>
      <w:pPr>
        <w:spacing w:after="0" w:line="119" w:lineRule="exact"/>
        <w:rPr>
          <w:rFonts w:ascii="Arial" w:cs="Arial" w:eastAsia="Arial" w:hAnsi="Arial"/>
          <w:sz w:val="17"/>
          <w:szCs w:val="17"/>
          <w:color w:val="auto"/>
        </w:rPr>
      </w:pPr>
    </w:p>
    <w:p>
      <w:pPr>
        <w:ind w:left="800" w:right="340" w:hanging="323"/>
        <w:spacing w:after="0" w:line="275" w:lineRule="auto"/>
        <w:tabs>
          <w:tab w:leader="none" w:pos="7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potentially establish a sales, marketing and distribution infrastructure and scale-up manufacturing capabilities to commercialize any products for which we may obtain regulatory approval;</w:t>
      </w:r>
    </w:p>
    <w:p>
      <w:pPr>
        <w:spacing w:after="0" w:line="76" w:lineRule="exact"/>
        <w:rPr>
          <w:rFonts w:ascii="Arial" w:cs="Arial" w:eastAsia="Arial" w:hAnsi="Arial"/>
          <w:sz w:val="17"/>
          <w:szCs w:val="17"/>
          <w:color w:val="auto"/>
        </w:rPr>
      </w:pPr>
    </w:p>
    <w:p>
      <w:pPr>
        <w:ind w:left="800" w:right="220" w:hanging="323"/>
        <w:spacing w:after="0" w:line="275" w:lineRule="auto"/>
        <w:tabs>
          <w:tab w:leader="none" w:pos="7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76" w:lineRule="exact"/>
        <w:rPr>
          <w:rFonts w:ascii="Arial" w:cs="Arial" w:eastAsia="Arial" w:hAnsi="Arial"/>
          <w:sz w:val="17"/>
          <w:szCs w:val="17"/>
          <w:color w:val="auto"/>
        </w:rPr>
      </w:pPr>
    </w:p>
    <w:p>
      <w:pPr>
        <w:ind w:left="800" w:right="40" w:hanging="323"/>
        <w:spacing w:after="0" w:line="275" w:lineRule="auto"/>
        <w:tabs>
          <w:tab w:leader="none" w:pos="7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experience any delays or encounter any issues with any of the above, including but not limited to failed studies, complex results, safety issues or other regulatory challenges.</w:t>
      </w:r>
    </w:p>
    <w:p>
      <w:pPr>
        <w:spacing w:after="0" w:line="18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are unable to estimate the exact amount of our working capital requirements, but based on our current operating plan, we expect that our existing cash, cash equivalents and marketable securities will enable us to fund our operating expenses and capital expenditure requirements into the second quarter of 2023. However, we have based this estimate on assumptions that may prove to be wrong and we could exhaust our capital resources sooner than we expect.</w:t>
      </w:r>
    </w:p>
    <w:p>
      <w:pPr>
        <w:spacing w:after="0" w:line="192"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92" w:lineRule="exact"/>
        <w:rPr>
          <w:sz w:val="20"/>
          <w:szCs w:val="20"/>
          <w:color w:val="auto"/>
        </w:rPr>
      </w:pPr>
    </w:p>
    <w:p>
      <w:pPr>
        <w:ind w:left="780" w:hanging="303"/>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studies and clinical trials for our franchises and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and technologies that we develop or may in-license;</w:t>
      </w:r>
    </w:p>
    <w:p>
      <w:pPr>
        <w:spacing w:after="0" w:line="119" w:lineRule="exact"/>
        <w:rPr>
          <w:rFonts w:ascii="Arial" w:cs="Arial" w:eastAsia="Arial" w:hAnsi="Arial"/>
          <w:sz w:val="17"/>
          <w:szCs w:val="17"/>
          <w:color w:val="auto"/>
        </w:rPr>
      </w:pPr>
    </w:p>
    <w:p>
      <w:pPr>
        <w:ind w:left="800" w:right="360" w:hanging="323"/>
        <w:spacing w:after="0" w:line="275" w:lineRule="auto"/>
        <w:tabs>
          <w:tab w:leader="none" w:pos="7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76" w:lineRule="exact"/>
        <w:rPr>
          <w:rFonts w:ascii="Arial" w:cs="Arial" w:eastAsia="Arial" w:hAnsi="Arial"/>
          <w:sz w:val="17"/>
          <w:szCs w:val="17"/>
          <w:color w:val="auto"/>
        </w:rPr>
      </w:pPr>
    </w:p>
    <w:p>
      <w:pPr>
        <w:ind w:left="800" w:right="380" w:hanging="323"/>
        <w:spacing w:after="0" w:line="275" w:lineRule="auto"/>
        <w:tabs>
          <w:tab w:leader="none" w:pos="7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6" w:lineRule="exact"/>
        <w:rPr>
          <w:rFonts w:ascii="Arial" w:cs="Arial" w:eastAsia="Arial" w:hAnsi="Arial"/>
          <w:sz w:val="17"/>
          <w:szCs w:val="17"/>
          <w:color w:val="auto"/>
        </w:rPr>
      </w:pPr>
    </w:p>
    <w:p>
      <w:pPr>
        <w:ind w:left="800" w:right="80" w:hanging="323"/>
        <w:spacing w:after="0" w:line="275" w:lineRule="auto"/>
        <w:tabs>
          <w:tab w:leader="none" w:pos="7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IP rights and defending any IP-related claims;</w:t>
      </w:r>
    </w:p>
    <w:p>
      <w:pPr>
        <w:spacing w:after="0" w:line="76" w:lineRule="exact"/>
        <w:rPr>
          <w:rFonts w:ascii="Arial" w:cs="Arial" w:eastAsia="Arial" w:hAnsi="Arial"/>
          <w:sz w:val="17"/>
          <w:szCs w:val="17"/>
          <w:color w:val="auto"/>
        </w:rPr>
      </w:pPr>
    </w:p>
    <w:p>
      <w:pPr>
        <w:ind w:left="780" w:hanging="303"/>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continuation of our existing licensing arrangements and entry into new collaborations and licensing arrangements;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we incur in maintaining business operations;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product candidates for which we receive marketing approval;</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19" w:lineRule="exact"/>
        <w:rPr>
          <w:rFonts w:ascii="Arial" w:cs="Arial" w:eastAsia="Arial" w:hAnsi="Arial"/>
          <w:sz w:val="17"/>
          <w:szCs w:val="17"/>
          <w:color w:val="auto"/>
        </w:rPr>
      </w:pPr>
    </w:p>
    <w:p>
      <w:pPr>
        <w:ind w:left="800" w:right="260" w:hanging="323"/>
        <w:spacing w:after="0" w:line="275" w:lineRule="auto"/>
        <w:tabs>
          <w:tab w:leader="none" w:pos="7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impact of any business interruptions to our operations or to those of our manufacturers, suppliers or other vendors resulting from the COVID-19 pandemic or similar public health crisis; and</w:t>
      </w:r>
    </w:p>
    <w:p>
      <w:pPr>
        <w:spacing w:after="0" w:line="76" w:lineRule="exact"/>
        <w:rPr>
          <w:rFonts w:ascii="Arial" w:cs="Arial" w:eastAsia="Arial" w:hAnsi="Arial"/>
          <w:sz w:val="17"/>
          <w:szCs w:val="17"/>
          <w:color w:val="auto"/>
        </w:rPr>
      </w:pPr>
    </w:p>
    <w:p>
      <w:pPr>
        <w:ind w:left="800" w:right="40" w:hanging="323"/>
        <w:spacing w:after="0" w:line="266" w:lineRule="auto"/>
        <w:tabs>
          <w:tab w:leader="none" w:pos="7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92"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96"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02"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We have entered into certain agreements under which we have incurred or may in the future incur obligations and commitments that could have a material impact on our capital resources.</w:t>
      </w:r>
    </w:p>
    <w:p>
      <w:pPr>
        <w:spacing w:after="0" w:line="181" w:lineRule="exact"/>
        <w:rPr>
          <w:sz w:val="20"/>
          <w:szCs w:val="20"/>
          <w:color w:val="auto"/>
        </w:rPr>
      </w:pPr>
    </w:p>
    <w:p>
      <w:pPr>
        <w:ind w:right="560" w:firstLine="433"/>
        <w:spacing w:after="0" w:line="275" w:lineRule="auto"/>
        <w:rPr>
          <w:sz w:val="20"/>
          <w:szCs w:val="20"/>
          <w:color w:val="auto"/>
        </w:rPr>
      </w:pPr>
      <w:r>
        <w:rPr>
          <w:rFonts w:ascii="Arial" w:cs="Arial" w:eastAsia="Arial" w:hAnsi="Arial"/>
          <w:sz w:val="17"/>
          <w:szCs w:val="17"/>
          <w:color w:val="auto"/>
        </w:rPr>
        <w:t>We sublease building space in Boston, Massachusetts. Our sublease will expire on January 31, 2026. As of December 31, 2021, our operating lease commitments for the remainder of the lease term were $5.2 million.</w:t>
      </w:r>
    </w:p>
    <w:p>
      <w:pPr>
        <w:spacing w:after="0" w:line="181" w:lineRule="exact"/>
        <w:rPr>
          <w:sz w:val="20"/>
          <w:szCs w:val="20"/>
          <w:color w:val="auto"/>
        </w:rPr>
      </w:pPr>
    </w:p>
    <w:p>
      <w:pPr>
        <w:ind w:right="280" w:firstLine="433"/>
        <w:spacing w:after="0" w:line="266" w:lineRule="auto"/>
        <w:rPr>
          <w:sz w:val="20"/>
          <w:szCs w:val="20"/>
          <w:color w:val="auto"/>
        </w:rPr>
      </w:pPr>
      <w:r>
        <w:rPr>
          <w:rFonts w:ascii="Arial" w:cs="Arial" w:eastAsia="Arial" w:hAnsi="Arial"/>
          <w:sz w:val="17"/>
          <w:szCs w:val="17"/>
          <w:color w:val="auto"/>
        </w:rPr>
        <w:t>In addition, we have entered into collaboration and license agreements with Purdue Neuroscience Company, or Purdue, RogCon Inc., or RogCon, and Ionis Pharmaceuticals, Inc., or Ionis, under which we could be obligated to pay certain fees, milestone payments and cost reimbursements.</w:t>
      </w:r>
    </w:p>
    <w:p>
      <w:pPr>
        <w:spacing w:after="0" w:line="18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Under our license agreement with Purdue, we are obligated to make future milestone payments of up to $33.0 million based on the achievement of specified development and sales milestones. Furthermore, we are obligated to pay Purdue royalties of a low-single-digit percentage of annual net sales of licensed products. Either party may terminate the license agreement for convenience or in the event of a material breach by the other party and failure to cure such breach within a certain period of time. If the agreement is voluntarily terminated by Purdue, our license rights will survive such termination and such rights will become fully paid, perpetual and irrevocable. See “Business—License Agreements—License Agreement with Purdue.”</w:t>
      </w:r>
    </w:p>
    <w:p>
      <w:pPr>
        <w:spacing w:after="0" w:line="193"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Under our license agreement with RogCon, we are obligated to reimburse RogCon for its out-of-pocket costs incurred for activities performed under the license agreement. Additionally, we may be obligated to pay RogCon a milestone payment of $3.0 million and profit share payments. The $3.0 million milestone payment is due when the first profit share payment has become due and payable and certain contingent payments have become due and payable to Ionis under our collaboration agreement with Ionis. The profit share payments are based on a low-double-digit percentage of net profits, depending on sales volume. Either party may terminate the license agreement for material breach or insolvency of the other party. Additionally, we may terminate for convenience with prior notice to RogCon. See “Business—License Agreements— License Agreement with RogCon.”</w:t>
      </w:r>
    </w:p>
    <w:p>
      <w:pPr>
        <w:spacing w:after="0" w:line="196"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Under our collaboration agreement with Ionis, we are obligated to reimburse any out-of-pocket costs incurred by Ionis related to research activities, identification of a development candidate and conducting an investigational new drug application, or IND, enabling toxicology study. Ionis granted us an exclusive option to obtain the rights and license to further develop and commercialize a development candidate in the field of epilepsy and neurodevelopmental disorders, other than Dravet Syndrome, following the results of the IND-enabling toxicology study. We exercised this exclusive option in January 2022 and paid a $2.0 million license fee. We may be required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80"/>
        <w:spacing w:after="0" w:line="266" w:lineRule="auto"/>
        <w:rPr>
          <w:sz w:val="20"/>
          <w:szCs w:val="20"/>
          <w:color w:val="auto"/>
        </w:rPr>
      </w:pPr>
      <w:r>
        <w:rPr>
          <w:rFonts w:ascii="Arial" w:cs="Arial" w:eastAsia="Arial" w:hAnsi="Arial"/>
          <w:sz w:val="17"/>
          <w:szCs w:val="17"/>
          <w:color w:val="auto"/>
        </w:rPr>
        <w:t>to make additional payments to Ionis including development milestone payments, additional milestone payments and sales royalties or sublicense fees. Either party may terminate the collaboration agreement upon material breach or insolvency of the other party. Ionis may terminate if we fail to achieve a performance milestone. See “Business—License Agreements—Ionis Collaboration Agreement.”</w:t>
      </w:r>
    </w:p>
    <w:p>
      <w:pPr>
        <w:spacing w:after="0" w:line="189"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We have also entered into multiple agreements with third parties under which we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our financial statements.</w:t>
      </w:r>
    </w:p>
    <w:p>
      <w:pPr>
        <w:spacing w:after="0" w:line="192"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have agreements with certain vendors for various services, including services related to clinical operations and support, for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w:t>
      </w:r>
    </w:p>
    <w:p>
      <w:pPr>
        <w:spacing w:after="0" w:line="192"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addition, we enter into indemnification agreements and agreements containing indemnification provisions in the ordinary course of business. Pursuant to these agreements, we agree to indemnify, hold harmless and reimburse the indemnified party for losses suffered or incurred by the indemnified party, generally our business collaborators, in connection with any U.S. patent or any copyright or other IP infringement claim by any third party with respect to our product candidates. The term of these indemnification agreements is generally perpetual upon execution of the agreement. The maximum potential amount of future payments we could be required to make under these indemnification agreements cannot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02" w:lineRule="exact"/>
        <w:rPr>
          <w:sz w:val="20"/>
          <w:szCs w:val="20"/>
          <w:color w:val="auto"/>
        </w:rPr>
      </w:pPr>
    </w:p>
    <w:p>
      <w:pPr>
        <w:ind w:right="100" w:firstLine="433"/>
        <w:spacing w:after="0" w:line="26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6"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Related Accruals and Prepaids</w:t>
      </w:r>
    </w:p>
    <w:p>
      <w:pPr>
        <w:spacing w:after="0" w:line="113"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activities, including personnel-related expenses such as salaries, benefits and stock-based compensation expense; materials; supplies; manufacturing and external costs related to outside vendors engaged to conduct both preclinical studies and clinical trials; and the allocable portions of facility costs, such as rent, utilities, depreciation and general support services. All costs associated with research and development activities are expensed as incurred.</w:t>
      </w:r>
    </w:p>
    <w:p>
      <w:pPr>
        <w:spacing w:after="0" w:line="192"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and prepaid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in determining our accrued and prepaid research and development expenses as of each balance sheet date in our financial statements based on facts and circumstances known to us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at that time. When evaluating the adequacy of the accrued liabilities and prepaid expenses, we analyze progress of the studies or trials related to these services, including the phase or completion of events, invoices received and contracted costs. Examples of estimated accrued and prepaid research and development expenses include fees paid to:</w:t>
      </w:r>
    </w:p>
    <w:p>
      <w:pPr>
        <w:spacing w:after="0" w:line="189" w:lineRule="exact"/>
        <w:rPr>
          <w:sz w:val="20"/>
          <w:szCs w:val="20"/>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CROs in connection with performing research services and preclinical and clinical studies;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investigative sites or other providers in connection with preclinical and clinical studies;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vendors in connection with preclinical and clinical development activities;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vendors related to product manufacturing, development and distribution of preclinical and clinical supplies.</w:t>
      </w:r>
    </w:p>
    <w:p>
      <w:pPr>
        <w:spacing w:after="0" w:line="224"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The financial terms of our agreements with CROs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milestones. In expensing service fees, we estimate the time period over which services will be performed, enrollment of patients, number of sites activated and the level of effort expended in each period. If the actual timing of the performance of services or the level of effort varies from our estimate, we adjust the expense accordingly. Significant judgments and estimates are made in determining the accrued and prepaid research and development expenses at the end of any reporting period.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2" w:lineRule="exact"/>
        <w:rPr>
          <w:sz w:val="20"/>
          <w:szCs w:val="20"/>
          <w:color w:val="auto"/>
        </w:rPr>
      </w:pPr>
    </w:p>
    <w:p>
      <w:pPr>
        <w:ind w:right="800" w:firstLine="433"/>
        <w:spacing w:after="0" w:line="275" w:lineRule="auto"/>
        <w:rPr>
          <w:sz w:val="20"/>
          <w:szCs w:val="20"/>
          <w:color w:val="auto"/>
        </w:rPr>
      </w:pPr>
      <w:r>
        <w:rPr>
          <w:rFonts w:ascii="Arial" w:cs="Arial" w:eastAsia="Arial" w:hAnsi="Arial"/>
          <w:sz w:val="17"/>
          <w:szCs w:val="17"/>
          <w:color w:val="auto"/>
        </w:rPr>
        <w:t>For a discussion of recent account of recent accounting standards, see Note 2 to our consolidated financial statements appearing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560"/>
        <w:spacing w:after="0" w:line="399"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b w:val="1"/>
          <w:bCs w:val="1"/>
          <w:i w:val="1"/>
          <w:iCs w:val="1"/>
          <w:color w:val="auto"/>
        </w:rPr>
        <w:t>Interest Rate Fluctuation Risk</w:t>
      </w:r>
    </w:p>
    <w:p>
      <w:pPr>
        <w:spacing w:after="0" w:line="1"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our cash, cash equivalents and marketable securities are or may be in the form of money market funds or marketable debt securities and are or may be invested in U.S. Treasury and U.S. government agency obligations. However, because of the short-term nature and low risk profile of the instruments in our portfolio, an immediate change in market interest rates of 100 basis points would not have a material impact on the fair market value of our investment portfolio or on our financial position or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Fluctuation Risk</w:t>
      </w:r>
    </w:p>
    <w:p>
      <w:pPr>
        <w:spacing w:after="0" w:line="13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Fluctuation Risk</w:t>
      </w:r>
    </w:p>
    <w:p>
      <w:pPr>
        <w:spacing w:after="0" w:line="139" w:lineRule="exact"/>
        <w:rPr>
          <w:sz w:val="20"/>
          <w:szCs w:val="20"/>
          <w:color w:val="auto"/>
        </w:rPr>
      </w:pPr>
    </w:p>
    <w:p>
      <w:pPr>
        <w:ind w:right="400" w:firstLine="433"/>
        <w:spacing w:after="0" w:line="275" w:lineRule="auto"/>
        <w:rPr>
          <w:sz w:val="20"/>
          <w:szCs w:val="20"/>
          <w:color w:val="auto"/>
        </w:rPr>
      </w:pPr>
      <w:r>
        <w:rPr>
          <w:rFonts w:ascii="Arial" w:cs="Arial" w:eastAsia="Arial" w:hAnsi="Arial"/>
          <w:sz w:val="17"/>
          <w:szCs w:val="17"/>
          <w:color w:val="auto"/>
        </w:rPr>
        <w:t>Inflation generally affects us by increasing our costs of labor and materials. We do not believe that inflation had a material effect on our business, financial condition or results of operations during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72" w:lineRule="exact"/>
        <w:rPr>
          <w:sz w:val="20"/>
          <w:szCs w:val="20"/>
          <w:color w:val="auto"/>
        </w:rPr>
      </w:pPr>
    </w:p>
    <w:p>
      <w:pPr>
        <w:ind w:right="220" w:firstLine="472"/>
        <w:spacing w:after="0" w:line="275" w:lineRule="auto"/>
        <w:rPr>
          <w:sz w:val="20"/>
          <w:szCs w:val="20"/>
          <w:color w:val="auto"/>
        </w:rPr>
      </w:pPr>
      <w:r>
        <w:rPr>
          <w:rFonts w:ascii="Arial" w:cs="Arial" w:eastAsia="Arial" w:hAnsi="Arial"/>
          <w:sz w:val="17"/>
          <w:szCs w:val="17"/>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rPr>
              <w:t>Page</w:t>
            </w: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10300" w:type="dxa"/>
            <w:vAlign w:val="bottom"/>
            <w:tcBorders>
              <w:top w:val="single" w:sz="8" w:color="CCEEFF"/>
            </w:tcBorders>
            <w:gridSpan w:val="7"/>
            <w:shd w:val="clear" w:color="auto" w:fill="CCEEFF"/>
          </w:tcPr>
          <w:p>
            <w:pPr>
              <w:spacing w:after="0" w:line="177" w:lineRule="exact"/>
              <w:rPr>
                <w:rFonts w:ascii="Arial" w:cs="Arial" w:eastAsia="Arial" w:hAnsi="Arial"/>
                <w:sz w:val="17"/>
                <w:szCs w:val="17"/>
                <w:color w:val="0000FF"/>
              </w:rPr>
            </w:pPr>
            <w:hyperlink w:anchor="page122">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42)</w:t>
            </w:r>
          </w:p>
        </w:tc>
        <w:tc>
          <w:tcPr>
            <w:tcW w:w="900" w:type="dxa"/>
            <w:vAlign w:val="bottom"/>
            <w:tcBorders>
              <w:top w:val="single" w:sz="8" w:color="auto"/>
            </w:tcBorders>
            <w:gridSpan w:val="3"/>
            <w:shd w:val="clear" w:color="auto" w:fill="CCEEFF"/>
          </w:tcPr>
          <w:p>
            <w:pPr>
              <w:jc w:val="center"/>
              <w:spacing w:after="0" w:line="177" w:lineRule="exact"/>
              <w:rPr>
                <w:rFonts w:ascii="Arial" w:cs="Arial" w:eastAsia="Arial" w:hAnsi="Arial"/>
                <w:sz w:val="17"/>
                <w:szCs w:val="17"/>
                <w:color w:val="0000FF"/>
              </w:rPr>
            </w:pPr>
            <w:hyperlink w:anchor="page122">
              <w:r>
                <w:rPr>
                  <w:rFonts w:ascii="Arial" w:cs="Arial" w:eastAsia="Arial" w:hAnsi="Arial"/>
                  <w:sz w:val="17"/>
                  <w:szCs w:val="17"/>
                  <w:color w:val="0000FF"/>
                </w:rPr>
                <w:t>123</w:t>
              </w:r>
            </w:hyperlink>
          </w:p>
        </w:tc>
        <w:tc>
          <w:tcPr>
            <w:tcW w:w="20" w:type="dxa"/>
            <w:vAlign w:val="bottom"/>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2300" w:type="dxa"/>
            <w:vAlign w:val="bottom"/>
          </w:tcPr>
          <w:p>
            <w:pPr>
              <w:spacing w:after="0" w:line="184" w:lineRule="exact"/>
              <w:rPr>
                <w:rFonts w:ascii="Arial" w:cs="Arial" w:eastAsia="Arial" w:hAnsi="Arial"/>
                <w:sz w:val="17"/>
                <w:szCs w:val="17"/>
                <w:color w:val="0000FF"/>
              </w:rPr>
            </w:pPr>
            <w:hyperlink w:anchor="page124">
              <w:r>
                <w:rPr>
                  <w:rFonts w:ascii="Arial" w:cs="Arial" w:eastAsia="Arial" w:hAnsi="Arial"/>
                  <w:sz w:val="17"/>
                  <w:szCs w:val="17"/>
                  <w:color w:val="0000FF"/>
                </w:rPr>
                <w:t>Consolidated Balance Sheets</w:t>
              </w:r>
            </w:hyperlink>
          </w:p>
        </w:tc>
        <w:tc>
          <w:tcPr>
            <w:tcW w:w="2180" w:type="dxa"/>
            <w:vAlign w:val="bottom"/>
            <w:gridSpan w:val="4"/>
          </w:tcPr>
          <w:p>
            <w:pPr>
              <w:spacing w:after="0"/>
              <w:rPr>
                <w:sz w:val="15"/>
                <w:szCs w:val="15"/>
                <w:color w:val="auto"/>
              </w:rPr>
            </w:pPr>
          </w:p>
        </w:tc>
        <w:tc>
          <w:tcPr>
            <w:tcW w:w="5820" w:type="dxa"/>
            <w:vAlign w:val="bottom"/>
            <w:gridSpan w:val="2"/>
          </w:tcPr>
          <w:p>
            <w:pPr>
              <w:spacing w:after="0"/>
              <w:rPr>
                <w:sz w:val="15"/>
                <w:szCs w:val="15"/>
                <w:color w:val="auto"/>
              </w:rPr>
            </w:pPr>
          </w:p>
        </w:tc>
        <w:tc>
          <w:tcPr>
            <w:tcW w:w="900" w:type="dxa"/>
            <w:vAlign w:val="bottom"/>
            <w:gridSpan w:val="3"/>
          </w:tcPr>
          <w:p>
            <w:pPr>
              <w:jc w:val="center"/>
              <w:spacing w:after="0" w:line="184" w:lineRule="exact"/>
              <w:rPr>
                <w:rFonts w:ascii="Arial" w:cs="Arial" w:eastAsia="Arial" w:hAnsi="Arial"/>
                <w:sz w:val="17"/>
                <w:szCs w:val="17"/>
                <w:color w:val="0000FF"/>
              </w:rPr>
            </w:pPr>
            <w:hyperlink w:anchor="page124">
              <w:r>
                <w:rPr>
                  <w:rFonts w:ascii="Arial" w:cs="Arial" w:eastAsia="Arial" w:hAnsi="Arial"/>
                  <w:sz w:val="17"/>
                  <w:szCs w:val="17"/>
                  <w:color w:val="0000FF"/>
                </w:rPr>
                <w:t>125</w:t>
              </w:r>
            </w:hyperlink>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120" w:type="dxa"/>
            <w:vAlign w:val="bottom"/>
            <w:tcBorders>
              <w:right w:val="single" w:sz="8" w:color="CCEEFF"/>
            </w:tcBorders>
            <w:gridSpan w:val="2"/>
            <w:shd w:val="clear" w:color="auto" w:fill="CCEEFF"/>
          </w:tcPr>
          <w:p>
            <w:pPr>
              <w:spacing w:after="0" w:line="194" w:lineRule="exact"/>
              <w:rPr>
                <w:rFonts w:ascii="Arial" w:cs="Arial" w:eastAsia="Arial" w:hAnsi="Arial"/>
                <w:sz w:val="17"/>
                <w:szCs w:val="17"/>
                <w:color w:val="0000FF"/>
              </w:rPr>
            </w:pPr>
            <w:hyperlink w:anchor="page125">
              <w:r>
                <w:rPr>
                  <w:rFonts w:ascii="Arial" w:cs="Arial" w:eastAsia="Arial" w:hAnsi="Arial"/>
                  <w:sz w:val="17"/>
                  <w:szCs w:val="17"/>
                  <w:color w:val="0000FF"/>
                </w:rPr>
                <w:t>Consolidated Statements of Operations</w:t>
              </w:r>
            </w:hyperlink>
          </w:p>
        </w:tc>
        <w:tc>
          <w:tcPr>
            <w:tcW w:w="7180" w:type="dxa"/>
            <w:vAlign w:val="bottom"/>
            <w:gridSpan w:val="5"/>
            <w:shd w:val="clear" w:color="auto" w:fill="CCEEFF"/>
          </w:tcPr>
          <w:p>
            <w:pPr>
              <w:spacing w:after="0"/>
              <w:rPr>
                <w:sz w:val="16"/>
                <w:szCs w:val="16"/>
                <w:color w:val="auto"/>
              </w:rPr>
            </w:pPr>
          </w:p>
        </w:tc>
        <w:tc>
          <w:tcPr>
            <w:tcW w:w="900" w:type="dxa"/>
            <w:vAlign w:val="bottom"/>
            <w:gridSpan w:val="3"/>
            <w:shd w:val="clear" w:color="auto" w:fill="CCEEFF"/>
          </w:tcPr>
          <w:p>
            <w:pPr>
              <w:jc w:val="center"/>
              <w:spacing w:after="0" w:line="194" w:lineRule="exact"/>
              <w:rPr>
                <w:rFonts w:ascii="Arial" w:cs="Arial" w:eastAsia="Arial" w:hAnsi="Arial"/>
                <w:sz w:val="17"/>
                <w:szCs w:val="17"/>
                <w:color w:val="0000FF"/>
              </w:rPr>
            </w:pPr>
            <w:hyperlink w:anchor="page125">
              <w:r>
                <w:rPr>
                  <w:rFonts w:ascii="Arial" w:cs="Arial" w:eastAsia="Arial" w:hAnsi="Arial"/>
                  <w:sz w:val="17"/>
                  <w:szCs w:val="17"/>
                  <w:color w:val="0000FF"/>
                </w:rPr>
                <w:t>126</w:t>
              </w:r>
            </w:hyperlink>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840" w:type="dxa"/>
            <w:vAlign w:val="bottom"/>
            <w:gridSpan w:val="4"/>
          </w:tcPr>
          <w:p>
            <w:pPr>
              <w:spacing w:after="0" w:line="184" w:lineRule="exact"/>
              <w:rPr>
                <w:rFonts w:ascii="Arial" w:cs="Arial" w:eastAsia="Arial" w:hAnsi="Arial"/>
                <w:sz w:val="17"/>
                <w:szCs w:val="17"/>
                <w:color w:val="0000FF"/>
              </w:rPr>
            </w:pPr>
            <w:hyperlink w:anchor="page126">
              <w:r>
                <w:rPr>
                  <w:rFonts w:ascii="Arial" w:cs="Arial" w:eastAsia="Arial" w:hAnsi="Arial"/>
                  <w:sz w:val="17"/>
                  <w:szCs w:val="17"/>
                  <w:color w:val="0000FF"/>
                </w:rPr>
                <w:t>Consolidated Statements of Comprehensive Loss</w:t>
              </w:r>
            </w:hyperlink>
          </w:p>
        </w:tc>
        <w:tc>
          <w:tcPr>
            <w:tcW w:w="6460" w:type="dxa"/>
            <w:vAlign w:val="bottom"/>
            <w:gridSpan w:val="3"/>
          </w:tcPr>
          <w:p>
            <w:pPr>
              <w:spacing w:after="0"/>
              <w:rPr>
                <w:sz w:val="15"/>
                <w:szCs w:val="15"/>
                <w:color w:val="auto"/>
              </w:rPr>
            </w:pPr>
          </w:p>
        </w:tc>
        <w:tc>
          <w:tcPr>
            <w:tcW w:w="900" w:type="dxa"/>
            <w:vAlign w:val="bottom"/>
            <w:gridSpan w:val="3"/>
          </w:tcPr>
          <w:p>
            <w:pPr>
              <w:jc w:val="center"/>
              <w:spacing w:after="0" w:line="184" w:lineRule="exact"/>
              <w:rPr>
                <w:rFonts w:ascii="Arial" w:cs="Arial" w:eastAsia="Arial" w:hAnsi="Arial"/>
                <w:sz w:val="17"/>
                <w:szCs w:val="17"/>
                <w:color w:val="0000FF"/>
              </w:rPr>
            </w:pPr>
            <w:hyperlink w:anchor="page126">
              <w:r>
                <w:rPr>
                  <w:rFonts w:ascii="Arial" w:cs="Arial" w:eastAsia="Arial" w:hAnsi="Arial"/>
                  <w:sz w:val="17"/>
                  <w:szCs w:val="17"/>
                  <w:color w:val="0000FF"/>
                </w:rPr>
                <w:t>127</w:t>
              </w:r>
            </w:hyperlink>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300" w:type="dxa"/>
            <w:vAlign w:val="bottom"/>
            <w:gridSpan w:val="7"/>
            <w:shd w:val="clear" w:color="auto" w:fill="CCEEFF"/>
          </w:tcPr>
          <w:p>
            <w:pPr>
              <w:spacing w:after="0" w:line="194" w:lineRule="exact"/>
              <w:rPr>
                <w:rFonts w:ascii="Arial" w:cs="Arial" w:eastAsia="Arial" w:hAnsi="Arial"/>
                <w:sz w:val="17"/>
                <w:szCs w:val="17"/>
                <w:color w:val="0000FF"/>
              </w:rPr>
            </w:pPr>
            <w:hyperlink w:anchor="page127">
              <w:r>
                <w:rPr>
                  <w:rFonts w:ascii="Arial" w:cs="Arial" w:eastAsia="Arial" w:hAnsi="Arial"/>
                  <w:sz w:val="17"/>
                  <w:szCs w:val="17"/>
                  <w:color w:val="0000FF"/>
                </w:rPr>
                <w:t>Consolidated Statements of Redeemable Convertible Preferred Stock and Stockholders’ Equity (Deficit)</w:t>
              </w:r>
            </w:hyperlink>
          </w:p>
        </w:tc>
        <w:tc>
          <w:tcPr>
            <w:tcW w:w="900" w:type="dxa"/>
            <w:vAlign w:val="bottom"/>
            <w:gridSpan w:val="3"/>
            <w:shd w:val="clear" w:color="auto" w:fill="CCEEFF"/>
          </w:tcPr>
          <w:p>
            <w:pPr>
              <w:jc w:val="center"/>
              <w:spacing w:after="0" w:line="194" w:lineRule="exact"/>
              <w:rPr>
                <w:rFonts w:ascii="Arial" w:cs="Arial" w:eastAsia="Arial" w:hAnsi="Arial"/>
                <w:sz w:val="17"/>
                <w:szCs w:val="17"/>
                <w:color w:val="0000FF"/>
              </w:rPr>
            </w:pPr>
            <w:hyperlink w:anchor="page127">
              <w:r>
                <w:rPr>
                  <w:rFonts w:ascii="Arial" w:cs="Arial" w:eastAsia="Arial" w:hAnsi="Arial"/>
                  <w:sz w:val="17"/>
                  <w:szCs w:val="17"/>
                  <w:color w:val="0000FF"/>
                </w:rPr>
                <w:t>128</w:t>
              </w:r>
            </w:hyperlink>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520" w:type="dxa"/>
            <w:vAlign w:val="bottom"/>
            <w:shd w:val="clear" w:color="auto" w:fill="0000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120" w:type="dxa"/>
            <w:vAlign w:val="bottom"/>
            <w:gridSpan w:val="2"/>
          </w:tcPr>
          <w:p>
            <w:pPr>
              <w:spacing w:after="0" w:line="184" w:lineRule="exact"/>
              <w:rPr>
                <w:rFonts w:ascii="Arial" w:cs="Arial" w:eastAsia="Arial" w:hAnsi="Arial"/>
                <w:sz w:val="17"/>
                <w:szCs w:val="17"/>
                <w:color w:val="0000FF"/>
              </w:rPr>
            </w:pPr>
            <w:hyperlink w:anchor="page130">
              <w:r>
                <w:rPr>
                  <w:rFonts w:ascii="Arial" w:cs="Arial" w:eastAsia="Arial" w:hAnsi="Arial"/>
                  <w:sz w:val="17"/>
                  <w:szCs w:val="17"/>
                  <w:color w:val="0000FF"/>
                </w:rPr>
                <w:t>Consolidated Statements of Cash Flows</w:t>
              </w:r>
            </w:hyperlink>
          </w:p>
        </w:tc>
        <w:tc>
          <w:tcPr>
            <w:tcW w:w="4880" w:type="dxa"/>
            <w:vAlign w:val="bottom"/>
            <w:gridSpan w:val="4"/>
          </w:tcPr>
          <w:p>
            <w:pPr>
              <w:spacing w:after="0"/>
              <w:rPr>
                <w:sz w:val="15"/>
                <w:szCs w:val="15"/>
                <w:color w:val="auto"/>
              </w:rPr>
            </w:pPr>
          </w:p>
        </w:tc>
        <w:tc>
          <w:tcPr>
            <w:tcW w:w="2300" w:type="dxa"/>
            <w:vAlign w:val="bottom"/>
          </w:tcPr>
          <w:p>
            <w:pPr>
              <w:spacing w:after="0"/>
              <w:rPr>
                <w:sz w:val="15"/>
                <w:szCs w:val="15"/>
                <w:color w:val="auto"/>
              </w:rPr>
            </w:pPr>
          </w:p>
        </w:tc>
        <w:tc>
          <w:tcPr>
            <w:tcW w:w="900" w:type="dxa"/>
            <w:vAlign w:val="bottom"/>
            <w:gridSpan w:val="3"/>
          </w:tcPr>
          <w:p>
            <w:pPr>
              <w:jc w:val="center"/>
              <w:spacing w:after="0" w:line="184" w:lineRule="exact"/>
              <w:rPr>
                <w:rFonts w:ascii="Arial" w:cs="Arial" w:eastAsia="Arial" w:hAnsi="Arial"/>
                <w:sz w:val="17"/>
                <w:szCs w:val="17"/>
                <w:color w:val="0000FF"/>
              </w:rPr>
            </w:pPr>
            <w:hyperlink w:anchor="page130">
              <w:r>
                <w:rPr>
                  <w:rFonts w:ascii="Arial" w:cs="Arial" w:eastAsia="Arial" w:hAnsi="Arial"/>
                  <w:sz w:val="17"/>
                  <w:szCs w:val="17"/>
                  <w:color w:val="0000FF"/>
                </w:rPr>
                <w:t>130</w:t>
              </w:r>
            </w:hyperlink>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10300" w:type="dxa"/>
            <w:vAlign w:val="bottom"/>
            <w:gridSpan w:val="7"/>
            <w:shd w:val="clear" w:color="auto" w:fill="CCEEFF"/>
          </w:tcPr>
          <w:p>
            <w:pPr>
              <w:spacing w:after="0" w:line="194" w:lineRule="exact"/>
              <w:rPr>
                <w:rFonts w:ascii="Arial" w:cs="Arial" w:eastAsia="Arial" w:hAnsi="Arial"/>
                <w:sz w:val="17"/>
                <w:szCs w:val="17"/>
                <w:color w:val="0000FF"/>
              </w:rPr>
            </w:pPr>
            <w:hyperlink w:anchor="page131">
              <w:r>
                <w:rPr>
                  <w:rFonts w:ascii="Arial" w:cs="Arial" w:eastAsia="Arial" w:hAnsi="Arial"/>
                  <w:sz w:val="17"/>
                  <w:szCs w:val="17"/>
                  <w:color w:val="0000FF"/>
                </w:rPr>
                <w:t>Notes to Consolidated Financial Statements</w:t>
              </w:r>
            </w:hyperlink>
          </w:p>
        </w:tc>
        <w:tc>
          <w:tcPr>
            <w:tcW w:w="900" w:type="dxa"/>
            <w:vAlign w:val="bottom"/>
            <w:gridSpan w:val="3"/>
            <w:shd w:val="clear" w:color="auto" w:fill="CCEEFF"/>
          </w:tcPr>
          <w:p>
            <w:pPr>
              <w:jc w:val="center"/>
              <w:spacing w:after="0" w:line="194" w:lineRule="exact"/>
              <w:rPr>
                <w:rFonts w:ascii="Arial" w:cs="Arial" w:eastAsia="Arial" w:hAnsi="Arial"/>
                <w:sz w:val="17"/>
                <w:szCs w:val="17"/>
                <w:color w:val="0000FF"/>
              </w:rPr>
            </w:pPr>
            <w:hyperlink w:anchor="page131">
              <w:r>
                <w:rPr>
                  <w:rFonts w:ascii="Arial" w:cs="Arial" w:eastAsia="Arial" w:hAnsi="Arial"/>
                  <w:sz w:val="17"/>
                  <w:szCs w:val="17"/>
                  <w:color w:val="0000FF"/>
                </w:rPr>
                <w:t>131</w:t>
              </w:r>
            </w:hyperlink>
          </w:p>
        </w:tc>
        <w:tc>
          <w:tcPr>
            <w:tcW w:w="20" w:type="dxa"/>
            <w:vAlign w:val="bottom"/>
          </w:tcPr>
          <w:p>
            <w:pPr>
              <w:spacing w:after="0"/>
              <w:rPr>
                <w:sz w:val="18"/>
                <w:szCs w:val="18"/>
                <w:color w:val="auto"/>
              </w:rPr>
            </w:pPr>
          </w:p>
        </w:tc>
      </w:tr>
      <w:tr>
        <w:trPr>
          <w:trHeight w:val="826"/>
        </w:trPr>
        <w:tc>
          <w:tcPr>
            <w:tcW w:w="20" w:type="dxa"/>
            <w:vAlign w:val="bottom"/>
            <w:tcBorders>
              <w:top w:val="single" w:sz="8" w:color="CCEEFF"/>
            </w:tcBorders>
          </w:tcPr>
          <w:p>
            <w:pPr>
              <w:spacing w:after="0"/>
              <w:rPr>
                <w:sz w:val="24"/>
                <w:szCs w:val="24"/>
                <w:color w:val="auto"/>
              </w:rPr>
            </w:pPr>
          </w:p>
        </w:tc>
        <w:tc>
          <w:tcPr>
            <w:tcW w:w="3400" w:type="dxa"/>
            <w:vAlign w:val="bottom"/>
            <w:tcBorders>
              <w:top w:val="single" w:sz="8" w:color="0000FF"/>
            </w:tcBorders>
            <w:gridSpan w:val="3"/>
          </w:tcPr>
          <w:p>
            <w:pPr>
              <w:spacing w:after="0"/>
              <w:rPr>
                <w:sz w:val="24"/>
                <w:szCs w:val="24"/>
                <w:color w:val="auto"/>
              </w:rPr>
            </w:pPr>
          </w:p>
        </w:tc>
        <w:tc>
          <w:tcPr>
            <w:tcW w:w="4600" w:type="dxa"/>
            <w:vAlign w:val="bottom"/>
            <w:tcBorders>
              <w:top w:val="single" w:sz="8" w:color="CCEEFF"/>
            </w:tcBorders>
            <w:gridSpan w:val="3"/>
          </w:tcPr>
          <w:p>
            <w:pPr>
              <w:jc w:val="right"/>
              <w:ind w:right="2260"/>
              <w:spacing w:after="0"/>
              <w:rPr>
                <w:sz w:val="20"/>
                <w:szCs w:val="20"/>
                <w:color w:val="auto"/>
              </w:rPr>
            </w:pPr>
            <w:r>
              <w:rPr>
                <w:rFonts w:ascii="Arial" w:cs="Arial" w:eastAsia="Arial" w:hAnsi="Arial"/>
                <w:sz w:val="17"/>
                <w:szCs w:val="17"/>
                <w:color w:val="auto"/>
              </w:rPr>
              <w:t>122</w:t>
            </w:r>
          </w:p>
        </w:tc>
        <w:tc>
          <w:tcPr>
            <w:tcW w:w="23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Praxis Precision Medicines, Inc.</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w:t>
      </w:r>
      <w:r>
        <w:rPr>
          <w:rFonts w:ascii="Arial" w:cs="Arial" w:eastAsia="Arial" w:hAnsi="Arial"/>
          <w:sz w:val="17"/>
          <w:szCs w:val="17"/>
          <w:color w:val="auto"/>
        </w:rPr>
        <w:t>e have audited the accompanying consolidated balance sheets of Praxis Precision Medicines, Inc. (the Company) as of December 31, 2021</w:t>
      </w:r>
      <w:r>
        <w:rPr>
          <w:rFonts w:ascii="Arial" w:cs="Arial" w:eastAsia="Arial" w:hAnsi="Arial"/>
          <w:sz w:val="16"/>
          <w:szCs w:val="16"/>
          <w:color w:val="auto"/>
        </w:rPr>
        <w:t xml:space="preserve"> </w:t>
      </w:r>
      <w:r>
        <w:rPr>
          <w:rFonts w:ascii="Arial" w:cs="Arial" w:eastAsia="Arial" w:hAnsi="Arial"/>
          <w:sz w:val="17"/>
          <w:szCs w:val="17"/>
          <w:color w:val="auto"/>
        </w:rPr>
        <w:t>and 2020, the related consolidated statements of operations, comprehensive loss, redeemable convertible preferred stock and stockholders’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93"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w:t>
      </w:r>
    </w:p>
    <w:p>
      <w:pPr>
        <w:spacing w:after="0" w:line="1" w:lineRule="exact"/>
        <w:rPr>
          <w:sz w:val="20"/>
          <w:szCs w:val="20"/>
          <w:color w:val="auto"/>
        </w:rPr>
      </w:pPr>
    </w:p>
    <w:p>
      <w:pPr>
        <w:ind w:right="680"/>
        <w:spacing w:after="0" w:line="281" w:lineRule="auto"/>
        <w:rPr>
          <w:sz w:val="20"/>
          <w:szCs w:val="20"/>
          <w:color w:val="auto"/>
        </w:rPr>
      </w:pPr>
      <w:r>
        <w:rPr>
          <w:rFonts w:ascii="Arial" w:cs="Arial" w:eastAsia="Arial" w:hAnsi="Arial"/>
          <w:sz w:val="17"/>
          <w:szCs w:val="17"/>
          <w:color w:val="auto"/>
        </w:rPr>
        <w:t>Framework issued by the Committee of Sponsoring Organizations of the Treadway Commission (2013 framework)</w:t>
      </w:r>
      <w:r>
        <w:rPr>
          <w:rFonts w:ascii="Arial" w:cs="Arial" w:eastAsia="Arial" w:hAnsi="Arial"/>
          <w:sz w:val="20"/>
          <w:szCs w:val="20"/>
          <w:b w:val="1"/>
          <w:bCs w:val="1"/>
          <w:color w:val="auto"/>
        </w:rPr>
        <w:t>,</w:t>
      </w:r>
      <w:r>
        <w:rPr>
          <w:rFonts w:ascii="Arial" w:cs="Arial" w:eastAsia="Arial" w:hAnsi="Arial"/>
          <w:sz w:val="17"/>
          <w:szCs w:val="17"/>
          <w:color w:val="auto"/>
        </w:rPr>
        <w:t xml:space="preserve"> and our report dated February 28, 2022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4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4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spacing w:after="0" w:line="194" w:lineRule="auto"/>
        <w:framePr w:w="1780" w:h="158" w:wrap="auto" w:vAnchor="page" w:hAnchor="page" w:x="280" w:y="8741"/>
        <w:rPr>
          <w:rFonts w:ascii="Arial" w:cs="Arial" w:eastAsia="Arial" w:hAnsi="Arial"/>
          <w:sz w:val="17"/>
          <w:szCs w:val="17"/>
          <w:color w:val="auto"/>
        </w:rPr>
      </w:pPr>
      <w:r>
        <w:rPr>
          <w:rFonts w:ascii="Arial" w:cs="Arial" w:eastAsia="Arial" w:hAnsi="Arial"/>
          <w:sz w:val="17"/>
          <w:szCs w:val="17"/>
          <w:color w:val="auto"/>
        </w:rPr>
        <w:t>/s/ Ernst &amp; Young LLP</w:t>
      </w:r>
    </w:p>
    <w:p>
      <w:pPr>
        <w:spacing w:after="0" w:line="225" w:lineRule="auto"/>
        <w:framePr w:w="4320" w:h="368" w:wrap="auto" w:vAnchor="page" w:hAnchor="page" w:x="280" w:y="9187"/>
        <w:rPr>
          <w:rFonts w:ascii="Arial" w:cs="Arial" w:eastAsia="Arial" w:hAnsi="Arial"/>
          <w:sz w:val="17"/>
          <w:szCs w:val="17"/>
          <w:color w:val="auto"/>
        </w:rPr>
      </w:pPr>
      <w:r>
        <w:rPr>
          <w:rFonts w:ascii="Arial" w:cs="Arial" w:eastAsia="Arial" w:hAnsi="Arial"/>
          <w:sz w:val="17"/>
          <w:szCs w:val="17"/>
          <w:color w:val="auto"/>
        </w:rPr>
        <w:t>We have served as the Company’s auditor since 2019. Boston, Massachusetts</w:t>
      </w:r>
    </w:p>
    <w:p>
      <w:pPr>
        <w:spacing w:after="0" w:line="194" w:lineRule="auto"/>
        <w:framePr w:w="1520" w:h="158" w:wrap="auto" w:vAnchor="page" w:hAnchor="page" w:x="280" w:y="9594"/>
        <w:rPr>
          <w:rFonts w:ascii="Arial" w:cs="Arial" w:eastAsia="Arial" w:hAnsi="Arial"/>
          <w:sz w:val="17"/>
          <w:szCs w:val="17"/>
          <w:color w:val="auto"/>
        </w:rPr>
      </w:pPr>
      <w:r>
        <w:rPr>
          <w:rFonts w:ascii="Arial" w:cs="Arial" w:eastAsia="Arial" w:hAnsi="Arial"/>
          <w:sz w:val="17"/>
          <w:szCs w:val="17"/>
          <w:color w:val="auto"/>
        </w:rPr>
        <w:t>February 28, 2022</w:t>
      </w:r>
    </w:p>
    <w:p>
      <w:pPr>
        <w:spacing w:after="0" w:line="194" w:lineRule="auto"/>
        <w:framePr w:w="1540" w:h="158" w:wrap="auto" w:vAnchor="page" w:hAnchor="page" w:x="300" w:y="6053"/>
        <w:rPr>
          <w:rFonts w:ascii="Arial" w:cs="Arial" w:eastAsia="Arial" w:hAnsi="Arial"/>
          <w:sz w:val="17"/>
          <w:szCs w:val="17"/>
          <w:i w:val="1"/>
          <w:iCs w:val="1"/>
          <w:color w:val="auto"/>
        </w:rPr>
      </w:pPr>
      <w:r>
        <w:rPr>
          <w:rFonts w:ascii="Arial" w:cs="Arial" w:eastAsia="Arial" w:hAnsi="Arial"/>
          <w:sz w:val="17"/>
          <w:szCs w:val="17"/>
          <w:i w:val="1"/>
          <w:iCs w:val="1"/>
          <w:color w:val="auto"/>
        </w:rPr>
        <w:t>Matter in Our Audit</w:t>
      </w:r>
    </w:p>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95"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7"/>
          <w:szCs w:val="17"/>
          <w:b w:val="1"/>
          <w:bCs w:val="1"/>
          <w:color w:val="auto"/>
        </w:rPr>
        <w:t>PRAX-114 Accrued and Prepaid Research and Development Costs</w:t>
      </w:r>
    </w:p>
    <w:p>
      <w:pPr>
        <w:sectPr>
          <w:pgSz w:w="11900" w:h="16838" w:orient="portrait"/>
          <w:cols w:equalWidth="0" w:num="1">
            <w:col w:w="11200"/>
          </w:cols>
          <w:pgMar w:left="320" w:top="118" w:right="379" w:bottom="1440" w:gutter="0" w:footer="0" w:header="0"/>
        </w:sectPr>
      </w:pPr>
    </w:p>
    <w:p>
      <w:pPr>
        <w:spacing w:after="0" w:line="202" w:lineRule="exact"/>
        <w:rPr>
          <w:rFonts w:ascii="Arial" w:cs="Arial" w:eastAsia="Arial" w:hAnsi="Arial"/>
          <w:sz w:val="17"/>
          <w:szCs w:val="17"/>
          <w:i w:val="1"/>
          <w:iCs w:val="1"/>
          <w:color w:val="auto"/>
        </w:rPr>
      </w:pPr>
    </w:p>
    <w:p>
      <w:pPr>
        <w:ind w:left="20"/>
        <w:spacing w:after="0" w:line="362" w:lineRule="auto"/>
        <w:rPr>
          <w:sz w:val="20"/>
          <w:szCs w:val="20"/>
          <w:color w:val="auto"/>
        </w:rPr>
      </w:pPr>
      <w:r>
        <w:rPr>
          <w:rFonts w:ascii="Arial" w:cs="Arial" w:eastAsia="Arial" w:hAnsi="Arial"/>
          <w:sz w:val="17"/>
          <w:szCs w:val="17"/>
          <w:i w:val="1"/>
          <w:iCs w:val="1"/>
          <w:color w:val="auto"/>
        </w:rPr>
        <w:t>Description of the Matter</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br w:type="column"/>
      </w:r>
    </w:p>
    <w:p>
      <w:pPr>
        <w:spacing w:after="0" w:line="384" w:lineRule="exact"/>
        <w:rPr>
          <w:rFonts w:ascii="Arial" w:cs="Arial" w:eastAsia="Arial" w:hAnsi="Arial"/>
          <w:sz w:val="17"/>
          <w:szCs w:val="17"/>
          <w:i w:val="1"/>
          <w:iCs w:val="1"/>
          <w:color w:val="auto"/>
        </w:rPr>
      </w:pPr>
    </w:p>
    <w:p>
      <w:pPr>
        <w:spacing w:after="0" w:line="259" w:lineRule="auto"/>
        <w:rPr>
          <w:sz w:val="20"/>
          <w:szCs w:val="20"/>
          <w:color w:val="auto"/>
        </w:rPr>
      </w:pPr>
      <w:r>
        <w:rPr>
          <w:rFonts w:ascii="Arial" w:cs="Arial" w:eastAsia="Arial" w:hAnsi="Arial"/>
          <w:sz w:val="17"/>
          <w:szCs w:val="17"/>
          <w:color w:val="auto"/>
        </w:rPr>
        <w:t>The Company’s accrued costs for research and development expenses totaled $17.8 million at December 31, 2021, including accruals related to the Company’s PRAX-114 Aria and Acapella clinical trials. In addition, the Company’s prepaid expenses and other current assets were $11.5 million, which included amounts that were paid in advance of services incurred pursuant to PRAX-114 Aria and Acapella clinical trials. As discussed in Note 2 to the consolidated financial statements, the Company analyzes the progress of the clinical trials, including the phase or completion of events, invoices received and contracted costs. Significant judgments and estimates are made in determining the accrued and prepaid balances at the end of any reporting period for the Company’s PRAX-114 Aria and Acapella clinical trials. The Company is required to estimate such accruals and prepaids using judgment based on certain information, including actual costs incurred or level of effort expended, as provided by its vendors. Payments for such activities are based on the terms of the individual arrangements, which may differ from the pattern of costs incurred, and are reflected on the consolidated balance sheet within accrued or prepaid expenses and other current assets.</w:t>
      </w:r>
    </w:p>
    <w:p>
      <w:pPr>
        <w:spacing w:after="0" w:line="197" w:lineRule="exact"/>
        <w:rPr>
          <w:rFonts w:ascii="Arial" w:cs="Arial" w:eastAsia="Arial" w:hAnsi="Arial"/>
          <w:sz w:val="17"/>
          <w:szCs w:val="17"/>
          <w:i w:val="1"/>
          <w:iCs w:val="1"/>
          <w:color w:val="auto"/>
        </w:rPr>
      </w:pPr>
    </w:p>
    <w:p>
      <w:pPr>
        <w:jc w:val="both"/>
        <w:ind w:right="120"/>
        <w:spacing w:after="0" w:line="262" w:lineRule="auto"/>
        <w:rPr>
          <w:sz w:val="20"/>
          <w:szCs w:val="20"/>
          <w:color w:val="auto"/>
        </w:rPr>
      </w:pPr>
      <w:r>
        <w:rPr>
          <w:rFonts w:ascii="Arial" w:cs="Arial" w:eastAsia="Arial" w:hAnsi="Arial"/>
          <w:sz w:val="17"/>
          <w:szCs w:val="17"/>
          <w:color w:val="auto"/>
        </w:rPr>
        <w:t>Auditing the Company’s accrued and prepaid research and development costs for PRAX-114 Aria and Acapella clinical trials was complex, as accounting for the costs associated with these clinical trials required subjective estimates of the level of services performed and the associated costs incurred by service providers. Furthermore, due to the duration of the Company’s PRAX-114 Aria and Acapella clinical trials, and the timing of information received from third parties, the actual amounts incurred are not typically known at the time the consolidated financial statements are issued.</w:t>
      </w:r>
    </w:p>
    <w:p>
      <w:pPr>
        <w:spacing w:after="0" w:line="200" w:lineRule="exact"/>
        <w:rPr>
          <w:rFonts w:ascii="Arial" w:cs="Arial" w:eastAsia="Arial" w:hAnsi="Arial"/>
          <w:sz w:val="17"/>
          <w:szCs w:val="17"/>
          <w:i w:val="1"/>
          <w:iCs w:val="1"/>
          <w:color w:val="auto"/>
        </w:rPr>
      </w:pPr>
    </w:p>
    <w:p>
      <w:pPr>
        <w:sectPr>
          <w:pgSz w:w="11900" w:h="16838" w:orient="portrait"/>
          <w:cols w:equalWidth="0" w:num="2">
            <w:col w:w="1380" w:space="540"/>
            <w:col w:w="9280"/>
          </w:cols>
          <w:pgMar w:left="320" w:top="118" w:right="379" w:bottom="1440" w:gutter="0" w:footer="0" w:header="0"/>
          <w:type w:val="continuous"/>
        </w:sectPr>
      </w:pPr>
    </w:p>
    <w:p>
      <w:pPr>
        <w:spacing w:after="0" w:line="78" w:lineRule="exact"/>
        <w:rPr>
          <w:rFonts w:ascii="Arial" w:cs="Arial" w:eastAsia="Arial" w:hAnsi="Arial"/>
          <w:sz w:val="17"/>
          <w:szCs w:val="17"/>
          <w:i w:val="1"/>
          <w:iCs w:val="1"/>
          <w:color w:val="auto"/>
        </w:rPr>
      </w:pPr>
    </w:p>
    <w:p>
      <w:pPr>
        <w:ind w:left="20"/>
        <w:spacing w:after="0"/>
        <w:rPr>
          <w:sz w:val="20"/>
          <w:szCs w:val="20"/>
          <w:color w:val="auto"/>
        </w:rPr>
      </w:pPr>
      <w:r>
        <w:rPr>
          <w:rFonts w:ascii="Arial" w:cs="Arial" w:eastAsia="Arial" w:hAnsi="Arial"/>
          <w:sz w:val="33"/>
          <w:szCs w:val="33"/>
          <w:i w:val="1"/>
          <w:iCs w:val="1"/>
          <w:color w:val="auto"/>
          <w:vertAlign w:val="subscript"/>
        </w:rPr>
        <w:t>How We Addressed the</w:t>
      </w:r>
      <w:r>
        <w:rPr>
          <w:rFonts w:ascii="Arial" w:cs="Arial" w:eastAsia="Arial" w:hAnsi="Arial"/>
          <w:sz w:val="17"/>
          <w:szCs w:val="17"/>
          <w:color w:val="auto"/>
        </w:rPr>
        <w:t xml:space="preserve"> We obtained an understanding, evaluated the design, and tested the operating effectiveness of internal controls over</w:t>
      </w:r>
    </w:p>
    <w:p>
      <w:pPr>
        <w:spacing w:after="0" w:line="20" w:lineRule="exact"/>
        <w:rPr>
          <w:rFonts w:ascii="Arial" w:cs="Arial" w:eastAsia="Arial" w:hAnsi="Arial"/>
          <w:sz w:val="17"/>
          <w:szCs w:val="17"/>
          <w:i w:val="1"/>
          <w:iCs w:val="1"/>
          <w:color w:val="auto"/>
        </w:rPr>
      </w:pPr>
    </w:p>
    <w:p>
      <w:pPr>
        <w:ind w:left="1920" w:right="160"/>
        <w:spacing w:after="0" w:line="243" w:lineRule="auto"/>
        <w:rPr>
          <w:sz w:val="20"/>
          <w:szCs w:val="20"/>
          <w:color w:val="auto"/>
        </w:rPr>
      </w:pPr>
      <w:r>
        <w:rPr>
          <w:rFonts w:ascii="Arial" w:cs="Arial" w:eastAsia="Arial" w:hAnsi="Arial"/>
          <w:sz w:val="17"/>
          <w:szCs w:val="17"/>
          <w:color w:val="auto"/>
        </w:rPr>
        <w:t>accrued and prepaid research and development costs, including assessing management’s controls over the significant judgments and estimates regarding costs incurred or level of effort expended by service providers.</w:t>
      </w:r>
    </w:p>
    <w:p>
      <w:pPr>
        <w:spacing w:after="0" w:line="207" w:lineRule="exact"/>
        <w:rPr>
          <w:rFonts w:ascii="Arial" w:cs="Arial" w:eastAsia="Arial" w:hAnsi="Arial"/>
          <w:sz w:val="17"/>
          <w:szCs w:val="17"/>
          <w:i w:val="1"/>
          <w:iCs w:val="1"/>
          <w:color w:val="auto"/>
        </w:rPr>
      </w:pPr>
    </w:p>
    <w:p>
      <w:pPr>
        <w:ind w:left="1920"/>
        <w:spacing w:after="0" w:line="228" w:lineRule="auto"/>
        <w:rPr>
          <w:sz w:val="20"/>
          <w:szCs w:val="20"/>
          <w:color w:val="auto"/>
        </w:rPr>
      </w:pPr>
      <w:r>
        <w:rPr>
          <w:rFonts w:ascii="Arial" w:cs="Arial" w:eastAsia="Arial" w:hAnsi="Arial"/>
          <w:sz w:val="17"/>
          <w:szCs w:val="17"/>
          <w:color w:val="auto"/>
        </w:rPr>
        <w:t>To evaluate the accrued and prepaid research and development costs for PRAX-114 Aria and Acapella clinical trials, our audit procedures included, among others, testing the accuracy and completeness of the underlying data used in the estimates and evaluating the significant judgments and estimates made by management to estimate the recorded accruals and prepayments. To test the significant judgments and estimates, we corroborated the progress of research and development activities through discussion with the Company’s research and development personnel that oversee the research and development projects and inspected the Company’s contracts with third parties and any pending change orders to assess the impact on amounts recorded. In addition, we reviewed estimates of costs incurred to date provided to the Company from third parties. We also analyzed fluctuations in accruals by vendor and by trial throughout the period subject to audit, evaluated the costs incurred per trial, site and/or patient for reasonableness and tested subsequent invoices received from third parties.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33" w:lineRule="exact"/>
        <w:rPr>
          <w:rFonts w:ascii="Arial" w:cs="Arial" w:eastAsia="Arial" w:hAnsi="Arial"/>
          <w:sz w:val="17"/>
          <w:szCs w:val="17"/>
          <w:i w:val="1"/>
          <w:iCs w:val="1"/>
          <w:color w:val="auto"/>
        </w:rPr>
      </w:pPr>
    </w:p>
    <w:p>
      <w:pPr>
        <w:jc w:val="center"/>
        <w:ind w:right="-39"/>
        <w:spacing w:after="0"/>
        <w:rPr>
          <w:sz w:val="20"/>
          <w:szCs w:val="20"/>
          <w:color w:val="auto"/>
        </w:rPr>
      </w:pPr>
      <w:r>
        <w:rPr>
          <w:rFonts w:ascii="Arial" w:cs="Arial" w:eastAsia="Arial" w:hAnsi="Arial"/>
          <w:sz w:val="17"/>
          <w:szCs w:val="17"/>
          <w:color w:val="auto"/>
        </w:rPr>
        <w:t>124</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24" w:name="page125"/>
    <w:bookmarkEnd w:id="1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19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138,704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296,608</w:t>
            </w: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137,207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11,498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r>
      <w:tr>
        <w:trPr>
          <w:trHeight w:val="203"/>
        </w:trPr>
        <w:tc>
          <w:tcPr>
            <w:tcW w:w="804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287,409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302,326</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804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292,747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303,177</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80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26,844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10,869</w:t>
            </w:r>
          </w:p>
        </w:tc>
      </w:tr>
      <w:tr>
        <w:trPr>
          <w:trHeight w:val="210"/>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03"/>
        </w:trPr>
        <w:tc>
          <w:tcPr>
            <w:tcW w:w="80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38,434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15,720</w:t>
            </w:r>
          </w:p>
        </w:tc>
      </w:tr>
      <w:tr>
        <w:trPr>
          <w:trHeight w:val="19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7"/>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0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41,935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15,720</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2"/>
        </w:trPr>
        <w:tc>
          <w:tcPr>
            <w:tcW w:w="8040" w:type="dxa"/>
            <w:vAlign w:val="bottom"/>
          </w:tcPr>
          <w:p>
            <w:pPr>
              <w:ind w:left="240"/>
              <w:spacing w:after="0" w:line="172"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8040" w:type="dxa"/>
            <w:vAlign w:val="bottom"/>
          </w:tcPr>
          <w:p>
            <w:pPr>
              <w:ind w:left="240"/>
              <w:spacing w:after="0"/>
              <w:rPr>
                <w:sz w:val="20"/>
                <w:szCs w:val="20"/>
                <w:color w:val="auto"/>
              </w:rPr>
            </w:pPr>
            <w:r>
              <w:rPr>
                <w:rFonts w:ascii="Arial" w:cs="Arial" w:eastAsia="Arial" w:hAnsi="Arial"/>
                <w:sz w:val="16"/>
                <w:szCs w:val="16"/>
                <w:color w:val="auto"/>
              </w:rPr>
              <w:t>December 31, 2021 and December 31, 2020</w:t>
            </w:r>
          </w:p>
        </w:tc>
        <w:tc>
          <w:tcPr>
            <w:tcW w:w="36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6"/>
        </w:trPr>
        <w:tc>
          <w:tcPr>
            <w:tcW w:w="804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w w:val="99"/>
              </w:rPr>
              <w:t>Common stock, $0.0001 par value; 150,000,000 shares authorized; 45,300,514 shares issued and outstanding</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5"/>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 of December 31, 2021, and 38,268,543 shares issued and outstanding as of December 31, 2020</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567,598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437,007</w:t>
            </w:r>
          </w:p>
        </w:tc>
      </w:tr>
      <w:tr>
        <w:trPr>
          <w:trHeight w:val="213"/>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(316,615)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(149,554)</w:t>
            </w:r>
          </w:p>
        </w:tc>
      </w:tr>
      <w:tr>
        <w:trPr>
          <w:trHeight w:val="203"/>
        </w:trPr>
        <w:tc>
          <w:tcPr>
            <w:tcW w:w="80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250,812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287,457</w:t>
            </w:r>
          </w:p>
        </w:tc>
      </w:tr>
      <w:tr>
        <w:trPr>
          <w:trHeight w:val="206"/>
        </w:trPr>
        <w:tc>
          <w:tcPr>
            <w:tcW w:w="804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292,747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303,177</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19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120,257</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44,976</w:t>
            </w:r>
          </w:p>
        </w:tc>
      </w:tr>
      <w:tr>
        <w:trPr>
          <w:trHeight w:val="213"/>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16,992</w:t>
            </w:r>
          </w:p>
        </w:tc>
      </w:tr>
      <w:tr>
        <w:trPr>
          <w:trHeight w:val="200"/>
        </w:trPr>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167,332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61,968</w:t>
            </w: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(61,968)</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0"/>
        </w:trPr>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income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(61,828)</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(61,820)</w:t>
            </w:r>
          </w:p>
        </w:tc>
      </w:tr>
      <w:tr>
        <w:trPr>
          <w:trHeight w:val="203"/>
        </w:trPr>
        <w:tc>
          <w:tcPr>
            <w:tcW w:w="8040" w:type="dxa"/>
            <w:vAlign w:val="bottom"/>
          </w:tcPr>
          <w:p>
            <w:pPr>
              <w:ind w:left="240"/>
              <w:spacing w:after="0"/>
              <w:rPr>
                <w:sz w:val="20"/>
                <w:szCs w:val="20"/>
                <w:color w:val="auto"/>
              </w:rPr>
            </w:pPr>
            <w:r>
              <w:rPr>
                <w:rFonts w:ascii="Arial" w:cs="Arial" w:eastAsia="Arial" w:hAnsi="Arial"/>
                <w:sz w:val="16"/>
                <w:szCs w:val="16"/>
                <w:color w:val="auto"/>
              </w:rPr>
              <w:t>Accretion and cumulative dividends on redeemable convertible preferred stock</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(8,996)</w:t>
            </w:r>
          </w:p>
        </w:tc>
      </w:tr>
      <w:tr>
        <w:trPr>
          <w:trHeight w:val="210"/>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repurchase of redeemable convertible preferred stock</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06"/>
        </w:trPr>
        <w:tc>
          <w:tcPr>
            <w:tcW w:w="804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(167,061)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(70,323)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8040" w:type="dxa"/>
            <w:vAlign w:val="bottom"/>
          </w:tcPr>
          <w:p>
            <w:pPr>
              <w:ind w:left="20"/>
              <w:spacing w:after="0" w:line="182" w:lineRule="exact"/>
              <w:rPr>
                <w:sz w:val="20"/>
                <w:szCs w:val="20"/>
                <w:color w:val="auto"/>
              </w:rPr>
            </w:pPr>
            <w:r>
              <w:rPr>
                <w:rFonts w:ascii="Arial" w:cs="Arial" w:eastAsia="Arial" w:hAnsi="Arial"/>
                <w:sz w:val="16"/>
                <w:szCs w:val="16"/>
                <w:color w:val="auto"/>
              </w:rPr>
              <w:t>Weighted average common shares outstanding, basic and diluted</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42,454,055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8,950,152</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20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(61,820)</w:t>
            </w:r>
          </w:p>
        </w:tc>
      </w:tr>
      <w:tr>
        <w:trPr>
          <w:trHeight w:val="207"/>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unrealized losses on marketable securities, net of tax</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(167,237)</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(61,820)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 (DEFICIT)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4"/>
        </w:trPr>
        <w:tc>
          <w:tcPr>
            <w:tcW w:w="5020" w:type="dxa"/>
            <w:vAlign w:val="bottom"/>
          </w:tcPr>
          <w:p>
            <w:pPr>
              <w:spacing w:after="0"/>
              <w:rPr>
                <w:sz w:val="12"/>
                <w:szCs w:val="12"/>
                <w:color w:val="auto"/>
              </w:rPr>
            </w:pPr>
          </w:p>
        </w:tc>
        <w:tc>
          <w:tcPr>
            <w:tcW w:w="1800" w:type="dxa"/>
            <w:vAlign w:val="bottom"/>
            <w:gridSpan w:val="3"/>
          </w:tcPr>
          <w:p>
            <w:pPr>
              <w:jc w:val="right"/>
              <w:ind w:right="27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12"/>
                <w:szCs w:val="12"/>
                <w:color w:val="auto"/>
              </w:rPr>
            </w:pPr>
          </w:p>
        </w:tc>
        <w:tc>
          <w:tcPr>
            <w:tcW w:w="780" w:type="dxa"/>
            <w:vAlign w:val="bottom"/>
          </w:tcPr>
          <w:p>
            <w:pPr>
              <w:jc w:val="center"/>
              <w:ind w:right="119"/>
              <w:spacing w:after="0"/>
              <w:rPr>
                <w:sz w:val="20"/>
                <w:szCs w:val="20"/>
                <w:color w:val="auto"/>
              </w:rPr>
            </w:pPr>
            <w:r>
              <w:rPr>
                <w:rFonts w:ascii="Arial" w:cs="Arial" w:eastAsia="Arial" w:hAnsi="Arial"/>
                <w:sz w:val="12"/>
                <w:szCs w:val="12"/>
                <w:b w:val="1"/>
                <w:bCs w:val="1"/>
                <w:color w:val="auto"/>
                <w:w w:val="97"/>
              </w:rPr>
              <w:t>Total</w:t>
            </w:r>
          </w:p>
        </w:tc>
      </w:tr>
      <w:tr>
        <w:trPr>
          <w:trHeight w:val="52"/>
        </w:trPr>
        <w:tc>
          <w:tcPr>
            <w:tcW w:w="50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80" w:type="dxa"/>
            <w:vAlign w:val="bottom"/>
          </w:tcPr>
          <w:p>
            <w:pPr>
              <w:spacing w:after="0"/>
              <w:rPr>
                <w:sz w:val="4"/>
                <w:szCs w:val="4"/>
                <w:color w:val="auto"/>
              </w:rPr>
            </w:pPr>
          </w:p>
        </w:tc>
        <w:tc>
          <w:tcPr>
            <w:tcW w:w="960" w:type="dxa"/>
            <w:vAlign w:val="bottom"/>
            <w:gridSpan w:val="2"/>
          </w:tcPr>
          <w:p>
            <w:pPr>
              <w:ind w:left="20"/>
              <w:spacing w:after="0" w:line="53" w:lineRule="exact"/>
              <w:rPr>
                <w:sz w:val="20"/>
                <w:szCs w:val="20"/>
                <w:color w:val="auto"/>
              </w:rPr>
            </w:pPr>
            <w:r>
              <w:rPr>
                <w:rFonts w:ascii="Arial" w:cs="Arial" w:eastAsia="Arial" w:hAnsi="Arial"/>
                <w:sz w:val="6"/>
                <w:szCs w:val="6"/>
                <w:b w:val="1"/>
                <w:bCs w:val="1"/>
                <w:color w:val="auto"/>
              </w:rPr>
              <w:t>Accumulated</w:t>
            </w:r>
          </w:p>
        </w:tc>
        <w:tc>
          <w:tcPr>
            <w:tcW w:w="1060" w:type="dxa"/>
            <w:vAlign w:val="bottom"/>
            <w:gridSpan w:val="3"/>
          </w:tcPr>
          <w:p>
            <w:pPr>
              <w:ind w:left="40"/>
              <w:spacing w:after="0" w:line="53" w:lineRule="exact"/>
              <w:rPr>
                <w:sz w:val="20"/>
                <w:szCs w:val="20"/>
                <w:color w:val="auto"/>
              </w:rPr>
            </w:pPr>
            <w:r>
              <w:rPr>
                <w:rFonts w:ascii="Arial" w:cs="Arial" w:eastAsia="Arial" w:hAnsi="Arial"/>
                <w:sz w:val="6"/>
                <w:szCs w:val="6"/>
                <w:b w:val="1"/>
                <w:bCs w:val="1"/>
                <w:color w:val="auto"/>
              </w:rPr>
              <w:t>Comprehensive</w:t>
            </w:r>
          </w:p>
        </w:tc>
        <w:tc>
          <w:tcPr>
            <w:tcW w:w="960" w:type="dxa"/>
            <w:vAlign w:val="bottom"/>
            <w:gridSpan w:val="2"/>
          </w:tcPr>
          <w:p>
            <w:pPr>
              <w:jc w:val="center"/>
              <w:spacing w:after="0" w:line="53" w:lineRule="exact"/>
              <w:rPr>
                <w:sz w:val="20"/>
                <w:szCs w:val="20"/>
                <w:color w:val="auto"/>
              </w:rPr>
            </w:pPr>
            <w:r>
              <w:rPr>
                <w:rFonts w:ascii="Arial" w:cs="Arial" w:eastAsia="Arial" w:hAnsi="Arial"/>
                <w:sz w:val="6"/>
                <w:szCs w:val="6"/>
                <w:b w:val="1"/>
                <w:bCs w:val="1"/>
                <w:color w:val="auto"/>
              </w:rPr>
              <w:t>Stockholders’</w:t>
            </w:r>
          </w:p>
        </w:tc>
      </w:tr>
      <w:tr>
        <w:trPr>
          <w:trHeight w:val="185"/>
        </w:trPr>
        <w:tc>
          <w:tcPr>
            <w:tcW w:w="5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Loss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w w:val="98"/>
              </w:rPr>
              <w:t>Equity</w:t>
            </w:r>
          </w:p>
        </w:tc>
      </w:tr>
      <w:tr>
        <w:trPr>
          <w:trHeight w:val="168"/>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38,268,543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437,007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(149,554)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287,457</w:t>
            </w:r>
          </w:p>
        </w:tc>
      </w:tr>
      <w:tr>
        <w:trPr>
          <w:trHeight w:val="162"/>
        </w:trPr>
        <w:tc>
          <w:tcPr>
            <w:tcW w:w="502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4,666</w:t>
            </w:r>
          </w:p>
        </w:tc>
      </w:tr>
      <w:tr>
        <w:trPr>
          <w:trHeight w:val="179"/>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352,506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851</w:t>
            </w:r>
          </w:p>
        </w:tc>
      </w:tr>
      <w:tr>
        <w:trPr>
          <w:trHeight w:val="162"/>
        </w:trPr>
        <w:tc>
          <w:tcPr>
            <w:tcW w:w="5020" w:type="dxa"/>
            <w:vAlign w:val="bottom"/>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17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(27,373)</w:t>
            </w: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38,621,049</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442,524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(176,927)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265,515</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5,400</w:t>
            </w:r>
          </w:p>
        </w:tc>
      </w:tr>
      <w:tr>
        <w:trPr>
          <w:trHeight w:val="162"/>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from follow-on public offering, net of offering costs of $229</w:t>
            </w:r>
          </w:p>
        </w:tc>
        <w:tc>
          <w:tcPr>
            <w:tcW w:w="980" w:type="dxa"/>
            <w:vAlign w:val="bottom"/>
          </w:tcPr>
          <w:p>
            <w:pPr>
              <w:jc w:val="right"/>
              <w:spacing w:after="0"/>
              <w:rPr>
                <w:sz w:val="20"/>
                <w:szCs w:val="20"/>
                <w:color w:val="auto"/>
              </w:rPr>
            </w:pPr>
            <w:r>
              <w:rPr>
                <w:rFonts w:ascii="Arial" w:cs="Arial" w:eastAsia="Arial" w:hAnsi="Arial"/>
                <w:sz w:val="12"/>
                <w:szCs w:val="12"/>
                <w:color w:val="auto"/>
              </w:rPr>
              <w:t>5,750,000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98,412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98,413</w:t>
            </w:r>
          </w:p>
        </w:tc>
      </w:tr>
      <w:tr>
        <w:trPr>
          <w:trHeight w:val="179"/>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322,113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r>
      <w:tr>
        <w:trPr>
          <w:trHeight w:val="162"/>
        </w:trPr>
        <w:tc>
          <w:tcPr>
            <w:tcW w:w="5020" w:type="dxa"/>
            <w:vAlign w:val="bottom"/>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72"/>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(36,401)</w:t>
            </w: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44,693,162</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547,145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(213,328)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333,772</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6,521</w:t>
            </w:r>
          </w:p>
        </w:tc>
      </w:tr>
      <w:tr>
        <w:trPr>
          <w:trHeight w:val="162"/>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90,909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309</w:t>
            </w:r>
          </w:p>
        </w:tc>
      </w:tr>
      <w:tr>
        <w:trPr>
          <w:trHeight w:val="179"/>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64"/>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(44,705)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(44,705)</w:t>
            </w:r>
          </w:p>
        </w:tc>
      </w:tr>
      <w:tr>
        <w:trPr>
          <w:trHeight w:val="19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44,784,071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553,975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(258,033)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295,922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35"/>
        </w:trPr>
        <w:tc>
          <w:tcPr>
            <w:tcW w:w="5020" w:type="dxa"/>
            <w:vAlign w:val="bottom"/>
          </w:tcPr>
          <w:p>
            <w:pPr>
              <w:ind w:left="20"/>
              <w:spacing w:after="0" w:line="135" w:lineRule="exact"/>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3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color w:val="auto"/>
              </w:rPr>
              <w:t>6,106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6,106</w:t>
            </w:r>
          </w:p>
        </w:tc>
      </w:tr>
      <w:tr>
        <w:trPr>
          <w:trHeight w:val="179"/>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at-the-market public offerings, net of offering costs of $598</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391,997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7,039</w:t>
            </w:r>
          </w:p>
        </w:tc>
      </w:tr>
      <w:tr>
        <w:trPr>
          <w:trHeight w:val="162"/>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124,446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478</w:t>
            </w:r>
          </w:p>
        </w:tc>
      </w:tr>
      <w:tr>
        <w:trPr>
          <w:trHeight w:val="179"/>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r>
      <w:tr>
        <w:trPr>
          <w:trHeight w:val="164"/>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(58,582)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(58,582)</w:t>
            </w:r>
          </w:p>
        </w:tc>
      </w:tr>
      <w:tr>
        <w:trPr>
          <w:trHeight w:val="19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45,300,514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567,598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(316,615)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250,812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 (DEFICIT)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(Amounts in thousands, except share data)</w:t>
      </w:r>
    </w:p>
    <w:p>
      <w:pPr>
        <w:sectPr>
          <w:pgSz w:w="11900" w:h="16838" w:orient="portrait"/>
          <w:cols w:equalWidth="0" w:num="1">
            <w:col w:w="11020"/>
          </w:cols>
          <w:pgMar w:left="320" w:top="118" w:right="5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Series A</w:t>
            </w:r>
          </w:p>
        </w:tc>
        <w:tc>
          <w:tcPr>
            <w:tcW w:w="820" w:type="dxa"/>
            <w:vAlign w:val="bottom"/>
            <w:gridSpan w:val="3"/>
          </w:tcPr>
          <w:p>
            <w:pPr>
              <w:jc w:val="center"/>
              <w:ind w:left="308"/>
              <w:spacing w:after="0"/>
              <w:rPr>
                <w:sz w:val="20"/>
                <w:szCs w:val="20"/>
                <w:color w:val="auto"/>
              </w:rPr>
            </w:pPr>
            <w:r>
              <w:rPr>
                <w:rFonts w:ascii="Arial" w:cs="Arial" w:eastAsia="Arial" w:hAnsi="Arial"/>
                <w:sz w:val="10"/>
                <w:szCs w:val="10"/>
                <w:b w:val="1"/>
                <w:bCs w:val="1"/>
                <w:color w:val="auto"/>
              </w:rPr>
              <w:t>Series B</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rPr>
              <w:t>Series B-1</w:t>
            </w:r>
          </w:p>
        </w:tc>
        <w:tc>
          <w:tcPr>
            <w:tcW w:w="120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rPr>
              <w:t>Series C</w:t>
            </w:r>
          </w:p>
        </w:tc>
        <w:tc>
          <w:tcPr>
            <w:tcW w:w="134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rPr>
              <w:t>Series C-1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22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Redeemable</w:t>
            </w:r>
          </w:p>
        </w:tc>
        <w:tc>
          <w:tcPr>
            <w:tcW w:w="1280" w:type="dxa"/>
            <w:vAlign w:val="bottom"/>
            <w:gridSpan w:val="5"/>
          </w:tcPr>
          <w:p>
            <w:pPr>
              <w:jc w:val="center"/>
              <w:ind w:right="100"/>
              <w:spacing w:after="0" w:line="105" w:lineRule="exact"/>
              <w:rPr>
                <w:sz w:val="20"/>
                <w:szCs w:val="20"/>
                <w:color w:val="auto"/>
              </w:rPr>
            </w:pPr>
            <w:r>
              <w:rPr>
                <w:rFonts w:ascii="Arial" w:cs="Arial" w:eastAsia="Arial" w:hAnsi="Arial"/>
                <w:sz w:val="10"/>
                <w:szCs w:val="10"/>
                <w:b w:val="1"/>
                <w:bCs w:val="1"/>
                <w:color w:val="auto"/>
              </w:rPr>
              <w:t>Redeemable</w:t>
            </w:r>
          </w:p>
        </w:tc>
        <w:tc>
          <w:tcPr>
            <w:tcW w:w="122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Redeemable</w:t>
            </w:r>
          </w:p>
        </w:tc>
        <w:tc>
          <w:tcPr>
            <w:tcW w:w="120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Redeemable</w:t>
            </w:r>
          </w:p>
        </w:tc>
        <w:tc>
          <w:tcPr>
            <w:tcW w:w="134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Redeemable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9"/>
                <w:szCs w:val="9"/>
                <w:color w:val="auto"/>
              </w:rPr>
            </w:pPr>
          </w:p>
        </w:tc>
        <w:tc>
          <w:tcPr>
            <w:tcW w:w="600" w:type="dxa"/>
            <w:vAlign w:val="bottom"/>
            <w:vMerge w:val="restart"/>
          </w:tcPr>
          <w:p>
            <w:pPr>
              <w:jc w:val="center"/>
              <w:ind w:right="6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22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Convertible</w:t>
            </w:r>
          </w:p>
        </w:tc>
        <w:tc>
          <w:tcPr>
            <w:tcW w:w="1280" w:type="dxa"/>
            <w:vAlign w:val="bottom"/>
            <w:gridSpan w:val="5"/>
          </w:tcPr>
          <w:p>
            <w:pPr>
              <w:jc w:val="center"/>
              <w:ind w:right="100"/>
              <w:spacing w:after="0" w:line="105" w:lineRule="exact"/>
              <w:rPr>
                <w:sz w:val="20"/>
                <w:szCs w:val="20"/>
                <w:color w:val="auto"/>
              </w:rPr>
            </w:pPr>
            <w:r>
              <w:rPr>
                <w:rFonts w:ascii="Arial" w:cs="Arial" w:eastAsia="Arial" w:hAnsi="Arial"/>
                <w:sz w:val="10"/>
                <w:szCs w:val="10"/>
                <w:b w:val="1"/>
                <w:bCs w:val="1"/>
                <w:color w:val="auto"/>
              </w:rPr>
              <w:t>Convertible</w:t>
            </w:r>
          </w:p>
        </w:tc>
        <w:tc>
          <w:tcPr>
            <w:tcW w:w="1220" w:type="dxa"/>
            <w:vAlign w:val="bottom"/>
            <w:gridSpan w:val="5"/>
          </w:tcPr>
          <w:p>
            <w:pPr>
              <w:jc w:val="center"/>
              <w:ind w:right="100"/>
              <w:spacing w:after="0" w:line="105" w:lineRule="exact"/>
              <w:rPr>
                <w:sz w:val="20"/>
                <w:szCs w:val="20"/>
                <w:color w:val="auto"/>
              </w:rPr>
            </w:pPr>
            <w:r>
              <w:rPr>
                <w:rFonts w:ascii="Arial" w:cs="Arial" w:eastAsia="Arial" w:hAnsi="Arial"/>
                <w:sz w:val="10"/>
                <w:szCs w:val="10"/>
                <w:b w:val="1"/>
                <w:bCs w:val="1"/>
                <w:color w:val="auto"/>
              </w:rPr>
              <w:t>Convertible</w:t>
            </w:r>
          </w:p>
        </w:tc>
        <w:tc>
          <w:tcPr>
            <w:tcW w:w="120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Convertible</w:t>
            </w:r>
          </w:p>
        </w:tc>
        <w:tc>
          <w:tcPr>
            <w:tcW w:w="134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Convertible</w:t>
            </w:r>
          </w:p>
        </w:tc>
        <w:tc>
          <w:tcPr>
            <w:tcW w:w="96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spacing w:after="0"/>
              <w:rPr>
                <w:sz w:val="9"/>
                <w:szCs w:val="9"/>
                <w:color w:val="auto"/>
              </w:rPr>
            </w:pPr>
          </w:p>
        </w:tc>
        <w:tc>
          <w:tcPr>
            <w:tcW w:w="122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Preferred Stock</w:t>
            </w:r>
          </w:p>
        </w:tc>
        <w:tc>
          <w:tcPr>
            <w:tcW w:w="1280" w:type="dxa"/>
            <w:vAlign w:val="bottom"/>
            <w:gridSpan w:val="5"/>
          </w:tcPr>
          <w:p>
            <w:pPr>
              <w:jc w:val="center"/>
              <w:ind w:right="100"/>
              <w:spacing w:after="0" w:line="105" w:lineRule="exact"/>
              <w:rPr>
                <w:sz w:val="20"/>
                <w:szCs w:val="20"/>
                <w:color w:val="auto"/>
              </w:rPr>
            </w:pPr>
            <w:r>
              <w:rPr>
                <w:rFonts w:ascii="Arial" w:cs="Arial" w:eastAsia="Arial" w:hAnsi="Arial"/>
                <w:sz w:val="10"/>
                <w:szCs w:val="10"/>
                <w:b w:val="1"/>
                <w:bCs w:val="1"/>
                <w:color w:val="auto"/>
              </w:rPr>
              <w:t>Preferred Stock</w:t>
            </w:r>
          </w:p>
        </w:tc>
        <w:tc>
          <w:tcPr>
            <w:tcW w:w="122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Preferred Stock</w:t>
            </w:r>
          </w:p>
        </w:tc>
        <w:tc>
          <w:tcPr>
            <w:tcW w:w="1200" w:type="dxa"/>
            <w:vAlign w:val="bottom"/>
            <w:gridSpan w:val="5"/>
          </w:tcPr>
          <w:p>
            <w:pPr>
              <w:jc w:val="center"/>
              <w:ind w:right="60"/>
              <w:spacing w:after="0" w:line="105" w:lineRule="exact"/>
              <w:rPr>
                <w:sz w:val="20"/>
                <w:szCs w:val="20"/>
                <w:color w:val="auto"/>
              </w:rPr>
            </w:pPr>
            <w:r>
              <w:rPr>
                <w:rFonts w:ascii="Arial" w:cs="Arial" w:eastAsia="Arial" w:hAnsi="Arial"/>
                <w:sz w:val="10"/>
                <w:szCs w:val="10"/>
                <w:b w:val="1"/>
                <w:bCs w:val="1"/>
                <w:color w:val="auto"/>
              </w:rPr>
              <w:t>Preferred Stock</w:t>
            </w:r>
          </w:p>
        </w:tc>
        <w:tc>
          <w:tcPr>
            <w:tcW w:w="1340" w:type="dxa"/>
            <w:vAlign w:val="bottom"/>
            <w:gridSpan w:val="5"/>
          </w:tcPr>
          <w:p>
            <w:pPr>
              <w:jc w:val="center"/>
              <w:ind w:right="80"/>
              <w:spacing w:after="0" w:line="105" w:lineRule="exact"/>
              <w:rPr>
                <w:sz w:val="20"/>
                <w:szCs w:val="20"/>
                <w:color w:val="auto"/>
              </w:rPr>
            </w:pPr>
            <w:r>
              <w:rPr>
                <w:rFonts w:ascii="Arial" w:cs="Arial" w:eastAsia="Arial" w:hAnsi="Arial"/>
                <w:sz w:val="10"/>
                <w:szCs w:val="10"/>
                <w:b w:val="1"/>
                <w:bCs w:val="1"/>
                <w:color w:val="auto"/>
              </w:rPr>
              <w:t>Preferred Stock</w:t>
            </w: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rPr>
              <w:t>Other</w:t>
            </w:r>
          </w:p>
        </w:tc>
        <w:tc>
          <w:tcPr>
            <w:tcW w:w="74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52"/>
        </w:trPr>
        <w:tc>
          <w:tcPr>
            <w:tcW w:w="7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tcPr>
          <w:p>
            <w:pPr>
              <w:ind w:left="20"/>
              <w:spacing w:after="0" w:line="53" w:lineRule="exact"/>
              <w:rPr>
                <w:sz w:val="20"/>
                <w:szCs w:val="20"/>
                <w:color w:val="auto"/>
              </w:rPr>
            </w:pPr>
            <w:r>
              <w:rPr>
                <w:rFonts w:ascii="Arial" w:cs="Arial" w:eastAsia="Arial" w:hAnsi="Arial"/>
                <w:sz w:val="6"/>
                <w:szCs w:val="6"/>
                <w:b w:val="1"/>
                <w:bCs w:val="1"/>
                <w:color w:val="auto"/>
              </w:rPr>
              <w:t>Paid-In</w:t>
            </w:r>
          </w:p>
        </w:tc>
        <w:tc>
          <w:tcPr>
            <w:tcW w:w="760" w:type="dxa"/>
            <w:vAlign w:val="bottom"/>
            <w:gridSpan w:val="3"/>
          </w:tcPr>
          <w:p>
            <w:pPr>
              <w:spacing w:after="0" w:line="53" w:lineRule="exact"/>
              <w:rPr>
                <w:sz w:val="20"/>
                <w:szCs w:val="20"/>
                <w:color w:val="auto"/>
              </w:rPr>
            </w:pPr>
            <w:r>
              <w:rPr>
                <w:rFonts w:ascii="Arial" w:cs="Arial" w:eastAsia="Arial" w:hAnsi="Arial"/>
                <w:sz w:val="6"/>
                <w:szCs w:val="6"/>
                <w:b w:val="1"/>
                <w:bCs w:val="1"/>
                <w:color w:val="auto"/>
              </w:rPr>
              <w:t>Accumulated</w:t>
            </w:r>
          </w:p>
        </w:tc>
        <w:tc>
          <w:tcPr>
            <w:tcW w:w="900" w:type="dxa"/>
            <w:vAlign w:val="bottom"/>
            <w:gridSpan w:val="3"/>
          </w:tcPr>
          <w:p>
            <w:pPr>
              <w:ind w:left="20"/>
              <w:spacing w:after="0" w:line="53" w:lineRule="exact"/>
              <w:rPr>
                <w:sz w:val="20"/>
                <w:szCs w:val="20"/>
                <w:color w:val="auto"/>
              </w:rPr>
            </w:pPr>
            <w:r>
              <w:rPr>
                <w:rFonts w:ascii="Arial" w:cs="Arial" w:eastAsia="Arial" w:hAnsi="Arial"/>
                <w:sz w:val="6"/>
                <w:szCs w:val="6"/>
                <w:b w:val="1"/>
                <w:bCs w:val="1"/>
                <w:color w:val="auto"/>
              </w:rPr>
              <w:t>Comprehensive</w:t>
            </w:r>
          </w:p>
        </w:tc>
        <w:tc>
          <w:tcPr>
            <w:tcW w:w="140" w:type="dxa"/>
            <w:vAlign w:val="bottom"/>
          </w:tcPr>
          <w:p>
            <w:pPr>
              <w:spacing w:after="0"/>
              <w:rPr>
                <w:sz w:val="4"/>
                <w:szCs w:val="4"/>
                <w:color w:val="auto"/>
              </w:rPr>
            </w:pPr>
          </w:p>
        </w:tc>
        <w:tc>
          <w:tcPr>
            <w:tcW w:w="600" w:type="dxa"/>
            <w:vAlign w:val="bottom"/>
          </w:tcPr>
          <w:p>
            <w:pPr>
              <w:jc w:val="center"/>
              <w:ind w:right="68"/>
              <w:spacing w:after="0" w:line="53" w:lineRule="exact"/>
              <w:rPr>
                <w:sz w:val="20"/>
                <w:szCs w:val="20"/>
                <w:color w:val="auto"/>
              </w:rPr>
            </w:pPr>
            <w:r>
              <w:rPr>
                <w:rFonts w:ascii="Arial" w:cs="Arial" w:eastAsia="Arial" w:hAnsi="Arial"/>
                <w:sz w:val="6"/>
                <w:szCs w:val="6"/>
                <w:b w:val="1"/>
                <w:bCs w:val="1"/>
                <w:color w:val="auto"/>
              </w:rPr>
              <w:t>Equity</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66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4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4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Loss</w:t>
            </w:r>
          </w:p>
        </w:tc>
        <w:tc>
          <w:tcPr>
            <w:tcW w:w="140" w:type="dxa"/>
            <w:vAlign w:val="bottom"/>
          </w:tcPr>
          <w:p>
            <w:pPr>
              <w:spacing w:after="0"/>
              <w:rPr>
                <w:sz w:val="13"/>
                <w:szCs w:val="13"/>
                <w:color w:val="auto"/>
              </w:rPr>
            </w:pPr>
          </w:p>
        </w:tc>
        <w:tc>
          <w:tcPr>
            <w:tcW w:w="600" w:type="dxa"/>
            <w:vAlign w:val="bottom"/>
          </w:tcPr>
          <w:p>
            <w:pPr>
              <w:jc w:val="center"/>
              <w:ind w:right="68"/>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740" w:type="dxa"/>
            <w:vAlign w:val="bottom"/>
            <w:shd w:val="clear" w:color="auto" w:fill="CCEEFF"/>
          </w:tcPr>
          <w:p>
            <w:pPr>
              <w:ind w:left="20"/>
              <w:spacing w:after="0" w:line="85" w:lineRule="exact"/>
              <w:rPr>
                <w:sz w:val="20"/>
                <w:szCs w:val="20"/>
                <w:color w:val="auto"/>
              </w:rPr>
            </w:pPr>
            <w:r>
              <w:rPr>
                <w:rFonts w:ascii="Arial" w:cs="Arial" w:eastAsia="Arial" w:hAnsi="Arial"/>
                <w:sz w:val="9"/>
                <w:szCs w:val="9"/>
                <w:b w:val="1"/>
                <w:bCs w:val="1"/>
                <w:color w:val="auto"/>
              </w:rPr>
              <w:t>Balance at</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b w:val="1"/>
                <w:bCs w:val="1"/>
                <w:color w:val="auto"/>
              </w:rPr>
              <w:t>December 31,</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2019</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8,075,799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9,932</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14,913,704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7"/>
              </w:rPr>
              <w:t>49,969</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10,431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9,805,827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50,789</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1,621,880</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(81,009)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(81,008)</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Repurchase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Series C</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preferred stock</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(5,825,243)</w:t>
            </w:r>
          </w:p>
        </w:tc>
        <w:tc>
          <w:tcPr>
            <w:tcW w:w="8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(30,493)</w:t>
            </w:r>
          </w:p>
        </w:tc>
        <w:tc>
          <w:tcPr>
            <w:tcW w:w="6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493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493</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Series C</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issuance costs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Vesting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restricted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awards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13,143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Stock-based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compensation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expense</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147</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147</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Accretion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to redemption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value</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160</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80" w:type="dxa"/>
            <w:vAlign w:val="bottom"/>
          </w:tcPr>
          <w:p>
            <w:pPr>
              <w:jc w:val="right"/>
              <w:ind w:right="8"/>
              <w:spacing w:after="0"/>
              <w:rPr>
                <w:sz w:val="20"/>
                <w:szCs w:val="20"/>
                <w:color w:val="auto"/>
              </w:rPr>
            </w:pPr>
            <w:r>
              <w:rPr>
                <w:rFonts w:ascii="Arial" w:cs="Arial" w:eastAsia="Arial" w:hAnsi="Arial"/>
                <w:sz w:val="10"/>
                <w:szCs w:val="10"/>
                <w:color w:val="auto"/>
              </w:rPr>
              <w:t>890</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199</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815</w:t>
            </w:r>
          </w:p>
        </w:tc>
        <w:tc>
          <w:tcPr>
            <w:tcW w:w="6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(147)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(1,917)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(2,064)</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(8,330)</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(8,330)</w:t>
            </w:r>
          </w:p>
        </w:tc>
        <w:tc>
          <w:tcPr>
            <w:tcW w:w="0" w:type="dxa"/>
            <w:vAlign w:val="bottom"/>
          </w:tcPr>
          <w:p>
            <w:pPr>
              <w:spacing w:after="0"/>
              <w:rPr>
                <w:sz w:val="1"/>
                <w:szCs w:val="1"/>
                <w:color w:val="auto"/>
              </w:rPr>
            </w:pPr>
          </w:p>
        </w:tc>
      </w:tr>
      <w:tr>
        <w:trPr>
          <w:trHeight w:val="85"/>
        </w:trPr>
        <w:tc>
          <w:tcPr>
            <w:tcW w:w="740" w:type="dxa"/>
            <w:vAlign w:val="bottom"/>
          </w:tcPr>
          <w:p>
            <w:pPr>
              <w:ind w:left="20"/>
              <w:spacing w:after="0" w:line="85" w:lineRule="exact"/>
              <w:rPr>
                <w:sz w:val="20"/>
                <w:szCs w:val="20"/>
                <w:color w:val="auto"/>
              </w:rPr>
            </w:pPr>
            <w:r>
              <w:rPr>
                <w:rFonts w:ascii="Arial" w:cs="Arial" w:eastAsia="Arial" w:hAnsi="Arial"/>
                <w:sz w:val="9"/>
                <w:szCs w:val="9"/>
                <w:b w:val="1"/>
                <w:bCs w:val="1"/>
                <w:color w:val="auto"/>
              </w:rPr>
              <w:t>Balance at</w:t>
            </w: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b w:val="1"/>
                <w:bCs w:val="1"/>
                <w:color w:val="auto"/>
              </w:rPr>
              <w:t>March 31,</w:t>
            </w: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8,075,799</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color w:val="auto"/>
              </w:rPr>
              <w:t>10,092</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14,913,704</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0"/>
                <w:szCs w:val="10"/>
                <w:color w:val="auto"/>
                <w:w w:val="97"/>
              </w:rPr>
              <w:t>50,859</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color w:val="auto"/>
              </w:rPr>
              <w:t>10,630</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3,980,584</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0" w:type="dxa"/>
            <w:vAlign w:val="bottom"/>
            <w:vMerge w:val="restart"/>
          </w:tcPr>
          <w:p>
            <w:pPr>
              <w:jc w:val="right"/>
              <w:ind w:right="8"/>
              <w:spacing w:after="0"/>
              <w:rPr>
                <w:sz w:val="20"/>
                <w:szCs w:val="20"/>
                <w:color w:val="auto"/>
              </w:rPr>
            </w:pPr>
            <w:r>
              <w:rPr>
                <w:rFonts w:ascii="Arial" w:cs="Arial" w:eastAsia="Arial" w:hAnsi="Arial"/>
                <w:sz w:val="10"/>
                <w:szCs w:val="10"/>
                <w:color w:val="auto"/>
              </w:rPr>
              <w:t>21,074</w:t>
            </w:r>
          </w:p>
        </w:tc>
        <w:tc>
          <w:tcPr>
            <w:tcW w:w="6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0"/>
                <w:szCs w:val="10"/>
                <w:color w:val="auto"/>
              </w:rPr>
              <w:t>1,635,023</w:t>
            </w:r>
          </w:p>
        </w:tc>
        <w:tc>
          <w:tcPr>
            <w:tcW w:w="80" w:type="dxa"/>
            <w:vAlign w:val="bottom"/>
          </w:tcPr>
          <w:p>
            <w:pPr>
              <w:spacing w:after="0"/>
              <w:rPr>
                <w:sz w:val="9"/>
                <w:szCs w:val="9"/>
                <w:color w:val="auto"/>
              </w:rPr>
            </w:pPr>
          </w:p>
        </w:tc>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20"/>
                <w:szCs w:val="20"/>
                <w:color w:val="auto"/>
              </w:rPr>
            </w:pPr>
            <w:r>
              <w:rPr>
                <w:rFonts w:ascii="Arial" w:cs="Arial" w:eastAsia="Arial" w:hAnsi="Arial"/>
                <w:sz w:val="10"/>
                <w:szCs w:val="10"/>
                <w:color w:val="auto"/>
              </w:rPr>
              <w:t>$</w:t>
            </w: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(90,763)</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gridSpan w:val="2"/>
            <w:vMerge w:val="restart"/>
          </w:tcPr>
          <w:p>
            <w:pPr>
              <w:ind w:left="580"/>
              <w:spacing w:after="0"/>
              <w:rPr>
                <w:sz w:val="20"/>
                <w:szCs w:val="20"/>
                <w:color w:val="auto"/>
              </w:rPr>
            </w:pPr>
            <w:r>
              <w:rPr>
                <w:rFonts w:ascii="Arial" w:cs="Arial" w:eastAsia="Arial" w:hAnsi="Arial"/>
                <w:sz w:val="10"/>
                <w:szCs w:val="10"/>
                <w:color w:val="auto"/>
              </w:rPr>
              <w:t>—</w:t>
            </w:r>
          </w:p>
        </w:tc>
        <w:tc>
          <w:tcPr>
            <w:tcW w:w="14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(90,762)</w:t>
            </w:r>
          </w:p>
        </w:tc>
        <w:tc>
          <w:tcPr>
            <w:tcW w:w="0" w:type="dxa"/>
            <w:vAlign w:val="bottom"/>
          </w:tcPr>
          <w:p>
            <w:pPr>
              <w:spacing w:after="0"/>
              <w:rPr>
                <w:sz w:val="1"/>
                <w:szCs w:val="1"/>
                <w:color w:val="auto"/>
              </w:rPr>
            </w:pPr>
          </w:p>
        </w:tc>
      </w:tr>
      <w:tr>
        <w:trPr>
          <w:trHeight w:val="131"/>
        </w:trPr>
        <w:tc>
          <w:tcPr>
            <w:tcW w:w="740" w:type="dxa"/>
            <w:vAlign w:val="bottom"/>
          </w:tcPr>
          <w:p>
            <w:pPr>
              <w:ind w:left="20"/>
              <w:spacing w:after="0"/>
              <w:rPr>
                <w:sz w:val="20"/>
                <w:szCs w:val="20"/>
                <w:color w:val="auto"/>
              </w:rPr>
            </w:pPr>
            <w:r>
              <w:rPr>
                <w:rFonts w:ascii="Arial" w:cs="Arial" w:eastAsia="Arial" w:hAnsi="Arial"/>
                <w:sz w:val="10"/>
                <w:szCs w:val="10"/>
                <w:b w:val="1"/>
                <w:bCs w:val="1"/>
                <w:color w:val="auto"/>
              </w:rPr>
              <w:t>2020</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740" w:type="dxa"/>
            <w:vAlign w:val="bottom"/>
            <w:shd w:val="clear" w:color="auto" w:fill="CCEEFF"/>
          </w:tcPr>
          <w:p>
            <w:pPr>
              <w:ind w:left="20"/>
              <w:spacing w:after="0" w:line="82" w:lineRule="exact"/>
              <w:rPr>
                <w:sz w:val="20"/>
                <w:szCs w:val="20"/>
                <w:color w:val="auto"/>
              </w:rPr>
            </w:pPr>
            <w:r>
              <w:rPr>
                <w:rFonts w:ascii="Arial" w:cs="Arial" w:eastAsia="Arial" w:hAnsi="Arial"/>
                <w:sz w:val="9"/>
                <w:szCs w:val="9"/>
                <w:color w:val="auto"/>
              </w:rPr>
              <w:t>Issuance of</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Series C</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preferred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stock, net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issuance costs</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of $4</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4,563,108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23,496</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Vesting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restricted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awards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13,142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Stock-based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compensation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expense</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285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Accretion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to redemption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value</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162</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80" w:type="dxa"/>
            <w:vAlign w:val="bottom"/>
          </w:tcPr>
          <w:p>
            <w:pPr>
              <w:jc w:val="right"/>
              <w:ind w:right="8"/>
              <w:spacing w:after="0"/>
              <w:rPr>
                <w:sz w:val="20"/>
                <w:szCs w:val="20"/>
                <w:color w:val="auto"/>
              </w:rPr>
            </w:pPr>
            <w:r>
              <w:rPr>
                <w:rFonts w:ascii="Arial" w:cs="Arial" w:eastAsia="Arial" w:hAnsi="Arial"/>
                <w:sz w:val="10"/>
                <w:szCs w:val="10"/>
                <w:color w:val="auto"/>
              </w:rPr>
              <w:t>890</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198</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789</w:t>
            </w:r>
          </w:p>
        </w:tc>
        <w:tc>
          <w:tcPr>
            <w:tcW w:w="6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(285)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(1,754)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(11,568)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(11,568)</w:t>
            </w:r>
          </w:p>
        </w:tc>
        <w:tc>
          <w:tcPr>
            <w:tcW w:w="0" w:type="dxa"/>
            <w:vAlign w:val="bottom"/>
          </w:tcPr>
          <w:p>
            <w:pPr>
              <w:spacing w:after="0"/>
              <w:rPr>
                <w:sz w:val="1"/>
                <w:szCs w:val="1"/>
                <w:color w:val="auto"/>
              </w:rPr>
            </w:pPr>
          </w:p>
        </w:tc>
      </w:tr>
      <w:tr>
        <w:trPr>
          <w:trHeight w:val="85"/>
        </w:trPr>
        <w:tc>
          <w:tcPr>
            <w:tcW w:w="740" w:type="dxa"/>
            <w:vAlign w:val="bottom"/>
          </w:tcPr>
          <w:p>
            <w:pPr>
              <w:ind w:left="20"/>
              <w:spacing w:after="0" w:line="85" w:lineRule="exact"/>
              <w:rPr>
                <w:sz w:val="20"/>
                <w:szCs w:val="20"/>
                <w:color w:val="auto"/>
              </w:rPr>
            </w:pPr>
            <w:r>
              <w:rPr>
                <w:rFonts w:ascii="Arial" w:cs="Arial" w:eastAsia="Arial" w:hAnsi="Arial"/>
                <w:sz w:val="9"/>
                <w:szCs w:val="9"/>
                <w:b w:val="1"/>
                <w:bCs w:val="1"/>
                <w:color w:val="auto"/>
              </w:rPr>
              <w:t>Balance at</w:t>
            </w:r>
          </w:p>
        </w:tc>
        <w:tc>
          <w:tcPr>
            <w:tcW w:w="5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8,075,799</w:t>
            </w:r>
          </w:p>
        </w:tc>
        <w:tc>
          <w:tcPr>
            <w:tcW w:w="80" w:type="dxa"/>
            <w:vAlign w:val="bottom"/>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10,254</w:t>
            </w:r>
          </w:p>
        </w:tc>
        <w:tc>
          <w:tcPr>
            <w:tcW w:w="80" w:type="dxa"/>
            <w:vAlign w:val="bottom"/>
          </w:tcPr>
          <w:p>
            <w:pPr>
              <w:spacing w:after="0"/>
              <w:rPr>
                <w:sz w:val="7"/>
                <w:szCs w:val="7"/>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14,913,704</w:t>
            </w:r>
          </w:p>
        </w:tc>
        <w:tc>
          <w:tcPr>
            <w:tcW w:w="80" w:type="dxa"/>
            <w:vAlign w:val="bottom"/>
          </w:tcPr>
          <w:p>
            <w:pPr>
              <w:spacing w:after="0"/>
              <w:rPr>
                <w:sz w:val="7"/>
                <w:szCs w:val="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7"/>
              </w:rPr>
              <w:t>51,749</w:t>
            </w:r>
          </w:p>
        </w:tc>
        <w:tc>
          <w:tcPr>
            <w:tcW w:w="80" w:type="dxa"/>
            <w:vAlign w:val="bottom"/>
          </w:tcPr>
          <w:p>
            <w:pPr>
              <w:spacing w:after="0"/>
              <w:rPr>
                <w:sz w:val="7"/>
                <w:szCs w:val="7"/>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10,828</w:t>
            </w:r>
          </w:p>
        </w:tc>
        <w:tc>
          <w:tcPr>
            <w:tcW w:w="80" w:type="dxa"/>
            <w:vAlign w:val="bottom"/>
          </w:tcPr>
          <w:p>
            <w:pPr>
              <w:spacing w:after="0"/>
              <w:rPr>
                <w:sz w:val="7"/>
                <w:szCs w:val="7"/>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8,543,692</w:t>
            </w:r>
          </w:p>
        </w:tc>
        <w:tc>
          <w:tcPr>
            <w:tcW w:w="80" w:type="dxa"/>
            <w:vAlign w:val="bottom"/>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45,359</w:t>
            </w:r>
          </w:p>
        </w:tc>
        <w:tc>
          <w:tcPr>
            <w:tcW w:w="60" w:type="dxa"/>
            <w:vAlign w:val="bottom"/>
          </w:tcPr>
          <w:p>
            <w:pPr>
              <w:spacing w:after="0"/>
              <w:rPr>
                <w:sz w:val="7"/>
                <w:szCs w:val="7"/>
                <w:color w:val="auto"/>
              </w:rPr>
            </w:pPr>
          </w:p>
        </w:tc>
        <w:tc>
          <w:tcPr>
            <w:tcW w:w="6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7"/>
                <w:szCs w:val="7"/>
                <w:color w:val="auto"/>
              </w:rPr>
            </w:pPr>
          </w:p>
        </w:tc>
        <w:tc>
          <w:tcPr>
            <w:tcW w:w="5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1,648,165</w:t>
            </w:r>
          </w:p>
        </w:tc>
        <w:tc>
          <w:tcPr>
            <w:tcW w:w="80" w:type="dxa"/>
            <w:vAlign w:val="bottom"/>
          </w:tcPr>
          <w:p>
            <w:pPr>
              <w:spacing w:after="0"/>
              <w:rPr>
                <w:sz w:val="7"/>
                <w:szCs w:val="7"/>
                <w:color w:val="auto"/>
              </w:rPr>
            </w:pPr>
          </w:p>
        </w:tc>
        <w:tc>
          <w:tcPr>
            <w:tcW w:w="30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7"/>
                <w:szCs w:val="7"/>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7"/>
                <w:szCs w:val="7"/>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(104,085)</w:t>
            </w:r>
          </w:p>
        </w:tc>
        <w:tc>
          <w:tcPr>
            <w:tcW w:w="80" w:type="dxa"/>
            <w:vAlign w:val="bottom"/>
          </w:tcPr>
          <w:p>
            <w:pPr>
              <w:spacing w:after="0"/>
              <w:rPr>
                <w:sz w:val="7"/>
                <w:szCs w:val="7"/>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vMerge w:val="restart"/>
          </w:tcPr>
          <w:p>
            <w:pPr>
              <w:ind w:left="58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7"/>
                <w:szCs w:val="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(104,084)</w:t>
            </w:r>
          </w:p>
        </w:tc>
        <w:tc>
          <w:tcPr>
            <w:tcW w:w="0" w:type="dxa"/>
            <w:vAlign w:val="bottom"/>
          </w:tcPr>
          <w:p>
            <w:pPr>
              <w:spacing w:after="0"/>
              <w:rPr>
                <w:sz w:val="1"/>
                <w:szCs w:val="1"/>
                <w:color w:val="auto"/>
              </w:rPr>
            </w:pPr>
          </w:p>
        </w:tc>
      </w:tr>
      <w:tr>
        <w:trPr>
          <w:trHeight w:val="136"/>
        </w:trPr>
        <w:tc>
          <w:tcPr>
            <w:tcW w:w="740" w:type="dxa"/>
            <w:vAlign w:val="bottom"/>
          </w:tcPr>
          <w:p>
            <w:pPr>
              <w:ind w:left="20"/>
              <w:spacing w:after="0"/>
              <w:rPr>
                <w:sz w:val="20"/>
                <w:szCs w:val="20"/>
                <w:color w:val="auto"/>
              </w:rPr>
            </w:pPr>
            <w:r>
              <w:rPr>
                <w:rFonts w:ascii="Arial" w:cs="Arial" w:eastAsia="Arial" w:hAnsi="Arial"/>
                <w:sz w:val="10"/>
                <w:szCs w:val="10"/>
                <w:b w:val="1"/>
                <w:bCs w:val="1"/>
                <w:color w:val="auto"/>
              </w:rPr>
              <w:t>June 30, 2020</w:t>
            </w: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740" w:type="dxa"/>
            <w:vAlign w:val="bottom"/>
            <w:shd w:val="clear" w:color="auto" w:fill="CCEEFF"/>
          </w:tcPr>
          <w:p>
            <w:pPr>
              <w:ind w:left="20"/>
              <w:spacing w:after="0" w:line="82" w:lineRule="exact"/>
              <w:rPr>
                <w:sz w:val="20"/>
                <w:szCs w:val="20"/>
                <w:color w:val="auto"/>
              </w:rPr>
            </w:pPr>
            <w:r>
              <w:rPr>
                <w:rFonts w:ascii="Arial" w:cs="Arial" w:eastAsia="Arial" w:hAnsi="Arial"/>
                <w:sz w:val="9"/>
                <w:szCs w:val="9"/>
                <w:color w:val="auto"/>
              </w:rPr>
              <w:t>Issuance of</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Series C-1</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preferred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stock, net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issuance costs</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of $154</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19,444,453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110,096</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Vesting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restricted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awards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13,142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Stock-based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compensation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expense</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953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953</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upon exercise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of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options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11,628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80" w:type="dxa"/>
            <w:vAlign w:val="bottom"/>
          </w:tcPr>
          <w:p>
            <w:pPr>
              <w:jc w:val="right"/>
              <w:ind w:right="8"/>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Accretion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to redemption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value</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162</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899</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201</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885</w:t>
            </w: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1,796</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(2,963)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(3,943)</w:t>
            </w:r>
          </w:p>
        </w:tc>
        <w:tc>
          <w:tcPr>
            <w:tcW w:w="0" w:type="dxa"/>
            <w:vAlign w:val="bottom"/>
          </w:tcPr>
          <w:p>
            <w:pPr>
              <w:spacing w:after="0"/>
              <w:rPr>
                <w:sz w:val="1"/>
                <w:szCs w:val="1"/>
                <w:color w:val="auto"/>
              </w:rPr>
            </w:pPr>
          </w:p>
        </w:tc>
      </w:tr>
      <w:tr>
        <w:trPr>
          <w:trHeight w:val="135"/>
        </w:trPr>
        <w:tc>
          <w:tcPr>
            <w:tcW w:w="740" w:type="dxa"/>
            <w:vAlign w:val="bottom"/>
          </w:tcPr>
          <w:p>
            <w:pPr>
              <w:ind w:left="20"/>
              <w:spacing w:after="0"/>
              <w:rPr>
                <w:sz w:val="20"/>
                <w:szCs w:val="20"/>
                <w:color w:val="auto"/>
              </w:rPr>
            </w:pPr>
            <w:r>
              <w:rPr>
                <w:rFonts w:ascii="Arial" w:cs="Arial" w:eastAsia="Arial" w:hAnsi="Arial"/>
                <w:sz w:val="10"/>
                <w:szCs w:val="10"/>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(16,216)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(16,216)</w:t>
            </w: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740" w:type="dxa"/>
            <w:vAlign w:val="bottom"/>
            <w:shd w:val="clear" w:color="auto" w:fill="CCEEFF"/>
          </w:tcPr>
          <w:p>
            <w:pPr>
              <w:ind w:left="20"/>
              <w:spacing w:after="0" w:line="85" w:lineRule="exact"/>
              <w:rPr>
                <w:sz w:val="20"/>
                <w:szCs w:val="20"/>
                <w:color w:val="auto"/>
              </w:rPr>
            </w:pPr>
            <w:r>
              <w:rPr>
                <w:rFonts w:ascii="Arial" w:cs="Arial" w:eastAsia="Arial" w:hAnsi="Arial"/>
                <w:sz w:val="9"/>
                <w:szCs w:val="9"/>
                <w:b w:val="1"/>
                <w:bCs w:val="1"/>
                <w:color w:val="auto"/>
              </w:rPr>
              <w:t>Balance at</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b w:val="1"/>
                <w:bCs w:val="1"/>
                <w:color w:val="auto"/>
              </w:rPr>
              <w:t>September</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30, 2020</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8,075,799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10,416</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14,913,704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7"/>
              </w:rPr>
              <w:t>52,648</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11,029</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8,543,692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46,244</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19,444,453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111,892</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1,672,935</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(123,264)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(123,263)</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upon initial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public offering,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net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issuance costs</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of $2,864</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11,500,000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8"/>
              <w:spacing w:after="0"/>
              <w:rPr>
                <w:sz w:val="20"/>
                <w:szCs w:val="20"/>
                <w:color w:val="auto"/>
              </w:rPr>
            </w:pPr>
            <w:r>
              <w:rPr>
                <w:rFonts w:ascii="Arial" w:cs="Arial" w:eastAsia="Arial" w:hAnsi="Arial"/>
                <w:sz w:val="10"/>
                <w:szCs w:val="10"/>
                <w:color w:val="auto"/>
              </w:rPr>
              <w:t>200,310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200,311</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Vesting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restricted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awards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8,763</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Stock-based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compensation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expense</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80" w:type="dxa"/>
            <w:vAlign w:val="bottom"/>
          </w:tcPr>
          <w:p>
            <w:pPr>
              <w:jc w:val="right"/>
              <w:ind w:right="8"/>
              <w:spacing w:after="0"/>
              <w:rPr>
                <w:sz w:val="20"/>
                <w:szCs w:val="20"/>
                <w:color w:val="auto"/>
              </w:rPr>
            </w:pPr>
            <w:r>
              <w:rPr>
                <w:rFonts w:ascii="Arial" w:cs="Arial" w:eastAsia="Arial" w:hAnsi="Arial"/>
                <w:sz w:val="10"/>
                <w:szCs w:val="10"/>
                <w:color w:val="auto"/>
              </w:rPr>
              <w:t>3,826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3,826</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common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upon exercise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of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options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18,868</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61</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rPr>
                <w:sz w:val="20"/>
                <w:szCs w:val="20"/>
                <w:color w:val="auto"/>
              </w:rPr>
            </w:pPr>
            <w:r>
              <w:rPr>
                <w:rFonts w:ascii="Arial" w:cs="Arial" w:eastAsia="Arial" w:hAnsi="Arial"/>
                <w:sz w:val="10"/>
                <w:szCs w:val="10"/>
                <w:color w:val="auto"/>
              </w:rPr>
              <w:t>Accretion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tcPr>
          <w:p>
            <w:pPr>
              <w:ind w:left="20"/>
              <w:spacing w:after="0" w:line="105" w:lineRule="exact"/>
              <w:rPr>
                <w:sz w:val="20"/>
                <w:szCs w:val="20"/>
                <w:color w:val="auto"/>
              </w:rPr>
            </w:pPr>
            <w:r>
              <w:rPr>
                <w:rFonts w:ascii="Arial" w:cs="Arial" w:eastAsia="Arial" w:hAnsi="Arial"/>
                <w:sz w:val="10"/>
                <w:szCs w:val="10"/>
                <w:color w:val="auto"/>
              </w:rPr>
              <w:t>to redemption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tcPr>
          <w:p>
            <w:pPr>
              <w:ind w:left="20"/>
              <w:spacing w:after="0"/>
              <w:rPr>
                <w:sz w:val="20"/>
                <w:szCs w:val="20"/>
                <w:color w:val="auto"/>
              </w:rPr>
            </w:pPr>
            <w:r>
              <w:rPr>
                <w:rFonts w:ascii="Arial" w:cs="Arial" w:eastAsia="Arial" w:hAnsi="Arial"/>
                <w:sz w:val="10"/>
                <w:szCs w:val="10"/>
                <w:color w:val="auto"/>
              </w:rPr>
              <w:t>value</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35</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80" w:type="dxa"/>
            <w:vAlign w:val="bottom"/>
          </w:tcPr>
          <w:p>
            <w:pPr>
              <w:jc w:val="right"/>
              <w:ind w:right="8"/>
              <w:spacing w:after="0"/>
              <w:rPr>
                <w:sz w:val="20"/>
                <w:szCs w:val="20"/>
                <w:color w:val="auto"/>
              </w:rPr>
            </w:pPr>
            <w:r>
              <w:rPr>
                <w:rFonts w:ascii="Arial" w:cs="Arial" w:eastAsia="Arial" w:hAnsi="Arial"/>
                <w:sz w:val="10"/>
                <w:szCs w:val="10"/>
                <w:color w:val="auto"/>
              </w:rPr>
              <w:t>196</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44</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jc w:val="right"/>
              <w:ind w:right="8"/>
              <w:spacing w:after="0"/>
              <w:rPr>
                <w:sz w:val="20"/>
                <w:szCs w:val="20"/>
                <w:color w:val="auto"/>
              </w:rPr>
            </w:pPr>
            <w:r>
              <w:rPr>
                <w:rFonts w:ascii="Arial" w:cs="Arial" w:eastAsia="Arial" w:hAnsi="Arial"/>
                <w:sz w:val="10"/>
                <w:szCs w:val="10"/>
                <w:color w:val="auto"/>
              </w:rPr>
              <w:t>193</w:t>
            </w:r>
          </w:p>
        </w:tc>
        <w:tc>
          <w:tcPr>
            <w:tcW w:w="6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482</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(366)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(584)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(950)</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Conversion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redeemable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convertible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to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(8,075,799)</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(10,451)</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(14,913,704)</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(52,844)</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(2,666,666)</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(11,073)</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(8,543,692)</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(46,437)</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(19,444,453)</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(112,374)</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25,067,977</w:t>
            </w: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233,176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233,178</w:t>
            </w:r>
          </w:p>
        </w:tc>
        <w:tc>
          <w:tcPr>
            <w:tcW w:w="0" w:type="dxa"/>
            <w:vAlign w:val="bottom"/>
          </w:tcPr>
          <w:p>
            <w:pPr>
              <w:spacing w:after="0"/>
              <w:rPr>
                <w:sz w:val="1"/>
                <w:szCs w:val="1"/>
                <w:color w:val="auto"/>
              </w:rPr>
            </w:pPr>
          </w:p>
        </w:tc>
      </w:tr>
      <w:tr>
        <w:trPr>
          <w:trHeight w:val="135"/>
        </w:trPr>
        <w:tc>
          <w:tcPr>
            <w:tcW w:w="740" w:type="dxa"/>
            <w:vAlign w:val="bottom"/>
          </w:tcPr>
          <w:p>
            <w:pPr>
              <w:ind w:left="20"/>
              <w:spacing w:after="0"/>
              <w:rPr>
                <w:sz w:val="20"/>
                <w:szCs w:val="20"/>
                <w:color w:val="auto"/>
              </w:rPr>
            </w:pPr>
            <w:r>
              <w:rPr>
                <w:rFonts w:ascii="Arial" w:cs="Arial" w:eastAsia="Arial" w:hAnsi="Arial"/>
                <w:sz w:val="10"/>
                <w:szCs w:val="10"/>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(25,706)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(25,706)</w:t>
            </w: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
        </w:trPr>
        <w:tc>
          <w:tcPr>
            <w:tcW w:w="740" w:type="dxa"/>
            <w:vAlign w:val="bottom"/>
            <w:shd w:val="clear" w:color="auto" w:fill="CCEEFF"/>
          </w:tcPr>
          <w:p>
            <w:pPr>
              <w:ind w:left="20"/>
              <w:spacing w:after="0" w:line="85" w:lineRule="exact"/>
              <w:rPr>
                <w:sz w:val="20"/>
                <w:szCs w:val="20"/>
                <w:color w:val="auto"/>
              </w:rPr>
            </w:pPr>
            <w:r>
              <w:rPr>
                <w:rFonts w:ascii="Arial" w:cs="Arial" w:eastAsia="Arial" w:hAnsi="Arial"/>
                <w:sz w:val="9"/>
                <w:szCs w:val="9"/>
                <w:b w:val="1"/>
                <w:bCs w:val="1"/>
                <w:color w:val="auto"/>
              </w:rPr>
              <w:t>Balance at</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b w:val="1"/>
                <w:bCs w:val="1"/>
                <w:color w:val="auto"/>
              </w:rPr>
              <w:t>December 31,</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38,268,543</w:t>
            </w:r>
          </w:p>
        </w:tc>
        <w:tc>
          <w:tcPr>
            <w:tcW w:w="8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437,007</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(149,554)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gridSpan w:val="2"/>
            <w:vMerge w:val="restart"/>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287,457</w:t>
            </w:r>
          </w:p>
        </w:tc>
        <w:tc>
          <w:tcPr>
            <w:tcW w:w="0" w:type="dxa"/>
            <w:vAlign w:val="bottom"/>
          </w:tcPr>
          <w:p>
            <w:pPr>
              <w:spacing w:after="0"/>
              <w:rPr>
                <w:sz w:val="1"/>
                <w:szCs w:val="1"/>
                <w:color w:val="auto"/>
              </w:rPr>
            </w:pPr>
          </w:p>
        </w:tc>
      </w:tr>
      <w:tr>
        <w:trPr>
          <w:trHeight w:val="151"/>
        </w:trPr>
        <w:tc>
          <w:tcPr>
            <w:tcW w:w="7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2020</w:t>
            </w:r>
          </w:p>
        </w:tc>
        <w:tc>
          <w:tcPr>
            <w:tcW w:w="6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40"/>
          </w:cols>
          <w:pgMar w:left="320" w:top="195" w:right="339" w:bottom="254"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95" w:right="339" w:bottom="254" w:gutter="0" w:footer="0" w:header="0"/>
          <w:type w:val="continuous"/>
        </w:sectPr>
      </w:pPr>
    </w:p>
    <w:bookmarkStart w:id="130" w:name="page131"/>
    <w:bookmarkEnd w:id="1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(167,061)</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(61,820)</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0" w:type="dxa"/>
            <w:vAlign w:val="bottom"/>
          </w:tcPr>
          <w:p>
            <w:pPr>
              <w:spacing w:after="0"/>
              <w:rPr>
                <w:sz w:val="1"/>
                <w:szCs w:val="1"/>
                <w:color w:val="auto"/>
              </w:rPr>
            </w:pP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0" w:type="dxa"/>
            <w:vAlign w:val="bottom"/>
          </w:tcPr>
          <w:p>
            <w:pPr>
              <w:spacing w:after="0"/>
              <w:rPr>
                <w:sz w:val="1"/>
                <w:szCs w:val="1"/>
                <w:color w:val="auto"/>
              </w:rPr>
            </w:pPr>
          </w:p>
        </w:tc>
      </w:tr>
      <w:tr>
        <w:trPr>
          <w:trHeight w:val="207"/>
        </w:trPr>
        <w:tc>
          <w:tcPr>
            <w:tcW w:w="804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7,267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w:t>
            </w:r>
          </w:p>
        </w:tc>
        <w:tc>
          <w:tcPr>
            <w:tcW w:w="0" w:type="dxa"/>
            <w:vAlign w:val="bottom"/>
          </w:tcPr>
          <w:p>
            <w:pPr>
              <w:spacing w:after="0"/>
              <w:rPr>
                <w:sz w:val="1"/>
                <w:szCs w:val="1"/>
                <w:color w:val="auto"/>
              </w:rPr>
            </w:pPr>
          </w:p>
        </w:tc>
      </w:tr>
      <w:tr>
        <w:trPr>
          <w:trHeight w:val="207"/>
        </w:trPr>
        <w:tc>
          <w:tcPr>
            <w:tcW w:w="8040" w:type="dxa"/>
            <w:vAlign w:val="bottom"/>
          </w:tcPr>
          <w:p>
            <w:pPr>
              <w:ind w:left="44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8040" w:type="dxa"/>
            <w:vAlign w:val="bottom"/>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(124,554)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(52,623)</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24,700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follow-on public offering, net of issuance costs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98,413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initial public offering of common stock, net of issuance costs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200,886</w:t>
            </w:r>
          </w:p>
        </w:tc>
        <w:tc>
          <w:tcPr>
            <w:tcW w:w="0" w:type="dxa"/>
            <w:vAlign w:val="bottom"/>
          </w:tcPr>
          <w:p>
            <w:pPr>
              <w:spacing w:after="0"/>
              <w:rPr>
                <w:sz w:val="1"/>
                <w:szCs w:val="1"/>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 of issuance costs for initial public offering</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options to purchase common stock</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133,442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Series C redeemable convertible preferred stock</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107,586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304,416</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251,793</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297,208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3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139,720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297,208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138,704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296,608</w:t>
            </w:r>
          </w:p>
        </w:tc>
        <w:tc>
          <w:tcPr>
            <w:tcW w:w="0" w:type="dxa"/>
            <w:vAlign w:val="bottom"/>
          </w:tcPr>
          <w:p>
            <w:pPr>
              <w:spacing w:after="0"/>
              <w:rPr>
                <w:sz w:val="1"/>
                <w:szCs w:val="1"/>
                <w:color w:val="auto"/>
              </w:rPr>
            </w:pP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1"/>
        </w:trPr>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139,720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297,208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40" w:type="dxa"/>
            <w:vAlign w:val="bottom"/>
          </w:tcPr>
          <w:p>
            <w:pPr>
              <w:ind w:left="20"/>
              <w:spacing w:after="0" w:line="182" w:lineRule="exact"/>
              <w:rPr>
                <w:sz w:val="20"/>
                <w:szCs w:val="20"/>
                <w:color w:val="auto"/>
              </w:rPr>
            </w:pPr>
            <w:r>
              <w:rPr>
                <w:rFonts w:ascii="Arial" w:cs="Arial" w:eastAsia="Arial" w:hAnsi="Arial"/>
                <w:sz w:val="16"/>
                <w:szCs w:val="16"/>
                <w:color w:val="auto"/>
              </w:rPr>
              <w:t>Offering costs included in accounts payable and accrued expenses</w:t>
            </w:r>
          </w:p>
        </w:tc>
        <w:tc>
          <w:tcPr>
            <w:tcW w:w="360" w:type="dxa"/>
            <w:vAlign w:val="bottom"/>
            <w:tcBorders>
              <w:bottom w:val="single" w:sz="8" w:color="auto"/>
            </w:tcBorders>
          </w:tcPr>
          <w:p>
            <w:pPr>
              <w:jc w:val="right"/>
              <w:ind w:right="18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262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40" w:type="dxa"/>
            <w:vAlign w:val="bottom"/>
          </w:tcPr>
          <w:p>
            <w:pPr>
              <w:ind w:left="20"/>
              <w:spacing w:after="0" w:line="182" w:lineRule="exact"/>
              <w:rPr>
                <w:sz w:val="20"/>
                <w:szCs w:val="20"/>
                <w:color w:val="auto"/>
              </w:rPr>
            </w:pPr>
            <w:r>
              <w:rPr>
                <w:rFonts w:ascii="Arial" w:cs="Arial" w:eastAsia="Arial" w:hAnsi="Arial"/>
                <w:sz w:val="16"/>
                <w:szCs w:val="16"/>
                <w:color w:val="auto"/>
              </w:rPr>
              <w:t>Accretion of redeemable convertible preferred stock to redemption value</w:t>
            </w:r>
          </w:p>
        </w:tc>
        <w:tc>
          <w:tcPr>
            <w:tcW w:w="360" w:type="dxa"/>
            <w:vAlign w:val="bottom"/>
          </w:tcPr>
          <w:p>
            <w:pPr>
              <w:jc w:val="right"/>
              <w:ind w:right="181"/>
              <w:spacing w:after="0" w:line="182" w:lineRule="exact"/>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line="182"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82" w:lineRule="exact"/>
              <w:rPr>
                <w:sz w:val="20"/>
                <w:szCs w:val="20"/>
                <w:color w:val="auto"/>
              </w:rPr>
            </w:pPr>
            <w:r>
              <w:rPr>
                <w:rFonts w:ascii="Arial" w:cs="Arial" w:eastAsia="Arial" w:hAnsi="Arial"/>
                <w:sz w:val="16"/>
                <w:szCs w:val="16"/>
                <w:color w:val="auto"/>
              </w:rPr>
              <w:t>8,996</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w:t>
      </w:r>
    </w:p>
    <w:p>
      <w:pPr>
        <w:spacing w:after="0" w:line="36" w:lineRule="exact"/>
        <w:rPr>
          <w:sz w:val="20"/>
          <w:szCs w:val="20"/>
          <w:color w:val="auto"/>
        </w:rPr>
      </w:pPr>
    </w:p>
    <w:p>
      <w:pPr>
        <w:ind w:right="120" w:firstLine="433"/>
        <w:spacing w:after="0" w:line="259" w:lineRule="auto"/>
        <w:rPr>
          <w:sz w:val="20"/>
          <w:szCs w:val="20"/>
          <w:color w:val="auto"/>
        </w:rPr>
      </w:pPr>
      <w:r>
        <w:rPr>
          <w:rFonts w:ascii="Arial" w:cs="Arial" w:eastAsia="Arial" w:hAnsi="Arial"/>
          <w:sz w:val="17"/>
          <w:szCs w:val="17"/>
          <w:color w:val="auto"/>
        </w:rPr>
        <w:t>Praxis Precision Medicines, Inc. (“Praxis” or the “Company”) is a clinical-stage biopharmaceutical company translating genetic insights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disease. The Company is applying insights from genetic epilepsies to both rare and more prevalent neurological and psychiatric disorders, using its understanding of shared biological targets and circuits in the brain. The Company applies a deliberate and pragmatic precision approach, leveraging a suite of translational tools including novel transgenic and predictive translational animal models and electrophysiology markers, to enable an efficient path to proof-of-concept in patients. Through this approach, the Company has established a broad CNS portfolio with multiple programs, including product candidates across psychiatric disorders, movement disorders, epilepsy and other exploratory CNS indications, with three clinical-stage product candidates. Each of the Company's clinical-stage product candidates is advancing in more than one indication and the Company anticipates expansion into additional indications. The Company expects multiple topline readouts from its clinical-stage programs and anticipates the launch of a fourth clinical development program in 2022. In addition, the Company has established a robust pipeline of preclinical stage programs through internal research and in-licensing.</w:t>
      </w:r>
    </w:p>
    <w:p>
      <w:pPr>
        <w:spacing w:after="0" w:line="222" w:lineRule="exact"/>
        <w:rPr>
          <w:sz w:val="20"/>
          <w:szCs w:val="20"/>
          <w:color w:val="auto"/>
        </w:rPr>
      </w:pPr>
    </w:p>
    <w:p>
      <w:pPr>
        <w:ind w:right="40" w:firstLine="433"/>
        <w:spacing w:after="0" w:line="258" w:lineRule="auto"/>
        <w:rPr>
          <w:sz w:val="20"/>
          <w:szCs w:val="20"/>
          <w:color w:val="auto"/>
        </w:rPr>
      </w:pPr>
      <w:r>
        <w:rPr>
          <w:rFonts w:ascii="Arial" w:cs="Arial" w:eastAsia="Arial" w:hAnsi="Arial"/>
          <w:sz w:val="17"/>
          <w:szCs w:val="17"/>
          <w:color w:val="auto"/>
        </w:rPr>
        <w:t>The Company's broad portfolio of CNS programs is currently structured by therapeutic focus in three primary franchises – Psychiatry, Movement Disorders and Epilepsy. In addition, the Company is pursuing development in other exploratory CNS indications such as rare adult cephalgias. Within the Psychiatry franchise, the Company's most advanced clinical candidate, PRAX-114, is being developed for the treatment of a broad range of patients suffering from major depressive disorder and post-traumatic stress disorder, or PTSD. In addition, the Company has initiated a Phase 2, placebo-controlled study evaluating PRAX-114 for the treatment of PTSD. Within the Movement Disorders franchise, the Company's second clinical candidate, PRAX-944, is being developed for the treatment of Essential Tremor, or ET, and Parkinson's Disease, or PD. The Company has initiated a Phase 2b placebo-controlled dose-range finding trial, the Essential1 Study, to evaluate the tolerability, safety and efficacy of PRAX-944 in adults with ET. The Company also expects to initiate a Phase 2, placebo-controlled, crossover study to evaluate the safety, pharmacokinetics, or PK, and efficacy of daytime dosing of PRAX-114 for the treatment of ET in the first quarter of 2022. The Company expects to initiate a Phase 2, placebo-controlled trial to evaluate the safety, PK and efficacy of PRAX-944 as a non-dopaminergic treatment for the motor symptoms of PD in the second quarter of 2022. Within the Epilepsy franchise, the Company expects to initiate a Phase 2 study with its third clinical-stage candidate, PRAX-562, in the second quarter of 2022 in patients with rare pediatric Developmental and Epileptic Encephalopathies. The Company's most advanced preclinical stage product candidate within its Epilepsy franchise, PRAX-222, is an antisense oligonucleotide, or ASO, designed to decrease the expression levels of the protein encoded by the gene SCN2A in patients with gain-of-function</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SCN2A mutations. The Company expects to initiate a seamless study of PRAX-222 in the second quarter of 2022, which would be its fourth program to reach clinical stage. The Company also expects to initiate a Phase 2 proof-of-concept clinical trial evaluating PRAX-562 in patients with rare adult cephalgias in the first quarter of 2022. In addition, the Company's preclinical pipeline consists of a discovery program in development for KCNT1 related epilepsy, PRAX-628, a product candidate nominated in the fourth quarter of 2021 for focal epilepsy, three ASOs targeting SCN2A in patients with loss-of-function mutations, PCDH19 and SYNGAP1, respectively, and three additional discovery programs for undisclosed targets in psychiatry, movement disorders and epilepsy.</w:t>
      </w:r>
    </w:p>
    <w:p>
      <w:pPr>
        <w:spacing w:after="0" w:line="193" w:lineRule="exact"/>
        <w:rPr>
          <w:sz w:val="20"/>
          <w:szCs w:val="20"/>
          <w:color w:val="auto"/>
        </w:rPr>
      </w:pPr>
    </w:p>
    <w:p>
      <w:pPr>
        <w:ind w:firstLine="393"/>
        <w:spacing w:after="0" w:line="263" w:lineRule="auto"/>
        <w:rPr>
          <w:sz w:val="20"/>
          <w:szCs w:val="20"/>
          <w:color w:val="auto"/>
        </w:rPr>
      </w:pPr>
      <w:r>
        <w:rPr>
          <w:rFonts w:ascii="Arial" w:cs="Arial" w:eastAsia="Arial" w:hAnsi="Arial"/>
          <w:sz w:val="17"/>
          <w:szCs w:val="17"/>
          <w:color w:val="auto"/>
        </w:rPr>
        <w:t>Praxis was incorporated in 2015 and commenced operations in 2016. The Company has funded its operations primarily with proceeds from the issuance of redeemable convertible preferred stock, and from the sale of common stock through an initial public offering ("IPO"), a follow-on public offering and at-the-market offerings under its shelf registration statement. From inception through December 31, 2021, the Company raised $516.4 million in aggregate cash proceeds from these transactions, net of issuance costs.</w:t>
      </w:r>
    </w:p>
    <w:p>
      <w:pPr>
        <w:spacing w:after="0" w:line="19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82" w:lineRule="exact"/>
        <w:rPr>
          <w:sz w:val="20"/>
          <w:szCs w:val="20"/>
          <w:color w:val="auto"/>
        </w:rPr>
      </w:pPr>
    </w:p>
    <w:p>
      <w:pPr>
        <w:ind w:right="460" w:firstLine="433"/>
        <w:spacing w:after="0" w:line="270" w:lineRule="auto"/>
        <w:rPr>
          <w:sz w:val="20"/>
          <w:szCs w:val="20"/>
          <w:color w:val="auto"/>
        </w:rPr>
      </w:pPr>
      <w:r>
        <w:rPr>
          <w:rFonts w:ascii="Arial" w:cs="Arial" w:eastAsia="Arial" w:hAnsi="Arial"/>
          <w:sz w:val="17"/>
          <w:szCs w:val="17"/>
          <w:color w:val="auto"/>
        </w:rPr>
        <w:t xml:space="preserve">In accordance with the Financial Accounting Standards Board ("FASB") Accounting Standards Update ("ASU") 2014-15, </w:t>
      </w:r>
      <w:r>
        <w:rPr>
          <w:rFonts w:ascii="Arial" w:cs="Arial" w:eastAsia="Arial" w:hAnsi="Arial"/>
          <w:sz w:val="17"/>
          <w:szCs w:val="17"/>
          <w:i w:val="1"/>
          <w:iCs w:val="1"/>
          <w:color w:val="auto"/>
        </w:rPr>
        <w:t>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 (Subtopic 205-40)</w:t>
      </w:r>
      <w:r>
        <w:rPr>
          <w:rFonts w:ascii="Arial" w:cs="Arial" w:eastAsia="Arial" w:hAnsi="Arial"/>
          <w:sz w:val="17"/>
          <w:szCs w:val="17"/>
          <w:color w:val="auto"/>
        </w:rPr>
        <w:t>, the Company has evaluated whether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events, considered in the aggregate, that raise substantial doubt about the Company’s ability to continue as a going concern within one year after the date that the consolidated financial statements are issued.</w:t>
      </w:r>
    </w:p>
    <w:p>
      <w:pPr>
        <w:spacing w:after="0" w:line="187" w:lineRule="exact"/>
        <w:rPr>
          <w:sz w:val="20"/>
          <w:szCs w:val="20"/>
          <w:color w:val="auto"/>
        </w:rPr>
      </w:pPr>
    </w:p>
    <w:p>
      <w:pPr>
        <w:ind w:right="340" w:firstLine="433"/>
        <w:spacing w:after="0" w:line="266" w:lineRule="auto"/>
        <w:rPr>
          <w:sz w:val="20"/>
          <w:szCs w:val="20"/>
          <w:color w:val="auto"/>
        </w:rPr>
      </w:pPr>
      <w:r>
        <w:rPr>
          <w:rFonts w:ascii="Arial" w:cs="Arial" w:eastAsia="Arial" w:hAnsi="Arial"/>
          <w:sz w:val="17"/>
          <w:szCs w:val="17"/>
          <w:color w:val="auto"/>
        </w:rPr>
        <w:t>The Company has incurred recurring losses since its inception, including a net loss of $167.1 million for the year ended December 31, 2021. In addition, as of December 31, 2021, the Company had an accumulated deficit of $316.6 million. The Company expects to continue to generate operating losses for the foreseeable future.</w:t>
      </w:r>
    </w:p>
    <w:p>
      <w:pPr>
        <w:spacing w:after="0" w:line="18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Company expects that its cash, cash equivalents and marketable securities as of December 31, 2021 of $275.9 million will be sufficient to fund the operating expenditures and capital expenditure requirements necessary to advance its research efforts and clinical trials for at least one year from the date of issuance of these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76" w:lineRule="exact"/>
        <w:rPr>
          <w:sz w:val="20"/>
          <w:szCs w:val="20"/>
          <w:color w:val="auto"/>
        </w:rPr>
      </w:pPr>
    </w:p>
    <w:p>
      <w:pPr>
        <w:ind w:right="7340" w:firstLine="5"/>
        <w:spacing w:after="0" w:line="383" w:lineRule="auto"/>
        <w:tabs>
          <w:tab w:leader="none" w:pos="194"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00"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Praxis Security Corporation and Praxis Precision Medicines Australia Pty Ltd. All intercompany transactions have been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accrued and prepaid research and development expenses,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100" w:lineRule="exact"/>
        <w:rPr>
          <w:sz w:val="20"/>
          <w:szCs w:val="20"/>
          <w:color w:val="auto"/>
        </w:rPr>
      </w:pPr>
    </w:p>
    <w:p>
      <w:pPr>
        <w:ind w:right="620" w:firstLine="433"/>
        <w:spacing w:after="0" w:line="266" w:lineRule="auto"/>
        <w:rPr>
          <w:sz w:val="20"/>
          <w:szCs w:val="20"/>
          <w:color w:val="auto"/>
        </w:rPr>
      </w:pPr>
      <w:r>
        <w:rPr>
          <w:rFonts w:ascii="Arial" w:cs="Arial" w:eastAsia="Arial" w:hAnsi="Arial"/>
          <w:sz w:val="17"/>
          <w:szCs w:val="17"/>
          <w:color w:val="auto"/>
        </w:rPr>
        <w:t>The Company has one operating segment. The Company’s chief operating decision maker, its Chief Executive Officer, manages the Company’s operations on a consolidated basis for the purposes of assessing performance and allocating resources. The majority of the Company’s long-lived assets are held 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3"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amounts held in interest-bearing money market funds. Cash equivalents are carried at cost, which approximates their fair market value.</w:t>
      </w:r>
    </w:p>
    <w:p>
      <w:pPr>
        <w:spacing w:after="0" w:line="189"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Restricted cash comprises letters of credit for the benefit of the landlord in connection with the Company’s lease facilities. Restricted cash is classified as either current or non-current based on the terms of the underlying lease arrangement.</w:t>
      </w:r>
    </w:p>
    <w:p>
      <w:pPr>
        <w:spacing w:after="0" w:line="181" w:lineRule="exact"/>
        <w:rPr>
          <w:sz w:val="20"/>
          <w:szCs w:val="20"/>
          <w:color w:val="auto"/>
        </w:rPr>
      </w:pPr>
    </w:p>
    <w:p>
      <w:pPr>
        <w:ind w:right="160" w:firstLine="433"/>
        <w:spacing w:after="0" w:line="275" w:lineRule="auto"/>
        <w:rPr>
          <w:sz w:val="20"/>
          <w:szCs w:val="20"/>
          <w:color w:val="auto"/>
        </w:rPr>
      </w:pPr>
      <w:r>
        <w:rPr>
          <w:rFonts w:ascii="Arial" w:cs="Arial" w:eastAsia="Arial" w:hAnsi="Arial"/>
          <w:sz w:val="17"/>
          <w:szCs w:val="17"/>
          <w:color w:val="auto"/>
        </w:rPr>
        <w:t>The following table presents cash and cash equivalents and restricted cash as reported on the consolidated balance sheets that equal the total amounts on the consolidated statements of cash flows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20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138,704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296,608</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as shown on the consolidated statements of cash flows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139,720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297,208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39" w:lineRule="exact"/>
        <w:rPr>
          <w:sz w:val="20"/>
          <w:szCs w:val="20"/>
          <w:color w:val="auto"/>
        </w:rPr>
      </w:pPr>
    </w:p>
    <w:p>
      <w:pPr>
        <w:ind w:right="120" w:firstLine="433"/>
        <w:spacing w:after="0" w:line="259" w:lineRule="auto"/>
        <w:rPr>
          <w:sz w:val="20"/>
          <w:szCs w:val="20"/>
          <w:color w:val="auto"/>
        </w:rPr>
      </w:pPr>
      <w:r>
        <w:rPr>
          <w:rFonts w:ascii="Arial" w:cs="Arial" w:eastAsia="Arial" w:hAnsi="Arial"/>
          <w:sz w:val="17"/>
          <w:szCs w:val="17"/>
          <w:color w:val="auto"/>
        </w:rPr>
        <w:t>The Company invests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in its marketable securities. The Company has established guidelines relative to diversification and maturities that maintain safety and liquidity, and periodically reviews and modifies these guidelines to maximize trends in yields and interest rates without compromising safety and liquidity. The Company classifies its investments in debt instruments as available-for-sale. Available-for-sale investments are reported at fair value at each balance sheet date, and include any unrealized holding gains and losses in accumulated other comprehensive loss, a component of stockholders’ equity. Realized gains and losses are included in the Company's consolidated statements of operations. All of the Company's available-for-sale securities are available for use in its current operations. As a result, the Company has categorized all of these securities as current assets even though the stated maturity of some individual securities may be one year or more beyond the balance sheet date.</w:t>
      </w:r>
    </w:p>
    <w:p>
      <w:pPr>
        <w:spacing w:after="0" w:line="198"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loss, net of applicable taxes unless deemed other than temporary.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Suppliers and License Agreements</w:t>
      </w:r>
    </w:p>
    <w:p>
      <w:pPr>
        <w:spacing w:after="0" w:line="100" w:lineRule="exact"/>
        <w:rPr>
          <w:sz w:val="20"/>
          <w:szCs w:val="20"/>
          <w:color w:val="auto"/>
        </w:rPr>
      </w:pPr>
    </w:p>
    <w:p>
      <w:pPr>
        <w:jc w:val="both"/>
        <w:ind w:right="520" w:firstLine="433"/>
        <w:spacing w:after="0" w:line="266"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restricted cash and marketable securities. The Company's investment portfolio comprises money market funds, marketable debt securities, including debt securities issued by U.S. government agencies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corporations, and commercial paper. The Company investments are limited to investment-grade securities with strong credit ratings with the objective of maintaining safety and liquidity. The Company also maintains deposits in accredited financial institutions in excess of federally insured limits. Bank accounts in the United States are insured by the Federal Deposit Insurance Corporation (the “FDIC”) up to $ 250,000. As of December 31, 2021 and 2020, the Company’s primary operating accounts significantly exceeded the FDIC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93"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Company is dependent on third-party manufacturers to supply materials for research and development activities of its programs, including preclinical and clinical testing. In particular, the Company relies, and expects to continue to rely, on a small number of third-party manufacturers to produce and process its current and potential product candidates and to manufacture supply of its current and potential product candidates for preclinical and clinical activities. These programs could be adversely affected by a significant interruption in the supply of the necessary materials. The Company is also dependent on third parties who provide license rights used in the development of certain programs. The Company could experience delays in the development of its programs if any of these license agreements are terminated, if the Company fails to meet the obligations required under its arrangements, or if the Company is unable to successfully secure new strategic alliances or licensing agreements.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Risk</w:t>
      </w:r>
    </w:p>
    <w:p>
      <w:pPr>
        <w:spacing w:after="0" w:line="113"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As of December 31, 2021 and 2020, the Company had no off-balance sheet risk such as foreign exchange contracts, option contracts or other hedging arrangements.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Certain assets and liabilities of the Company are carried at fair value under GAAP. The fair values of the Company’s financial assets and liabilities reflects the Company’s estimate of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49" w:lineRule="exact"/>
        <w:rPr>
          <w:sz w:val="20"/>
          <w:szCs w:val="20"/>
          <w:color w:val="auto"/>
        </w:rPr>
      </w:pPr>
    </w:p>
    <w:p>
      <w:pPr>
        <w:ind w:left="780" w:hanging="303"/>
        <w:spacing w:after="0"/>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93" w:lineRule="exact"/>
        <w:rPr>
          <w:rFonts w:ascii="Arial" w:cs="Arial" w:eastAsia="Arial" w:hAnsi="Arial"/>
          <w:sz w:val="17"/>
          <w:szCs w:val="17"/>
          <w:color w:val="auto"/>
        </w:rPr>
      </w:pPr>
    </w:p>
    <w:p>
      <w:pPr>
        <w:ind w:left="800" w:right="220" w:hanging="323"/>
        <w:spacing w:after="0" w:line="266" w:lineRule="auto"/>
        <w:tabs>
          <w:tab w:leader="none" w:pos="7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45" w:lineRule="exact"/>
        <w:rPr>
          <w:rFonts w:ascii="Arial" w:cs="Arial" w:eastAsia="Arial" w:hAnsi="Arial"/>
          <w:sz w:val="17"/>
          <w:szCs w:val="17"/>
          <w:color w:val="auto"/>
        </w:rPr>
      </w:pPr>
    </w:p>
    <w:p>
      <w:pPr>
        <w:ind w:left="800" w:right="340" w:hanging="323"/>
        <w:spacing w:after="0" w:line="275" w:lineRule="auto"/>
        <w:tabs>
          <w:tab w:leader="none" w:pos="7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81" w:lineRule="exact"/>
        <w:rPr>
          <w:sz w:val="20"/>
          <w:szCs w:val="20"/>
          <w:color w:val="auto"/>
        </w:rPr>
      </w:pPr>
    </w:p>
    <w:p>
      <w:pPr>
        <w:ind w:right="280" w:firstLine="433"/>
        <w:spacing w:after="0" w:line="263"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92"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An entity may choose to measure many financial instruments and certain other items at fair value at specified election dates. Subsequent unrealized gains and losses on items for which the fair value option has been elected will be reported in earnings.</w:t>
      </w:r>
    </w:p>
    <w:p>
      <w:pPr>
        <w:spacing w:after="0" w:line="181" w:lineRule="exact"/>
        <w:rPr>
          <w:sz w:val="20"/>
          <w:szCs w:val="20"/>
          <w:color w:val="auto"/>
        </w:rPr>
      </w:pPr>
    </w:p>
    <w:p>
      <w:pPr>
        <w:ind w:right="340" w:firstLine="433"/>
        <w:spacing w:after="0" w:line="266" w:lineRule="auto"/>
        <w:rPr>
          <w:sz w:val="20"/>
          <w:szCs w:val="20"/>
          <w:color w:val="auto"/>
        </w:rPr>
      </w:pPr>
      <w:r>
        <w:rPr>
          <w:rFonts w:ascii="Arial" w:cs="Arial" w:eastAsia="Arial" w:hAnsi="Arial"/>
          <w:sz w:val="17"/>
          <w:szCs w:val="17"/>
          <w:color w:val="auto"/>
        </w:rPr>
        <w:t>Items measured at fair value on a recurring basis include cash equivalents and marketable securities (Note 4 and Note 5). The carrying amounts reflected in the consolidated balance sheets for cash, prepaid expenses and other current assets, accounts payable and accrued expenses approximate their fair values due to the short-term nature of these assets and liabilities.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39"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Property and equipment are recorded at cost. Depreciation is calculated using the straight-line method over the following estimated useful lives of the assets: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Estimated Useful Life</w:t>
            </w:r>
          </w:p>
        </w:tc>
      </w:tr>
      <w:tr>
        <w:trPr>
          <w:trHeight w:val="20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 years</w:t>
            </w:r>
          </w:p>
        </w:tc>
      </w:tr>
      <w:tr>
        <w:trPr>
          <w:trHeight w:val="207"/>
        </w:trPr>
        <w:tc>
          <w:tcPr>
            <w:tcW w:w="880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440" w:type="dxa"/>
            <w:vAlign w:val="bottom"/>
          </w:tcPr>
          <w:p>
            <w:pPr>
              <w:jc w:val="center"/>
              <w:spacing w:after="0"/>
              <w:rPr>
                <w:sz w:val="20"/>
                <w:szCs w:val="20"/>
                <w:color w:val="auto"/>
              </w:rPr>
            </w:pPr>
            <w:r>
              <w:rPr>
                <w:rFonts w:ascii="Arial" w:cs="Arial" w:eastAsia="Arial" w:hAnsi="Arial"/>
                <w:sz w:val="16"/>
                <w:szCs w:val="16"/>
                <w:color w:val="auto"/>
                <w:w w:val="99"/>
              </w:rPr>
              <w:t>3 years</w:t>
            </w:r>
          </w:p>
        </w:tc>
      </w:tr>
      <w:tr>
        <w:trPr>
          <w:trHeight w:val="21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r>
    </w:tbl>
    <w:p>
      <w:pPr>
        <w:spacing w:after="0" w:line="288" w:lineRule="exact"/>
        <w:rPr>
          <w:sz w:val="20"/>
          <w:szCs w:val="20"/>
          <w:color w:val="auto"/>
        </w:rPr>
      </w:pPr>
    </w:p>
    <w:p>
      <w:pPr>
        <w:jc w:val="both"/>
        <w:ind w:right="40" w:firstLine="433"/>
        <w:spacing w:after="0" w:line="266" w:lineRule="auto"/>
        <w:rPr>
          <w:sz w:val="20"/>
          <w:szCs w:val="20"/>
          <w:color w:val="auto"/>
        </w:rPr>
      </w:pPr>
      <w:r>
        <w:rPr>
          <w:rFonts w:ascii="Arial" w:cs="Arial" w:eastAsia="Arial" w:hAnsi="Arial"/>
          <w:sz w:val="17"/>
          <w:szCs w:val="17"/>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3"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in either year ended December 31, 2021 or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00"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The Company accounts for leases in accordance with ASC 842. The Company determines if an arrangement is a lease at contract inception. Operating lease right-of-use assets represent the Company’s right to use an underlying asset for the lease term and operating lease liabilities represent its obligation to make lease payments arising from the lease. Operating right-of-use assets and liabilities are recognized at the commencement date of the lease based upon the present value of lease payments over the lease term. When determining the lease term, the Company includes options to extend or terminate the lease when it is reasonably certain that the option will be exercised.</w:t>
      </w:r>
    </w:p>
    <w:p>
      <w:pPr>
        <w:spacing w:after="0" w:line="192"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The Company uses the implicit rate when readily determinable and uses its incremental borrowing rate when the implicit rate is not readily determinable, based upon the information available at the commencement date in determining the present value of the lease payments. The incremental borrowing rate is determined using a secured borrowing rate for the same currency and term as the associated lease.</w:t>
      </w:r>
    </w:p>
    <w:p>
      <w:pPr>
        <w:spacing w:after="0" w:line="18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lease payments used to determine operating lease right-of-use assets may include lease incentives and stated rent increases. The Company’s lease agreements may include both lease and non-lease components, which the Company accounts for as a single lease component when the payments are fixed, for all classes of underlying assets. Variable payments included in the lease agreement are expensed as incurred.</w:t>
      </w:r>
    </w:p>
    <w:p>
      <w:pPr>
        <w:spacing w:after="0" w:line="189"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The Company’s operating leases are reflected in operating lease right-of-use assets and in current operating lease liabilities and long-term operating lease liabilities in its consolidated balance sheets. The Company’s operating lease right-of-use asset as of December 31, 2021 and 2020 did not include any lease incentives. Lease expense for future lease payments is recognized on a straight-line basis over the lease term.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100"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Prior to the automatic conversion of all outstanding shares of the Redeemable Convertible Preferred Stock upon the closing of the IPO, the Company recorded all Redeemable Convertible Preferred Stock upon issuance at its respective fair value or original issuance price, less issuance costs and any associated discounts. The Company classified its Redeemable Convertible Preferred Stock outside of stockholders’ (deficit) equity as the redemption of such shares was outside the Company’s control. The Company adjusted the carrying values of the Redeemable Convertible Preferred Stock to redemption value when the redemption value exceeded the carrying value. Upon the closing of the IPO, all of the outstanding shares of Redeemable Convertible Preferred Stock automatically converted into 25,067,977 shares of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13"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Costs incurred to obtain licenses are recognized as research and development expense as incurred if the technology licensed has no alternative future uses.</w:t>
      </w:r>
    </w:p>
    <w:p>
      <w:pPr>
        <w:spacing w:after="0" w:line="196"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These agreements are cancellable, and related fees are recorded as research and development expenses as incurred. The Company records accrued liabilities and prepaid expenses for estimated ongoing research costs. When evaluating the adequacy of the accrued liabilities and prepaid expenses, the Company analyzes progress of the studies or clinical trials,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estimates have not been materially different from the actual costs.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Patent-Related Costs</w:t>
      </w:r>
    </w:p>
    <w:p>
      <w:pPr>
        <w:spacing w:after="0" w:line="100"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0"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 xml:space="preserve">The Company accounts for all stock-based awards granted to employees and non-employees as stock-based compensation expense at fair value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For stock-based awards issued to employees, non-employees and members of the Company’s board of directors (the “Board”) for their services on the Board, the Company measures the estimated fair value of the stock-based award on the date of the grant. The Company recognizes compensation expense for those awards granted to employees and members of the Board over the requisite service period, which is generally the vesting period of the respective award. For non-employee awards, compensation expense is recognized as the services are provided, which is generally ratably over the vesting period. The Company determines the fair value of restricted stock awards in reference to the fair value of its common stock less any applicable purchase price. The Company issues stock-based awards with service-based vesting conditions and records the expense for these awards on a straight-line basis over the vesting period. To date, the Company has not issued any stock-based awards with performance or market-based vesting conditions. The Company accounts for forfeitures as they occur.</w:t>
      </w:r>
    </w:p>
    <w:p>
      <w:pPr>
        <w:spacing w:after="0" w:line="198"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The Company classifies stock-based compensation expense in its consolidated statement of operations in the same manner in which the award recipient’s salary or service payments are classified.</w:t>
      </w:r>
    </w:p>
    <w:p>
      <w:pPr>
        <w:spacing w:after="0" w:line="181"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which requires inputs of subjective assumptions, including: (i) the expected volatility of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Company’s stock; (ii) the expected term of the award; (iii) the risk-free interest rate; (iv) expected dividends; and (v) the fair value of common stock. Due to the lack of Company-specific historical and implied volatility data, the Company determines the volatility for awards granted based on an analysis of reported data for a group of guideline publicly-traded companies that issued options with substantially similar terms. For this analysis, the Company selects companies with comparable characteristics including enterprise value, risk profiles, and with historical share price information sufficient to meet the expected life of the stock-based awards. The Company determines expected volatility using a weighted average of the historical volatilities of the guideline group of companies. The Company expects to continue to apply this process until such time as it has adequate historical data regarding the volatility of its own traded stock price. As permitted under ASC 718, the Company has elected to use the contractual term as the expected term for certain non-employee awards, on an award-by-award basis. For all other awards, the expected term of the Company’s stock options has been determined utilizing the “simplified” method whereby the expected term equals the average of the vesting term and the original contractual term of the option, on a weighted basis based on the vesting of each tranche. The Company utilizes this method as it has insufficient historical exercise data to provide a reasonable basis upon which to estimate the expected term. The risk-free interest rate is determined by reference to the U.S. Treasury yield curve in effect at the time of grant of the award for instruments with a term commensurate with the expected term assumption. The expected dividend yield is assumed to be zero as the Company has never paid dividends, and does not have current plans to pay any dividends on its common stock. Subsequent to the IPO, the fair value of the common stock underlying the Company's stock-based awards is the closing price of the Company's common stock on the date of grant. Historically, for periods prior to the IPO, the fair value of the shares of common stock underlying the Company's stock-based compensation awards was determined on each grant date by its Board based on valuation estimates from management considering its most recently available independent third-party valuation of the Company's common stock. The Board also assessed and considered, with input from management, additional objective and subjective factors that it believed were relevant and which may have changed from the date of the most recent valuation through the grant date.</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grant date fair value of RSUs is estimated based on the fair value of the Company's underlying common stock on the date of grant.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0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functional currency of the Company’s wholly owned foreign subsidiary in Australia is the U.S. dollar. 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Exchange gains or losses arising from foreign currency transactions are included in the determination of net loss. There were no material foreign currency gains or losses for the years ended December 31, 2021 and 2020.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3"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that it believes based upon the weight of available evidence it is more likely than not that all or a portion of the deferred tax assets will not be realized, a valuation allowance is established.</w:t>
      </w:r>
    </w:p>
    <w:p>
      <w:pPr>
        <w:spacing w:after="0" w:line="192"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00" w:lineRule="exact"/>
        <w:rPr>
          <w:sz w:val="20"/>
          <w:szCs w:val="20"/>
          <w:color w:val="auto"/>
        </w:rPr>
      </w:pPr>
    </w:p>
    <w:p>
      <w:pPr>
        <w:ind w:right="380" w:firstLine="433"/>
        <w:spacing w:after="0" w:line="275" w:lineRule="auto"/>
        <w:rPr>
          <w:sz w:val="20"/>
          <w:szCs w:val="20"/>
          <w:color w:val="auto"/>
        </w:rPr>
      </w:pPr>
      <w:r>
        <w:rPr>
          <w:rFonts w:ascii="Arial" w:cs="Arial" w:eastAsia="Arial" w:hAnsi="Arial"/>
          <w:sz w:val="17"/>
          <w:szCs w:val="17"/>
          <w:color w:val="auto"/>
        </w:rPr>
        <w:t>Comprehensive loss includes net loss and certain changes in stockholders’ equity (deficit) that are excluded from net loss. For the year ended December 31, 2021, comprehensive loss consists of net loss and changes 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unrealized gains and losses on marketable securities. Comprehensive loss was equal to net loss for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13"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Company follows the two-class method to compute net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(losses) for the period to be allocated between common and participating securities based upon their respective rights to share in the earnings as if all income (losses) for the period had been distributed. During periods of loss, there is no allocation required under the two-class method since the participating securities do not have a contractual obligation to fund the losses of the Company.</w:t>
      </w:r>
    </w:p>
    <w:p>
      <w:pPr>
        <w:spacing w:after="0" w:line="193" w:lineRule="exact"/>
        <w:rPr>
          <w:sz w:val="20"/>
          <w:szCs w:val="20"/>
          <w:color w:val="auto"/>
        </w:rPr>
      </w:pPr>
    </w:p>
    <w:p>
      <w:pPr>
        <w:ind w:right="240" w:firstLine="433"/>
        <w:spacing w:after="0" w:line="263" w:lineRule="auto"/>
        <w:rPr>
          <w:sz w:val="20"/>
          <w:szCs w:val="20"/>
          <w:color w:val="auto"/>
        </w:rPr>
      </w:pPr>
      <w:r>
        <w:rPr>
          <w:rFonts w:ascii="Arial" w:cs="Arial" w:eastAsia="Arial" w:hAnsi="Arial"/>
          <w:sz w:val="17"/>
          <w:szCs w:val="17"/>
          <w:color w:val="auto"/>
        </w:rPr>
        <w:t>Net loss attributable to common stockholders is equal to the net loss for the period, as adjusted for: (i) cumulative dividends accrued for redeemable convertible preferred stock, whether or not declared, (ii) increases in carrying value recorded for redeemable convertible preferred stock, including accretion of redeemable convertible preferred stock to redemption value for amounts other than cumulative dividends and (iii) gains on the redemptions of redeemable convertible preferred stock.</w:t>
      </w:r>
    </w:p>
    <w:p>
      <w:pPr>
        <w:spacing w:after="0" w:line="192"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Basic net loss per share attributable to common stockholders is computed by dividing the net loss attributable to common stockholders by the weighted average number of common shares outstanding for the period, which excludes shares of restricted common stock that are not vested. Diluted net loss per share attributable to common stockholders is computed by dividing the net loss attributable to common stockholders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shares of redeemable convertible preferred stock are considered potentially dilutive common shares. The Company has generated a net loss in all periods presented so the basic and diluted net loss per share attributable to common stockholders are the same as the inclusion of the potentially dilutive securities would be anti-dilutive.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41" w:lineRule="exact"/>
        <w:rPr>
          <w:sz w:val="20"/>
          <w:szCs w:val="20"/>
          <w:color w:val="auto"/>
        </w:rPr>
      </w:pPr>
    </w:p>
    <w:p>
      <w:pPr>
        <w:ind w:right="240" w:firstLine="433"/>
        <w:spacing w:after="0" w:line="26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740)—Simplifying the Accounting for Income Taxes</w:t>
      </w:r>
      <w:r>
        <w:rPr>
          <w:rFonts w:ascii="Arial" w:cs="Arial" w:eastAsia="Arial" w:hAnsi="Arial"/>
          <w:sz w:val="17"/>
          <w:szCs w:val="17"/>
          <w:color w:val="auto"/>
        </w:rPr>
        <w:t xml:space="preserve"> ("ASU 2019-12"). The ASU simplifies the accounting for income taxes by eliminating certain exceptions to the guidance in ASC 740, Income Taxes, related to the approach for allocating income tax expense or benefit for the year to continuing operations, discontinued operations, other comprehensive income, and other charges or credits recorded directly to shareholders’ equity; the methodology for calculating income taxes in an interim period; and the recognition of deferred tax liabilities for outside basis differences. On January 1, 2021, the Company early adopted ASU 2019-12 on a prospective basis, with no material impact on its consolidated financial statements and related disclosures.</w:t>
      </w:r>
    </w:p>
    <w:p>
      <w:pPr>
        <w:spacing w:after="0" w:line="174" w:lineRule="exact"/>
        <w:rPr>
          <w:sz w:val="20"/>
          <w:szCs w:val="20"/>
          <w:color w:val="auto"/>
        </w:rPr>
      </w:pPr>
    </w:p>
    <w:p>
      <w:pPr>
        <w:ind w:right="260" w:firstLine="433"/>
        <w:spacing w:after="0" w:line="26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which has been subsequently amended by ASU No. 2018-19, ASU No. 2019-04, ASU No. 2019-05, ASU No. 2019-10,</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2019-11 and ASU No. 2020-03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On October 1, 2021, the Company early adopted ASU 2016-13 and its related amendments using a modified retrospective approach. Given the composition of the Company's investment portfolio, there was no material impact on the Company's consolidated financial statements and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102"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As of December 31, 2021 and 2020 the Company had restricted cash of $1.0 million and $0.6 million, respectively, held as letters of credit for the benefit of its current and former landlords. The Company's Boston, Massachusetts sublease expires on January 31, 2026, and the related letter of credit of $0.4 million was classified within other non-current assets on the consolidated balance sheet as of December 31, 2021. The Company's Cambridge, Massachusetts sublease expired on December 30, 2021,and the related letter of credit of $ 0.6 million was classified within prepaid expenses and other current assets on the consolidated balance sheet as of December 31, 2021 and 2020.</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Marketable Securities</w:t>
      </w:r>
    </w:p>
    <w:p>
      <w:pPr>
        <w:spacing w:after="0" w:line="141"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The following is a summary of the Company's investment portfolio at December 31, 2021 (in thousands). The Company did not have any marketable securities as of December 31,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8"/>
              </w:rPr>
              <w:t>Gross Unrealized</w:t>
            </w:r>
          </w:p>
        </w:tc>
        <w:tc>
          <w:tcPr>
            <w:tcW w:w="260" w:type="dxa"/>
            <w:vAlign w:val="bottom"/>
          </w:tcPr>
          <w:p>
            <w:pPr>
              <w:spacing w:after="0"/>
              <w:rPr>
                <w:sz w:val="18"/>
                <w:szCs w:val="18"/>
                <w:color w:val="auto"/>
              </w:rPr>
            </w:pPr>
          </w:p>
        </w:tc>
        <w:tc>
          <w:tcPr>
            <w:tcW w:w="1360" w:type="dxa"/>
            <w:vAlign w:val="bottom"/>
          </w:tcPr>
          <w:p>
            <w:pPr>
              <w:jc w:val="right"/>
              <w:ind w:right="361"/>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5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Amortized Cost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98"/>
              </w:rPr>
              <w:t>Gains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7"/>
              </w:rPr>
              <w:t>Losses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7"/>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52,214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52,183</w:t>
            </w:r>
          </w:p>
        </w:tc>
      </w:tr>
      <w:tr>
        <w:trPr>
          <w:trHeight w:val="21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34,993</w:t>
            </w:r>
          </w:p>
        </w:tc>
      </w:tr>
      <w:tr>
        <w:trPr>
          <w:trHeight w:val="207"/>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160" w:type="dxa"/>
            <w:vAlign w:val="bottom"/>
          </w:tcPr>
          <w:p>
            <w:pPr>
              <w:spacing w:after="0"/>
              <w:rPr>
                <w:sz w:val="17"/>
                <w:szCs w:val="17"/>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12,111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12,103</w:t>
            </w:r>
          </w:p>
        </w:tc>
      </w:tr>
      <w:tr>
        <w:trPr>
          <w:trHeight w:val="21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debt securities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6,399</w:t>
            </w:r>
          </w:p>
        </w:tc>
      </w:tr>
      <w:tr>
        <w:trPr>
          <w:trHeight w:val="203"/>
        </w:trPr>
        <w:tc>
          <w:tcPr>
            <w:tcW w:w="6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105,716</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105,678</w:t>
            </w:r>
          </w:p>
        </w:tc>
      </w:tr>
      <w:tr>
        <w:trPr>
          <w:trHeight w:val="245"/>
        </w:trPr>
        <w:tc>
          <w:tcPr>
            <w:tcW w:w="5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07"/>
        </w:trPr>
        <w:tc>
          <w:tcPr>
            <w:tcW w:w="6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31,667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w:t>
            </w:r>
          </w:p>
        </w:tc>
      </w:tr>
      <w:tr>
        <w:trPr>
          <w:trHeight w:val="20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securities with a maturity of one to two years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31,529</w:t>
            </w:r>
          </w:p>
        </w:tc>
      </w:tr>
      <w:tr>
        <w:trPr>
          <w:trHeight w:val="206"/>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137,383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137,207</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As of December 31, 2021, the Company had 14 securities with a total fair market value of $95.8 million in an unrealized loss position. The Company believes that any unrealized losses associated with the decline in value of its securities is temporary and is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87" w:lineRule="exact"/>
        <w:rPr>
          <w:sz w:val="20"/>
          <w:szCs w:val="20"/>
          <w:color w:val="auto"/>
        </w:rPr>
      </w:pPr>
    </w:p>
    <w:p>
      <w:pPr>
        <w:ind w:right="480" w:firstLine="433"/>
        <w:spacing w:after="0" w:line="275" w:lineRule="auto"/>
        <w:rPr>
          <w:sz w:val="20"/>
          <w:szCs w:val="20"/>
          <w:color w:val="auto"/>
        </w:rPr>
      </w:pPr>
      <w:r>
        <w:rPr>
          <w:rFonts w:ascii="Arial" w:cs="Arial" w:eastAsia="Arial" w:hAnsi="Arial"/>
          <w:sz w:val="17"/>
          <w:szCs w:val="17"/>
          <w:color w:val="auto"/>
        </w:rPr>
        <w:t>Securities are evaluated for impairment at the end of each reporting period. The Company did not record any impairment related to its available-for-sale securities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of Financial Assets</w:t>
      </w:r>
    </w:p>
    <w:p>
      <w:pPr>
        <w:spacing w:after="0" w:line="102"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(in thousands):</w:t>
      </w: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As of December 31,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5"/>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1"/>
              <w:spacing w:after="0"/>
              <w:rPr>
                <w:sz w:val="20"/>
                <w:szCs w:val="20"/>
                <w:color w:val="auto"/>
              </w:rPr>
            </w:pPr>
            <w:r>
              <w:rPr>
                <w:rFonts w:ascii="Arial" w:cs="Arial" w:eastAsia="Arial" w:hAnsi="Arial"/>
                <w:sz w:val="16"/>
                <w:szCs w:val="16"/>
                <w:b w:val="1"/>
                <w:bCs w:val="1"/>
                <w:color w:val="auto"/>
              </w:rPr>
              <w:t>Total</w:t>
            </w:r>
          </w:p>
        </w:tc>
      </w:tr>
      <w:tr>
        <w:trPr>
          <w:trHeight w:val="19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r>
      <w:tr>
        <w:trPr>
          <w:trHeight w:val="207"/>
        </w:trPr>
        <w:tc>
          <w:tcPr>
            <w:tcW w:w="5200" w:type="dxa"/>
            <w:vAlign w:val="bottom"/>
          </w:tcPr>
          <w:p>
            <w:pPr>
              <w:ind w:left="44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34,993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34,993</w:t>
            </w:r>
          </w:p>
        </w:tc>
      </w:tr>
      <w:tr>
        <w:trPr>
          <w:trHeight w:val="213"/>
        </w:trPr>
        <w:tc>
          <w:tcPr>
            <w:tcW w:w="5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Debt securities issued by U.S. government agencies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r>
      <w:tr>
        <w:trPr>
          <w:trHeight w:val="207"/>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debt securities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r>
      <w:tr>
        <w:trPr>
          <w:trHeight w:val="223"/>
        </w:trPr>
        <w:tc>
          <w:tcPr>
            <w:tcW w:w="5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268,579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As of December 31, 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5"/>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61"/>
              <w:spacing w:after="0"/>
              <w:rPr>
                <w:sz w:val="20"/>
                <w:szCs w:val="20"/>
                <w:color w:val="auto"/>
              </w:rPr>
            </w:pPr>
            <w:r>
              <w:rPr>
                <w:rFonts w:ascii="Arial" w:cs="Arial" w:eastAsia="Arial" w:hAnsi="Arial"/>
                <w:sz w:val="16"/>
                <w:szCs w:val="16"/>
                <w:b w:val="1"/>
                <w:bCs w:val="1"/>
                <w:color w:val="auto"/>
              </w:rPr>
              <w:t>Total</w:t>
            </w:r>
          </w:p>
        </w:tc>
      </w:tr>
      <w:tr>
        <w:trPr>
          <w:trHeight w:val="19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290,931</w:t>
            </w:r>
          </w:p>
        </w:tc>
      </w:tr>
      <w:tr>
        <w:trPr>
          <w:trHeight w:val="203"/>
        </w:trPr>
        <w:tc>
          <w:tcPr>
            <w:tcW w:w="518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290,931</w:t>
            </w:r>
          </w:p>
        </w:tc>
        <w:tc>
          <w:tcPr>
            <w:tcW w:w="1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01"/>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290,931</w:t>
            </w:r>
          </w:p>
        </w:tc>
      </w:tr>
      <w:tr>
        <w:trPr>
          <w:trHeight w:val="23"/>
        </w:trPr>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Company estimates the fair value of its marketable securities classified as Level 2 by taking into consideration valuations obtained from third-party pricing sources. These pricing sources utilize industry standard valuation models, including both income and market-based approaches, for which all significant inputs are observable, either directly or indirectly, to estimate fair value. These inputs include market pricing based on real-time trade data for the same or similar securities, issuer credit spreads, benchmark yields, and other observable inputs. The Company validates the prices provided by its third-party pricing sources by understanding the models used, obtaining market values from other pricing sources and analyzing pricing data in certain instances.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 Net</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20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10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Total property and equipment</w:t>
            </w:r>
          </w:p>
        </w:tc>
        <w:tc>
          <w:tcPr>
            <w:tcW w:w="102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
        </w:trPr>
        <w:tc>
          <w:tcPr>
            <w:tcW w:w="8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was not significant for the years ended December 31, 2021 and 2020.</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Expenses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consisted of the following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r>
      <w:tr>
        <w:trPr>
          <w:trHeight w:val="20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17,763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9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5,516</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professional services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other</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26,844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39" w:lineRule="exact"/>
        <w:rPr>
          <w:sz w:val="20"/>
          <w:szCs w:val="20"/>
          <w:color w:val="auto"/>
        </w:rPr>
      </w:pPr>
    </w:p>
    <w:p>
      <w:pPr>
        <w:ind w:right="540" w:firstLine="433"/>
        <w:spacing w:after="0" w:line="262" w:lineRule="auto"/>
        <w:rPr>
          <w:sz w:val="20"/>
          <w:szCs w:val="20"/>
          <w:color w:val="auto"/>
        </w:rPr>
      </w:pPr>
      <w:r>
        <w:rPr>
          <w:rFonts w:ascii="Arial" w:cs="Arial" w:eastAsia="Arial" w:hAnsi="Arial"/>
          <w:sz w:val="17"/>
          <w:szCs w:val="17"/>
          <w:color w:val="auto"/>
        </w:rPr>
        <w:t>In May 2021, the Company entered into a sublease agreement for office space located in Boston, Massachusetts, which became the Company's corporate headquarters beginning on October 1, 2021. The sublease expires on January 31, 2026, with no option to renew or terminate early. The base rent increases by approximately 2% annually. The Company issued a letter of credit to the landlord related to the security deposit, secured by restricted cash (Note 3). This lease qualifies as an operating lease. At inception, the Company recorded an operating lease right-of-use asset and operating lease liability of $4.1 million.</w:t>
      </w:r>
    </w:p>
    <w:p>
      <w:pPr>
        <w:spacing w:after="0" w:line="192" w:lineRule="exact"/>
        <w:rPr>
          <w:sz w:val="20"/>
          <w:szCs w:val="20"/>
          <w:color w:val="auto"/>
        </w:rPr>
      </w:pPr>
    </w:p>
    <w:p>
      <w:pPr>
        <w:jc w:val="both"/>
        <w:ind w:right="100" w:firstLine="433"/>
        <w:spacing w:after="0" w:line="266" w:lineRule="auto"/>
        <w:rPr>
          <w:sz w:val="20"/>
          <w:szCs w:val="20"/>
          <w:color w:val="auto"/>
        </w:rPr>
      </w:pPr>
      <w:r>
        <w:rPr>
          <w:rFonts w:ascii="Arial" w:cs="Arial" w:eastAsia="Arial" w:hAnsi="Arial"/>
          <w:sz w:val="17"/>
          <w:szCs w:val="17"/>
          <w:color w:val="auto"/>
        </w:rPr>
        <w:t>In October 2018, the Company entered into a sublease agreement for office space located in Cambridge, Massachusetts which expired on December 30, 2021, with no option to renew or terminate early. The base rent increased by approximately 1% annually. The Company issued a letter of credit to the landlord related to the security deposit, secured by restricted cash (Note 3). This lease qualified as an operating lease.</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the presentation of the operating lease in the Company’s consolidated balance sheets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r>
      <w:tr>
        <w:trPr>
          <w:trHeight w:val="205"/>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r>
      <w:tr>
        <w:trPr>
          <w:trHeight w:val="19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07"/>
        </w:trPr>
        <w:tc>
          <w:tcPr>
            <w:tcW w:w="8060" w:type="dxa"/>
            <w:vAlign w:val="bottom"/>
          </w:tcPr>
          <w:p>
            <w:pPr>
              <w:ind w:left="340"/>
              <w:spacing w:after="0"/>
              <w:rPr>
                <w:sz w:val="20"/>
                <w:szCs w:val="20"/>
                <w:color w:val="auto"/>
              </w:rPr>
            </w:pPr>
            <w:r>
              <w:rPr>
                <w:rFonts w:ascii="Arial" w:cs="Arial" w:eastAsia="Arial" w:hAnsi="Arial"/>
                <w:sz w:val="16"/>
                <w:szCs w:val="16"/>
                <w:color w:val="auto"/>
              </w:rPr>
              <w:t>Current operating lease liabilities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763</w:t>
            </w:r>
          </w:p>
        </w:tc>
      </w:tr>
      <w:tr>
        <w:trPr>
          <w:trHeight w:val="213"/>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portion of operating lease liabilities</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0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r>
      <w:tr>
        <w:trPr>
          <w:trHeight w:val="23"/>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total lease costs recognized in the Company’s consolidated statements of operations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6"/>
                <w:szCs w:val="16"/>
                <w:b w:val="1"/>
                <w:bCs w:val="1"/>
                <w:color w:val="auto"/>
              </w:rPr>
              <w:t>For the year ended</w:t>
            </w:r>
          </w:p>
        </w:tc>
        <w:tc>
          <w:tcPr>
            <w:tcW w:w="460" w:type="dxa"/>
            <w:vAlign w:val="bottom"/>
            <w:tcBorders>
              <w:bottom w:val="single" w:sz="8" w:color="auto"/>
            </w:tcBorders>
          </w:tcPr>
          <w:p>
            <w:pPr>
              <w:spacing w:after="0"/>
              <w:rPr>
                <w:sz w:val="18"/>
                <w:szCs w:val="18"/>
                <w:color w:val="auto"/>
              </w:rPr>
            </w:pPr>
          </w:p>
        </w:tc>
      </w:tr>
      <w:tr>
        <w:trPr>
          <w:trHeight w:val="205"/>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costs</w:t>
            </w: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260" w:firstLine="433"/>
        <w:spacing w:after="0" w:line="266" w:lineRule="auto"/>
        <w:rPr>
          <w:sz w:val="20"/>
          <w:szCs w:val="20"/>
          <w:color w:val="auto"/>
        </w:rPr>
      </w:pPr>
      <w:r>
        <w:rPr>
          <w:rFonts w:ascii="Arial" w:cs="Arial" w:eastAsia="Arial" w:hAnsi="Arial"/>
          <w:sz w:val="17"/>
          <w:szCs w:val="17"/>
          <w:color w:val="auto"/>
        </w:rPr>
        <w:t>Variable lease costs were primarily related to operating expenses, taxes and insurance associated with the operating leases, which were assessed based on the Company’s proportionate share of such costs for the leased premises. As these costs are generally variable in nature, they were not included in the measurement of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operating lease right-of-use asset and related lease liability. Total lease costs are included as operating expenses in the Company’s consolidated statements of operations and comprehensive loss.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lease payments under non-cancelable lease agreements as of December 31, 2021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6"/>
                <w:szCs w:val="16"/>
                <w:color w:val="auto"/>
              </w:rPr>
            </w:pPr>
          </w:p>
        </w:tc>
        <w:tc>
          <w:tcPr>
            <w:tcW w:w="1340" w:type="dxa"/>
            <w:vAlign w:val="bottom"/>
          </w:tcPr>
          <w:p>
            <w:pPr>
              <w:jc w:val="right"/>
              <w:ind w:right="201"/>
              <w:spacing w:after="0"/>
              <w:rPr>
                <w:sz w:val="20"/>
                <w:szCs w:val="20"/>
                <w:color w:val="auto"/>
              </w:rPr>
            </w:pPr>
            <w:r>
              <w:rPr>
                <w:rFonts w:ascii="Arial" w:cs="Arial" w:eastAsia="Arial" w:hAnsi="Arial"/>
                <w:sz w:val="16"/>
                <w:szCs w:val="16"/>
                <w:b w:val="1"/>
                <w:bCs w:val="1"/>
                <w:color w:val="auto"/>
              </w:rPr>
              <w:t>Future Lease</w:t>
            </w:r>
          </w:p>
        </w:tc>
        <w:tc>
          <w:tcPr>
            <w:tcW w:w="0" w:type="dxa"/>
            <w:vAlign w:val="bottom"/>
          </w:tcPr>
          <w:p>
            <w:pPr>
              <w:spacing w:after="0"/>
              <w:rPr>
                <w:sz w:val="1"/>
                <w:szCs w:val="1"/>
                <w:color w:val="auto"/>
              </w:rPr>
            </w:pPr>
          </w:p>
        </w:tc>
      </w:tr>
      <w:tr>
        <w:trPr>
          <w:trHeight w:val="209"/>
        </w:trPr>
        <w:tc>
          <w:tcPr>
            <w:tcW w:w="97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0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07"/>
        </w:trPr>
        <w:tc>
          <w:tcPr>
            <w:tcW w:w="970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1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07"/>
        </w:trPr>
        <w:tc>
          <w:tcPr>
            <w:tcW w:w="9700" w:type="dxa"/>
            <w:vAlign w:val="bottom"/>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1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0"/>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future lease payments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5,157</w:t>
            </w:r>
          </w:p>
        </w:tc>
        <w:tc>
          <w:tcPr>
            <w:tcW w:w="0" w:type="dxa"/>
            <w:vAlign w:val="bottom"/>
          </w:tcPr>
          <w:p>
            <w:pPr>
              <w:spacing w:after="0"/>
              <w:rPr>
                <w:sz w:val="1"/>
                <w:szCs w:val="1"/>
                <w:color w:val="auto"/>
              </w:rPr>
            </w:pPr>
          </w:p>
        </w:tc>
      </w:tr>
      <w:tr>
        <w:trPr>
          <w:trHeight w:val="20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00"/>
        </w:trPr>
        <w:tc>
          <w:tcPr>
            <w:tcW w:w="9700" w:type="dxa"/>
            <w:vAlign w:val="bottom"/>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c>
          <w:tcPr>
            <w:tcW w:w="0" w:type="dxa"/>
            <w:vAlign w:val="bottom"/>
          </w:tcPr>
          <w:p>
            <w:pPr>
              <w:spacing w:after="0"/>
              <w:rPr>
                <w:sz w:val="1"/>
                <w:szCs w:val="1"/>
                <w:color w:val="auto"/>
              </w:rPr>
            </w:pPr>
          </w:p>
        </w:tc>
      </w:tr>
      <w:tr>
        <w:trPr>
          <w:trHeight w:val="23"/>
        </w:trPr>
        <w:tc>
          <w:tcPr>
            <w:tcW w:w="9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00" w:firstLine="433"/>
        <w:spacing w:after="0" w:line="323" w:lineRule="auto"/>
        <w:rPr>
          <w:sz w:val="20"/>
          <w:szCs w:val="20"/>
          <w:color w:val="auto"/>
        </w:rPr>
      </w:pPr>
      <w:r>
        <w:rPr>
          <w:rFonts w:ascii="Arial" w:cs="Arial" w:eastAsia="Arial" w:hAnsi="Arial"/>
          <w:sz w:val="17"/>
          <w:szCs w:val="17"/>
          <w:color w:val="auto"/>
        </w:rPr>
        <w:t>The weighted average remaining lease term and weighted average incremental borrowing rate of the Company’s operating lease were as follows:</w:t>
      </w:r>
    </w:p>
    <w:p>
      <w:pPr>
        <w:spacing w:after="0" w:line="47"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As of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203"/>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Weighted average incremental borrowing rate</w:t>
            </w:r>
          </w:p>
        </w:tc>
        <w:tc>
          <w:tcPr>
            <w:tcW w:w="540" w:type="dxa"/>
            <w:vAlign w:val="bottom"/>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8.0 %</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0" w:lineRule="exact"/>
        <w:rPr>
          <w:sz w:val="20"/>
          <w:szCs w:val="20"/>
          <w:color w:val="auto"/>
        </w:rPr>
      </w:pPr>
    </w:p>
    <w:p>
      <w:pPr>
        <w:jc w:val="both"/>
        <w:ind w:right="120" w:firstLine="433"/>
        <w:spacing w:after="0" w:line="275"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legal proceedings during the years ended December 31, 2021 and 2020, and no material legal proceedings are currently pending or threatened.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w:t>
      </w:r>
    </w:p>
    <w:p>
      <w:pPr>
        <w:spacing w:after="0" w:line="100"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The Company has agreements with third parties for various services, including services related to research, preclinical and clinical operations and support, for which the Company is not contractually able to terminate for convenience to avoid future obligations to the vendors. Certain agreements provide for termination rights subject to termination fees or wind down costs. Under such agreements, the Company is contractually obligated to make certain payments to vendors, primarily to reimburse them for their unrecoverable outlays incurred prior to cancellation. The actual amounts the Company could pay in the future to the vendors under such agreements may differ from the purchase order amounts due to cancellation provisions.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3"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 Company enters into indemnification agreements and agreements containing indemnification provisions in the ordinary course of business. Pursuant to these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 party with respect to the Company’s products. The term of these indemnification agreements is generally perpetual upon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w:t>
      </w:r>
    </w:p>
    <w:p>
      <w:pPr>
        <w:spacing w:after="0" w:line="100" w:lineRule="exact"/>
        <w:rPr>
          <w:sz w:val="20"/>
          <w:szCs w:val="20"/>
          <w:color w:val="auto"/>
        </w:rPr>
      </w:pPr>
    </w:p>
    <w:p>
      <w:pPr>
        <w:ind w:right="680" w:firstLine="433"/>
        <w:spacing w:after="0" w:line="275" w:lineRule="auto"/>
        <w:rPr>
          <w:sz w:val="20"/>
          <w:szCs w:val="20"/>
          <w:color w:val="auto"/>
        </w:rPr>
      </w:pPr>
      <w:r>
        <w:rPr>
          <w:rFonts w:ascii="Arial" w:cs="Arial" w:eastAsia="Arial" w:hAnsi="Arial"/>
          <w:sz w:val="17"/>
          <w:szCs w:val="17"/>
          <w:color w:val="auto"/>
        </w:rPr>
        <w:t>The Company has entered into multiple agreements with third parties under which it may be obligated to make future development, regulatory and commercial milestone payments and royalty payments on future sales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specified product candidates. Payments under these agreements generally become due and payable upon achievement of such milestones and sales. When the achievement of these milestones or sales have not occurred, such contingencies are not recorded in the Company's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Redeemable Convertible Preferred Stock</w:t>
      </w:r>
    </w:p>
    <w:p>
      <w:pPr>
        <w:spacing w:after="0" w:line="115"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On October, 20 2020, upon the closing of the IPO, all 53,644,314 outstanding shares of the Redeemable Convertible Preferred Stock were converted into 25,067,977 shares of common stock. Pursuant to the terms of the Company's Amended and Restated Certificate of Incorporation, all series of the Redeemable Convertible Preferred Stock outstanding automatically converted into shares of common stock based on each series' respective then-current conversion ratio.</w:t>
      </w:r>
    </w:p>
    <w:p>
      <w:pPr>
        <w:spacing w:after="0" w:line="192" w:lineRule="exact"/>
        <w:rPr>
          <w:sz w:val="20"/>
          <w:szCs w:val="20"/>
          <w:color w:val="auto"/>
        </w:rPr>
      </w:pPr>
    </w:p>
    <w:p>
      <w:pPr>
        <w:ind w:firstLine="433"/>
        <w:spacing w:after="0" w:line="275" w:lineRule="auto"/>
        <w:rPr>
          <w:sz w:val="20"/>
          <w:szCs w:val="20"/>
          <w:color w:val="auto"/>
        </w:rPr>
      </w:pPr>
      <w:r>
        <w:rPr>
          <w:rFonts w:ascii="Arial" w:cs="Arial" w:eastAsia="Arial" w:hAnsi="Arial"/>
          <w:sz w:val="17"/>
          <w:szCs w:val="17"/>
          <w:color w:val="auto"/>
        </w:rPr>
        <w:t>As of December 31, 2021 and 2020, the Company did not have any shares of redeemable convertible preferred stock authorized, issued or outstanding.</w:t>
      </w:r>
    </w:p>
    <w:p>
      <w:pPr>
        <w:spacing w:after="0" w:line="181" w:lineRule="exact"/>
        <w:rPr>
          <w:sz w:val="20"/>
          <w:szCs w:val="20"/>
          <w:color w:val="auto"/>
        </w:rPr>
      </w:pPr>
    </w:p>
    <w:p>
      <w:pPr>
        <w:ind w:right="60" w:firstLine="433"/>
        <w:spacing w:after="0" w:line="259" w:lineRule="auto"/>
        <w:rPr>
          <w:sz w:val="20"/>
          <w:szCs w:val="20"/>
          <w:color w:val="auto"/>
        </w:rPr>
      </w:pPr>
      <w:r>
        <w:rPr>
          <w:rFonts w:ascii="Arial" w:cs="Arial" w:eastAsia="Arial" w:hAnsi="Arial"/>
          <w:sz w:val="17"/>
          <w:szCs w:val="17"/>
          <w:color w:val="auto"/>
        </w:rPr>
        <w:t>On January 20, 2020, the Company granted two investors holding 5,825,243 shares of Series C Preferred Stock that were purchased in December 2019 the option to put their shares back to the Company at the original issuance price. On February 19, 2020 and March 3, 2020, the investors exercised their put option in full via the execution of Stock Redemption and Release Agreements in order to effect the repurchase. Pursuant to the Stock Redemption and Release Agreements, the Company agreed to repurchase a total of 5,825,243 shares of Series C Preferred Stock at the original issuance price of $ 5.15 per share, for an aggregate cash repurchase price of 30.0 million. Under the terms of the Stock Redemption and Release Agreements, the investors waived their right to cumulative dividends that had accumulated from the original issuance date through the date of repurchase. The 5,825,243 shares of Series C Preferred Stock were retired upon repurchase, and subsequently authorized for reissuance pursuant to a waiver to the Company’s Amended and Restated Certificate of Incorporation entered into by the Company and the holders of the Redeemable Convertible Preferred Stock.</w:t>
      </w:r>
    </w:p>
    <w:p>
      <w:pPr>
        <w:spacing w:after="0" w:line="200"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Company determined that the additional put right that was granted to the investors represented a modification of the affected shares of Series C Preferred Stock, but that it did not result in incremental value to the shareholders. As there was no incremental value associated with the modification, there was no impact to the accounting for the Series C Preferred Stock. The Company also determined that the put right did not require bifurcation, as it does not contain the characteristics of a derivative instrument. Further, the Company determined that the shares of Series C Preferred Stock that were subject to repurchase did not become mandatorily redeemable until the execution of the Stock Redemption and Release Agreements because the parties did not have an unconditional legal obligation to complete the redemptions until the associated agreements were finalized. Such determination was made in consultation with legal counsel. Accordingly, the Company recorded each of the redemptions on the respective date of repurchase and recognized a gain on repurchase equal to the difference between the repurchase price and the carrying value of the Series C Preferred Stock on the respective date of repurchase. The aggregate gain of $ 0.5 million was recorded upon repurchase as an adjustment to accumulated deficit in the statement of redeemable convertible preferred stock and stockholders’ deficit. The gain relates exclusively to the dividends accrued on the repurchased shares, which were waived by the investors as part of the Stock Redemption and Release Agreements.</w:t>
      </w:r>
    </w:p>
    <w:p>
      <w:pPr>
        <w:spacing w:after="0" w:line="200" w:lineRule="exact"/>
        <w:rPr>
          <w:sz w:val="20"/>
          <w:szCs w:val="20"/>
          <w:color w:val="auto"/>
        </w:rPr>
      </w:pPr>
    </w:p>
    <w:p>
      <w:pPr>
        <w:spacing w:after="0" w:line="207"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On April 15, 2020 and May 8, 2020, the Company completed additional closings for the sale and issuance of its Series C Preferred Stock for a total of 4,563,108 shares at $5.15 per share for aggregate cash proceeds of $23.5 million, less an immaterial amount of issuance costs.</w:t>
      </w:r>
    </w:p>
    <w:p>
      <w:pPr>
        <w:spacing w:after="0" w:line="181"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On July 24, 2020, the Company entered into the Series C-1 Preferred Stock Purchase Agreement, which authorized the sale and issuance of up to 19,444,453 shares of its Series C-1 Preferred Stock at a purchase price of $5.67 per share. During the year ended December 31, 2020, the Company issued all 19,444,453 shares of Series C-1 Preferred Stock for gross cash proceeds of $ 110.3 million, and incurred issuance costs of approximately $0.2 million. Although there were multiple closings of the Series C-1 Preferred Stock, there was no obligation under the initial closing for investors to purchase, or for the Company to sell to such investors, additional shares of Series C-1 Preferred Stock. The issuance of the Series C-1 Preferred Stock resulted in changes to certain rights, preferences and privileges of the Series A Preferred Stock, the Series B Preferred Stock, the Series B-1 Preferred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4" w:name="page145"/>
    <w:bookmarkEnd w:id="1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Stock and the Series C Preferred Stock. The Company concluded that such changes were not significant and resulted in a modification, rather than an extinguishment, of the previously outstanding Redeemable Convertible Preferred Stock. The changes to the terms of the Series A Preferred Stock, the Series B Preferred Stock, the Series B-1 Preferred Stock and the Series C Preferred Stock did not result in incremental value to the shareholders, and therefore there was no impact to the accounting for the previously outstanding Redeemable Convertible Preferred Stock.</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Preferences and Privileges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Prior to the conversion of the Redeemable Convertible Preferred Stock into shares of common stock upon the completion of the IPO 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20, 2020, the holders of the Redeemable Convertible Preferred Stock had the following rights, preferences and privileges: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w:t>
      </w:r>
    </w:p>
    <w:p>
      <w:pPr>
        <w:spacing w:after="0" w:line="111"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The holders of outstanding shares of the Redeemable Convertible Preferred Stock were entitled to vote, together with the holders of common stock, on all matters submitted to the stockholders for a vote, and were entitled to the number of votes equal to the number of whole shares of common stock into which such holders of the Redeemable Convertible Preferred Stock could convert on the record date for determining stockholders entitled to vote. Except for the actions requiring the approval or consent of the majority of the holders of the Redeemable Convertible Preferred Stock, the holders of the Redeemable Convertible Preferred Stock would vote together with the holders of common stock and vote as a single class. The holders of the Series A Preferred Stock, exclusively and as a separate class, were entitled to elect two directors of the Company. The holders of the Series B Preferred Stock and Series B-1 Preferred Stock, exclusively and together as a separate class, were entitled to elect two directors of the Company. The holders of common stock and of any other class or series of voting stock (including the Redeemable Convertible Preferred Stock), exclusively and voting as a single class, were entitled to elect the balance of total number of directors of the Company.</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holders of the Series A Preferred Stock, Series B Preferred Stock, Series B-1 Preferred Stock, Series C Preferred Stock and Series C-</w:t>
      </w:r>
    </w:p>
    <w:p>
      <w:pPr>
        <w:spacing w:after="0" w:line="14" w:lineRule="exact"/>
        <w:rPr>
          <w:sz w:val="20"/>
          <w:szCs w:val="20"/>
          <w:color w:val="auto"/>
        </w:rPr>
      </w:pPr>
    </w:p>
    <w:p>
      <w:pPr>
        <w:ind w:right="140" w:firstLine="5"/>
        <w:spacing w:after="0" w:line="263" w:lineRule="auto"/>
        <w:tabs>
          <w:tab w:leader="none" w:pos="146"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Preferred Stock were entitled to accrue cumulative dividends at an annual rate of $0.08, $0.24, $0.30, $0.412 and $0.4536 per share, respectively, subject to adjustment in the event of any stock dividend, stock split, combination or other similar recapitalization with respect to the Redeemable Convertible Preferred Stock. Dividends accrued from day to day whether or not declared by the Board, and were payable only when, as, and if declared by the Board. No dividends were declared or paid by the Company on the Redeemable Convertible Preferred Stock.</w:t>
      </w:r>
    </w:p>
    <w:p>
      <w:pPr>
        <w:spacing w:after="0" w:line="19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No dividends could be declared, paid or set aside to any other class or series of capital stock (other than dividends on shares of common stock payable in common stock) unless, in addition to obtaining any consents otherwise required in the Company’s Amended and Restated Certificate of Incorporation, the holders of the Redeemable Convertible Preferred Stock first received a dividend on each outstanding share in an amount at least equal to the greater of: (i) all accrued and unpaid dividends and (ii) in the case of a dividend being distributed to common stock or any class or series of capital stock that is convertible into common stock, the equivalent dividend on an as-converted basis or (iii) in the case of a dividend being distributed on a series or class not convertible into common stock, an additional dividend equal to a dividend rate calculated based on the respective original issue price of the Preferred Stock. The original issue price per share was equal to $1.00 for the Series A Preferred Stock, $3.00 for the Series B Preferred Stock, $3.75 for the Series B-1 Preferred Stock and $ 5.15 for the Series C Preferred Stock. The holders of the Series C Preferred Stock, Series B Preferred Stock and Series B-1 Preferred Stock were entitled to receive dividends prior to any dividends on the Series A Preferred Stock.</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Rights</w:t>
      </w:r>
    </w:p>
    <w:p>
      <w:pPr>
        <w:spacing w:after="0" w:line="98" w:lineRule="exact"/>
        <w:rPr>
          <w:sz w:val="20"/>
          <w:szCs w:val="20"/>
          <w:color w:val="auto"/>
        </w:rPr>
      </w:pPr>
    </w:p>
    <w:p>
      <w:pPr>
        <w:ind w:right="180" w:firstLine="433"/>
        <w:spacing w:after="0" w:line="263" w:lineRule="auto"/>
        <w:rPr>
          <w:sz w:val="20"/>
          <w:szCs w:val="20"/>
          <w:color w:val="auto"/>
        </w:rPr>
      </w:pPr>
      <w:r>
        <w:rPr>
          <w:rFonts w:ascii="Arial" w:cs="Arial" w:eastAsia="Arial" w:hAnsi="Arial"/>
          <w:sz w:val="17"/>
          <w:szCs w:val="17"/>
          <w:color w:val="auto"/>
        </w:rPr>
        <w:t>In the event of any voluntary or involuntary liquidation event, dissolution, winding up of the Company or upon the occurrence of certain events designated by a majority of the holders of the Redeemable Convertible Preferred Stock, and at least two out of three specific holders, to be a deemed liquidation event, each holder of the then outstanding Series C-1 Preferred Stock, Series C Preferred Stock, Series B-1 Preferred Stock and Series B Preferred Stock was entitled to receive, prior and in preference to any distributions to the holders of Series A</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5" w:name="page146"/>
    <w:bookmarkEnd w:id="1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00"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Preferred Stock and common stock, an amount equal to the greater of (i) original issuance price (adjusted in the event of any stock dividend, stock split, combination or other similar activity) plus any cumulative accrued dividends, whether or not declared, with any other dividends declared but unpaid thereon, or (ii) the amount such holder would have received if such holder had converted its shares into common stock immediately prior to such liquidation event.</w:t>
      </w:r>
    </w:p>
    <w:p>
      <w:pPr>
        <w:spacing w:after="0" w:line="192"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After the payment of all preferential amounts to the holders of the Series C-1 Preferred Stock, Series C Preferred Stock, Series B-1 Preferred Stock and Series B Preferred Stock, each holder of the then outstanding Series A Preferred Stock was entitled to receive, prior and in preference to any distributions to the holders of common stock, an amount equal to the greater of (i) original issuance price (adjusted in the event of any stock dividend, stock split, combination or other similar activity) plus any cumulative accrued dividends, whether or not declared, with any other dividends declared but unpaid thereon, or (ii) the amount such holder would have received if such holder had converted its shares into common stock immediately prior to such liquidation event.</w:t>
      </w:r>
    </w:p>
    <w:p>
      <w:pPr>
        <w:spacing w:after="0" w:line="193"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After payments have been made in full to the holders of the Redeemable Convertible Preferred Stock, then, to the extent available, the remaining amounts would be distributed among the holders of the shares of common stock, pro rata based on the number of shares held by each holder.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111" w:lineRule="exact"/>
        <w:rPr>
          <w:sz w:val="20"/>
          <w:szCs w:val="20"/>
          <w:color w:val="auto"/>
        </w:rPr>
      </w:pPr>
    </w:p>
    <w:p>
      <w:pPr>
        <w:ind w:right="100" w:firstLine="433"/>
        <w:spacing w:after="0" w:line="258" w:lineRule="auto"/>
        <w:rPr>
          <w:sz w:val="20"/>
          <w:szCs w:val="20"/>
          <w:color w:val="auto"/>
        </w:rPr>
      </w:pPr>
      <w:r>
        <w:rPr>
          <w:rFonts w:ascii="Arial" w:cs="Arial" w:eastAsia="Arial" w:hAnsi="Arial"/>
          <w:sz w:val="17"/>
          <w:szCs w:val="17"/>
          <w:color w:val="auto"/>
        </w:rPr>
        <w:t>Each share of the Redeemable Convertible Preferred Stock was convertible, at any time, at the option of the holder, and without the payment of additional consideration, into such shares of non-assessable shares of common stock as is determined by dividing the original issue price by the applicable conversion price in effect at the time of conversion. The applicable conversion price for the Series A Preferred Stock, Series B Preferred Stock, Series B-1 Preferred Stock, Series C Preferred Stock and Series C-1 Preferred Stock was initially equal to $2.14, $6.42, $8.03, $11.02 and $12.13, respectively, as adjusted for the Company's reverse stock split. Each share of the Redeemable Convertible Preferred Stock would automatically convert into common stock at the applicable conversion ratio then in effect for each series of the Redeemable Convertible Preferred Stock upon either (i) the closing of the sale of shares of common stock at a price of at least $ 10.30 per share in a firm-commitment underwritten public offering pursuant to an effective registration statement resulting in at least $75.0 million of gross proceeds and the listing of the Company’s common stock on the New York Stock Exchange, The Nasdaq Global Select Market, or The Nasdaq Global Market or (ii) the date and time, or the occurrence of an event, specified by vote or written consent of the holders of a majority of the outstanding Redeemable Convertible Preferred Stock, voting together as a single class and at least two of three specific holders. Upon conversion pursuant to the completion of the IPO, the applicable conversion price for the Series A Preferred Stock, Series B Preferred Stock, Series B-1 Preferred Stock, Series C Preferred Stock and Series C-1 Preferred Stock was equal to $2.14, $ 6.42, $8.03, $11.02 and $12.13, respectively, as adjusted for the Company’s reverse stock split. Accordingly, each share of the Redeemable Convertible Preferred Stock converted into approximately 0.4673 shares of common stock.</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p>
    <w:p>
      <w:pPr>
        <w:spacing w:after="0" w:line="9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Each series of the Redeemable Convertible Preferred Stock was redeemable at a price equal to the applicable original issuance price per share (adjusted in the event of any stock dividend, stock split, combination or other similar activity), plus any cumulative accrued dividends, whether or not declared together with any other dividends declared but unpaid, in three annual installments commencing not more than 60 days on or after July 24, 2025 at the written election of at least a majority of the holders of the Redeemable Convertible Preferred Stock voting together as a single class and at least two out of three specific parties.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Common Stock and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00" w:lineRule="exact"/>
        <w:rPr>
          <w:sz w:val="20"/>
          <w:szCs w:val="20"/>
          <w:color w:val="auto"/>
        </w:rPr>
      </w:pPr>
    </w:p>
    <w:p>
      <w:pPr>
        <w:ind w:right="200" w:firstLine="433"/>
        <w:spacing w:after="0" w:line="263" w:lineRule="auto"/>
        <w:rPr>
          <w:sz w:val="20"/>
          <w:szCs w:val="20"/>
          <w:color w:val="auto"/>
        </w:rPr>
      </w:pPr>
      <w:r>
        <w:rPr>
          <w:rFonts w:ascii="Arial" w:cs="Arial" w:eastAsia="Arial" w:hAnsi="Arial"/>
          <w:sz w:val="17"/>
          <w:szCs w:val="17"/>
          <w:color w:val="auto"/>
        </w:rPr>
        <w:t>On October 8, 2020, the Board and the Company’s stockholders approved a one-for-2.14 reverse stock split of its issued and outstanding shares of common stock. Accordingly, all shares of common stock, per share amounts, aggregate par value and additional paid-in capital amounts for all periods presented in the accompanying consolidated financial statements and related notes have been retroactively adjusted, where applicable, to reflect the reverse stock split.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On October 20, 2020, the Company completed its IPO in which the Company issued and sold 11,500,000 shares of its common stock at a public offering price of $ 19.00 per share, including 1,500,000 shares of common stock issued and sold pursuant to the underwriters’ exercise of their option to purchase additional shares of common stock. The Company raised approximately $200.3 million in net proceeds after deducting underwriting discounts and commissions and offering expenses payable by the Company. Upon the closing of the IPO, all 53,644,314 outstanding shares of the Company’s Redeemable Convertible Preferred Stock automatically converted into 25,067,977 shares of common stock pursuant to the terms of the Company's Amended and Restated Certificate of Incorporation filed on October 20, 2020 at the then-current conversion ratio for each series, as adjusted for the Company's reverse stock split.</w:t>
      </w:r>
    </w:p>
    <w:p>
      <w:pPr>
        <w:spacing w:after="0" w:line="196"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On May 18, 2021, the Company completed a follow-on public offering in which the Company issued and sold 5,750,000 shares of its common stock at a public offering price of $ 18.25 per share, including 750,000 shares of common stock issued and sold pursuant to the underwriters' exercise, in full, of their option to purchase additional shares of common stock, for aggregate gross proceeds of $ 104.9 million. The Company received approximately $98.4 million in net proceeds after deducting discounts, commissions and offering expenses payable by the Company.</w:t>
      </w:r>
    </w:p>
    <w:p>
      <w:pPr>
        <w:spacing w:after="0" w:line="200" w:lineRule="exact"/>
        <w:rPr>
          <w:sz w:val="20"/>
          <w:szCs w:val="20"/>
          <w:color w:val="auto"/>
        </w:rPr>
      </w:pPr>
    </w:p>
    <w:p>
      <w:pPr>
        <w:spacing w:after="0" w:line="202"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On November 3, 2021, the Company filed an automatic shelf registration with the Securities and Exchange Commission , which was automatically declared effective on November 3, 2021 in relation to the registration of common stock, preferred stock, debt securities, warrants and units or any combination thereof. The Company also simultaneously entered into an Open Market Sales Agreement ("the sales agreement"), with Jefferies LLC ("Jefferies"), to provide for the offering, issuance and sale of up to an aggregate amount of $125.0 million of common stock from time to time in at-the-market offerings under the shelf registration and subject to the limitations thereof. Jefferies is entitled to compensation at a commission rate of 3% of the gross sales price of common stock sold under the sales agreement. As of December 31, 2021, the Company had issued 391,997 shares under the sales agreement for aggregate gross proceeds of $7.6 million. The Company received approximately $7.0 million of net proceeds after deducting discounts, commissions and offering expenses payable by the Company.</w:t>
      </w:r>
    </w:p>
    <w:p>
      <w:pPr>
        <w:spacing w:after="0" w:line="19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As of December 31, 2021 and 2020, the authorized capital stock of the Company included 150,000,000 shares of common stock, $0.0001 par value, pursuant to the Amended and Restated Certificate of Incorporation effective upon the completion of the IPO. Holders of such shares of common stock have the exclusive right to vote for the election of the Company's directors and are entitled to one vote per share. In the event of the voluntary or involuntary liquidation, dissolution or winding up of the Company, the holders of common stock are entitled to a pro rata distribution of the Company's net assets. Dividends may be declared and paid to such holders only when, as, and if declared by the Board or an authorized committee thereof.</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2021, the Company did not hold any treasury shares.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reserved the following shares of common stock for future issuance: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18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5"/>
        </w:trPr>
        <w:tc>
          <w:tcPr>
            <w:tcW w:w="35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2020</w:t>
            </w:r>
          </w:p>
        </w:tc>
      </w:tr>
      <w:tr>
        <w:trPr>
          <w:trHeight w:val="204"/>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5,944,546</w:t>
            </w:r>
          </w:p>
        </w:tc>
      </w:tr>
      <w:tr>
        <w:trPr>
          <w:trHeight w:val="207"/>
        </w:trPr>
        <w:tc>
          <w:tcPr>
            <w:tcW w:w="3520" w:type="dxa"/>
            <w:vAlign w:val="bottom"/>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4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tcPr>
          <w:p>
            <w:pPr>
              <w:jc w:val="right"/>
              <w:spacing w:after="0"/>
              <w:rPr>
                <w:sz w:val="20"/>
                <w:szCs w:val="20"/>
                <w:color w:val="auto"/>
              </w:rPr>
            </w:pPr>
            <w:r>
              <w:rPr>
                <w:rFonts w:ascii="Arial" w:cs="Arial" w:eastAsia="Arial" w:hAnsi="Arial"/>
                <w:sz w:val="16"/>
                <w:szCs w:val="16"/>
                <w:color w:val="auto"/>
              </w:rPr>
              <w:t>2,667,780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3,036,776</w:t>
            </w:r>
          </w:p>
        </w:tc>
      </w:tr>
      <w:tr>
        <w:trPr>
          <w:trHeight w:val="21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327,102</w:t>
            </w:r>
          </w:p>
        </w:tc>
      </w:tr>
      <w:tr>
        <w:trPr>
          <w:trHeight w:val="207"/>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440,079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10,230,564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9,308,424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00" w:lineRule="exact"/>
        <w:rPr>
          <w:sz w:val="20"/>
          <w:szCs w:val="20"/>
          <w:color w:val="auto"/>
        </w:rPr>
      </w:pPr>
    </w:p>
    <w:p>
      <w:pPr>
        <w:ind w:firstLine="433"/>
        <w:spacing w:after="0" w:line="246" w:lineRule="auto"/>
        <w:rPr>
          <w:sz w:val="20"/>
          <w:szCs w:val="20"/>
          <w:color w:val="auto"/>
        </w:rPr>
      </w:pPr>
      <w:r>
        <w:rPr>
          <w:rFonts w:ascii="Arial" w:cs="Arial" w:eastAsia="Arial" w:hAnsi="Arial"/>
          <w:sz w:val="17"/>
          <w:szCs w:val="17"/>
          <w:color w:val="auto"/>
        </w:rPr>
        <w:t>As of December 31, 2021 and 2020, the Company was authorized to issue 10,000,000 shares of undesignated preferred stock, $0.0001 par value, in one or more series, and is authorized to fix the powers, designations, preferences and relative participating option or other rights thereof, including dividend rights, conversion rights, voting rights, redemption rights, liquidation preferences and the number of shares constituting any series, without any further vote or action by the Company's shareholders. As of December 31, 2021 and 2020, the Company had no shares of undesignated preferred stock issued or outstanding.</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w:t>
      </w:r>
    </w:p>
    <w:p>
      <w:pPr>
        <w:spacing w:after="0" w:line="14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On September 9, 2020, the Board approved the 2020 Stock Option and Incentive Plan (the "2020 Plan"), which was subsequently approved by its stockholders and became effective upon the Company's IPO on October 15, 2020. The 2020 Plan replaced the 2017 Stock Incentive Plan (the "2017 Plan") and no additional awards will be granted under the 2017 Plan following the closing of the IPO. The 2017 Plan will continue to govern outstanding equity awards granted thereunder.</w:t>
      </w:r>
    </w:p>
    <w:p>
      <w:pPr>
        <w:spacing w:after="0" w:line="87" w:lineRule="exact"/>
        <w:rPr>
          <w:sz w:val="20"/>
          <w:szCs w:val="20"/>
          <w:color w:val="auto"/>
        </w:rPr>
      </w:pPr>
    </w:p>
    <w:p>
      <w:pPr>
        <w:ind w:right="120" w:firstLine="433"/>
        <w:spacing w:after="0" w:line="266" w:lineRule="auto"/>
        <w:rPr>
          <w:sz w:val="20"/>
          <w:szCs w:val="20"/>
          <w:color w:val="auto"/>
        </w:rPr>
      </w:pPr>
      <w:r>
        <w:rPr>
          <w:rFonts w:ascii="Arial" w:cs="Arial" w:eastAsia="Arial" w:hAnsi="Arial"/>
          <w:sz w:val="17"/>
          <w:szCs w:val="17"/>
          <w:color w:val="auto"/>
        </w:rPr>
        <w:t>The 2020 Plan allows the Company to grant stock options, restricted stock, restricted stock units and other stock-based awards to officers, employees, directors and consultants. The total number of shares of common stock authorized for issuance under the 2020 Plan as of December 31, 2021 and 2020 was 5,184,455 shares and 3,271,028 shares, respectively.</w:t>
      </w:r>
    </w:p>
    <w:p>
      <w:pPr>
        <w:spacing w:after="0" w:line="189"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Stock options issued under the 2020 Plan and 2017 Plan expire ten years from the date of grant. Shares that expire, are terminated, surrendered or canceled under the 2020 Plan and 2017 Plan without having been fully exercised will be available for future awards. In addition, shares of common stock that are tendered to the Company by a participant to exercise an award are added to the number of shares of common stock available for future awards. Upon stock option exercise, the Company issues new shares and delivers them to the participant.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39"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On September 9, 2020, the Board approved the 2020 Employee Stock Purchase Plan (the "2020 ESPP"), which was subsequently approved by its stockholders and became effective on October 15, 2020. The first offering under the 2020 ESPP opened on November 15, 2021. During the years ended December 31, 2021 and 2020, there were no shares issued under the 2020 ESPP. The total shares authorized for issuance under the 2020 ESPP as of December 31, 2021 and 2020 was 654,204 shares and 327,102 shares,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100"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Prior to the adoption of the 2017 Plan, the Company granted restricted common stock in 2016 with time-based vesting conditions to certain employees and non-employee founders of the Company pursuant to individual award agreements. All granted restricted common stock had vested as of December 31, 2020. The total fair value of restricted common stock that vested during the year ended December 31, 2020 was $0.5 million. The Company did not grant any restricted common stock during the years ended December 31, 2021 and 2020.</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restricted stock unit activity: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161"/>
              <w:spacing w:after="0" w:line="158"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8060" w:type="dxa"/>
            <w:vAlign w:val="bottom"/>
          </w:tcPr>
          <w:p>
            <w:pPr>
              <w:spacing w:after="0"/>
              <w:rPr>
                <w:sz w:val="13"/>
                <w:szCs w:val="13"/>
                <w:color w:val="auto"/>
              </w:rPr>
            </w:pPr>
          </w:p>
        </w:tc>
        <w:tc>
          <w:tcPr>
            <w:tcW w:w="1580" w:type="dxa"/>
            <w:vAlign w:val="bottom"/>
            <w:vMerge w:val="restart"/>
          </w:tcPr>
          <w:p>
            <w:pPr>
              <w:jc w:val="right"/>
              <w:ind w:right="481"/>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3"/>
                <w:szCs w:val="13"/>
                <w:color w:val="auto"/>
              </w:rPr>
            </w:pPr>
          </w:p>
        </w:tc>
        <w:tc>
          <w:tcPr>
            <w:tcW w:w="1300" w:type="dxa"/>
            <w:vAlign w:val="bottom"/>
          </w:tcPr>
          <w:p>
            <w:pPr>
              <w:jc w:val="center"/>
              <w:ind w:right="161"/>
              <w:spacing w:after="0" w:line="158"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December 31, 2020</w:t>
            </w: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60" w:type="dxa"/>
            <w:vAlign w:val="bottom"/>
          </w:tcPr>
          <w:p>
            <w:pPr>
              <w:ind w:left="240"/>
              <w:spacing w:after="0"/>
              <w:rPr>
                <w:sz w:val="20"/>
                <w:szCs w:val="20"/>
                <w:color w:val="auto"/>
              </w:rPr>
            </w:pPr>
            <w:r>
              <w:rPr>
                <w:rFonts w:ascii="Arial" w:cs="Arial" w:eastAsia="Arial" w:hAnsi="Arial"/>
                <w:sz w:val="16"/>
                <w:szCs w:val="16"/>
                <w:color w:val="auto"/>
              </w:rPr>
              <w:t>Issued</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496,113</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41.57</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(56,034)</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39.25</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December 31, 2021</w:t>
            </w: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440,079</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00" w:firstLine="433"/>
        <w:spacing w:after="0" w:line="275" w:lineRule="auto"/>
        <w:rPr>
          <w:sz w:val="20"/>
          <w:szCs w:val="20"/>
          <w:color w:val="auto"/>
        </w:rPr>
      </w:pPr>
      <w:r>
        <w:rPr>
          <w:rFonts w:ascii="Arial" w:cs="Arial" w:eastAsia="Arial" w:hAnsi="Arial"/>
          <w:sz w:val="17"/>
          <w:szCs w:val="17"/>
          <w:color w:val="auto"/>
        </w:rPr>
        <w:t>As of December 31, 2021, total unrecognized compensation cost related to unvested restricted stock units was $14.5 million, which is expected to be recognized over a weighted-average period of 3.23 years.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stock option activity: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restart"/>
          </w:tcPr>
          <w:p>
            <w:pPr>
              <w:jc w:val="center"/>
              <w:ind w:right="101"/>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Weighted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3"/>
                <w:szCs w:val="13"/>
                <w:color w:val="auto"/>
              </w:rPr>
            </w:pPr>
          </w:p>
        </w:tc>
        <w:tc>
          <w:tcPr>
            <w:tcW w:w="1380" w:type="dxa"/>
            <w:vAlign w:val="bottom"/>
          </w:tcPr>
          <w:p>
            <w:pPr>
              <w:jc w:val="center"/>
              <w:ind w:right="101"/>
              <w:spacing w:after="0" w:line="158" w:lineRule="exact"/>
              <w:rPr>
                <w:sz w:val="20"/>
                <w:szCs w:val="20"/>
                <w:color w:val="auto"/>
              </w:rPr>
            </w:pPr>
            <w:r>
              <w:rPr>
                <w:rFonts w:ascii="Arial" w:cs="Arial" w:eastAsia="Arial" w:hAnsi="Arial"/>
                <w:sz w:val="16"/>
                <w:szCs w:val="16"/>
                <w:b w:val="1"/>
                <w:bCs w:val="1"/>
                <w:color w:val="auto"/>
                <w:w w:val="94"/>
              </w:rPr>
              <w:t>Average</w:t>
            </w:r>
          </w:p>
        </w:tc>
        <w:tc>
          <w:tcPr>
            <w:tcW w:w="100" w:type="dxa"/>
            <w:vAlign w:val="bottom"/>
          </w:tcPr>
          <w:p>
            <w:pPr>
              <w:spacing w:after="0"/>
              <w:rPr>
                <w:sz w:val="13"/>
                <w:szCs w:val="13"/>
                <w:color w:val="auto"/>
              </w:rPr>
            </w:pPr>
          </w:p>
        </w:tc>
        <w:tc>
          <w:tcPr>
            <w:tcW w:w="16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7"/>
              </w:rPr>
              <w:t>Remaining</w:t>
            </w:r>
          </w:p>
        </w:tc>
        <w:tc>
          <w:tcPr>
            <w:tcW w:w="160" w:type="dxa"/>
            <w:vAlign w:val="bottom"/>
          </w:tcPr>
          <w:p>
            <w:pPr>
              <w:spacing w:after="0"/>
              <w:rPr>
                <w:sz w:val="13"/>
                <w:szCs w:val="13"/>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101"/>
              <w:spacing w:after="0" w:line="158" w:lineRule="exact"/>
              <w:rPr>
                <w:sz w:val="20"/>
                <w:szCs w:val="20"/>
                <w:color w:val="auto"/>
              </w:rPr>
            </w:pPr>
            <w:r>
              <w:rPr>
                <w:rFonts w:ascii="Arial" w:cs="Arial" w:eastAsia="Arial" w:hAnsi="Arial"/>
                <w:sz w:val="16"/>
                <w:szCs w:val="16"/>
                <w:b w:val="1"/>
                <w:bCs w:val="1"/>
                <w:color w:val="auto"/>
                <w:w w:val="98"/>
              </w:rPr>
              <w:t>Exercise Price</w:t>
            </w:r>
          </w:p>
        </w:tc>
        <w:tc>
          <w:tcPr>
            <w:tcW w:w="100" w:type="dxa"/>
            <w:vAlign w:val="bottom"/>
          </w:tcPr>
          <w:p>
            <w:pPr>
              <w:spacing w:after="0"/>
              <w:rPr>
                <w:sz w:val="13"/>
                <w:szCs w:val="13"/>
                <w:color w:val="auto"/>
              </w:rPr>
            </w:pPr>
          </w:p>
        </w:tc>
        <w:tc>
          <w:tcPr>
            <w:tcW w:w="16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8"/>
              </w:rPr>
              <w:t>Contractual</w:t>
            </w: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Shares</w:t>
            </w:r>
          </w:p>
        </w:tc>
        <w:tc>
          <w:tcPr>
            <w:tcW w:w="180" w:type="dxa"/>
            <w:vAlign w:val="bottom"/>
          </w:tcPr>
          <w:p>
            <w:pPr>
              <w:spacing w:after="0"/>
              <w:rPr>
                <w:sz w:val="18"/>
                <w:szCs w:val="18"/>
                <w:color w:val="auto"/>
              </w:rPr>
            </w:pPr>
          </w:p>
        </w:tc>
        <w:tc>
          <w:tcPr>
            <w:tcW w:w="1380" w:type="dxa"/>
            <w:vAlign w:val="bottom"/>
          </w:tcPr>
          <w:p>
            <w:pPr>
              <w:jc w:val="center"/>
              <w:ind w:right="101"/>
              <w:spacing w:after="0"/>
              <w:rPr>
                <w:sz w:val="20"/>
                <w:szCs w:val="20"/>
                <w:color w:val="auto"/>
              </w:rPr>
            </w:pPr>
            <w:r>
              <w:rPr>
                <w:rFonts w:ascii="Arial" w:cs="Arial" w:eastAsia="Arial" w:hAnsi="Arial"/>
                <w:sz w:val="16"/>
                <w:szCs w:val="16"/>
                <w:b w:val="1"/>
                <w:bCs w:val="1"/>
                <w:color w:val="auto"/>
                <w:w w:val="97"/>
              </w:rPr>
              <w:t>per Share</w:t>
            </w: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60" w:type="dxa"/>
            <w:vAlign w:val="bottom"/>
          </w:tcPr>
          <w:p>
            <w:pPr>
              <w:spacing w:after="0"/>
              <w:rPr>
                <w:sz w:val="18"/>
                <w:szCs w:val="18"/>
                <w:color w:val="auto"/>
              </w:rPr>
            </w:pPr>
          </w:p>
        </w:tc>
        <w:tc>
          <w:tcPr>
            <w:tcW w:w="1380" w:type="dxa"/>
            <w:vAlign w:val="bottom"/>
          </w:tcPr>
          <w:p>
            <w:pPr>
              <w:jc w:val="center"/>
              <w:ind w:right="81"/>
              <w:spacing w:after="0"/>
              <w:rPr>
                <w:sz w:val="20"/>
                <w:szCs w:val="20"/>
                <w:color w:val="auto"/>
              </w:rPr>
            </w:pPr>
            <w:r>
              <w:rPr>
                <w:rFonts w:ascii="Arial" w:cs="Arial" w:eastAsia="Arial" w:hAnsi="Arial"/>
                <w:sz w:val="16"/>
                <w:szCs w:val="16"/>
                <w:b w:val="1"/>
                <w:bCs w:val="1"/>
                <w:color w:val="auto"/>
                <w:w w:val="96"/>
              </w:rPr>
              <w:t>Intrinsic Value</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2020</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5,944,546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8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2,018,903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(889,974)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19,735</w:t>
            </w: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(604,974)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17.27</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6,468,501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December 31, 2021</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80" w:type="dxa"/>
            <w:vAlign w:val="bottom"/>
            <w:vMerge w:val="continue"/>
          </w:tcPr>
          <w:p>
            <w:pPr>
              <w:spacing w:after="0"/>
              <w:rPr>
                <w:sz w:val="15"/>
                <w:szCs w:val="15"/>
                <w:color w:val="auto"/>
              </w:rPr>
            </w:pPr>
          </w:p>
        </w:tc>
        <w:tc>
          <w:tcPr>
            <w:tcW w:w="1520" w:type="dxa"/>
            <w:vAlign w:val="bottom"/>
          </w:tcPr>
          <w:p>
            <w:pPr>
              <w:jc w:val="right"/>
              <w:ind w:right="1"/>
              <w:spacing w:after="0" w:line="179" w:lineRule="exact"/>
              <w:rPr>
                <w:sz w:val="20"/>
                <w:szCs w:val="20"/>
                <w:color w:val="auto"/>
              </w:rPr>
            </w:pPr>
            <w:r>
              <w:rPr>
                <w:rFonts w:ascii="Arial" w:cs="Arial" w:eastAsia="Arial" w:hAnsi="Arial"/>
                <w:sz w:val="16"/>
                <w:szCs w:val="16"/>
                <w:color w:val="auto"/>
              </w:rPr>
              <w:t>2,001,767</w:t>
            </w:r>
          </w:p>
        </w:tc>
        <w:tc>
          <w:tcPr>
            <w:tcW w:w="100" w:type="dxa"/>
            <w:vAlign w:val="bottom"/>
          </w:tcPr>
          <w:p>
            <w:pPr>
              <w:spacing w:after="0"/>
              <w:rPr>
                <w:sz w:val="15"/>
                <w:szCs w:val="15"/>
                <w:color w:val="auto"/>
              </w:rPr>
            </w:pPr>
          </w:p>
        </w:tc>
        <w:tc>
          <w:tcPr>
            <w:tcW w:w="180" w:type="dxa"/>
            <w:vAlign w:val="bottom"/>
          </w:tcPr>
          <w:p>
            <w:pPr>
              <w:jc w:val="right"/>
              <w:ind w:right="1"/>
              <w:spacing w:after="0" w:line="179"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line="179" w:lineRule="exact"/>
              <w:rPr>
                <w:sz w:val="20"/>
                <w:szCs w:val="20"/>
                <w:color w:val="auto"/>
              </w:rPr>
            </w:pPr>
            <w:r>
              <w:rPr>
                <w:rFonts w:ascii="Arial" w:cs="Arial" w:eastAsia="Arial" w:hAnsi="Arial"/>
                <w:sz w:val="16"/>
                <w:szCs w:val="16"/>
                <w:color w:val="auto"/>
              </w:rPr>
              <w:t>8.77</w:t>
            </w:r>
          </w:p>
        </w:tc>
        <w:tc>
          <w:tcPr>
            <w:tcW w:w="1640" w:type="dxa"/>
            <w:vAlign w:val="bottom"/>
            <w:gridSpan w:val="2"/>
          </w:tcPr>
          <w:p>
            <w:pPr>
              <w:jc w:val="right"/>
              <w:spacing w:after="0" w:line="179" w:lineRule="exact"/>
              <w:rPr>
                <w:sz w:val="20"/>
                <w:szCs w:val="20"/>
                <w:color w:val="auto"/>
              </w:rPr>
            </w:pPr>
            <w:r>
              <w:rPr>
                <w:rFonts w:ascii="Arial" w:cs="Arial" w:eastAsia="Arial" w:hAnsi="Arial"/>
                <w:sz w:val="16"/>
                <w:szCs w:val="16"/>
                <w:color w:val="auto"/>
              </w:rPr>
              <w:t>8.08</w:t>
            </w:r>
          </w:p>
        </w:tc>
        <w:tc>
          <w:tcPr>
            <w:tcW w:w="100" w:type="dxa"/>
            <w:vAlign w:val="bottom"/>
          </w:tcPr>
          <w:p>
            <w:pPr>
              <w:spacing w:after="0"/>
              <w:rPr>
                <w:sz w:val="15"/>
                <w:szCs w:val="15"/>
                <w:color w:val="auto"/>
              </w:rPr>
            </w:pPr>
          </w:p>
        </w:tc>
        <w:tc>
          <w:tcPr>
            <w:tcW w:w="160" w:type="dxa"/>
            <w:vAlign w:val="bottom"/>
          </w:tcPr>
          <w:p>
            <w:pPr>
              <w:jc w:val="right"/>
              <w:spacing w:after="0" w:line="179"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line="179" w:lineRule="exact"/>
              <w:rPr>
                <w:sz w:val="20"/>
                <w:szCs w:val="20"/>
                <w:color w:val="auto"/>
              </w:rPr>
            </w:pPr>
            <w:r>
              <w:rPr>
                <w:rFonts w:ascii="Arial" w:cs="Arial" w:eastAsia="Arial" w:hAnsi="Arial"/>
                <w:sz w:val="16"/>
                <w:szCs w:val="16"/>
                <w:color w:val="auto"/>
              </w:rPr>
              <w:t>24,971</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2021</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6,468,501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57,146</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The aggregate intrinsic value of stock options exercised for the year ended December 31, 2020 was $0.7 million. 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2021.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Stock Options</w:t>
      </w:r>
    </w:p>
    <w:p>
      <w:pPr>
        <w:spacing w:after="0" w:line="13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grant-date fair value of stock options granted to employees, members of the Board and non-employees and share purchases under the ESPP on the date of grant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r>
      <w:tr>
        <w:trPr>
          <w:trHeight w:val="205"/>
        </w:trPr>
        <w:tc>
          <w:tcPr>
            <w:tcW w:w="78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7"/>
                <w:szCs w:val="17"/>
                <w:color w:val="auto"/>
              </w:rPr>
            </w:pPr>
          </w:p>
        </w:tc>
      </w:tr>
      <w:tr>
        <w:trPr>
          <w:trHeight w:val="19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7"/>
        </w:trPr>
        <w:tc>
          <w:tcPr>
            <w:tcW w:w="7840" w:type="dxa"/>
            <w:vAlign w:val="bottom"/>
          </w:tcPr>
          <w:p>
            <w:pPr>
              <w:ind w:left="240"/>
              <w:spacing w:after="0"/>
              <w:rPr>
                <w:sz w:val="20"/>
                <w:szCs w:val="20"/>
                <w:color w:val="auto"/>
              </w:rPr>
            </w:pPr>
            <w:r>
              <w:rPr>
                <w:rFonts w:ascii="Arial" w:cs="Arial" w:eastAsia="Arial" w:hAnsi="Arial"/>
                <w:sz w:val="16"/>
                <w:szCs w:val="16"/>
                <w:color w:val="auto"/>
              </w:rPr>
              <w:t>Risk-free interest rate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0.86 %</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0.47 %</w:t>
            </w:r>
          </w:p>
        </w:tc>
      </w:tr>
      <w:tr>
        <w:trPr>
          <w:trHeight w:val="21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term (in years)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07"/>
        </w:trPr>
        <w:tc>
          <w:tcPr>
            <w:tcW w:w="7840" w:type="dxa"/>
            <w:vAlign w:val="bottom"/>
          </w:tcPr>
          <w:p>
            <w:pPr>
              <w:ind w:left="240"/>
              <w:spacing w:after="0"/>
              <w:rPr>
                <w:sz w:val="20"/>
                <w:szCs w:val="20"/>
                <w:color w:val="auto"/>
              </w:rPr>
            </w:pPr>
            <w:r>
              <w:rPr>
                <w:rFonts w:ascii="Arial" w:cs="Arial" w:eastAsia="Arial" w:hAnsi="Arial"/>
                <w:sz w:val="16"/>
                <w:szCs w:val="16"/>
                <w:color w:val="auto"/>
              </w:rPr>
              <w:t>Expected volatility</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8"/>
              </w:rPr>
              <w:t>85.52 %</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8"/>
              </w:rPr>
              <w:t>85.94 %</w:t>
            </w:r>
          </w:p>
        </w:tc>
      </w:tr>
      <w:tr>
        <w:trPr>
          <w:trHeight w:val="21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dividend yield</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3"/>
        </w:trPr>
        <w:tc>
          <w:tcPr>
            <w:tcW w:w="7840" w:type="dxa"/>
            <w:vAlign w:val="bottom"/>
          </w:tcPr>
          <w:p>
            <w:pPr>
              <w:ind w:left="240"/>
              <w:spacing w:after="0"/>
              <w:rPr>
                <w:sz w:val="20"/>
                <w:szCs w:val="20"/>
                <w:color w:val="auto"/>
              </w:rPr>
            </w:pPr>
            <w:r>
              <w:rPr>
                <w:rFonts w:ascii="Arial" w:cs="Arial" w:eastAsia="Arial" w:hAnsi="Arial"/>
                <w:sz w:val="16"/>
                <w:szCs w:val="16"/>
                <w:color w:val="auto"/>
              </w:rPr>
              <w:t>Weighted average grant-date fair value per share</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21"/>
              <w:spacing w:after="0"/>
              <w:rPr>
                <w:sz w:val="20"/>
                <w:szCs w:val="20"/>
                <w:color w:val="auto"/>
              </w:rPr>
            </w:pPr>
            <w:r>
              <w:rPr>
                <w:rFonts w:ascii="Arial" w:cs="Arial" w:eastAsia="Arial" w:hAnsi="Arial"/>
                <w:sz w:val="16"/>
                <w:szCs w:val="16"/>
                <w:color w:val="auto"/>
                <w:w w:val="99"/>
              </w:rPr>
              <w:t>27.58</w:t>
            </w:r>
          </w:p>
        </w:tc>
        <w:tc>
          <w:tcPr>
            <w:tcW w:w="120" w:type="dxa"/>
            <w:vAlign w:val="bottom"/>
          </w:tcPr>
          <w:p>
            <w:pPr>
              <w:spacing w:after="0"/>
              <w:rPr>
                <w:sz w:val="17"/>
                <w:szCs w:val="17"/>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6.51</w:t>
            </w:r>
          </w:p>
        </w:tc>
      </w:tr>
    </w:tbl>
    <w:p>
      <w:pPr>
        <w:spacing w:after="0" w:line="307"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As of December 31, 2021, total unrecognized compensation cost related to unvested stock options was $57.0 million, which is expected to be recognized over a weighted-average period of 2.72 years.</w:t>
      </w:r>
    </w:p>
    <w:p>
      <w:pPr>
        <w:spacing w:after="0" w:line="181" w:lineRule="exact"/>
        <w:rPr>
          <w:sz w:val="20"/>
          <w:szCs w:val="20"/>
          <w:color w:val="auto"/>
        </w:rPr>
      </w:pPr>
    </w:p>
    <w:p>
      <w:pPr>
        <w:ind w:right="300" w:firstLine="433"/>
        <w:spacing w:after="0" w:line="266" w:lineRule="auto"/>
        <w:rPr>
          <w:sz w:val="20"/>
          <w:szCs w:val="20"/>
          <w:color w:val="auto"/>
        </w:rPr>
      </w:pPr>
      <w:r>
        <w:rPr>
          <w:rFonts w:ascii="Arial" w:cs="Arial" w:eastAsia="Arial" w:hAnsi="Arial"/>
          <w:sz w:val="17"/>
          <w:szCs w:val="17"/>
          <w:color w:val="auto"/>
        </w:rPr>
        <w:t>In December 2020, the Company recognized approximately $2.1 million of stock-based compensation expense, recorded within general and administrative expense, related to the modification of option awards granted to former employee in conjunction with their termination of employment.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Stock--based compensation expense was allocated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7"/>
                <w:szCs w:val="17"/>
                <w:color w:val="auto"/>
              </w:rPr>
            </w:pPr>
          </w:p>
        </w:tc>
      </w:tr>
      <w:tr>
        <w:trPr>
          <w:trHeight w:val="20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9,350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8"/>
              </w:rPr>
              <w:t>13,343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w:t>
            </w:r>
          </w:p>
        </w:tc>
      </w:tr>
      <w:tr>
        <w:trPr>
          <w:trHeight w:val="228"/>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22,693</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both"/>
        <w:ind w:right="8980" w:firstLine="5"/>
        <w:spacing w:after="0" w:line="383" w:lineRule="auto"/>
        <w:tabs>
          <w:tab w:leader="none" w:pos="291"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Agreements </w:t>
      </w:r>
      <w:r>
        <w:rPr>
          <w:rFonts w:ascii="Arial" w:cs="Arial" w:eastAsia="Arial" w:hAnsi="Arial"/>
          <w:sz w:val="17"/>
          <w:szCs w:val="17"/>
          <w:b w:val="1"/>
          <w:bCs w:val="1"/>
          <w:i w:val="1"/>
          <w:iCs w:val="1"/>
          <w:color w:val="auto"/>
        </w:rPr>
        <w:t>Purdue License Agreement</w:t>
      </w:r>
    </w:p>
    <w:p>
      <w:pPr>
        <w:spacing w:after="0" w:line="1"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On December 31, 2017, the Company entered into a License Agreement with Purdue (the “Purdue License Agreement”), pursuant to which Purdue granted the Company exclusive rights under certain Purdue know-how to research, develop and commercialize pharmaceutical products concerning a GABA</w:t>
      </w:r>
      <w:r>
        <w:rPr>
          <w:rFonts w:ascii="Arial" w:cs="Arial" w:eastAsia="Arial" w:hAnsi="Arial"/>
          <w:sz w:val="15"/>
          <w:szCs w:val="15"/>
          <w:color w:val="auto"/>
        </w:rPr>
        <w:t>A</w:t>
      </w:r>
      <w:r>
        <w:rPr>
          <w:rFonts w:ascii="Arial" w:cs="Arial" w:eastAsia="Arial" w:hAnsi="Arial"/>
          <w:sz w:val="17"/>
          <w:szCs w:val="17"/>
          <w:color w:val="auto"/>
        </w:rPr>
        <w:t xml:space="preserve"> positive allosteric modulator. The Company is obligated to make future milestone payments based on the achievement of specified development and sales milestones up to $33.0 million. Furthermore, the Company is required to pay Purdue royalties of a low-single-digit percentage of annual net sales of licensed products.</w:t>
      </w:r>
    </w:p>
    <w:p>
      <w:pPr>
        <w:spacing w:after="0" w:line="192"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The Purdue License Agreement will remain in effect until the expiration of the Company’s royalty obligation for all licensed products. Either the Company or Purdue may terminate the agreement in the event of a material breach by the other party and fails to cure such breach within a certain period of time. Either party may voluntarily terminate the agreement with prior notice. If the agreement is voluntarily terminated by Purdue, the Company’s license rights will survive such termination and such rights will become fully paid, perpetual and irrevocable.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2021, none of the developmental or sales milestones under the Purdue License Agreement were achieved.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RogCon and Ionis Agreements</w:t>
      </w:r>
    </w:p>
    <w:p>
      <w:pPr>
        <w:spacing w:after="0" w:line="100"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During 2018, the Company began negotiating a license agreement with RogCon Inc. (“RogCon”) for intellectual property related to treating SCN2A mutations in epilepsy, which is recognized as the second most common genetic cause of epilepsy. RogCon had an existing collaboration with Ionis Pharmaceuticals, Inc. (“Ionis”) and as a result the Company needed to negotiate an agreement with Ionis in order to complete the license agreement with RogCon. On December 21, 2018, the Company entered into an agreement with RogCon to advance RogCon a deposit of up to $1.0 million on the pending license agreement while the agreement with Ionis was being negotiated. The deposit was fully refundable to the Company. On September 11, 2019, the Company entered into both a Cooperation and License Agreement (the “License Agreement”) with RogCon, and a Research, Collaboration, Option and License Agreement (the “Collaboration Agreement”) with Ionis. The agreements were entered into contemporaneously to enable the parties to advance their collective efforts related to SCN2A. Upon execution of the License Agreement, the $1.0 million outstanding balance of the deposit was applied toward the purchase price of the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RogCon Agreement</w:t>
      </w:r>
    </w:p>
    <w:p>
      <w:pPr>
        <w:spacing w:after="0" w:line="98"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Under the License Agreement, the Company will conduct, at its own cost and expense, the research and development activities assigned to it under the research plan. In addition, the Company is responsible for reimbursing RogCon for any costs associated with research and development activities RogCon performs at the request of the Company. As part of the agreement, the Company agreed to provide up-front consideration of $2.1 million, consisting of the $1.0 million deposit, $0.7 million in cash reimbursements for certain historical costs previously incurred by RogCon, and $0.4 million for the retirement of existing loan balances as of September 11,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80" w:firstLine="433"/>
        <w:spacing w:after="0" w:line="266" w:lineRule="auto"/>
        <w:rPr>
          <w:sz w:val="20"/>
          <w:szCs w:val="20"/>
          <w:color w:val="auto"/>
        </w:rPr>
      </w:pPr>
      <w:r>
        <w:rPr>
          <w:rFonts w:ascii="Arial" w:cs="Arial" w:eastAsia="Arial" w:hAnsi="Arial"/>
          <w:sz w:val="17"/>
          <w:szCs w:val="17"/>
          <w:color w:val="auto"/>
        </w:rPr>
        <w:t>The Company concluded that the License Agreement represented the acquisition of in-process research and development assets with no alternative future use. Therefore, the aggregate acquisition cost of $2.2 million, consisting of the $2.1 million of up-front consideration and $0.1 million of acquisition costs, was expensed as research and development on September 11, 2019.</w:t>
      </w:r>
    </w:p>
    <w:p>
      <w:pPr>
        <w:spacing w:after="0" w:line="189"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Subsequent to September 11, 2019, the Company will reimburse RogCon for its out-of-pocket costs incurred for activities performed under the License Agreement. The Company expenses these costs as incurred as research and development. The Company expensed $0.1 million and $0.2 million for the reimbursement of RogCon’s out-of-pocket costs in the years ended December 31, 2021 and 2020, respectively. As of December 31, 2021 and 2020, the Company had accrued expenses of $0.3 million due to RogCon under the License Agreement.</w:t>
      </w:r>
    </w:p>
    <w:p>
      <w:pPr>
        <w:spacing w:after="0" w:line="192"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Additionally, the Company may pay RogCon a milestone payment of $3.0 million and profit share payments. The $3.0 million milestone payment will become due when the first profit share payment has become due and certain contingent payments have become payable to Ionis under the Collaboration Agreement, which are subject to the Company exercising its option to obtain license rights to a development candidate, as well as other contingent events. The profit share payments will be based on a low-double-digit percentage of net profits, depending on sales volume.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License Agreement, unless earlier terminated, will continue until the latest of: (i) expiration of all patent rights within RogCon patents,</w:t>
      </w:r>
    </w:p>
    <w:p>
      <w:pPr>
        <w:spacing w:after="0" w:line="14" w:lineRule="exact"/>
        <w:rPr>
          <w:sz w:val="20"/>
          <w:szCs w:val="20"/>
          <w:color w:val="auto"/>
        </w:rPr>
      </w:pPr>
    </w:p>
    <w:p>
      <w:pPr>
        <w:ind w:right="100" w:firstLine="5"/>
        <w:spacing w:after="0" w:line="262" w:lineRule="auto"/>
        <w:tabs>
          <w:tab w:leader="none" w:pos="2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and its affiliates certify they have abandoned the research, development and commercialization of product with no intention to re-establish such activities, and (iii) no third party is obligated to pay the Company or its affiliates any amounts that comprise net sublicense revenue. Either party may terminate the License Agreement for material breach or insolvency of the other party. Additionally, the Company may terminate for convenience with prior written notice to RogCon. Upon termination by either party, all rights and licenses granted by RogCon to the Company will revert back to RogCon.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Ionis Collaboration Agreement</w:t>
      </w:r>
    </w:p>
    <w:p>
      <w:pPr>
        <w:spacing w:after="0" w:line="98"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Under the Collaboration Agreement, both parties will participate in research activities related to the downregulation of SCN2A gene products associated with the treatment of any and all forms of epilepsy and/or neurodevelopmental disorders in each case caused by any mutation of the SCN2A gene, other than one severe type of epilepsy. Ionis will also be responsible for identifying a development candidate and conducting an IND-enabling toxicology study. The Company will reimburse Ionis for any out-of-pocket costs incurred related to the research activities, identification of a development candidate and conducting an IND-enabling toxicology study. Additionally, the Company agreed to reimburse $0.3 million of costs incurred by Ionis for the performance of research activities prior to the execution of the Collaboration Agreement, which the Company recognized as research and development expense. The reimbursement of out-of-pocket costs is recognized as research and development expense as incurred. The Company expensed a total of $1.9 million and $1.7 million, as research and development expense under the Collaboration Agreement for the years ended December 31, 2021 and 2020, respectively.</w:t>
      </w:r>
    </w:p>
    <w:p>
      <w:pPr>
        <w:spacing w:after="0" w:line="20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Ionis granted the Company an exclusive option to obtain the rights and license to further develop and commercialize a development candidate in the field of epilepsy and neurodevelopmental disorders, other than Dravet Syndrome, following the results of the IND-enabling toxicology study. The Company exercised this exclusive option in January 2022 and paid a $ 2.0 million license fee.The Company concluded that there was no accounting recognition for the exclusive option until such option was exercised because it was a unilateral right of the Company that was priced at an amount that approximated fair value. The Company recognized the license fee in January 2022. After option exercise, the Company is responsible for clinical development and commercialization of the development candidate.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Ionis may be entitled to development milestone payments, additional milestone payments, and sales royalties or sublicense fees.</w:t>
      </w:r>
    </w:p>
    <w:p>
      <w:pPr>
        <w:spacing w:after="0" w:line="224" w:lineRule="exact"/>
        <w:rPr>
          <w:sz w:val="20"/>
          <w:szCs w:val="20"/>
          <w:color w:val="auto"/>
        </w:rPr>
      </w:pPr>
    </w:p>
    <w:p>
      <w:pPr>
        <w:jc w:val="both"/>
        <w:ind w:right="20" w:firstLine="433"/>
        <w:spacing w:after="0" w:line="266" w:lineRule="auto"/>
        <w:rPr>
          <w:sz w:val="20"/>
          <w:szCs w:val="20"/>
          <w:color w:val="auto"/>
        </w:rPr>
      </w:pPr>
      <w:r>
        <w:rPr>
          <w:rFonts w:ascii="Arial" w:cs="Arial" w:eastAsia="Arial" w:hAnsi="Arial"/>
          <w:sz w:val="17"/>
          <w:szCs w:val="17"/>
          <w:color w:val="auto"/>
        </w:rPr>
        <w:t>The Collaboration Agreement will continue until the expiration of all payment obligations to Ionis, unless earlier terminated. Either party may terminate the Collaboration Agreement upon material breach or insolvency of the other party. Ionis may terminate if the Company fails to achieve a performance milestone. The Company may terminate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for convenience with prior written notice to Ionis. Upon termination by the Company for convenience, the Company will stop selling all products, subject to certain wind-down provisions, and all products will revert back to Ionis.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Net Loss per Share</w:t>
      </w:r>
    </w:p>
    <w:p>
      <w:pPr>
        <w:spacing w:after="0" w:line="141"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(167,061)</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(61,820)</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Accretion and cumulative dividends on redeemable convertible preferred stock</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(8,996)</w:t>
            </w:r>
          </w:p>
        </w:tc>
        <w:tc>
          <w:tcPr>
            <w:tcW w:w="0" w:type="dxa"/>
            <w:vAlign w:val="bottom"/>
          </w:tcPr>
          <w:p>
            <w:pPr>
              <w:spacing w:after="0"/>
              <w:rPr>
                <w:sz w:val="1"/>
                <w:szCs w:val="1"/>
                <w:color w:val="auto"/>
              </w:rPr>
            </w:pPr>
          </w:p>
        </w:tc>
      </w:tr>
      <w:tr>
        <w:trPr>
          <w:trHeight w:val="207"/>
        </w:trPr>
        <w:tc>
          <w:tcPr>
            <w:tcW w:w="8040" w:type="dxa"/>
            <w:vAlign w:val="bottom"/>
          </w:tcPr>
          <w:p>
            <w:pPr>
              <w:ind w:left="240"/>
              <w:spacing w:after="0"/>
              <w:rPr>
                <w:sz w:val="20"/>
                <w:szCs w:val="20"/>
                <w:color w:val="auto"/>
              </w:rPr>
            </w:pPr>
            <w:r>
              <w:rPr>
                <w:rFonts w:ascii="Arial" w:cs="Arial" w:eastAsia="Arial" w:hAnsi="Arial"/>
                <w:sz w:val="16"/>
                <w:szCs w:val="16"/>
                <w:color w:val="auto"/>
              </w:rPr>
              <w:t>Gain on repurchase of redeemable convertible preferred stock</w:t>
            </w:r>
          </w:p>
        </w:tc>
        <w:tc>
          <w:tcPr>
            <w:tcW w:w="3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28"/>
        </w:trPr>
        <w:tc>
          <w:tcPr>
            <w:tcW w:w="8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Weighted average common shares outstanding, basic and diluted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42,454,055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8,950,152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4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18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(3.94)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3"/>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85"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Borders>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5,944,546</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6"/>
                <w:szCs w:val="16"/>
                <w:color w:val="auto"/>
              </w:rPr>
              <w:t>440,079</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ESPP</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33,425</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0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6,942,005</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5,944,546</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02" w:lineRule="exact"/>
        <w:rPr>
          <w:sz w:val="20"/>
          <w:szCs w:val="20"/>
          <w:color w:val="auto"/>
        </w:rPr>
      </w:pPr>
    </w:p>
    <w:p>
      <w:pPr>
        <w:ind w:right="200" w:firstLine="433"/>
        <w:spacing w:after="0" w:line="262" w:lineRule="auto"/>
        <w:rPr>
          <w:sz w:val="20"/>
          <w:szCs w:val="20"/>
          <w:color w:val="auto"/>
        </w:rPr>
      </w:pPr>
      <w:r>
        <w:rPr>
          <w:rFonts w:ascii="Arial" w:cs="Arial" w:eastAsia="Arial" w:hAnsi="Arial"/>
          <w:sz w:val="17"/>
          <w:szCs w:val="17"/>
          <w:color w:val="auto"/>
        </w:rPr>
        <w:t>The Company maintains a full valuation allowance on its U.S. net deferred tax assets due to the uncertainty of future taxable income. The Company did not recognize an income tax benefit in the years ended December 31, 2021 or 2020 related to its U.S. operations due to the uncertainty regarding future taxable income. In the years ended December 31, 2021 and 2020, the difference between the statutory tax rate in the U.S. and the Company’s effective tax rate was due primarily to the valuation allowance recorded to offset any potential tax benefit. The income tax benefit (provision) recognized for the years ended December 31, 2021 and 2020 was not material.</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reconciliation of the U.S. statutory income tax rate to the Company’s effective tax rate is as follows:</w:t>
      </w:r>
    </w:p>
    <w:p>
      <w:pPr>
        <w:spacing w:after="0" w:line="128"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20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7"/>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benefit</w:t>
            </w:r>
          </w:p>
        </w:tc>
        <w:tc>
          <w:tcPr>
            <w:tcW w:w="60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1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and state research and development credits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7"/>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Non-deductible items</w:t>
            </w: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(29.4)%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2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2" w:name="page153"/>
    <w:bookmarkEnd w:id="1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deferred tax assets consisted of the following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r>
      <w:tr>
        <w:trPr>
          <w:trHeight w:val="177"/>
        </w:trPr>
        <w:tc>
          <w:tcPr>
            <w:tcW w:w="80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8040" w:type="dxa"/>
            <w:vAlign w:val="bottom"/>
          </w:tcPr>
          <w:p>
            <w:pPr>
              <w:ind w:left="340"/>
              <w:spacing w:after="0"/>
              <w:rPr>
                <w:sz w:val="20"/>
                <w:szCs w:val="20"/>
                <w:color w:val="auto"/>
              </w:rPr>
            </w:pPr>
            <w:r>
              <w:rPr>
                <w:rFonts w:ascii="Arial" w:cs="Arial" w:eastAsia="Arial" w:hAnsi="Arial"/>
                <w:sz w:val="16"/>
                <w:szCs w:val="16"/>
                <w:color w:val="auto"/>
              </w:rPr>
              <w:t>Net operating loss carryforwards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56,482</w:t>
            </w:r>
          </w:p>
        </w:tc>
        <w:tc>
          <w:tcPr>
            <w:tcW w:w="100" w:type="dxa"/>
            <w:vAlign w:val="bottom"/>
          </w:tcPr>
          <w:p>
            <w:pPr>
              <w:spacing w:after="0"/>
              <w:rPr>
                <w:sz w:val="17"/>
                <w:szCs w:val="17"/>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26,441</w:t>
            </w:r>
          </w:p>
        </w:tc>
      </w:tr>
      <w:tr>
        <w:trPr>
          <w:trHeight w:val="213"/>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5,774</w:t>
            </w:r>
          </w:p>
        </w:tc>
      </w:tr>
      <w:tr>
        <w:trPr>
          <w:trHeight w:val="207"/>
        </w:trPr>
        <w:tc>
          <w:tcPr>
            <w:tcW w:w="8040" w:type="dxa"/>
            <w:vAlign w:val="bottom"/>
          </w:tcPr>
          <w:p>
            <w:pPr>
              <w:ind w:left="340"/>
              <w:spacing w:after="0"/>
              <w:rPr>
                <w:sz w:val="20"/>
                <w:szCs w:val="20"/>
                <w:color w:val="auto"/>
              </w:rPr>
            </w:pPr>
            <w:r>
              <w:rPr>
                <w:rFonts w:ascii="Arial" w:cs="Arial" w:eastAsia="Arial" w:hAnsi="Arial"/>
                <w:sz w:val="16"/>
                <w:szCs w:val="16"/>
                <w:color w:val="auto"/>
              </w:rPr>
              <w:t>Research and development credits</w:t>
            </w:r>
          </w:p>
        </w:tc>
        <w:tc>
          <w:tcPr>
            <w:tcW w:w="94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9,296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3,053</w:t>
            </w:r>
          </w:p>
        </w:tc>
      </w:tr>
      <w:tr>
        <w:trPr>
          <w:trHeight w:val="213"/>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7"/>
        </w:trPr>
        <w:tc>
          <w:tcPr>
            <w:tcW w:w="804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94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1,433</w:t>
            </w:r>
          </w:p>
        </w:tc>
      </w:tr>
      <w:tr>
        <w:trPr>
          <w:trHeight w:val="213"/>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Total gross deferred tax assets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86,916</w:t>
            </w:r>
          </w:p>
        </w:tc>
        <w:tc>
          <w:tcPr>
            <w:tcW w:w="100" w:type="dxa"/>
            <w:vAlign w:val="bottom"/>
          </w:tcPr>
          <w:p>
            <w:pPr>
              <w:spacing w:after="0"/>
              <w:rPr>
                <w:sz w:val="17"/>
                <w:szCs w:val="17"/>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37,078</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Valuation allowance</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(85,957)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(36,873)</w:t>
            </w:r>
          </w:p>
        </w:tc>
      </w:tr>
      <w:tr>
        <w:trPr>
          <w:trHeight w:val="200"/>
        </w:trPr>
        <w:tc>
          <w:tcPr>
            <w:tcW w:w="8040" w:type="dxa"/>
            <w:vAlign w:val="bottom"/>
          </w:tcPr>
          <w:p>
            <w:pPr>
              <w:ind w:left="340"/>
              <w:spacing w:after="0"/>
              <w:rPr>
                <w:sz w:val="20"/>
                <w:szCs w:val="20"/>
                <w:color w:val="auto"/>
              </w:rPr>
            </w:pPr>
            <w:r>
              <w:rPr>
                <w:rFonts w:ascii="Arial" w:cs="Arial" w:eastAsia="Arial" w:hAnsi="Arial"/>
                <w:sz w:val="16"/>
                <w:szCs w:val="16"/>
                <w:color w:val="auto"/>
              </w:rPr>
              <w:t>Net deferred tax assets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7"/>
                <w:szCs w:val="17"/>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right-of-use asset</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deferred tax liabilities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
        </w:trPr>
        <w:tc>
          <w:tcPr>
            <w:tcW w:w="8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0" w:firstLine="433"/>
        <w:spacing w:after="0" w:line="262" w:lineRule="auto"/>
        <w:rPr>
          <w:sz w:val="20"/>
          <w:szCs w:val="20"/>
          <w:color w:val="auto"/>
        </w:rPr>
      </w:pPr>
      <w:r>
        <w:rPr>
          <w:rFonts w:ascii="Arial" w:cs="Arial" w:eastAsia="Arial" w:hAnsi="Arial"/>
          <w:sz w:val="17"/>
          <w:szCs w:val="17"/>
          <w:color w:val="auto"/>
        </w:rPr>
        <w:t>As of December 31, 2021 and 2020, the Company had U.S. federal net operating loss carryforwards which may be able to offset future income tax liabilities of approximately $212.3 million and $97.1 million, respectively. Federal net operating loss carryforwards of $7.7 million will expire at various dates from 2035 through 2037 and approximately $204.6 million may be carried forward indefinitely. As of December 31, 2021 and 2020, the Company also had state net operating loss carryforwards of approximately $187.6 million and $94.5 million, respectively, which may be available to offset future income tax liabilities and expire at various dates from 2036 through 2041.</w:t>
      </w:r>
    </w:p>
    <w:p>
      <w:pPr>
        <w:spacing w:after="0" w:line="192"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As of December 31, 2021 and 2020, the Company had federal research and development tax credit carryforwards of approximately $7.3 million and $2.4 million, respectively, available to reduce future tax liabilities which expire at various dates from 2039 through 2041. As of December 31, 2021 and 2020, the Company had state research and development tax credit carryforwards of approximately $2.5 million and $0.9 million, respectively, available to reduce future tax liabilities which expire at various dates from 2031 through 2036. The Company has generated research credits but has not conducted a study to document the qualified activity.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200" w:lineRule="exact"/>
        <w:rPr>
          <w:sz w:val="20"/>
          <w:szCs w:val="20"/>
          <w:color w:val="auto"/>
        </w:rPr>
      </w:pPr>
    </w:p>
    <w:p>
      <w:pPr>
        <w:ind w:right="20" w:firstLine="433"/>
        <w:spacing w:after="0" w:line="259" w:lineRule="auto"/>
        <w:rPr>
          <w:sz w:val="20"/>
          <w:szCs w:val="20"/>
          <w:color w:val="auto"/>
        </w:rPr>
      </w:pPr>
      <w:r>
        <w:rPr>
          <w:rFonts w:ascii="Arial" w:cs="Arial" w:eastAsia="Arial" w:hAnsi="Arial"/>
          <w:sz w:val="17"/>
          <w:szCs w:val="17"/>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189"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both positive and negative, the Company has recorded a valuation allowance against its deferred tax assets at December 31, 2021 and 2020 because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As a result, a valuation allowance of $86.0 million and $36.9 million has been established at December 31, 2021 and 2020, respectively. Management reevaluates the positive and negative evidence at each reporting period. The valuation allowance increased by approximately $49.1 million and $17.3 million during the years ended December 31, 2021 and 2020, respectively, due primarily to the generation of net operating losses.</w:t>
      </w:r>
    </w:p>
    <w:p>
      <w:pPr>
        <w:spacing w:after="0" w:line="20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Company has not recorded any amounts for unrecognized tax benefits as of December 31, 2021 and 2020. The Company’s policy is to record interest and penalties related to uncertain tax positions as part of its income tax provision. As of December 31, 2021 and 2020, the Company had no accrued interest or penalties related to uncertain tax positions and no such amounts have been recognized in the Company’s consolidated statement of operations for either year ended December 31, 2021 or 2020. The statute of limitations for federal and state tax authorities is open for tax years ended December 31, 2018 through December 31, 2021. Since the Company is in a net loss carryforward position, the Company is generally subject to examination by the U.S. federal, state and local income tax authorities for all tax years in which a loss carryforward is available.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 Party Transactions</w:t>
      </w:r>
    </w:p>
    <w:p>
      <w:pPr>
        <w:spacing w:after="0" w:line="246" w:lineRule="exact"/>
        <w:rPr>
          <w:sz w:val="20"/>
          <w:szCs w:val="20"/>
          <w:color w:val="auto"/>
        </w:rPr>
      </w:pPr>
    </w:p>
    <w:p>
      <w:pPr>
        <w:ind w:right="200" w:firstLine="433"/>
        <w:spacing w:after="0" w:line="275" w:lineRule="auto"/>
        <w:rPr>
          <w:sz w:val="20"/>
          <w:szCs w:val="20"/>
          <w:color w:val="auto"/>
        </w:rPr>
      </w:pPr>
      <w:r>
        <w:rPr>
          <w:rFonts w:ascii="Arial" w:cs="Arial" w:eastAsia="Arial" w:hAnsi="Arial"/>
          <w:sz w:val="17"/>
          <w:szCs w:val="17"/>
          <w:color w:val="auto"/>
        </w:rPr>
        <w:t>One of the founders of RogCon became the Company's General Counsel in June 2020. During the years ended December 31, 2021 and 2020, the Company reimbursed RogCon for its out-of-pocket costs incurred for activities performed under the License Agreement (Note 12).</w:t>
      </w:r>
    </w:p>
    <w:p>
      <w:pPr>
        <w:spacing w:after="0" w:line="208"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A former member of the Board was affiliated with Purdue through September 2020. During the years ended December 31, 2021 and 2020, the Company performed certain research and development activities pursuant to the Purdue License Agreement (Note 12).</w:t>
      </w:r>
    </w:p>
    <w:p>
      <w:pPr>
        <w:spacing w:after="0" w:line="181"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During the year ended December 31, 2020, related parties participated in each of the Company’s offerings of the Redeemable Convertible Preferred Stock (Note 9).</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Employee Benefit Plan</w:t>
      </w:r>
    </w:p>
    <w:p>
      <w:pPr>
        <w:spacing w:after="0" w:line="102"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for eligible employees. The plan covers substantially all employees who meet a minimum age requirement and allows participants to defer a portion of their annual compensation on a pre-tax basis. Under the plan, the Company is not obligated to match any participant contributions. The Company made contributions of $1.0 million and $0.5 million during the years ended December 31, 2021 and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Events</w:t>
      </w:r>
    </w:p>
    <w:p>
      <w:pPr>
        <w:spacing w:after="0" w:line="246"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The Company has completed an evaluation of subsequent events after the consolidated balance sheet date of December 31, 2021 through the date these consolidated financial statements were issued. The Company has concluded that no subsequent events have occurred that require disclosure.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Effectiveness of Controls and Procedures</w:t>
      </w:r>
    </w:p>
    <w:p>
      <w:pPr>
        <w:spacing w:after="0" w:line="27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70"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222"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Chief Financial Officer (our principal financial officer), evaluated the effectiveness of our disclosure controls and procedures as of December 31, 2021.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70" w:lineRule="exact"/>
        <w:rPr>
          <w:sz w:val="20"/>
          <w:szCs w:val="20"/>
          <w:color w:val="auto"/>
        </w:rPr>
      </w:pPr>
    </w:p>
    <w:p>
      <w:pPr>
        <w:ind w:right="100" w:firstLine="433"/>
        <w:spacing w:after="0" w:line="275" w:lineRule="auto"/>
        <w:rPr>
          <w:sz w:val="20"/>
          <w:szCs w:val="20"/>
          <w:color w:val="auto"/>
        </w:rPr>
      </w:pPr>
      <w:r>
        <w:rPr>
          <w:rFonts w:ascii="Arial" w:cs="Arial" w:eastAsia="Arial" w:hAnsi="Arial"/>
          <w:sz w:val="17"/>
          <w:szCs w:val="17"/>
          <w:color w:val="auto"/>
        </w:rPr>
        <w:t>There were no changes in our internal control over financial reporting that occurred during the the three months ended December 31, 2021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27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Rules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2021. Management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2021.</w:t>
      </w:r>
    </w:p>
    <w:p>
      <w:pPr>
        <w:spacing w:after="0" w:line="219" w:lineRule="exact"/>
        <w:rPr>
          <w:sz w:val="20"/>
          <w:szCs w:val="20"/>
          <w:color w:val="auto"/>
        </w:rPr>
      </w:pPr>
    </w:p>
    <w:p>
      <w:pPr>
        <w:ind w:right="500" w:firstLine="629"/>
        <w:spacing w:after="0" w:line="275" w:lineRule="auto"/>
        <w:rPr>
          <w:sz w:val="20"/>
          <w:szCs w:val="20"/>
          <w:color w:val="auto"/>
        </w:rPr>
      </w:pPr>
      <w:r>
        <w:rPr>
          <w:rFonts w:ascii="Arial" w:cs="Arial" w:eastAsia="Arial" w:hAnsi="Arial"/>
          <w:sz w:val="17"/>
          <w:szCs w:val="17"/>
          <w:color w:val="auto"/>
        </w:rPr>
        <w:t>Ernst &amp; Young LLP, an independent registered public accounting firm, audited the effectiveness of our internal control over financial reporting as of December 31, 2021, as stated in their attestation report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Praxis Precision Medicines, Inc.</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have audited Praxis Precision Medicines, Inc.’s internal control over financial reporting as of December 31, 2021, based on criteria established in Internal Control—Integrated Framework issued by the Committee of Sponsoring Organizations of the Treadway Commission (2013 framework) (the COSO criteria). In our opinion, Praxis Precision Medicines, Inc. (the Company) maintained, in all material respects, effective internal control over financial reporting as of December 31, 2021, based on the COSO criteria.</w:t>
      </w:r>
    </w:p>
    <w:p>
      <w:pPr>
        <w:spacing w:after="0" w:line="205" w:lineRule="exact"/>
        <w:rPr>
          <w:sz w:val="20"/>
          <w:szCs w:val="20"/>
          <w:color w:val="auto"/>
        </w:rPr>
      </w:pPr>
    </w:p>
    <w:p>
      <w:pPr>
        <w:ind w:right="200"/>
        <w:spacing w:after="0" w:line="23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Praxis Precision Medicines, Inc. as of December 31, 2021 and 2020, the related consolidated statements of operations, comprehensive loss, redeemable convertible preferred stock and stockholders’ equity (deficit), and cash flows for each of the two years in the period ended December 31, 2021, and the related notes and our report dated February 28, 2022 expressed an unqualified opinion thereon.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1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7" w:lineRule="exact"/>
        <w:rPr>
          <w:sz w:val="20"/>
          <w:szCs w:val="20"/>
          <w:color w:val="auto"/>
        </w:rPr>
      </w:pPr>
    </w:p>
    <w:p>
      <w:pPr>
        <w:ind w:right="420"/>
        <w:spacing w:after="0" w:line="23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III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0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 with respect to our 2022 Annual Meeting of Stockholders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15"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2022 Annual Meeting of Stockholders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0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2022 Annual Meeting of Stockholders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02"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2022 Annual Meeting of Stockholders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15"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2022 Annual Meeting of Stockholders and is incorporated herein by reference.</w:t>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(a)(1) Financial Statements.</w:t>
      </w:r>
    </w:p>
    <w:p>
      <w:pPr>
        <w:spacing w:after="0" w:line="347" w:lineRule="exact"/>
        <w:rPr>
          <w:sz w:val="20"/>
          <w:szCs w:val="20"/>
          <w:color w:val="auto"/>
        </w:rPr>
      </w:pPr>
    </w:p>
    <w:p>
      <w:pPr>
        <w:ind w:right="20" w:firstLine="433"/>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For a list of the financial statements included herein, see Index to the Consolidated Financial Statements on page </w:t>
      </w:r>
      <w:hyperlink w:anchor="page122">
        <w:r>
          <w:rPr>
            <w:rFonts w:ascii="Arial" w:cs="Arial" w:eastAsia="Arial" w:hAnsi="Arial"/>
            <w:sz w:val="17"/>
            <w:szCs w:val="17"/>
            <w:u w:val="single" w:color="auto"/>
            <w:color w:val="0000FF"/>
          </w:rPr>
          <w:t>122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Annual Report on Form 10-K, incorporated into this Item by reference.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(a)(2) Financial Statement Schedules.</w:t>
      </w:r>
    </w:p>
    <w:p>
      <w:pPr>
        <w:spacing w:after="0" w:line="347"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(a)(3) List of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7960" w:type="dxa"/>
            <w:vAlign w:val="bottom"/>
            <w:tcBorders>
              <w:bottom w:val="single" w:sz="8" w:color="0000FF"/>
            </w:tcBorders>
            <w:gridSpan w:val="11"/>
          </w:tcPr>
          <w:p>
            <w:pPr>
              <w:spacing w:after="0"/>
              <w:rPr>
                <w:rFonts w:ascii="Arial" w:cs="Arial" w:eastAsia="Arial" w:hAnsi="Arial"/>
                <w:sz w:val="17"/>
                <w:szCs w:val="17"/>
                <w:color w:val="0000FF"/>
              </w:rPr>
            </w:pPr>
            <w:hyperlink r:id="rId204">
              <w:r>
                <w:rPr>
                  <w:rFonts w:ascii="Arial" w:cs="Arial" w:eastAsia="Arial" w:hAnsi="Arial"/>
                  <w:sz w:val="17"/>
                  <w:szCs w:val="17"/>
                  <w:color w:val="0000FF"/>
                </w:rPr>
                <w:t>Amended and Restated Certificate of Incorporation of Praxis Precision Medicines, Inc. (incorporated by</w:t>
              </w:r>
            </w:hyperlink>
          </w:p>
        </w:tc>
        <w:tc>
          <w:tcPr>
            <w:tcW w:w="206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3.1</w:t>
            </w:r>
          </w:p>
        </w:tc>
        <w:tc>
          <w:tcPr>
            <w:tcW w:w="10020" w:type="dxa"/>
            <w:vAlign w:val="bottom"/>
            <w:gridSpan w:val="28"/>
          </w:tcPr>
          <w:p>
            <w:pPr>
              <w:spacing w:after="0" w:line="150" w:lineRule="exact"/>
              <w:rPr>
                <w:rFonts w:ascii="Arial" w:cs="Arial" w:eastAsia="Arial" w:hAnsi="Arial"/>
                <w:sz w:val="17"/>
                <w:szCs w:val="17"/>
                <w:color w:val="0000FF"/>
              </w:rPr>
            </w:pPr>
            <w:hyperlink r:id="rId204">
              <w:r>
                <w:rPr>
                  <w:rFonts w:ascii="Arial" w:cs="Arial" w:eastAsia="Arial" w:hAnsi="Arial"/>
                  <w:sz w:val="17"/>
                  <w:szCs w:val="17"/>
                  <w:color w:val="0000FF"/>
                </w:rPr>
                <w:t>reference to Exhibit 3.1 to the Registrant's Current Report on Form 8-K (File No. 001-39620) filed on October</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7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rPr>
            </w:pPr>
            <w:hyperlink r:id="rId204">
              <w:r>
                <w:rPr>
                  <w:rFonts w:ascii="Arial" w:cs="Arial" w:eastAsia="Arial" w:hAnsi="Arial"/>
                  <w:sz w:val="17"/>
                  <w:szCs w:val="17"/>
                  <w:color w:val="0000FF"/>
                </w:rPr>
                <w:t>20, 2020)</w:t>
              </w:r>
            </w:hyperlink>
          </w:p>
        </w:tc>
        <w:tc>
          <w:tcPr>
            <w:tcW w:w="8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10020" w:type="dxa"/>
            <w:vAlign w:val="bottom"/>
            <w:gridSpan w:val="28"/>
          </w:tcPr>
          <w:p>
            <w:pPr>
              <w:spacing w:after="0"/>
              <w:rPr>
                <w:rFonts w:ascii="Arial" w:cs="Arial" w:eastAsia="Arial" w:hAnsi="Arial"/>
                <w:sz w:val="17"/>
                <w:szCs w:val="17"/>
                <w:color w:val="0000FF"/>
              </w:rPr>
            </w:pPr>
            <w:hyperlink r:id="rId205">
              <w:r>
                <w:rPr>
                  <w:rFonts w:ascii="Arial" w:cs="Arial" w:eastAsia="Arial" w:hAnsi="Arial"/>
                  <w:sz w:val="17"/>
                  <w:szCs w:val="17"/>
                  <w:color w:val="0000FF"/>
                </w:rPr>
                <w:t>Amended and Restated Bylaws of Praxis Precision Medicines, Inc. (incorporated by reference to Exhibit 3.1 to</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7060" w:type="dxa"/>
            <w:vAlign w:val="bottom"/>
            <w:tcBorders>
              <w:top w:val="single" w:sz="8" w:color="0000FF"/>
              <w:bottom w:val="single" w:sz="8" w:color="0000FF"/>
            </w:tcBorders>
            <w:gridSpan w:val="8"/>
          </w:tcPr>
          <w:p>
            <w:pPr>
              <w:spacing w:after="0" w:line="150" w:lineRule="exact"/>
              <w:rPr>
                <w:rFonts w:ascii="Arial" w:cs="Arial" w:eastAsia="Arial" w:hAnsi="Arial"/>
                <w:sz w:val="17"/>
                <w:szCs w:val="17"/>
                <w:color w:val="0000FF"/>
              </w:rPr>
            </w:pPr>
            <w:hyperlink r:id="rId205">
              <w:r>
                <w:rPr>
                  <w:rFonts w:ascii="Arial" w:cs="Arial" w:eastAsia="Arial" w:hAnsi="Arial"/>
                  <w:sz w:val="17"/>
                  <w:szCs w:val="17"/>
                  <w:color w:val="0000FF"/>
                </w:rPr>
                <w:t>the Registrant's Current Report on Form 8-K (File No. 001-39620) filed on January 7, 2022)</w:t>
              </w:r>
            </w:hyperlink>
          </w:p>
        </w:tc>
        <w:tc>
          <w:tcPr>
            <w:tcW w:w="14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10020" w:type="dxa"/>
            <w:vAlign w:val="bottom"/>
            <w:gridSpan w:val="28"/>
          </w:tcPr>
          <w:p>
            <w:pPr>
              <w:spacing w:after="0"/>
              <w:rPr>
                <w:rFonts w:ascii="Arial" w:cs="Arial" w:eastAsia="Arial" w:hAnsi="Arial"/>
                <w:sz w:val="17"/>
                <w:szCs w:val="17"/>
                <w:color w:val="0000FF"/>
              </w:rPr>
            </w:pPr>
            <w:hyperlink r:id="rId206">
              <w:r>
                <w:rPr>
                  <w:rFonts w:ascii="Arial" w:cs="Arial" w:eastAsia="Arial" w:hAnsi="Arial"/>
                  <w:sz w:val="17"/>
                  <w:szCs w:val="17"/>
                  <w:color w:val="0000FF"/>
                </w:rPr>
                <w:t>Specimen Stock Certificate Evidencing the Shares of Common Stock (incorporated by reference to Exhibit 4.1</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140" w:type="dxa"/>
            <w:vAlign w:val="bottom"/>
            <w:tcBorders>
              <w:top w:val="single" w:sz="8" w:color="0000FF"/>
              <w:bottom w:val="single" w:sz="8" w:color="0000FF"/>
            </w:tcBorders>
            <w:gridSpan w:val="14"/>
          </w:tcPr>
          <w:p>
            <w:pPr>
              <w:spacing w:after="0" w:line="150" w:lineRule="exact"/>
              <w:rPr>
                <w:rFonts w:ascii="Arial" w:cs="Arial" w:eastAsia="Arial" w:hAnsi="Arial"/>
                <w:sz w:val="17"/>
                <w:szCs w:val="17"/>
                <w:color w:val="0000FF"/>
              </w:rPr>
            </w:pPr>
            <w:hyperlink r:id="rId206">
              <w:r>
                <w:rPr>
                  <w:rFonts w:ascii="Arial" w:cs="Arial" w:eastAsia="Arial" w:hAnsi="Arial"/>
                  <w:sz w:val="17"/>
                  <w:szCs w:val="17"/>
                  <w:color w:val="0000FF"/>
                </w:rPr>
                <w:t>to the Registrant's Registration Statement on Form S-1/A (File No. 333-249074) filed on October 9, 2020)</w:t>
              </w:r>
            </w:hyperlink>
          </w:p>
        </w:tc>
        <w:tc>
          <w:tcPr>
            <w:tcW w:w="3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20" w:type="dxa"/>
            <w:vAlign w:val="bottom"/>
            <w:gridSpan w:val="28"/>
          </w:tcPr>
          <w:p>
            <w:pPr>
              <w:spacing w:after="0"/>
              <w:rPr>
                <w:rFonts w:ascii="Arial" w:cs="Arial" w:eastAsia="Arial" w:hAnsi="Arial"/>
                <w:sz w:val="17"/>
                <w:szCs w:val="17"/>
                <w:color w:val="0000FF"/>
              </w:rPr>
            </w:pPr>
            <w:hyperlink r:id="rId207">
              <w:r>
                <w:rPr>
                  <w:rFonts w:ascii="Arial" w:cs="Arial" w:eastAsia="Arial" w:hAnsi="Arial"/>
                  <w:sz w:val="17"/>
                  <w:szCs w:val="17"/>
                  <w:color w:val="0000FF"/>
                </w:rPr>
                <w:t>Fourth Amended and Restated Investors’ Rights Agreement among Praxis Precision Medicines, Inc. and</w:t>
              </w:r>
            </w:hyperlink>
          </w:p>
        </w:tc>
        <w:tc>
          <w:tcPr>
            <w:tcW w:w="0" w:type="dxa"/>
            <w:vAlign w:val="bottom"/>
          </w:tcPr>
          <w:p>
            <w:pPr>
              <w:spacing w:after="0"/>
              <w:rPr>
                <w:sz w:val="1"/>
                <w:szCs w:val="1"/>
                <w:color w:val="auto"/>
              </w:rPr>
            </w:pPr>
          </w:p>
        </w:tc>
      </w:tr>
      <w:tr>
        <w:trPr>
          <w:trHeight w:val="15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4.2</w:t>
            </w:r>
          </w:p>
        </w:tc>
        <w:tc>
          <w:tcPr>
            <w:tcW w:w="8060" w:type="dxa"/>
            <w:vAlign w:val="bottom"/>
            <w:tcBorders>
              <w:top w:val="single" w:sz="8" w:color="0000FF"/>
            </w:tcBorders>
            <w:gridSpan w:val="13"/>
          </w:tcPr>
          <w:p>
            <w:pPr>
              <w:spacing w:after="0" w:line="151" w:lineRule="exact"/>
              <w:rPr>
                <w:rFonts w:ascii="Arial" w:cs="Arial" w:eastAsia="Arial" w:hAnsi="Arial"/>
                <w:sz w:val="17"/>
                <w:szCs w:val="17"/>
                <w:color w:val="0000FF"/>
              </w:rPr>
            </w:pPr>
            <w:hyperlink r:id="rId207">
              <w:r>
                <w:rPr>
                  <w:rFonts w:ascii="Arial" w:cs="Arial" w:eastAsia="Arial" w:hAnsi="Arial"/>
                  <w:sz w:val="17"/>
                  <w:szCs w:val="17"/>
                  <w:color w:val="0000FF"/>
                </w:rPr>
                <w:t>certain of its stockholders, effective as of July 24, 2020, as amended (incorporated by reference to Exhibit</w:t>
              </w:r>
            </w:hyperlink>
          </w:p>
        </w:tc>
        <w:tc>
          <w:tcPr>
            <w:tcW w:w="420" w:type="dxa"/>
            <w:vAlign w:val="bottom"/>
            <w:gridSpan w:val="9"/>
          </w:tcPr>
          <w:p>
            <w:pPr>
              <w:jc w:val="right"/>
              <w:ind w:right="40"/>
              <w:spacing w:after="0" w:line="151" w:lineRule="exact"/>
              <w:rPr>
                <w:rFonts w:ascii="Arial" w:cs="Arial" w:eastAsia="Arial" w:hAnsi="Arial"/>
                <w:sz w:val="17"/>
                <w:szCs w:val="17"/>
                <w:color w:val="0000FF"/>
              </w:rPr>
            </w:pPr>
            <w:hyperlink r:id="rId207">
              <w:r>
                <w:rPr>
                  <w:rFonts w:ascii="Arial" w:cs="Arial" w:eastAsia="Arial" w:hAnsi="Arial"/>
                  <w:sz w:val="17"/>
                  <w:szCs w:val="17"/>
                  <w:color w:val="0000FF"/>
                </w:rPr>
                <w:t>4.2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160" w:type="dxa"/>
            <w:vAlign w:val="bottom"/>
            <w:tcBorders>
              <w:top w:val="single" w:sz="8" w:color="0000FF"/>
              <w:bottom w:val="single" w:sz="8" w:color="0000FF"/>
            </w:tcBorders>
            <w:gridSpan w:val="15"/>
          </w:tcPr>
          <w:p>
            <w:pPr>
              <w:spacing w:after="0" w:line="150" w:lineRule="exact"/>
              <w:rPr>
                <w:rFonts w:ascii="Arial" w:cs="Arial" w:eastAsia="Arial" w:hAnsi="Arial"/>
                <w:sz w:val="17"/>
                <w:szCs w:val="17"/>
                <w:color w:val="0000FF"/>
              </w:rPr>
            </w:pPr>
            <w:hyperlink r:id="rId207">
              <w:r>
                <w:rPr>
                  <w:rFonts w:ascii="Arial" w:cs="Arial" w:eastAsia="Arial" w:hAnsi="Arial"/>
                  <w:sz w:val="17"/>
                  <w:szCs w:val="17"/>
                  <w:color w:val="0000FF"/>
                </w:rPr>
                <w:t>to the Registrant's Registration Statement on Form S-3 (File No. 333-260726) filed on November 3, 2021)</w:t>
              </w:r>
            </w:hyperlink>
          </w:p>
        </w:tc>
        <w:tc>
          <w:tcPr>
            <w:tcW w:w="3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0"/>
              <w:spacing w:after="0"/>
              <w:rPr>
                <w:sz w:val="20"/>
                <w:szCs w:val="20"/>
                <w:color w:val="auto"/>
              </w:rPr>
            </w:pPr>
            <w:r>
              <w:rPr>
                <w:rFonts w:ascii="Arial" w:cs="Arial" w:eastAsia="Arial" w:hAnsi="Arial"/>
                <w:sz w:val="17"/>
                <w:szCs w:val="17"/>
                <w:color w:val="auto"/>
              </w:rPr>
              <w:t>4.3*</w:t>
            </w:r>
          </w:p>
        </w:tc>
        <w:tc>
          <w:tcPr>
            <w:tcW w:w="4600" w:type="dxa"/>
            <w:vAlign w:val="bottom"/>
            <w:tcBorders>
              <w:bottom w:val="single" w:sz="8" w:color="0000FF"/>
            </w:tcBorders>
            <w:gridSpan w:val="6"/>
          </w:tcPr>
          <w:p>
            <w:pPr>
              <w:spacing w:after="0"/>
              <w:rPr>
                <w:rFonts w:ascii="Arial" w:cs="Arial" w:eastAsia="Arial" w:hAnsi="Arial"/>
                <w:sz w:val="17"/>
                <w:szCs w:val="17"/>
                <w:color w:val="0000FF"/>
              </w:rPr>
            </w:pPr>
            <w:hyperlink w:anchor="page164">
              <w:r>
                <w:rPr>
                  <w:rFonts w:ascii="Arial" w:cs="Arial" w:eastAsia="Arial" w:hAnsi="Arial"/>
                  <w:sz w:val="17"/>
                  <w:szCs w:val="17"/>
                  <w:color w:val="0000FF"/>
                </w:rPr>
                <w:t>Description of Securities of Praxis Precision Medicines, Inc.</w:t>
              </w:r>
            </w:hyperlink>
          </w:p>
        </w:tc>
        <w:tc>
          <w:tcPr>
            <w:tcW w:w="54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10020" w:type="dxa"/>
            <w:vAlign w:val="bottom"/>
            <w:gridSpan w:val="28"/>
          </w:tcPr>
          <w:p>
            <w:pPr>
              <w:spacing w:after="0"/>
              <w:rPr>
                <w:rFonts w:ascii="Arial" w:cs="Arial" w:eastAsia="Arial" w:hAnsi="Arial"/>
                <w:sz w:val="17"/>
                <w:szCs w:val="17"/>
                <w:color w:val="0000FF"/>
              </w:rPr>
            </w:pPr>
            <w:hyperlink r:id="rId208">
              <w:r>
                <w:rPr>
                  <w:rFonts w:ascii="Arial" w:cs="Arial" w:eastAsia="Arial" w:hAnsi="Arial"/>
                  <w:sz w:val="17"/>
                  <w:szCs w:val="17"/>
                  <w:color w:val="0000FF"/>
                </w:rPr>
                <w:t>Form of Director Indemnification Agreement, as amended (incorporated by reference to Exhibit 10.1 to the</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180" w:type="dxa"/>
            <w:vAlign w:val="bottom"/>
            <w:tcBorders>
              <w:top w:val="single" w:sz="8" w:color="0000FF"/>
            </w:tcBorders>
            <w:gridSpan w:val="16"/>
          </w:tcPr>
          <w:p>
            <w:pPr>
              <w:spacing w:after="0" w:line="150" w:lineRule="exact"/>
              <w:rPr>
                <w:rFonts w:ascii="Arial" w:cs="Arial" w:eastAsia="Arial" w:hAnsi="Arial"/>
                <w:sz w:val="17"/>
                <w:szCs w:val="17"/>
                <w:color w:val="0000FF"/>
              </w:rPr>
            </w:pPr>
            <w:hyperlink r:id="rId208">
              <w:r>
                <w:rPr>
                  <w:rFonts w:ascii="Arial" w:cs="Arial" w:eastAsia="Arial" w:hAnsi="Arial"/>
                  <w:sz w:val="17"/>
                  <w:szCs w:val="17"/>
                  <w:color w:val="0000FF"/>
                </w:rPr>
                <w:t>Registrant's Registration Statement on Form S-1/A (File No. 333-249074) filed on October 9, 2020)</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10020" w:type="dxa"/>
            <w:vAlign w:val="bottom"/>
            <w:gridSpan w:val="28"/>
          </w:tcPr>
          <w:p>
            <w:pPr>
              <w:spacing w:after="0"/>
              <w:rPr>
                <w:rFonts w:ascii="Arial" w:cs="Arial" w:eastAsia="Arial" w:hAnsi="Arial"/>
                <w:sz w:val="17"/>
                <w:szCs w:val="17"/>
                <w:color w:val="0000FF"/>
              </w:rPr>
            </w:pPr>
            <w:hyperlink r:id="rId209">
              <w:r>
                <w:rPr>
                  <w:rFonts w:ascii="Arial" w:cs="Arial" w:eastAsia="Arial" w:hAnsi="Arial"/>
                  <w:sz w:val="17"/>
                  <w:szCs w:val="17"/>
                  <w:color w:val="0000FF"/>
                </w:rPr>
                <w:t>Form of Officer Indemnification Agreement (incorporated by reference to Exhibit 10.2 to the Registrant's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000" w:type="dxa"/>
            <w:vAlign w:val="bottom"/>
            <w:tcBorders>
              <w:top w:val="single" w:sz="8" w:color="0000FF"/>
            </w:tcBorders>
            <w:gridSpan w:val="12"/>
          </w:tcPr>
          <w:p>
            <w:pPr>
              <w:spacing w:after="0" w:line="150" w:lineRule="exact"/>
              <w:rPr>
                <w:rFonts w:ascii="Arial" w:cs="Arial" w:eastAsia="Arial" w:hAnsi="Arial"/>
                <w:sz w:val="17"/>
                <w:szCs w:val="17"/>
                <w:color w:val="0000FF"/>
              </w:rPr>
            </w:pPr>
            <w:hyperlink r:id="rId209">
              <w:r>
                <w:rPr>
                  <w:rFonts w:ascii="Arial" w:cs="Arial" w:eastAsia="Arial" w:hAnsi="Arial"/>
                  <w:sz w:val="17"/>
                  <w:szCs w:val="17"/>
                  <w:color w:val="0000FF"/>
                </w:rPr>
                <w:t>Registration Statement on Form S-1 (File No. 333-249074) filed on September 25, 2020)</w:t>
              </w:r>
            </w:hyperlink>
          </w:p>
        </w:tc>
        <w:tc>
          <w:tcPr>
            <w:tcW w:w="30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28"/>
          </w:tcPr>
          <w:p>
            <w:pPr>
              <w:spacing w:after="0"/>
              <w:rPr>
                <w:rFonts w:ascii="Arial" w:cs="Arial" w:eastAsia="Arial" w:hAnsi="Arial"/>
                <w:sz w:val="17"/>
                <w:szCs w:val="17"/>
                <w:color w:val="0000FF"/>
              </w:rPr>
            </w:pPr>
            <w:hyperlink r:id="rId210">
              <w:r>
                <w:rPr>
                  <w:rFonts w:ascii="Arial" w:cs="Arial" w:eastAsia="Arial" w:hAnsi="Arial"/>
                  <w:sz w:val="17"/>
                  <w:szCs w:val="17"/>
                  <w:color w:val="0000FF"/>
                </w:rPr>
                <w:t>Praxis Precision Medicines, Inc. 2017 Stock Incentive Plan, as amended, and form of award agreements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10020" w:type="dxa"/>
            <w:vAlign w:val="bottom"/>
            <w:gridSpan w:val="28"/>
          </w:tcPr>
          <w:p>
            <w:pPr>
              <w:spacing w:after="0" w:line="150" w:lineRule="exact"/>
              <w:rPr>
                <w:rFonts w:ascii="Arial" w:cs="Arial" w:eastAsia="Arial" w:hAnsi="Arial"/>
                <w:sz w:val="17"/>
                <w:szCs w:val="17"/>
                <w:color w:val="0000FF"/>
              </w:rPr>
            </w:pPr>
            <w:hyperlink r:id="rId210">
              <w:r>
                <w:rPr>
                  <w:rFonts w:ascii="Arial" w:cs="Arial" w:eastAsia="Arial" w:hAnsi="Arial"/>
                  <w:sz w:val="17"/>
                  <w:szCs w:val="17"/>
                  <w:color w:val="0000FF"/>
                </w:rPr>
                <w:t>thereunder (incorporated by reference to Exhibit 10.3 to the Registrant's Annual Report on Form 10-K (File No.</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560" w:type="dxa"/>
            <w:vAlign w:val="bottom"/>
            <w:tcBorders>
              <w:top w:val="single" w:sz="8" w:color="0000FF"/>
            </w:tcBorders>
            <w:gridSpan w:val="26"/>
          </w:tcPr>
          <w:p>
            <w:pPr>
              <w:spacing w:after="0" w:line="150" w:lineRule="exact"/>
              <w:rPr>
                <w:rFonts w:ascii="Arial" w:cs="Arial" w:eastAsia="Arial" w:hAnsi="Arial"/>
                <w:sz w:val="17"/>
                <w:szCs w:val="17"/>
                <w:color w:val="0000FF"/>
              </w:rPr>
            </w:pPr>
            <w:hyperlink r:id="rId210">
              <w:r>
                <w:rPr>
                  <w:rFonts w:ascii="Arial" w:cs="Arial" w:eastAsia="Arial" w:hAnsi="Arial"/>
                  <w:sz w:val="17"/>
                  <w:szCs w:val="17"/>
                  <w:color w:val="0000FF"/>
                </w:rPr>
                <w:t>001-39620) filed on March 17, 2021)</w:t>
              </w:r>
            </w:hyperlink>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10020" w:type="dxa"/>
            <w:vAlign w:val="bottom"/>
            <w:gridSpan w:val="28"/>
          </w:tcPr>
          <w:p>
            <w:pPr>
              <w:spacing w:after="0"/>
              <w:rPr>
                <w:rFonts w:ascii="Arial" w:cs="Arial" w:eastAsia="Arial" w:hAnsi="Arial"/>
                <w:sz w:val="17"/>
                <w:szCs w:val="17"/>
                <w:color w:val="0000FF"/>
              </w:rPr>
            </w:pPr>
            <w:hyperlink r:id="rId211">
              <w:r>
                <w:rPr>
                  <w:rFonts w:ascii="Arial" w:cs="Arial" w:eastAsia="Arial" w:hAnsi="Arial"/>
                  <w:sz w:val="17"/>
                  <w:szCs w:val="17"/>
                  <w:color w:val="0000FF"/>
                </w:rPr>
                <w:t>Praxis Precision Medicines, Inc. 2020 Stock Option and Incentive Plan (incorporated by reference to Exhibit</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36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580" w:type="dxa"/>
            <w:vAlign w:val="bottom"/>
            <w:tcBorders>
              <w:bottom w:val="single" w:sz="8" w:color="0000FF"/>
            </w:tcBorders>
            <w:gridSpan w:val="27"/>
          </w:tcPr>
          <w:p>
            <w:pPr>
              <w:spacing w:after="0" w:line="150" w:lineRule="exact"/>
              <w:rPr>
                <w:rFonts w:ascii="Arial" w:cs="Arial" w:eastAsia="Arial" w:hAnsi="Arial"/>
                <w:sz w:val="17"/>
                <w:szCs w:val="17"/>
                <w:color w:val="0000FF"/>
              </w:rPr>
            </w:pPr>
            <w:hyperlink r:id="rId211">
              <w:r>
                <w:rPr>
                  <w:rFonts w:ascii="Arial" w:cs="Arial" w:eastAsia="Arial" w:hAnsi="Arial"/>
                  <w:sz w:val="17"/>
                  <w:szCs w:val="17"/>
                  <w:color w:val="0000FF"/>
                </w:rPr>
                <w:t>10.</w:t>
              </w:r>
              <w:r>
                <w:rPr>
                  <w:rFonts w:ascii="Arial" w:cs="Arial" w:eastAsia="Arial" w:hAnsi="Arial"/>
                  <w:sz w:val="17"/>
                  <w:szCs w:val="17"/>
                  <w:u w:val="single" w:color="auto"/>
                  <w:color w:val="0000FF"/>
                </w:rPr>
                <w:t>4</w:t>
              </w:r>
              <w:r>
                <w:rPr>
                  <w:rFonts w:ascii="Arial" w:cs="Arial" w:eastAsia="Arial" w:hAnsi="Arial"/>
                  <w:sz w:val="17"/>
                  <w:szCs w:val="17"/>
                  <w:color w:val="0000FF"/>
                </w:rPr>
                <w:t xml:space="preserve"> to the Registrant's Registration Statement on Form S-1/A (File No. 333-249074) filed on October 9, 2020)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380" w:type="dxa"/>
            <w:vAlign w:val="bottom"/>
            <w:tcBorders>
              <w:bottom w:val="single" w:sz="8" w:color="0000FF"/>
            </w:tcBorders>
            <w:gridSpan w:val="18"/>
          </w:tcPr>
          <w:p>
            <w:pPr>
              <w:spacing w:after="0"/>
              <w:rPr>
                <w:rFonts w:ascii="Arial" w:cs="Arial" w:eastAsia="Arial" w:hAnsi="Arial"/>
                <w:sz w:val="17"/>
                <w:szCs w:val="17"/>
                <w:color w:val="0000FF"/>
              </w:rPr>
            </w:pPr>
            <w:hyperlink r:id="rId212">
              <w:r>
                <w:rPr>
                  <w:rFonts w:ascii="Arial" w:cs="Arial" w:eastAsia="Arial" w:hAnsi="Arial"/>
                  <w:sz w:val="17"/>
                  <w:szCs w:val="17"/>
                  <w:color w:val="0000FF"/>
                </w:rPr>
                <w:t>Form of Incentive Stock Option Agreement under the 2020 Stock Option and Incentive Plan (incorporated by</w:t>
              </w:r>
            </w:hyperlink>
          </w:p>
        </w:tc>
        <w:tc>
          <w:tcPr>
            <w:tcW w:w="1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10.5#</w:t>
            </w:r>
          </w:p>
        </w:tc>
        <w:tc>
          <w:tcPr>
            <w:tcW w:w="10020" w:type="dxa"/>
            <w:vAlign w:val="bottom"/>
            <w:gridSpan w:val="28"/>
          </w:tcPr>
          <w:p>
            <w:pPr>
              <w:spacing w:after="0" w:line="150" w:lineRule="exact"/>
              <w:rPr>
                <w:rFonts w:ascii="Arial" w:cs="Arial" w:eastAsia="Arial" w:hAnsi="Arial"/>
                <w:sz w:val="17"/>
                <w:szCs w:val="17"/>
                <w:color w:val="0000FF"/>
              </w:rPr>
            </w:pPr>
            <w:hyperlink r:id="rId212">
              <w:r>
                <w:rPr>
                  <w:rFonts w:ascii="Arial" w:cs="Arial" w:eastAsia="Arial" w:hAnsi="Arial"/>
                  <w:sz w:val="17"/>
                  <w:szCs w:val="17"/>
                  <w:color w:val="0000FF"/>
                </w:rPr>
                <w:t>reference to Exhibit 10.5 to the Registrant's Registration Statement on Form S-1/A (File No. 333-249074) filed</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156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rPr>
            </w:pPr>
            <w:hyperlink r:id="rId212">
              <w:r>
                <w:rPr>
                  <w:rFonts w:ascii="Arial" w:cs="Arial" w:eastAsia="Arial" w:hAnsi="Arial"/>
                  <w:sz w:val="17"/>
                  <w:szCs w:val="17"/>
                  <w:color w:val="0000FF"/>
                </w:rPr>
                <w:t>on October 9, 2020)</w:t>
              </w:r>
            </w:hyperlink>
          </w:p>
        </w:tc>
        <w:tc>
          <w:tcPr>
            <w:tcW w:w="69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20" w:type="dxa"/>
            <w:vAlign w:val="bottom"/>
            <w:gridSpan w:val="28"/>
          </w:tcPr>
          <w:p>
            <w:pPr>
              <w:spacing w:after="0"/>
              <w:rPr>
                <w:rFonts w:ascii="Arial" w:cs="Arial" w:eastAsia="Arial" w:hAnsi="Arial"/>
                <w:sz w:val="17"/>
                <w:szCs w:val="17"/>
                <w:color w:val="0000FF"/>
              </w:rPr>
            </w:pPr>
            <w:hyperlink r:id="rId213">
              <w:r>
                <w:rPr>
                  <w:rFonts w:ascii="Arial" w:cs="Arial" w:eastAsia="Arial" w:hAnsi="Arial"/>
                  <w:sz w:val="17"/>
                  <w:szCs w:val="17"/>
                  <w:color w:val="0000FF"/>
                </w:rPr>
                <w:t>Form of Non-Qualified Stock Option Agreement for Company Employees under the 2020 Stock Option and</w:t>
              </w:r>
            </w:hyperlink>
          </w:p>
        </w:tc>
        <w:tc>
          <w:tcPr>
            <w:tcW w:w="0" w:type="dxa"/>
            <w:vAlign w:val="bottom"/>
          </w:tcPr>
          <w:p>
            <w:pPr>
              <w:spacing w:after="0"/>
              <w:rPr>
                <w:sz w:val="1"/>
                <w:szCs w:val="1"/>
                <w:color w:val="auto"/>
              </w:rPr>
            </w:pPr>
          </w:p>
        </w:tc>
      </w:tr>
      <w:tr>
        <w:trPr>
          <w:trHeight w:val="15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10.6#</w:t>
            </w:r>
          </w:p>
        </w:tc>
        <w:tc>
          <w:tcPr>
            <w:tcW w:w="8300" w:type="dxa"/>
            <w:vAlign w:val="bottom"/>
            <w:tcBorders>
              <w:top w:val="single" w:sz="8" w:color="0000FF"/>
            </w:tcBorders>
            <w:gridSpan w:val="17"/>
          </w:tcPr>
          <w:p>
            <w:pPr>
              <w:spacing w:after="0" w:line="151" w:lineRule="exact"/>
              <w:rPr>
                <w:rFonts w:ascii="Arial" w:cs="Arial" w:eastAsia="Arial" w:hAnsi="Arial"/>
                <w:sz w:val="17"/>
                <w:szCs w:val="17"/>
                <w:color w:val="0000FF"/>
              </w:rPr>
            </w:pPr>
            <w:hyperlink r:id="rId213">
              <w:r>
                <w:rPr>
                  <w:rFonts w:ascii="Arial" w:cs="Arial" w:eastAsia="Arial" w:hAnsi="Arial"/>
                  <w:sz w:val="17"/>
                  <w:szCs w:val="17"/>
                  <w:color w:val="0000FF"/>
                </w:rPr>
                <w:t>Incentive Plan (incorporated by reference to Exhibit 10.6 to the Registrant's Registration Statement on Form</w:t>
              </w:r>
            </w:hyperlink>
          </w:p>
        </w:tc>
        <w:tc>
          <w:tcPr>
            <w:tcW w:w="1720" w:type="dxa"/>
            <w:vAlign w:val="bottom"/>
            <w:gridSpan w:val="11"/>
          </w:tcPr>
          <w:p>
            <w:pPr>
              <w:jc w:val="right"/>
              <w:ind w:right="1480"/>
              <w:spacing w:after="0" w:line="151" w:lineRule="exact"/>
              <w:rPr>
                <w:rFonts w:ascii="Arial" w:cs="Arial" w:eastAsia="Arial" w:hAnsi="Arial"/>
                <w:sz w:val="17"/>
                <w:szCs w:val="17"/>
                <w:color w:val="0000FF"/>
              </w:rPr>
            </w:pPr>
            <w:hyperlink r:id="rId213">
              <w:r>
                <w:rPr>
                  <w:rFonts w:ascii="Arial" w:cs="Arial" w:eastAsia="Arial" w:hAnsi="Arial"/>
                  <w:sz w:val="17"/>
                  <w:szCs w:val="17"/>
                  <w:color w:val="0000FF"/>
                </w:rPr>
                <w:t>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400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rPr>
            </w:pPr>
            <w:hyperlink r:id="rId213">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22"/>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20" w:type="dxa"/>
            <w:vAlign w:val="bottom"/>
            <w:gridSpan w:val="28"/>
          </w:tcPr>
          <w:p>
            <w:pPr>
              <w:spacing w:after="0"/>
              <w:rPr>
                <w:rFonts w:ascii="Arial" w:cs="Arial" w:eastAsia="Arial" w:hAnsi="Arial"/>
                <w:sz w:val="17"/>
                <w:szCs w:val="17"/>
                <w:color w:val="0000FF"/>
              </w:rPr>
            </w:pPr>
            <w:hyperlink r:id="rId214">
              <w:r>
                <w:rPr>
                  <w:rFonts w:ascii="Arial" w:cs="Arial" w:eastAsia="Arial" w:hAnsi="Arial"/>
                  <w:sz w:val="17"/>
                  <w:szCs w:val="17"/>
                  <w:color w:val="0000FF"/>
                </w:rPr>
                <w:t>Form of Non-Qualified Stock Option Agreement for Non-Employee Directors under the 2020 Stock Option and</w:t>
              </w:r>
            </w:hyperlink>
          </w:p>
        </w:tc>
        <w:tc>
          <w:tcPr>
            <w:tcW w:w="0" w:type="dxa"/>
            <w:vAlign w:val="bottom"/>
          </w:tcPr>
          <w:p>
            <w:pPr>
              <w:spacing w:after="0"/>
              <w:rPr>
                <w:sz w:val="1"/>
                <w:szCs w:val="1"/>
                <w:color w:val="auto"/>
              </w:rPr>
            </w:pPr>
          </w:p>
        </w:tc>
      </w:tr>
      <w:tr>
        <w:trPr>
          <w:trHeight w:val="15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10.7#</w:t>
            </w:r>
          </w:p>
        </w:tc>
        <w:tc>
          <w:tcPr>
            <w:tcW w:w="8520" w:type="dxa"/>
            <w:vAlign w:val="bottom"/>
            <w:tcBorders>
              <w:top w:val="single" w:sz="8" w:color="0000FF"/>
            </w:tcBorders>
            <w:gridSpan w:val="24"/>
          </w:tcPr>
          <w:p>
            <w:pPr>
              <w:spacing w:after="0" w:line="151" w:lineRule="exact"/>
              <w:rPr>
                <w:rFonts w:ascii="Arial" w:cs="Arial" w:eastAsia="Arial" w:hAnsi="Arial"/>
                <w:sz w:val="17"/>
                <w:szCs w:val="17"/>
                <w:color w:val="0000FF"/>
              </w:rPr>
            </w:pPr>
            <w:hyperlink r:id="rId214">
              <w:r>
                <w:rPr>
                  <w:rFonts w:ascii="Arial" w:cs="Arial" w:eastAsia="Arial" w:hAnsi="Arial"/>
                  <w:sz w:val="17"/>
                  <w:szCs w:val="17"/>
                  <w:color w:val="0000FF"/>
                </w:rPr>
                <w:t>Incentive Plan (incorporated by reference to Exhibit 10.7 to the Registrant's Registration Statement on Form S</w:t>
              </w:r>
            </w:hyperlink>
          </w:p>
        </w:tc>
        <w:tc>
          <w:tcPr>
            <w:tcW w:w="1500" w:type="dxa"/>
            <w:vAlign w:val="bottom"/>
            <w:gridSpan w:val="4"/>
          </w:tcPr>
          <w:p>
            <w:pPr>
              <w:jc w:val="right"/>
              <w:ind w:right="1480"/>
              <w:spacing w:after="0"/>
              <w:rPr>
                <w:rFonts w:ascii="Arial" w:cs="Arial" w:eastAsia="Arial" w:hAnsi="Arial"/>
                <w:sz w:val="1"/>
                <w:szCs w:val="1"/>
                <w:color w:val="0000FF"/>
                <w:w w:val="4294967282"/>
              </w:rPr>
            </w:pPr>
            <w:hyperlink r:id="rId214">
              <w:r>
                <w:rPr>
                  <w:rFonts w:ascii="Arial" w:cs="Arial" w:eastAsia="Arial" w:hAnsi="Arial"/>
                  <w:sz w:val="1"/>
                  <w:szCs w:val="1"/>
                  <w:color w:val="0000FF"/>
                  <w:w w:val="4294967282"/>
                </w:rPr>
                <w:t>-</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4000" w:type="dxa"/>
            <w:vAlign w:val="bottom"/>
            <w:tcBorders>
              <w:top w:val="single" w:sz="8" w:color="0000FF"/>
              <w:bottom w:val="single" w:sz="8" w:color="0000FF"/>
            </w:tcBorders>
            <w:gridSpan w:val="5"/>
          </w:tcPr>
          <w:p>
            <w:pPr>
              <w:spacing w:after="0" w:line="150" w:lineRule="exact"/>
              <w:rPr>
                <w:rFonts w:ascii="Arial" w:cs="Arial" w:eastAsia="Arial" w:hAnsi="Arial"/>
                <w:sz w:val="17"/>
                <w:szCs w:val="17"/>
                <w:color w:val="0000FF"/>
              </w:rPr>
            </w:pPr>
            <w:hyperlink r:id="rId214">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22"/>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28"/>
          </w:tcPr>
          <w:p>
            <w:pPr>
              <w:spacing w:after="0"/>
              <w:rPr>
                <w:rFonts w:ascii="Arial" w:cs="Arial" w:eastAsia="Arial" w:hAnsi="Arial"/>
                <w:sz w:val="17"/>
                <w:szCs w:val="17"/>
                <w:color w:val="0000FF"/>
              </w:rPr>
            </w:pPr>
            <w:hyperlink r:id="rId215">
              <w:r>
                <w:rPr>
                  <w:rFonts w:ascii="Arial" w:cs="Arial" w:eastAsia="Arial" w:hAnsi="Arial"/>
                  <w:sz w:val="17"/>
                  <w:szCs w:val="17"/>
                  <w:color w:val="0000FF"/>
                </w:rPr>
                <w:t>Form of Restricted Stock Award Agreement under the 2020 Stock Option and Incentive Plan (incorporated by</w:t>
              </w:r>
            </w:hyperlink>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10.8#</w:t>
            </w:r>
          </w:p>
        </w:tc>
        <w:tc>
          <w:tcPr>
            <w:tcW w:w="8440" w:type="dxa"/>
            <w:vAlign w:val="bottom"/>
            <w:tcBorders>
              <w:top w:val="single" w:sz="8" w:color="0000FF"/>
            </w:tcBorders>
            <w:gridSpan w:val="20"/>
          </w:tcPr>
          <w:p>
            <w:pPr>
              <w:spacing w:after="0" w:line="150" w:lineRule="exact"/>
              <w:rPr>
                <w:rFonts w:ascii="Arial" w:cs="Arial" w:eastAsia="Arial" w:hAnsi="Arial"/>
                <w:sz w:val="17"/>
                <w:szCs w:val="17"/>
                <w:color w:val="0000FF"/>
              </w:rPr>
            </w:pPr>
            <w:hyperlink r:id="rId215">
              <w:r>
                <w:rPr>
                  <w:rFonts w:ascii="Arial" w:cs="Arial" w:eastAsia="Arial" w:hAnsi="Arial"/>
                  <w:sz w:val="17"/>
                  <w:szCs w:val="17"/>
                  <w:color w:val="0000FF"/>
                </w:rPr>
                <w:t>reference to Exhibit 10.8 to the Registrant's Registration Statement on Form S-1/A (File No. 333-249074) filed</w:t>
              </w:r>
            </w:hyperlink>
          </w:p>
        </w:tc>
        <w:tc>
          <w:tcPr>
            <w:tcW w:w="15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156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rPr>
            </w:pPr>
            <w:hyperlink r:id="rId215">
              <w:r>
                <w:rPr>
                  <w:rFonts w:ascii="Arial" w:cs="Arial" w:eastAsia="Arial" w:hAnsi="Arial"/>
                  <w:sz w:val="17"/>
                  <w:szCs w:val="17"/>
                  <w:color w:val="0000FF"/>
                </w:rPr>
                <w:t>on October 9, 2020)</w:t>
              </w:r>
            </w:hyperlink>
          </w:p>
        </w:tc>
        <w:tc>
          <w:tcPr>
            <w:tcW w:w="6920" w:type="dxa"/>
            <w:vAlign w:val="bottom"/>
            <w:tcBorders>
              <w:top w:val="single" w:sz="8" w:color="0000FF"/>
            </w:tcBorders>
            <w:gridSpan w:val="20"/>
          </w:tcPr>
          <w:p>
            <w:pPr>
              <w:spacing w:after="0"/>
              <w:rPr>
                <w:sz w:val="13"/>
                <w:szCs w:val="13"/>
                <w:color w:val="auto"/>
              </w:rPr>
            </w:pPr>
          </w:p>
        </w:tc>
        <w:tc>
          <w:tcPr>
            <w:tcW w:w="15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0020" w:type="dxa"/>
            <w:vAlign w:val="bottom"/>
            <w:gridSpan w:val="28"/>
          </w:tcPr>
          <w:p>
            <w:pPr>
              <w:spacing w:after="0"/>
              <w:rPr>
                <w:rFonts w:ascii="Arial" w:cs="Arial" w:eastAsia="Arial" w:hAnsi="Arial"/>
                <w:sz w:val="17"/>
                <w:szCs w:val="17"/>
                <w:color w:val="0000FF"/>
              </w:rPr>
            </w:pPr>
            <w:hyperlink r:id="rId216">
              <w:r>
                <w:rPr>
                  <w:rFonts w:ascii="Arial" w:cs="Arial" w:eastAsia="Arial" w:hAnsi="Arial"/>
                  <w:sz w:val="17"/>
                  <w:szCs w:val="17"/>
                  <w:color w:val="0000FF"/>
                </w:rPr>
                <w:t>Form of Restricted Stock Award Agreement for Company Employees under the 2020 Stock Option and</w:t>
              </w:r>
            </w:hyperlink>
          </w:p>
        </w:tc>
        <w:tc>
          <w:tcPr>
            <w:tcW w:w="0" w:type="dxa"/>
            <w:vAlign w:val="bottom"/>
          </w:tcPr>
          <w:p>
            <w:pPr>
              <w:spacing w:after="0"/>
              <w:rPr>
                <w:sz w:val="1"/>
                <w:szCs w:val="1"/>
                <w:color w:val="auto"/>
              </w:rPr>
            </w:pPr>
          </w:p>
        </w:tc>
      </w:tr>
      <w:tr>
        <w:trPr>
          <w:trHeight w:val="151"/>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10.9#</w:t>
            </w:r>
          </w:p>
        </w:tc>
        <w:tc>
          <w:tcPr>
            <w:tcW w:w="7940" w:type="dxa"/>
            <w:vAlign w:val="bottom"/>
            <w:tcBorders>
              <w:top w:val="single" w:sz="8" w:color="0000FF"/>
            </w:tcBorders>
            <w:gridSpan w:val="10"/>
          </w:tcPr>
          <w:p>
            <w:pPr>
              <w:spacing w:after="0" w:line="151" w:lineRule="exact"/>
              <w:rPr>
                <w:rFonts w:ascii="Arial" w:cs="Arial" w:eastAsia="Arial" w:hAnsi="Arial"/>
                <w:sz w:val="17"/>
                <w:szCs w:val="17"/>
                <w:color w:val="0000FF"/>
              </w:rPr>
            </w:pPr>
            <w:hyperlink r:id="rId216">
              <w:r>
                <w:rPr>
                  <w:rFonts w:ascii="Arial" w:cs="Arial" w:eastAsia="Arial" w:hAnsi="Arial"/>
                  <w:sz w:val="17"/>
                  <w:szCs w:val="17"/>
                  <w:color w:val="0000FF"/>
                </w:rPr>
                <w:t>Incentive Plan (incorporated by reference to Exhibit 10.9 to the Registrant's Registration Statement on</w:t>
              </w:r>
            </w:hyperlink>
          </w:p>
        </w:tc>
        <w:tc>
          <w:tcPr>
            <w:tcW w:w="2080" w:type="dxa"/>
            <w:vAlign w:val="bottom"/>
            <w:gridSpan w:val="18"/>
          </w:tcPr>
          <w:p>
            <w:pPr>
              <w:jc w:val="right"/>
              <w:ind w:right="1480"/>
              <w:spacing w:after="0" w:line="151" w:lineRule="exact"/>
              <w:rPr>
                <w:rFonts w:ascii="Arial" w:cs="Arial" w:eastAsia="Arial" w:hAnsi="Arial"/>
                <w:sz w:val="17"/>
                <w:szCs w:val="17"/>
                <w:color w:val="0000FF"/>
                <w:w w:val="94"/>
              </w:rPr>
            </w:pPr>
            <w:hyperlink r:id="rId216">
              <w:r>
                <w:rPr>
                  <w:rFonts w:ascii="Arial" w:cs="Arial" w:eastAsia="Arial" w:hAnsi="Arial"/>
                  <w:sz w:val="17"/>
                  <w:szCs w:val="17"/>
                  <w:color w:val="0000FF"/>
                  <w:w w:val="94"/>
                </w:rPr>
                <w:t>Form 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3980" w:type="dxa"/>
            <w:vAlign w:val="bottom"/>
            <w:tcBorders>
              <w:top w:val="single" w:sz="8" w:color="0000FF"/>
              <w:bottom w:val="single" w:sz="8" w:color="0000FF"/>
            </w:tcBorders>
            <w:gridSpan w:val="4"/>
          </w:tcPr>
          <w:p>
            <w:pPr>
              <w:spacing w:after="0" w:line="150" w:lineRule="exact"/>
              <w:rPr>
                <w:rFonts w:ascii="Arial" w:cs="Arial" w:eastAsia="Arial" w:hAnsi="Arial"/>
                <w:sz w:val="17"/>
                <w:szCs w:val="17"/>
                <w:color w:val="0000FF"/>
              </w:rPr>
            </w:pPr>
            <w:hyperlink r:id="rId216">
              <w:r>
                <w:rPr>
                  <w:rFonts w:ascii="Arial" w:cs="Arial" w:eastAsia="Arial" w:hAnsi="Arial"/>
                  <w:sz w:val="17"/>
                  <w:szCs w:val="17"/>
                  <w:color w:val="0000FF"/>
                </w:rPr>
                <w:t>1/A (File No. 333-249074) filed on October 9, 2020)</w:t>
              </w:r>
            </w:hyperlink>
          </w:p>
        </w:tc>
        <w:tc>
          <w:tcPr>
            <w:tcW w:w="4600" w:type="dxa"/>
            <w:vAlign w:val="bottom"/>
            <w:tcBorders>
              <w:top w:val="single" w:sz="8" w:color="0000FF"/>
            </w:tcBorders>
            <w:gridSpan w:val="23"/>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8"/>
        </w:trPr>
        <w:tc>
          <w:tcPr>
            <w:tcW w:w="1220" w:type="dxa"/>
            <w:vAlign w:val="bottom"/>
          </w:tcPr>
          <w:p>
            <w:pPr>
              <w:spacing w:after="0"/>
              <w:rPr>
                <w:sz w:val="24"/>
                <w:szCs w:val="24"/>
                <w:color w:val="auto"/>
              </w:rPr>
            </w:pPr>
          </w:p>
        </w:tc>
        <w:tc>
          <w:tcPr>
            <w:tcW w:w="4600" w:type="dxa"/>
            <w:vAlign w:val="bottom"/>
            <w:gridSpan w:val="6"/>
          </w:tcPr>
          <w:p>
            <w:pPr>
              <w:ind w:left="4260"/>
              <w:spacing w:after="0"/>
              <w:rPr>
                <w:sz w:val="20"/>
                <w:szCs w:val="20"/>
                <w:color w:val="auto"/>
              </w:rPr>
            </w:pPr>
            <w:r>
              <w:rPr>
                <w:rFonts w:ascii="Arial" w:cs="Arial" w:eastAsia="Arial" w:hAnsi="Arial"/>
                <w:sz w:val="17"/>
                <w:szCs w:val="17"/>
                <w:color w:val="auto"/>
              </w:rPr>
              <w:t>158</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8580" w:type="dxa"/>
            <w:vAlign w:val="bottom"/>
            <w:gridSpan w:val="29"/>
          </w:tcPr>
          <w:p>
            <w:pPr>
              <w:spacing w:after="0"/>
              <w:rPr>
                <w:rFonts w:ascii="Arial" w:cs="Arial" w:eastAsia="Arial" w:hAnsi="Arial"/>
                <w:sz w:val="17"/>
                <w:szCs w:val="17"/>
                <w:color w:val="0000FF"/>
              </w:rPr>
            </w:pPr>
            <w:hyperlink r:id="rId219">
              <w:r>
                <w:rPr>
                  <w:rFonts w:ascii="Arial" w:cs="Arial" w:eastAsia="Arial" w:hAnsi="Arial"/>
                  <w:sz w:val="17"/>
                  <w:szCs w:val="17"/>
                  <w:color w:val="0000FF"/>
                </w:rPr>
                <w:t>Form of Restricted Stock Award Agreement for Non -Employee Directors under the 2020 Stock Option and</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10.10#</w:t>
            </w:r>
          </w:p>
        </w:tc>
        <w:tc>
          <w:tcPr>
            <w:tcW w:w="8580" w:type="dxa"/>
            <w:vAlign w:val="bottom"/>
            <w:gridSpan w:val="29"/>
          </w:tcPr>
          <w:p>
            <w:pPr>
              <w:spacing w:after="0" w:line="150" w:lineRule="exact"/>
              <w:rPr>
                <w:rFonts w:ascii="Arial" w:cs="Arial" w:eastAsia="Arial" w:hAnsi="Arial"/>
                <w:sz w:val="17"/>
                <w:szCs w:val="17"/>
                <w:color w:val="0000FF"/>
              </w:rPr>
            </w:pPr>
            <w:hyperlink r:id="rId219">
              <w:r>
                <w:rPr>
                  <w:rFonts w:ascii="Arial" w:cs="Arial" w:eastAsia="Arial" w:hAnsi="Arial"/>
                  <w:sz w:val="17"/>
                  <w:szCs w:val="17"/>
                  <w:color w:val="0000FF"/>
                </w:rPr>
                <w:t>Incentive Plan (incorporated by reference to Exhibit 10.10 to the Registrant's Registration Statement on Form</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4160" w:type="dxa"/>
            <w:vAlign w:val="bottom"/>
            <w:tcBorders>
              <w:top w:val="single" w:sz="8" w:color="0000FF"/>
              <w:bottom w:val="single" w:sz="8" w:color="0000FF"/>
            </w:tcBorders>
            <w:gridSpan w:val="6"/>
          </w:tcPr>
          <w:p>
            <w:pPr>
              <w:spacing w:after="0" w:line="150" w:lineRule="exact"/>
              <w:rPr>
                <w:rFonts w:ascii="Arial" w:cs="Arial" w:eastAsia="Arial" w:hAnsi="Arial"/>
                <w:sz w:val="17"/>
                <w:szCs w:val="17"/>
                <w:color w:val="0000FF"/>
              </w:rPr>
            </w:pPr>
            <w:hyperlink r:id="rId219">
              <w:r>
                <w:rPr>
                  <w:rFonts w:ascii="Arial" w:cs="Arial" w:eastAsia="Arial" w:hAnsi="Arial"/>
                  <w:sz w:val="17"/>
                  <w:szCs w:val="17"/>
                  <w:color w:val="0000FF"/>
                </w:rPr>
                <w:t>S-1/A (File No. 333-249074) filed on October 9, 2020)</w:t>
              </w:r>
            </w:hyperlink>
          </w:p>
        </w:tc>
        <w:tc>
          <w:tcPr>
            <w:tcW w:w="42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29"/>
          </w:tcPr>
          <w:p>
            <w:pPr>
              <w:spacing w:after="0"/>
              <w:rPr>
                <w:rFonts w:ascii="Arial" w:cs="Arial" w:eastAsia="Arial" w:hAnsi="Arial"/>
                <w:sz w:val="17"/>
                <w:szCs w:val="17"/>
                <w:color w:val="0000FF"/>
              </w:rPr>
            </w:pPr>
            <w:hyperlink r:id="rId220">
              <w:r>
                <w:rPr>
                  <w:rFonts w:ascii="Arial" w:cs="Arial" w:eastAsia="Arial" w:hAnsi="Arial"/>
                  <w:sz w:val="17"/>
                  <w:szCs w:val="17"/>
                  <w:color w:val="0000FF"/>
                </w:rPr>
                <w:t>Praxis Precision Medicines, Inc. 2020 Employee Stock Purchase Plan (incorporated by reference to Exhibit</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10.11#</w:t>
            </w:r>
          </w:p>
        </w:tc>
        <w:tc>
          <w:tcPr>
            <w:tcW w:w="8260" w:type="dxa"/>
            <w:vAlign w:val="bottom"/>
            <w:tcBorders>
              <w:top w:val="single" w:sz="8" w:color="0000FF"/>
            </w:tcBorders>
            <w:gridSpan w:val="20"/>
          </w:tcPr>
          <w:p>
            <w:pPr>
              <w:spacing w:after="0" w:line="150" w:lineRule="exact"/>
              <w:rPr>
                <w:rFonts w:ascii="Arial" w:cs="Arial" w:eastAsia="Arial" w:hAnsi="Arial"/>
                <w:sz w:val="17"/>
                <w:szCs w:val="17"/>
                <w:color w:val="0000FF"/>
              </w:rPr>
            </w:pPr>
            <w:hyperlink r:id="rId220">
              <w:r>
                <w:rPr>
                  <w:rFonts w:ascii="Arial" w:cs="Arial" w:eastAsia="Arial" w:hAnsi="Arial"/>
                  <w:sz w:val="17"/>
                  <w:szCs w:val="17"/>
                  <w:color w:val="0000FF"/>
                </w:rPr>
                <w:t>10.</w:t>
              </w:r>
              <w:r>
                <w:rPr>
                  <w:rFonts w:ascii="Arial" w:cs="Arial" w:eastAsia="Arial" w:hAnsi="Arial"/>
                  <w:sz w:val="17"/>
                  <w:szCs w:val="17"/>
                  <w:u w:val="single" w:color="auto"/>
                  <w:color w:val="0000FF"/>
                </w:rPr>
                <w:t>11</w:t>
              </w:r>
              <w:r>
                <w:rPr>
                  <w:rFonts w:ascii="Arial" w:cs="Arial" w:eastAsia="Arial" w:hAnsi="Arial"/>
                  <w:sz w:val="17"/>
                  <w:szCs w:val="17"/>
                  <w:color w:val="0000FF"/>
                </w:rPr>
                <w:t xml:space="preserve"> to the Registrant's Registration Statement on Form S-1/A (File No. 333-249074) filed on October 9,</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4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96"/>
              </w:rPr>
            </w:pPr>
            <w:hyperlink r:id="rId220">
              <w:r>
                <w:rPr>
                  <w:rFonts w:ascii="Arial" w:cs="Arial" w:eastAsia="Arial" w:hAnsi="Arial"/>
                  <w:sz w:val="17"/>
                  <w:szCs w:val="17"/>
                  <w:color w:val="0000FF"/>
                  <w:w w:val="96"/>
                </w:rPr>
                <w:t>2020)</w:t>
              </w:r>
            </w:hyperlink>
          </w:p>
        </w:tc>
        <w:tc>
          <w:tcPr>
            <w:tcW w:w="20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10.12#*</w:t>
            </w:r>
          </w:p>
        </w:tc>
        <w:tc>
          <w:tcPr>
            <w:tcW w:w="8580" w:type="dxa"/>
            <w:vAlign w:val="bottom"/>
            <w:gridSpan w:val="29"/>
          </w:tcPr>
          <w:p>
            <w:pPr>
              <w:spacing w:after="0"/>
              <w:rPr>
                <w:rFonts w:ascii="Arial" w:cs="Arial" w:eastAsia="Arial" w:hAnsi="Arial"/>
                <w:sz w:val="17"/>
                <w:szCs w:val="17"/>
                <w:color w:val="0000FF"/>
              </w:rPr>
            </w:pPr>
            <w:hyperlink w:anchor="page168">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262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rPr>
            </w:pPr>
            <w:hyperlink w:anchor="page168">
              <w:r>
                <w:rPr>
                  <w:rFonts w:ascii="Arial" w:cs="Arial" w:eastAsia="Arial" w:hAnsi="Arial"/>
                  <w:sz w:val="17"/>
                  <w:szCs w:val="17"/>
                  <w:color w:val="0000FF"/>
                </w:rPr>
                <w:t>Medicines, Inc. and Marcio Souza</w:t>
              </w:r>
            </w:hyperlink>
          </w:p>
        </w:tc>
        <w:tc>
          <w:tcPr>
            <w:tcW w:w="57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10.13#*</w:t>
            </w:r>
          </w:p>
        </w:tc>
        <w:tc>
          <w:tcPr>
            <w:tcW w:w="8580" w:type="dxa"/>
            <w:vAlign w:val="bottom"/>
            <w:gridSpan w:val="29"/>
          </w:tcPr>
          <w:p>
            <w:pPr>
              <w:spacing w:after="0"/>
              <w:rPr>
                <w:rFonts w:ascii="Arial" w:cs="Arial" w:eastAsia="Arial" w:hAnsi="Arial"/>
                <w:sz w:val="17"/>
                <w:szCs w:val="17"/>
                <w:color w:val="0000FF"/>
              </w:rPr>
            </w:pPr>
            <w:hyperlink w:anchor="page180">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340" w:type="dxa"/>
            <w:vAlign w:val="bottom"/>
            <w:tcBorders>
              <w:top w:val="single" w:sz="8" w:color="0000FF"/>
            </w:tcBorders>
            <w:gridSpan w:val="22"/>
          </w:tcPr>
          <w:p>
            <w:pPr>
              <w:spacing w:after="0" w:line="150" w:lineRule="exact"/>
              <w:rPr>
                <w:rFonts w:ascii="Arial" w:cs="Arial" w:eastAsia="Arial" w:hAnsi="Arial"/>
                <w:sz w:val="17"/>
                <w:szCs w:val="17"/>
                <w:color w:val="0000FF"/>
              </w:rPr>
            </w:pPr>
            <w:hyperlink w:anchor="page180">
              <w:r>
                <w:rPr>
                  <w:rFonts w:ascii="Arial" w:cs="Arial" w:eastAsia="Arial" w:hAnsi="Arial"/>
                  <w:sz w:val="17"/>
                  <w:szCs w:val="17"/>
                  <w:color w:val="0000FF"/>
                </w:rPr>
                <w:t>Medicines, Inc. and Bernard Ravina</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10.14#*</w:t>
            </w:r>
          </w:p>
        </w:tc>
        <w:tc>
          <w:tcPr>
            <w:tcW w:w="8580" w:type="dxa"/>
            <w:vAlign w:val="bottom"/>
            <w:gridSpan w:val="29"/>
          </w:tcPr>
          <w:p>
            <w:pPr>
              <w:spacing w:after="0"/>
              <w:rPr>
                <w:rFonts w:ascii="Arial" w:cs="Arial" w:eastAsia="Arial" w:hAnsi="Arial"/>
                <w:sz w:val="17"/>
                <w:szCs w:val="17"/>
                <w:color w:val="0000FF"/>
              </w:rPr>
            </w:pPr>
            <w:hyperlink w:anchor="page191">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340" w:type="dxa"/>
            <w:vAlign w:val="bottom"/>
            <w:tcBorders>
              <w:top w:val="single" w:sz="8" w:color="0000FF"/>
            </w:tcBorders>
            <w:gridSpan w:val="22"/>
          </w:tcPr>
          <w:p>
            <w:pPr>
              <w:spacing w:after="0" w:line="150" w:lineRule="exact"/>
              <w:rPr>
                <w:rFonts w:ascii="Arial" w:cs="Arial" w:eastAsia="Arial" w:hAnsi="Arial"/>
                <w:sz w:val="17"/>
                <w:szCs w:val="17"/>
                <w:color w:val="0000FF"/>
              </w:rPr>
            </w:pPr>
            <w:hyperlink w:anchor="page191">
              <w:r>
                <w:rPr>
                  <w:rFonts w:ascii="Arial" w:cs="Arial" w:eastAsia="Arial" w:hAnsi="Arial"/>
                  <w:sz w:val="17"/>
                  <w:szCs w:val="17"/>
                  <w:color w:val="0000FF"/>
                </w:rPr>
                <w:t>Medicines, Inc. and Nicole Sweeny</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29"/>
          </w:tcPr>
          <w:p>
            <w:pPr>
              <w:spacing w:after="0"/>
              <w:rPr>
                <w:rFonts w:ascii="Arial" w:cs="Arial" w:eastAsia="Arial" w:hAnsi="Arial"/>
                <w:sz w:val="17"/>
                <w:szCs w:val="17"/>
                <w:color w:val="0000FF"/>
              </w:rPr>
            </w:pPr>
            <w:hyperlink r:id="rId210">
              <w:r>
                <w:rPr>
                  <w:rFonts w:ascii="Arial" w:cs="Arial" w:eastAsia="Arial" w:hAnsi="Arial"/>
                  <w:sz w:val="17"/>
                  <w:szCs w:val="17"/>
                  <w:color w:val="0000FF"/>
                </w:rPr>
                <w:t>Retention Incentive Award Letter Agreement, dated August 30, 2021, by and between Praxis Precision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10.15#</w:t>
            </w:r>
          </w:p>
        </w:tc>
        <w:tc>
          <w:tcPr>
            <w:tcW w:w="8580" w:type="dxa"/>
            <w:vAlign w:val="bottom"/>
            <w:gridSpan w:val="29"/>
          </w:tcPr>
          <w:p>
            <w:pPr>
              <w:spacing w:after="0" w:line="150" w:lineRule="exact"/>
              <w:rPr>
                <w:rFonts w:ascii="Arial" w:cs="Arial" w:eastAsia="Arial" w:hAnsi="Arial"/>
                <w:sz w:val="17"/>
                <w:szCs w:val="17"/>
                <w:color w:val="0000FF"/>
              </w:rPr>
            </w:pPr>
            <w:hyperlink r:id="rId210">
              <w:r>
                <w:rPr>
                  <w:rFonts w:ascii="Arial" w:cs="Arial" w:eastAsia="Arial" w:hAnsi="Arial"/>
                  <w:sz w:val="17"/>
                  <w:szCs w:val="17"/>
                  <w:color w:val="0000FF"/>
                </w:rPr>
                <w:t>Medicines, Inc. and Bernard Ravina (incorporated by reference to Exhibit 10.1 to the Registrant's Current</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100" w:type="dxa"/>
            <w:vAlign w:val="bottom"/>
            <w:tcBorders>
              <w:top w:val="single" w:sz="8" w:color="0000FF"/>
            </w:tcBorders>
            <w:gridSpan w:val="16"/>
          </w:tcPr>
          <w:p>
            <w:pPr>
              <w:spacing w:after="0" w:line="150" w:lineRule="exact"/>
              <w:rPr>
                <w:rFonts w:ascii="Arial" w:cs="Arial" w:eastAsia="Arial" w:hAnsi="Arial"/>
                <w:sz w:val="17"/>
                <w:szCs w:val="17"/>
                <w:color w:val="0000FF"/>
              </w:rPr>
            </w:pPr>
            <w:hyperlink r:id="rId210">
              <w:r>
                <w:rPr>
                  <w:rFonts w:ascii="Arial" w:cs="Arial" w:eastAsia="Arial" w:hAnsi="Arial"/>
                  <w:sz w:val="17"/>
                  <w:szCs w:val="17"/>
                  <w:color w:val="0000FF"/>
                </w:rPr>
                <w:t>Report on Form 8-K (File No. 001-39620) filed on August 30, 2021)</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10.16#*</w:t>
            </w:r>
          </w:p>
        </w:tc>
        <w:tc>
          <w:tcPr>
            <w:tcW w:w="5180" w:type="dxa"/>
            <w:vAlign w:val="bottom"/>
            <w:tcBorders>
              <w:top w:val="single" w:sz="8" w:color="0000FF"/>
            </w:tcBorders>
            <w:gridSpan w:val="8"/>
          </w:tcPr>
          <w:p>
            <w:pPr>
              <w:spacing w:after="0"/>
              <w:rPr>
                <w:rFonts w:ascii="Arial" w:cs="Arial" w:eastAsia="Arial" w:hAnsi="Arial"/>
                <w:sz w:val="17"/>
                <w:szCs w:val="17"/>
                <w:color w:val="0000FF"/>
              </w:rPr>
            </w:pPr>
            <w:hyperlink w:anchor="page202">
              <w:r>
                <w:rPr>
                  <w:rFonts w:ascii="Arial" w:cs="Arial" w:eastAsia="Arial" w:hAnsi="Arial"/>
                  <w:sz w:val="17"/>
                  <w:szCs w:val="17"/>
                  <w:color w:val="0000FF"/>
                </w:rPr>
                <w:t>Non-Employee Director Compensation Policy</w:t>
              </w:r>
            </w:hyperlink>
          </w:p>
        </w:tc>
        <w:tc>
          <w:tcPr>
            <w:tcW w:w="34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8360" w:type="dxa"/>
            <w:vAlign w:val="bottom"/>
            <w:tcBorders>
              <w:bottom w:val="single" w:sz="8" w:color="0000FF"/>
            </w:tcBorders>
            <w:gridSpan w:val="23"/>
          </w:tcPr>
          <w:p>
            <w:pPr>
              <w:spacing w:after="0"/>
              <w:rPr>
                <w:rFonts w:ascii="Arial" w:cs="Arial" w:eastAsia="Arial" w:hAnsi="Arial"/>
                <w:sz w:val="17"/>
                <w:szCs w:val="17"/>
                <w:color w:val="0000FF"/>
              </w:rPr>
            </w:pPr>
            <w:hyperlink r:id="rId221">
              <w:r>
                <w:rPr>
                  <w:rFonts w:ascii="Arial" w:cs="Arial" w:eastAsia="Arial" w:hAnsi="Arial"/>
                  <w:sz w:val="17"/>
                  <w:szCs w:val="17"/>
                  <w:color w:val="0000FF"/>
                </w:rPr>
                <w:t>License Agreement, dated December 31, 2017, by and between Purdue Neuroscience Company and Praxis</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10.17†</w:t>
            </w:r>
          </w:p>
        </w:tc>
        <w:tc>
          <w:tcPr>
            <w:tcW w:w="8580" w:type="dxa"/>
            <w:vAlign w:val="bottom"/>
            <w:gridSpan w:val="29"/>
          </w:tcPr>
          <w:p>
            <w:pPr>
              <w:spacing w:after="0" w:line="150" w:lineRule="exact"/>
              <w:rPr>
                <w:rFonts w:ascii="Arial" w:cs="Arial" w:eastAsia="Arial" w:hAnsi="Arial"/>
                <w:sz w:val="17"/>
                <w:szCs w:val="17"/>
                <w:color w:val="0000FF"/>
              </w:rPr>
            </w:pPr>
            <w:hyperlink r:id="rId221">
              <w:r>
                <w:rPr>
                  <w:rFonts w:ascii="Arial" w:cs="Arial" w:eastAsia="Arial" w:hAnsi="Arial"/>
                  <w:sz w:val="17"/>
                  <w:szCs w:val="17"/>
                  <w:color w:val="0000FF"/>
                </w:rPr>
                <w:t>Precision Medicines, Inc. (incorporated by reference to Exhibit 10.14 to the Registrant's Registration Statement</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5020" w:type="dxa"/>
            <w:vAlign w:val="bottom"/>
            <w:tcBorders>
              <w:top w:val="single" w:sz="8" w:color="0000FF"/>
              <w:bottom w:val="single" w:sz="8" w:color="0000FF"/>
            </w:tcBorders>
            <w:gridSpan w:val="7"/>
          </w:tcPr>
          <w:p>
            <w:pPr>
              <w:spacing w:after="0" w:line="150" w:lineRule="exact"/>
              <w:rPr>
                <w:rFonts w:ascii="Arial" w:cs="Arial" w:eastAsia="Arial" w:hAnsi="Arial"/>
                <w:sz w:val="17"/>
                <w:szCs w:val="17"/>
                <w:color w:val="0000FF"/>
              </w:rPr>
            </w:pPr>
            <w:hyperlink r:id="rId221">
              <w:r>
                <w:rPr>
                  <w:rFonts w:ascii="Arial" w:cs="Arial" w:eastAsia="Arial" w:hAnsi="Arial"/>
                  <w:sz w:val="17"/>
                  <w:szCs w:val="17"/>
                  <w:color w:val="0000FF"/>
                </w:rPr>
                <w:t>on Form S-1 (File No. 333-249074) filed on September 25, 2020)</w:t>
              </w:r>
            </w:hyperlink>
          </w:p>
        </w:tc>
        <w:tc>
          <w:tcPr>
            <w:tcW w:w="35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240" w:type="dxa"/>
            <w:vAlign w:val="bottom"/>
            <w:tcBorders>
              <w:bottom w:val="single" w:sz="8" w:color="0000FF"/>
            </w:tcBorders>
            <w:gridSpan w:val="19"/>
          </w:tcPr>
          <w:p>
            <w:pPr>
              <w:spacing w:after="0"/>
              <w:rPr>
                <w:rFonts w:ascii="Arial" w:cs="Arial" w:eastAsia="Arial" w:hAnsi="Arial"/>
                <w:sz w:val="17"/>
                <w:szCs w:val="17"/>
                <w:color w:val="0000FF"/>
              </w:rPr>
            </w:pPr>
            <w:hyperlink r:id="rId222">
              <w:r>
                <w:rPr>
                  <w:rFonts w:ascii="Arial" w:cs="Arial" w:eastAsia="Arial" w:hAnsi="Arial"/>
                  <w:sz w:val="17"/>
                  <w:szCs w:val="17"/>
                  <w:color w:val="0000FF"/>
                </w:rPr>
                <w:t>Cooperation and License Agreement, dated September 11, 2019, by and between RogCon Inc. and Praxis</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10.18†</w:t>
            </w:r>
          </w:p>
        </w:tc>
        <w:tc>
          <w:tcPr>
            <w:tcW w:w="8580" w:type="dxa"/>
            <w:vAlign w:val="bottom"/>
            <w:gridSpan w:val="29"/>
          </w:tcPr>
          <w:p>
            <w:pPr>
              <w:spacing w:after="0" w:line="150" w:lineRule="exact"/>
              <w:rPr>
                <w:rFonts w:ascii="Arial" w:cs="Arial" w:eastAsia="Arial" w:hAnsi="Arial"/>
                <w:sz w:val="17"/>
                <w:szCs w:val="17"/>
                <w:color w:val="0000FF"/>
              </w:rPr>
            </w:pPr>
            <w:hyperlink r:id="rId222">
              <w:r>
                <w:rPr>
                  <w:rFonts w:ascii="Arial" w:cs="Arial" w:eastAsia="Arial" w:hAnsi="Arial"/>
                  <w:sz w:val="17"/>
                  <w:szCs w:val="17"/>
                  <w:color w:val="0000FF"/>
                </w:rPr>
                <w:t>Precision Medicines, Inc. (incorporated by reference to Exhibit 10.15 to the Registrant's Registration Statement</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5020" w:type="dxa"/>
            <w:vAlign w:val="bottom"/>
            <w:tcBorders>
              <w:top w:val="single" w:sz="8" w:color="0000FF"/>
              <w:bottom w:val="single" w:sz="8" w:color="0000FF"/>
            </w:tcBorders>
            <w:gridSpan w:val="7"/>
          </w:tcPr>
          <w:p>
            <w:pPr>
              <w:spacing w:after="0" w:line="150" w:lineRule="exact"/>
              <w:rPr>
                <w:rFonts w:ascii="Arial" w:cs="Arial" w:eastAsia="Arial" w:hAnsi="Arial"/>
                <w:sz w:val="17"/>
                <w:szCs w:val="17"/>
                <w:color w:val="0000FF"/>
              </w:rPr>
            </w:pPr>
            <w:hyperlink r:id="rId222">
              <w:r>
                <w:rPr>
                  <w:rFonts w:ascii="Arial" w:cs="Arial" w:eastAsia="Arial" w:hAnsi="Arial"/>
                  <w:sz w:val="17"/>
                  <w:szCs w:val="17"/>
                  <w:color w:val="0000FF"/>
                </w:rPr>
                <w:t>on Form S-1 (File No. 333-249074) filed on September 25, 2020)</w:t>
              </w:r>
            </w:hyperlink>
          </w:p>
        </w:tc>
        <w:tc>
          <w:tcPr>
            <w:tcW w:w="35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29"/>
          </w:tcPr>
          <w:p>
            <w:pPr>
              <w:spacing w:after="0"/>
              <w:rPr>
                <w:rFonts w:ascii="Arial" w:cs="Arial" w:eastAsia="Arial" w:hAnsi="Arial"/>
                <w:sz w:val="17"/>
                <w:szCs w:val="17"/>
                <w:color w:val="0000FF"/>
              </w:rPr>
            </w:pPr>
            <w:hyperlink r:id="rId223">
              <w:r>
                <w:rPr>
                  <w:rFonts w:ascii="Arial" w:cs="Arial" w:eastAsia="Arial" w:hAnsi="Arial"/>
                  <w:sz w:val="17"/>
                  <w:szCs w:val="17"/>
                  <w:color w:val="0000FF"/>
                </w:rPr>
                <w:t>Research Collaboration, Option and License Agreement, dated September 11, 2019, by and between Ionis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10.19†</w:t>
            </w:r>
          </w:p>
        </w:tc>
        <w:tc>
          <w:tcPr>
            <w:tcW w:w="8580" w:type="dxa"/>
            <w:vAlign w:val="bottom"/>
            <w:gridSpan w:val="29"/>
          </w:tcPr>
          <w:p>
            <w:pPr>
              <w:spacing w:after="0" w:line="150" w:lineRule="exact"/>
              <w:rPr>
                <w:rFonts w:ascii="Arial" w:cs="Arial" w:eastAsia="Arial" w:hAnsi="Arial"/>
                <w:sz w:val="17"/>
                <w:szCs w:val="17"/>
                <w:color w:val="0000FF"/>
              </w:rPr>
            </w:pPr>
            <w:hyperlink r:id="rId223">
              <w:r>
                <w:rPr>
                  <w:rFonts w:ascii="Arial" w:cs="Arial" w:eastAsia="Arial" w:hAnsi="Arial"/>
                  <w:sz w:val="17"/>
                  <w:szCs w:val="17"/>
                  <w:color w:val="0000FF"/>
                </w:rPr>
                <w:t>Pharmaceuticals, Inc. and Praxis Precision Medicines, Inc. (incorporated by reference to Exhibit 10.16 to the</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7820" w:type="dxa"/>
            <w:vAlign w:val="bottom"/>
            <w:tcBorders>
              <w:top w:val="single" w:sz="8" w:color="0000FF"/>
              <w:bottom w:val="single" w:sz="8" w:color="0000FF"/>
            </w:tcBorders>
            <w:gridSpan w:val="13"/>
          </w:tcPr>
          <w:p>
            <w:pPr>
              <w:spacing w:after="0" w:line="150" w:lineRule="exact"/>
              <w:rPr>
                <w:rFonts w:ascii="Arial" w:cs="Arial" w:eastAsia="Arial" w:hAnsi="Arial"/>
                <w:sz w:val="17"/>
                <w:szCs w:val="17"/>
                <w:color w:val="0000FF"/>
              </w:rPr>
            </w:pPr>
            <w:hyperlink r:id="rId223">
              <w:r>
                <w:rPr>
                  <w:rFonts w:ascii="Arial" w:cs="Arial" w:eastAsia="Arial" w:hAnsi="Arial"/>
                  <w:sz w:val="17"/>
                  <w:szCs w:val="17"/>
                  <w:color w:val="0000FF"/>
                </w:rPr>
                <w:t>Registrant's Registration Statement on Form S-1 (File No. 333-249074) filed on September 25, 2020)</w:t>
              </w:r>
            </w:hyperlink>
          </w:p>
        </w:tc>
        <w:tc>
          <w:tcPr>
            <w:tcW w:w="540" w:type="dxa"/>
            <w:vAlign w:val="bottom"/>
            <w:tcBorders>
              <w:top w:val="single" w:sz="8" w:color="0000FF"/>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580" w:type="dxa"/>
            <w:vAlign w:val="bottom"/>
            <w:gridSpan w:val="29"/>
          </w:tcPr>
          <w:p>
            <w:pPr>
              <w:spacing w:after="0"/>
              <w:rPr>
                <w:rFonts w:ascii="Arial" w:cs="Arial" w:eastAsia="Arial" w:hAnsi="Arial"/>
                <w:sz w:val="17"/>
                <w:szCs w:val="17"/>
                <w:color w:val="0000FF"/>
              </w:rPr>
            </w:pPr>
            <w:hyperlink r:id="rId224">
              <w:r>
                <w:rPr>
                  <w:rFonts w:ascii="Arial" w:cs="Arial" w:eastAsia="Arial" w:hAnsi="Arial"/>
                  <w:sz w:val="17"/>
                  <w:szCs w:val="17"/>
                  <w:color w:val="0000FF"/>
                </w:rPr>
                <w:t>Sublease, dated May 27, 2021, by and between CBRE, Inc. and Praxis Precision Medicines, Inc. (incorporated</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10.2</w:t>
            </w:r>
          </w:p>
        </w:tc>
        <w:tc>
          <w:tcPr>
            <w:tcW w:w="8540" w:type="dxa"/>
            <w:vAlign w:val="bottom"/>
            <w:tcBorders>
              <w:top w:val="single" w:sz="8" w:color="0000FF"/>
            </w:tcBorders>
            <w:gridSpan w:val="27"/>
          </w:tcPr>
          <w:p>
            <w:pPr>
              <w:spacing w:after="0" w:line="150" w:lineRule="exact"/>
              <w:rPr>
                <w:rFonts w:ascii="Arial" w:cs="Arial" w:eastAsia="Arial" w:hAnsi="Arial"/>
                <w:sz w:val="17"/>
                <w:szCs w:val="17"/>
                <w:color w:val="0000FF"/>
              </w:rPr>
            </w:pPr>
            <w:hyperlink r:id="rId224">
              <w:r>
                <w:rPr>
                  <w:rFonts w:ascii="Arial" w:cs="Arial" w:eastAsia="Arial" w:hAnsi="Arial"/>
                  <w:sz w:val="17"/>
                  <w:szCs w:val="17"/>
                  <w:color w:val="0000FF"/>
                </w:rPr>
                <w:t>by reference to Exhibit 10.1 to the Registrant's Current Report on Form 8-K (File No. 001-39620) filed on June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99"/>
              </w:rPr>
            </w:pPr>
            <w:hyperlink r:id="rId224">
              <w:r>
                <w:rPr>
                  <w:rFonts w:ascii="Arial" w:cs="Arial" w:eastAsia="Arial" w:hAnsi="Arial"/>
                  <w:sz w:val="17"/>
                  <w:szCs w:val="17"/>
                  <w:color w:val="0000FF"/>
                  <w:w w:val="99"/>
                </w:rPr>
                <w:t>2, 2021)</w:t>
              </w:r>
            </w:hyperlink>
          </w:p>
        </w:tc>
        <w:tc>
          <w:tcPr>
            <w:tcW w:w="19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8580" w:type="dxa"/>
            <w:vAlign w:val="bottom"/>
            <w:gridSpan w:val="29"/>
          </w:tcPr>
          <w:p>
            <w:pPr>
              <w:spacing w:after="0"/>
              <w:rPr>
                <w:rFonts w:ascii="Arial" w:cs="Arial" w:eastAsia="Arial" w:hAnsi="Arial"/>
                <w:sz w:val="17"/>
                <w:szCs w:val="17"/>
                <w:color w:val="0000FF"/>
              </w:rPr>
            </w:pPr>
            <w:hyperlink r:id="rId225">
              <w:r>
                <w:rPr>
                  <w:rFonts w:ascii="Arial" w:cs="Arial" w:eastAsia="Arial" w:hAnsi="Arial"/>
                  <w:sz w:val="17"/>
                  <w:szCs w:val="17"/>
                  <w:color w:val="0000FF"/>
                </w:rPr>
                <w:t>Subsidiaries of the Registrant (incorporated by reference to Exhibit 21.1 to the Registrant's Registration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7960" w:type="dxa"/>
            <w:vAlign w:val="bottom"/>
            <w:tcBorders>
              <w:top w:val="single" w:sz="8" w:color="0000FF"/>
            </w:tcBorders>
            <w:gridSpan w:val="15"/>
          </w:tcPr>
          <w:p>
            <w:pPr>
              <w:spacing w:after="0" w:line="150" w:lineRule="exact"/>
              <w:rPr>
                <w:rFonts w:ascii="Arial" w:cs="Arial" w:eastAsia="Arial" w:hAnsi="Arial"/>
                <w:sz w:val="17"/>
                <w:szCs w:val="17"/>
                <w:color w:val="0000FF"/>
              </w:rPr>
            </w:pPr>
            <w:hyperlink r:id="rId225">
              <w:r>
                <w:rPr>
                  <w:rFonts w:ascii="Arial" w:cs="Arial" w:eastAsia="Arial" w:hAnsi="Arial"/>
                  <w:sz w:val="17"/>
                  <w:szCs w:val="17"/>
                  <w:color w:val="0000FF"/>
                </w:rPr>
                <w:t>Statement on Form S-1 (File No. 333-249074) filed on September 25, 2020)</w:t>
              </w:r>
            </w:hyperlink>
          </w:p>
        </w:tc>
        <w:tc>
          <w:tcPr>
            <w:tcW w:w="2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9"/>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23.1*</w:t>
            </w:r>
          </w:p>
        </w:tc>
        <w:tc>
          <w:tcPr>
            <w:tcW w:w="6140" w:type="dxa"/>
            <w:vAlign w:val="bottom"/>
            <w:tcBorders>
              <w:bottom w:val="single" w:sz="8" w:color="0000FF"/>
            </w:tcBorders>
            <w:gridSpan w:val="11"/>
          </w:tcPr>
          <w:p>
            <w:pPr>
              <w:spacing w:after="0"/>
              <w:rPr>
                <w:rFonts w:ascii="Arial" w:cs="Arial" w:eastAsia="Arial" w:hAnsi="Arial"/>
                <w:sz w:val="17"/>
                <w:szCs w:val="17"/>
                <w:color w:val="0000FF"/>
              </w:rPr>
            </w:pPr>
            <w:hyperlink w:anchor="page204">
              <w:r>
                <w:rPr>
                  <w:rFonts w:ascii="Arial" w:cs="Arial" w:eastAsia="Arial" w:hAnsi="Arial"/>
                  <w:sz w:val="17"/>
                  <w:szCs w:val="17"/>
                  <w:color w:val="0000FF"/>
                </w:rPr>
                <w:t>Consent of Ernst &amp; Young LLP, Independent Registered Public Accounting Firm</w:t>
              </w:r>
            </w:hyperlink>
          </w:p>
        </w:tc>
        <w:tc>
          <w:tcPr>
            <w:tcW w:w="24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0"/>
                <w:szCs w:val="20"/>
                <w:color w:val="auto"/>
              </w:rPr>
            </w:pPr>
            <w:r>
              <w:rPr>
                <w:rFonts w:ascii="Arial" w:cs="Arial" w:eastAsia="Arial" w:hAnsi="Arial"/>
                <w:sz w:val="17"/>
                <w:szCs w:val="17"/>
                <w:color w:val="auto"/>
              </w:rPr>
              <w:t>24.1*</w:t>
            </w:r>
          </w:p>
        </w:tc>
        <w:tc>
          <w:tcPr>
            <w:tcW w:w="8580" w:type="dxa"/>
            <w:vAlign w:val="bottom"/>
            <w:gridSpan w:val="29"/>
          </w:tcPr>
          <w:p>
            <w:pPr>
              <w:spacing w:after="0"/>
              <w:rPr>
                <w:sz w:val="20"/>
                <w:szCs w:val="20"/>
                <w:color w:val="auto"/>
              </w:rPr>
            </w:pPr>
            <w:r>
              <w:rPr>
                <w:rFonts w:ascii="Arial" w:cs="Arial" w:eastAsia="Arial" w:hAnsi="Arial"/>
                <w:sz w:val="17"/>
                <w:szCs w:val="17"/>
                <w:color w:val="auto"/>
              </w:rPr>
              <w:t>Power of Attorney (included on signature page hereto)</w:t>
            </w:r>
          </w:p>
        </w:tc>
        <w:tc>
          <w:tcPr>
            <w:tcW w:w="0" w:type="dxa"/>
            <w:vAlign w:val="bottom"/>
          </w:tcPr>
          <w:p>
            <w:pPr>
              <w:spacing w:after="0"/>
              <w:rPr>
                <w:sz w:val="1"/>
                <w:szCs w:val="1"/>
                <w:color w:val="auto"/>
              </w:rPr>
            </w:pPr>
          </w:p>
        </w:tc>
      </w:tr>
      <w:tr>
        <w:trPr>
          <w:trHeight w:val="184"/>
        </w:trPr>
        <w:tc>
          <w:tcPr>
            <w:tcW w:w="120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8580" w:type="dxa"/>
            <w:vAlign w:val="bottom"/>
            <w:gridSpan w:val="29"/>
          </w:tcPr>
          <w:p>
            <w:pPr>
              <w:spacing w:after="0" w:line="184" w:lineRule="exact"/>
              <w:rPr>
                <w:rFonts w:ascii="Arial" w:cs="Arial" w:eastAsia="Arial" w:hAnsi="Arial"/>
                <w:sz w:val="17"/>
                <w:szCs w:val="17"/>
                <w:color w:val="0000FF"/>
              </w:rPr>
            </w:pPr>
            <w:hyperlink w:anchor="page205">
              <w:r>
                <w:rPr>
                  <w:rFonts w:ascii="Arial" w:cs="Arial" w:eastAsia="Arial" w:hAnsi="Arial"/>
                  <w:sz w:val="17"/>
                  <w:szCs w:val="17"/>
                  <w:color w:val="0000FF"/>
                </w:rPr>
                <w:t>Certification of Principal Executive Officer Pursuant to Rules 13a-14(a) and 15d-14(a) under the Securities</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240" w:type="dxa"/>
            <w:vAlign w:val="bottom"/>
            <w:tcBorders>
              <w:top w:val="single" w:sz="8" w:color="0000FF"/>
            </w:tcBorders>
            <w:gridSpan w:val="19"/>
          </w:tcPr>
          <w:p>
            <w:pPr>
              <w:spacing w:after="0" w:line="150" w:lineRule="exact"/>
              <w:rPr>
                <w:rFonts w:ascii="Arial" w:cs="Arial" w:eastAsia="Arial" w:hAnsi="Arial"/>
                <w:sz w:val="17"/>
                <w:szCs w:val="17"/>
                <w:color w:val="0000FF"/>
              </w:rPr>
            </w:pPr>
            <w:hyperlink w:anchor="page205">
              <w:r>
                <w:rPr>
                  <w:rFonts w:ascii="Arial" w:cs="Arial" w:eastAsia="Arial" w:hAnsi="Arial"/>
                  <w:sz w:val="17"/>
                  <w:szCs w:val="17"/>
                  <w:color w:val="0000FF"/>
                </w:rPr>
                <w:t>Exchange Act of 1934, as Adopted Pursuant to Section 302 of the Sarbanes-Oxley Act of 2002</w:t>
              </w:r>
            </w:hyperlink>
          </w:p>
        </w:tc>
        <w:tc>
          <w:tcPr>
            <w:tcW w:w="200" w:type="dxa"/>
            <w:vAlign w:val="bottom"/>
            <w:gridSpan w:val="6"/>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9"/>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8580" w:type="dxa"/>
            <w:vAlign w:val="bottom"/>
            <w:gridSpan w:val="29"/>
          </w:tcPr>
          <w:p>
            <w:pPr>
              <w:spacing w:after="0"/>
              <w:rPr>
                <w:rFonts w:ascii="Arial" w:cs="Arial" w:eastAsia="Arial" w:hAnsi="Arial"/>
                <w:sz w:val="17"/>
                <w:szCs w:val="17"/>
                <w:color w:val="0000FF"/>
              </w:rPr>
            </w:pPr>
            <w:hyperlink w:anchor="page206">
              <w:r>
                <w:rPr>
                  <w:rFonts w:ascii="Arial" w:cs="Arial" w:eastAsia="Arial" w:hAnsi="Arial"/>
                  <w:sz w:val="17"/>
                  <w:szCs w:val="17"/>
                  <w:color w:val="0000FF"/>
                </w:rPr>
                <w:t>Certification of Principal Financial Officer Pursuant to Rules 13a-14(a) and 15d-14(a) under the Securities</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180" w:type="dxa"/>
            <w:vAlign w:val="bottom"/>
            <w:tcBorders>
              <w:top w:val="single" w:sz="8" w:color="0000FF"/>
            </w:tcBorders>
            <w:gridSpan w:val="18"/>
          </w:tcPr>
          <w:p>
            <w:pPr>
              <w:spacing w:after="0" w:line="150" w:lineRule="exact"/>
              <w:rPr>
                <w:rFonts w:ascii="Arial" w:cs="Arial" w:eastAsia="Arial" w:hAnsi="Arial"/>
                <w:sz w:val="17"/>
                <w:szCs w:val="17"/>
                <w:color w:val="0000FF"/>
              </w:rPr>
            </w:pPr>
            <w:hyperlink w:anchor="page206">
              <w:r>
                <w:rPr>
                  <w:rFonts w:ascii="Arial" w:cs="Arial" w:eastAsia="Arial" w:hAnsi="Arial"/>
                  <w:sz w:val="17"/>
                  <w:szCs w:val="17"/>
                  <w:color w:val="0000FF"/>
                </w:rPr>
                <w:t>Exchange Act of 1934, as Adopted Pursuant to Section 302 of the Sarbanes-Oxley Act of 2002</w:t>
              </w:r>
            </w:hyperlink>
          </w:p>
        </w:tc>
        <w:tc>
          <w:tcPr>
            <w:tcW w:w="260" w:type="dxa"/>
            <w:vAlign w:val="bottom"/>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9"/>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8580" w:type="dxa"/>
            <w:vAlign w:val="bottom"/>
            <w:gridSpan w:val="29"/>
          </w:tcPr>
          <w:p>
            <w:pPr>
              <w:spacing w:after="0"/>
              <w:rPr>
                <w:rFonts w:ascii="Arial" w:cs="Arial" w:eastAsia="Arial" w:hAnsi="Arial"/>
                <w:sz w:val="17"/>
                <w:szCs w:val="17"/>
                <w:color w:val="0000FF"/>
              </w:rPr>
            </w:pPr>
            <w:hyperlink w:anchor="page207">
              <w:r>
                <w:rPr>
                  <w:rFonts w:ascii="Arial" w:cs="Arial" w:eastAsia="Arial" w:hAnsi="Arial"/>
                  <w:sz w:val="17"/>
                  <w:szCs w:val="17"/>
                  <w:color w:val="0000FF"/>
                </w:rPr>
                <w:t>Certification of Principal Executive Officer and Principal Financial Officer Pursuant to 18 U.S.C. Section 1350,</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5520" w:type="dxa"/>
            <w:vAlign w:val="bottom"/>
            <w:tcBorders>
              <w:top w:val="single" w:sz="8" w:color="0000FF"/>
              <w:bottom w:val="single" w:sz="8" w:color="0000FF"/>
            </w:tcBorders>
            <w:gridSpan w:val="9"/>
          </w:tcPr>
          <w:p>
            <w:pPr>
              <w:spacing w:after="0" w:line="150" w:lineRule="exact"/>
              <w:rPr>
                <w:rFonts w:ascii="Arial" w:cs="Arial" w:eastAsia="Arial" w:hAnsi="Arial"/>
                <w:sz w:val="17"/>
                <w:szCs w:val="17"/>
                <w:color w:val="0000FF"/>
              </w:rPr>
            </w:pPr>
            <w:hyperlink w:anchor="page207">
              <w:r>
                <w:rPr>
                  <w:rFonts w:ascii="Arial" w:cs="Arial" w:eastAsia="Arial" w:hAnsi="Arial"/>
                  <w:sz w:val="17"/>
                  <w:szCs w:val="17"/>
                  <w:color w:val="0000FF"/>
                </w:rPr>
                <w:t>as Adopted Pursuant to Section 906 of the Sarbanes-Oxley Act of 2002</w:t>
              </w:r>
            </w:hyperlink>
          </w:p>
        </w:tc>
        <w:tc>
          <w:tcPr>
            <w:tcW w:w="2920" w:type="dxa"/>
            <w:vAlign w:val="bottom"/>
            <w:tcBorders>
              <w:top w:val="single" w:sz="8" w:color="0000FF"/>
            </w:tcBorders>
            <w:gridSpan w:val="16"/>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200" w:type="dxa"/>
            <w:vAlign w:val="bottom"/>
          </w:tcPr>
          <w:p>
            <w:pPr>
              <w:spacing w:after="0"/>
              <w:rPr>
                <w:sz w:val="20"/>
                <w:szCs w:val="20"/>
                <w:color w:val="auto"/>
              </w:rPr>
            </w:pPr>
            <w:r>
              <w:rPr>
                <w:rFonts w:ascii="Arial" w:cs="Arial" w:eastAsia="Arial" w:hAnsi="Arial"/>
                <w:sz w:val="17"/>
                <w:szCs w:val="17"/>
                <w:color w:val="auto"/>
              </w:rPr>
              <w:t>101.INS*</w:t>
            </w:r>
          </w:p>
        </w:tc>
        <w:tc>
          <w:tcPr>
            <w:tcW w:w="8580" w:type="dxa"/>
            <w:vAlign w:val="bottom"/>
            <w:gridSpan w:val="29"/>
          </w:tcPr>
          <w:p>
            <w:pPr>
              <w:spacing w:after="0"/>
              <w:rPr>
                <w:sz w:val="20"/>
                <w:szCs w:val="20"/>
                <w:color w:val="auto"/>
              </w:rPr>
            </w:pPr>
            <w:r>
              <w:rPr>
                <w:rFonts w:ascii="Arial" w:cs="Arial" w:eastAsia="Arial" w:hAnsi="Arial"/>
                <w:sz w:val="17"/>
                <w:szCs w:val="17"/>
                <w:color w:val="auto"/>
              </w:rPr>
              <w:t>Inline XBRL Instance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101.SCH*</w:t>
            </w:r>
          </w:p>
        </w:tc>
        <w:tc>
          <w:tcPr>
            <w:tcW w:w="8580" w:type="dxa"/>
            <w:vAlign w:val="bottom"/>
            <w:gridSpan w:val="29"/>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101.CAL*</w:t>
            </w:r>
          </w:p>
        </w:tc>
        <w:tc>
          <w:tcPr>
            <w:tcW w:w="8580" w:type="dxa"/>
            <w:vAlign w:val="bottom"/>
            <w:gridSpan w:val="29"/>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101.DEF*</w:t>
            </w:r>
          </w:p>
        </w:tc>
        <w:tc>
          <w:tcPr>
            <w:tcW w:w="8580" w:type="dxa"/>
            <w:vAlign w:val="bottom"/>
            <w:gridSpan w:val="29"/>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101.LAB*</w:t>
            </w:r>
          </w:p>
        </w:tc>
        <w:tc>
          <w:tcPr>
            <w:tcW w:w="8580" w:type="dxa"/>
            <w:vAlign w:val="bottom"/>
            <w:gridSpan w:val="29"/>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101.PRE*</w:t>
            </w:r>
          </w:p>
        </w:tc>
        <w:tc>
          <w:tcPr>
            <w:tcW w:w="8580" w:type="dxa"/>
            <w:vAlign w:val="bottom"/>
            <w:gridSpan w:val="29"/>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104</w:t>
            </w:r>
          </w:p>
        </w:tc>
        <w:tc>
          <w:tcPr>
            <w:tcW w:w="8580" w:type="dxa"/>
            <w:vAlign w:val="bottom"/>
            <w:gridSpan w:val="2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575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386" w:lineRule="exact"/>
        <w:rPr>
          <w:sz w:val="20"/>
          <w:szCs w:val="20"/>
          <w:color w:val="auto"/>
        </w:rPr>
      </w:pPr>
    </w:p>
    <w:p>
      <w:pPr>
        <w:ind w:left="820" w:hanging="798"/>
        <w:spacing w:after="0"/>
        <w:tabs>
          <w:tab w:leader="none" w:pos="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certifications furnished in Exhibit 32.1 hereto are deemed to accompany this Annual Report on Form 10-K and</w:t>
      </w:r>
    </w:p>
    <w:p>
      <w:pPr>
        <w:ind w:left="820" w:right="379" w:hanging="798"/>
        <w:spacing w:after="0" w:line="221" w:lineRule="auto"/>
        <w:tabs>
          <w:tab w:leader="none" w:pos="8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20" w:hanging="798"/>
        <w:spacing w:after="0"/>
        <w:tabs>
          <w:tab w:leader="none" w:pos="8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Portions of this exhibit (indicated by asterisks) have been omitted in accordance with the rules of the Securities and</w:t>
      </w:r>
    </w:p>
    <w:p>
      <w:pPr>
        <w:ind w:left="820" w:hanging="798"/>
        <w:spacing w:after="0"/>
        <w:tabs>
          <w:tab w:leader="none" w:pos="8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Exchange Commission.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3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351" w:lineRule="exact"/>
        <w:rPr>
          <w:sz w:val="20"/>
          <w:szCs w:val="20"/>
          <w:color w:val="auto"/>
        </w:rPr>
      </w:pPr>
    </w:p>
    <w:p>
      <w:pPr>
        <w:ind w:right="220" w:firstLine="629"/>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17"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PRAXIS PRECISION MEDICINES, INC.</w:t>
      </w:r>
    </w:p>
    <w:p>
      <w:pPr>
        <w:spacing w:after="0" w:line="102" w:lineRule="exact"/>
        <w:rPr>
          <w:sz w:val="20"/>
          <w:szCs w:val="20"/>
          <w:color w:val="auto"/>
        </w:rPr>
      </w:pPr>
    </w:p>
    <w:p>
      <w:pPr>
        <w:ind w:left="20"/>
        <w:spacing w:after="0"/>
        <w:tabs>
          <w:tab w:leader="none" w:pos="6460" w:val="left"/>
          <w:tab w:leader="none" w:pos="7040" w:val="left"/>
        </w:tabs>
        <w:rPr>
          <w:sz w:val="20"/>
          <w:szCs w:val="20"/>
          <w:color w:val="auto"/>
        </w:rPr>
      </w:pPr>
      <w:r>
        <w:rPr>
          <w:rFonts w:ascii="Arial" w:cs="Arial" w:eastAsia="Arial" w:hAnsi="Arial"/>
          <w:sz w:val="17"/>
          <w:szCs w:val="17"/>
          <w:color w:val="auto"/>
        </w:rPr>
        <w:t>Date: February 28,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9525</wp:posOffset>
            </wp:positionV>
            <wp:extent cx="26396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7"/>
          <w:szCs w:val="17"/>
          <w:color w:val="auto"/>
        </w:rPr>
        <w:t>Marcio Souza</w:t>
      </w:r>
    </w:p>
    <w:p>
      <w:pPr>
        <w:ind w:left="7060"/>
        <w:spacing w:after="0"/>
        <w:rPr>
          <w:sz w:val="20"/>
          <w:szCs w:val="20"/>
          <w:color w:val="auto"/>
        </w:rPr>
      </w:pPr>
      <w:r>
        <w:rPr>
          <w:rFonts w:ascii="Arial" w:cs="Arial" w:eastAsia="Arial" w:hAnsi="Arial"/>
          <w:sz w:val="17"/>
          <w:szCs w:val="17"/>
          <w:color w:val="auto"/>
        </w:rPr>
        <w:t>Chief Executive Officer</w:t>
      </w: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 OF ATTORNEY</w:t>
      </w:r>
    </w:p>
    <w:p>
      <w:pPr>
        <w:spacing w:after="0" w:line="246" w:lineRule="exact"/>
        <w:rPr>
          <w:sz w:val="20"/>
          <w:szCs w:val="20"/>
          <w:color w:val="auto"/>
        </w:rPr>
      </w:pPr>
    </w:p>
    <w:p>
      <w:pPr>
        <w:ind w:right="240" w:firstLine="629"/>
        <w:spacing w:after="0" w:line="260" w:lineRule="auto"/>
        <w:rPr>
          <w:sz w:val="20"/>
          <w:szCs w:val="20"/>
          <w:color w:val="auto"/>
        </w:rPr>
      </w:pPr>
      <w:r>
        <w:rPr>
          <w:rFonts w:ascii="Arial" w:cs="Arial" w:eastAsia="Arial" w:hAnsi="Arial"/>
          <w:sz w:val="17"/>
          <w:szCs w:val="17"/>
          <w:color w:val="auto"/>
        </w:rPr>
        <w:t>Each person whose individual signature appears below hereby authorizes and appoints Marcio Souza and Alex Nemiroff,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6" w:lineRule="exact"/>
        <w:rPr>
          <w:sz w:val="20"/>
          <w:szCs w:val="20"/>
          <w:color w:val="auto"/>
        </w:rPr>
      </w:pPr>
    </w:p>
    <w:p>
      <w:pPr>
        <w:ind w:right="180" w:firstLine="433"/>
        <w:spacing w:after="0" w:line="27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92" w:lineRule="exact"/>
        <w:rPr>
          <w:sz w:val="20"/>
          <w:szCs w:val="20"/>
          <w:color w:val="auto"/>
        </w:rPr>
      </w:pPr>
    </w:p>
    <w:tbl>
      <w:tblPr>
        <w:tblLayout w:type="fixed"/>
        <w:tblInd w:w="440" w:type="dxa"/>
        <w:tblCellMar>
          <w:top w:w="0" w:type="dxa"/>
          <w:left w:w="0" w:type="dxa"/>
          <w:bottom w:w="0" w:type="dxa"/>
          <w:right w:w="0" w:type="dxa"/>
        </w:tblCellMar>
      </w:tblPr>
      <w:tr>
        <w:trPr>
          <w:trHeight w:val="182"/>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4"/>
                <w:szCs w:val="14"/>
                <w:b w:val="1"/>
                <w:bCs w:val="1"/>
                <w:color w:val="auto"/>
                <w:w w:val="99"/>
              </w:rPr>
              <w:t>Name</w:t>
            </w:r>
          </w:p>
        </w:tc>
        <w:tc>
          <w:tcPr>
            <w:tcW w:w="120" w:type="dxa"/>
            <w:vAlign w:val="bottom"/>
          </w:tcPr>
          <w:p>
            <w:pPr>
              <w:spacing w:after="0"/>
              <w:rPr>
                <w:sz w:val="15"/>
                <w:szCs w:val="15"/>
                <w:color w:val="auto"/>
              </w:rPr>
            </w:pPr>
          </w:p>
        </w:tc>
        <w:tc>
          <w:tcPr>
            <w:tcW w:w="5560" w:type="dxa"/>
            <w:vAlign w:val="bottom"/>
            <w:tcBorders>
              <w:bottom w:val="single" w:sz="8" w:color="auto"/>
            </w:tcBorders>
          </w:tcPr>
          <w:p>
            <w:pPr>
              <w:jc w:val="center"/>
              <w:ind w:left="354"/>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5"/>
                <w:szCs w:val="15"/>
                <w:color w:val="auto"/>
              </w:rPr>
            </w:pPr>
          </w:p>
        </w:tc>
        <w:tc>
          <w:tcPr>
            <w:tcW w:w="18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Date</w:t>
            </w:r>
          </w:p>
        </w:tc>
      </w:tr>
      <w:tr>
        <w:trPr>
          <w:trHeight w:val="386"/>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Marcio Souza</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Chief Executive Officer and Director (Principal Executive Officer)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29"/>
        </w:trPr>
        <w:tc>
          <w:tcPr>
            <w:tcW w:w="3100" w:type="dxa"/>
            <w:vAlign w:val="bottom"/>
          </w:tcPr>
          <w:p>
            <w:pPr>
              <w:jc w:val="center"/>
              <w:ind w:left="354"/>
              <w:spacing w:after="0"/>
              <w:rPr>
                <w:sz w:val="20"/>
                <w:szCs w:val="20"/>
                <w:color w:val="auto"/>
              </w:rPr>
            </w:pPr>
            <w:r>
              <w:rPr>
                <w:rFonts w:ascii="Arial" w:cs="Arial" w:eastAsia="Arial" w:hAnsi="Arial"/>
                <w:sz w:val="17"/>
                <w:szCs w:val="17"/>
                <w:color w:val="auto"/>
              </w:rPr>
              <w:t>Marcio Souza</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07"/>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Timothy Kelly</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Chief Financial Officer (Principal Financial Officer)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29"/>
        </w:trPr>
        <w:tc>
          <w:tcPr>
            <w:tcW w:w="3100" w:type="dxa"/>
            <w:vAlign w:val="bottom"/>
          </w:tcPr>
          <w:p>
            <w:pPr>
              <w:jc w:val="center"/>
              <w:ind w:left="334"/>
              <w:spacing w:after="0"/>
              <w:rPr>
                <w:sz w:val="20"/>
                <w:szCs w:val="20"/>
                <w:color w:val="auto"/>
              </w:rPr>
            </w:pPr>
            <w:r>
              <w:rPr>
                <w:rFonts w:ascii="Arial" w:cs="Arial" w:eastAsia="Arial" w:hAnsi="Arial"/>
                <w:sz w:val="17"/>
                <w:szCs w:val="17"/>
                <w:color w:val="auto"/>
              </w:rPr>
              <w:t>Timothy Kelly</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07"/>
        </w:trPr>
        <w:tc>
          <w:tcPr>
            <w:tcW w:w="31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color w:val="auto"/>
              </w:rPr>
              <w:t>/s/ Lauren Mastrocola</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Principal Accounting Officer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42"/>
        </w:trPr>
        <w:tc>
          <w:tcPr>
            <w:tcW w:w="3100" w:type="dxa"/>
            <w:vAlign w:val="bottom"/>
          </w:tcPr>
          <w:p>
            <w:pPr>
              <w:jc w:val="center"/>
              <w:ind w:left="354"/>
              <w:spacing w:after="0"/>
              <w:rPr>
                <w:sz w:val="20"/>
                <w:szCs w:val="20"/>
                <w:color w:val="auto"/>
              </w:rPr>
            </w:pPr>
            <w:r>
              <w:rPr>
                <w:rFonts w:ascii="Arial" w:cs="Arial" w:eastAsia="Arial" w:hAnsi="Arial"/>
                <w:sz w:val="17"/>
                <w:szCs w:val="17"/>
                <w:color w:val="auto"/>
              </w:rPr>
              <w:t>Lauren Mastrocola</w:t>
            </w:r>
          </w:p>
        </w:tc>
        <w:tc>
          <w:tcPr>
            <w:tcW w:w="1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81"/>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Dean Mitchell</w:t>
            </w:r>
          </w:p>
        </w:tc>
        <w:tc>
          <w:tcPr>
            <w:tcW w:w="120" w:type="dxa"/>
            <w:vAlign w:val="bottom"/>
          </w:tcPr>
          <w:p>
            <w:pPr>
              <w:spacing w:after="0"/>
              <w:rPr>
                <w:sz w:val="24"/>
                <w:szCs w:val="24"/>
                <w:color w:val="auto"/>
              </w:rPr>
            </w:pPr>
          </w:p>
        </w:tc>
        <w:tc>
          <w:tcPr>
            <w:tcW w:w="5800" w:type="dxa"/>
            <w:vAlign w:val="bottom"/>
            <w:gridSpan w:val="2"/>
          </w:tcPr>
          <w:p>
            <w:pPr>
              <w:jc w:val="center"/>
              <w:ind w:left="114"/>
              <w:spacing w:after="0"/>
              <w:rPr>
                <w:sz w:val="20"/>
                <w:szCs w:val="20"/>
                <w:color w:val="auto"/>
              </w:rPr>
            </w:pPr>
            <w:r>
              <w:rPr>
                <w:rFonts w:ascii="Arial" w:cs="Arial" w:eastAsia="Arial" w:hAnsi="Arial"/>
                <w:sz w:val="17"/>
                <w:szCs w:val="17"/>
                <w:color w:val="auto"/>
              </w:rPr>
              <w:t>Chairman of the Board</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16"/>
        </w:trPr>
        <w:tc>
          <w:tcPr>
            <w:tcW w:w="3100" w:type="dxa"/>
            <w:vAlign w:val="bottom"/>
          </w:tcPr>
          <w:p>
            <w:pPr>
              <w:jc w:val="center"/>
              <w:ind w:left="354"/>
              <w:spacing w:after="0"/>
              <w:rPr>
                <w:sz w:val="20"/>
                <w:szCs w:val="20"/>
                <w:color w:val="auto"/>
              </w:rPr>
            </w:pPr>
            <w:r>
              <w:rPr>
                <w:rFonts w:ascii="Arial" w:cs="Arial" w:eastAsia="Arial" w:hAnsi="Arial"/>
                <w:sz w:val="17"/>
                <w:szCs w:val="17"/>
                <w:color w:val="auto"/>
              </w:rPr>
              <w:t>Dean Mitchell</w:t>
            </w:r>
          </w:p>
        </w:tc>
        <w:tc>
          <w:tcPr>
            <w:tcW w:w="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81"/>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Merit Cudkowicz, M.D.</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Director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16"/>
        </w:trPr>
        <w:tc>
          <w:tcPr>
            <w:tcW w:w="3100" w:type="dxa"/>
            <w:vAlign w:val="bottom"/>
          </w:tcPr>
          <w:p>
            <w:pPr>
              <w:jc w:val="center"/>
              <w:ind w:left="354"/>
              <w:spacing w:after="0"/>
              <w:rPr>
                <w:sz w:val="20"/>
                <w:szCs w:val="20"/>
                <w:color w:val="auto"/>
              </w:rPr>
            </w:pPr>
            <w:r>
              <w:rPr>
                <w:rFonts w:ascii="Arial" w:cs="Arial" w:eastAsia="Arial" w:hAnsi="Arial"/>
                <w:sz w:val="17"/>
                <w:szCs w:val="17"/>
                <w:color w:val="auto"/>
              </w:rPr>
              <w:t>Merit Cudkowicz, M.D.</w:t>
            </w:r>
          </w:p>
        </w:tc>
        <w:tc>
          <w:tcPr>
            <w:tcW w:w="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81"/>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Gregory Norden</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Director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16"/>
        </w:trPr>
        <w:tc>
          <w:tcPr>
            <w:tcW w:w="3100" w:type="dxa"/>
            <w:vAlign w:val="bottom"/>
          </w:tcPr>
          <w:p>
            <w:pPr>
              <w:jc w:val="center"/>
              <w:ind w:left="354"/>
              <w:spacing w:after="0"/>
              <w:rPr>
                <w:sz w:val="20"/>
                <w:szCs w:val="20"/>
                <w:color w:val="auto"/>
              </w:rPr>
            </w:pPr>
            <w:r>
              <w:rPr>
                <w:rFonts w:ascii="Arial" w:cs="Arial" w:eastAsia="Arial" w:hAnsi="Arial"/>
                <w:sz w:val="17"/>
                <w:szCs w:val="17"/>
                <w:color w:val="auto"/>
              </w:rPr>
              <w:t>Gregory Norden</w:t>
            </w:r>
          </w:p>
        </w:tc>
        <w:tc>
          <w:tcPr>
            <w:tcW w:w="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81"/>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Jeffrey Chodakewitz, M.D.</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Director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16"/>
        </w:trPr>
        <w:tc>
          <w:tcPr>
            <w:tcW w:w="3100" w:type="dxa"/>
            <w:vAlign w:val="bottom"/>
          </w:tcPr>
          <w:p>
            <w:pPr>
              <w:jc w:val="center"/>
              <w:ind w:left="334"/>
              <w:spacing w:after="0"/>
              <w:rPr>
                <w:sz w:val="20"/>
                <w:szCs w:val="20"/>
                <w:color w:val="auto"/>
              </w:rPr>
            </w:pPr>
            <w:r>
              <w:rPr>
                <w:rFonts w:ascii="Arial" w:cs="Arial" w:eastAsia="Arial" w:hAnsi="Arial"/>
                <w:sz w:val="17"/>
                <w:szCs w:val="17"/>
                <w:color w:val="auto"/>
              </w:rPr>
              <w:t>Jeffrey Chodakewitz, M.D.</w:t>
            </w:r>
          </w:p>
        </w:tc>
        <w:tc>
          <w:tcPr>
            <w:tcW w:w="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81"/>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Stefan Vitorovic</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Director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16"/>
        </w:trPr>
        <w:tc>
          <w:tcPr>
            <w:tcW w:w="3100" w:type="dxa"/>
            <w:vAlign w:val="bottom"/>
          </w:tcPr>
          <w:p>
            <w:pPr>
              <w:jc w:val="center"/>
              <w:ind w:left="354"/>
              <w:spacing w:after="0"/>
              <w:rPr>
                <w:sz w:val="20"/>
                <w:szCs w:val="20"/>
                <w:color w:val="auto"/>
              </w:rPr>
            </w:pPr>
            <w:r>
              <w:rPr>
                <w:rFonts w:ascii="Arial" w:cs="Arial" w:eastAsia="Arial" w:hAnsi="Arial"/>
                <w:sz w:val="17"/>
                <w:szCs w:val="17"/>
                <w:color w:val="auto"/>
              </w:rPr>
              <w:t>Stefan Vitorovic</w:t>
            </w:r>
          </w:p>
        </w:tc>
        <w:tc>
          <w:tcPr>
            <w:tcW w:w="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81"/>
        </w:trPr>
        <w:tc>
          <w:tcPr>
            <w:tcW w:w="310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rPr>
              <w:t>/s/ William Young</w:t>
            </w:r>
          </w:p>
        </w:tc>
        <w:tc>
          <w:tcPr>
            <w:tcW w:w="120" w:type="dxa"/>
            <w:vAlign w:val="bottom"/>
          </w:tcPr>
          <w:p>
            <w:pPr>
              <w:spacing w:after="0"/>
              <w:rPr>
                <w:sz w:val="24"/>
                <w:szCs w:val="24"/>
                <w:color w:val="auto"/>
              </w:rPr>
            </w:pPr>
          </w:p>
        </w:tc>
        <w:tc>
          <w:tcPr>
            <w:tcW w:w="5800" w:type="dxa"/>
            <w:vAlign w:val="bottom"/>
            <w:gridSpan w:val="2"/>
          </w:tcPr>
          <w:p>
            <w:pPr>
              <w:jc w:val="center"/>
              <w:ind w:left="94"/>
              <w:spacing w:after="0"/>
              <w:rPr>
                <w:sz w:val="20"/>
                <w:szCs w:val="20"/>
                <w:color w:val="auto"/>
              </w:rPr>
            </w:pPr>
            <w:r>
              <w:rPr>
                <w:rFonts w:ascii="Arial" w:cs="Arial" w:eastAsia="Arial" w:hAnsi="Arial"/>
                <w:sz w:val="17"/>
                <w:szCs w:val="17"/>
                <w:color w:val="auto"/>
              </w:rPr>
              <w:t>Director</w:t>
            </w:r>
          </w:p>
        </w:tc>
        <w:tc>
          <w:tcPr>
            <w:tcW w:w="1880" w:type="dxa"/>
            <w:vAlign w:val="bottom"/>
          </w:tcPr>
          <w:p>
            <w:pPr>
              <w:ind w:left="620"/>
              <w:spacing w:after="0"/>
              <w:rPr>
                <w:sz w:val="20"/>
                <w:szCs w:val="20"/>
                <w:color w:val="auto"/>
              </w:rPr>
            </w:pPr>
            <w:r>
              <w:rPr>
                <w:rFonts w:ascii="Arial" w:cs="Arial" w:eastAsia="Arial" w:hAnsi="Arial"/>
                <w:sz w:val="17"/>
                <w:szCs w:val="17"/>
                <w:color w:val="auto"/>
              </w:rPr>
              <w:t>February 28, 20</w:t>
            </w:r>
          </w:p>
        </w:tc>
      </w:tr>
      <w:tr>
        <w:trPr>
          <w:trHeight w:val="216"/>
        </w:trPr>
        <w:tc>
          <w:tcPr>
            <w:tcW w:w="3100" w:type="dxa"/>
            <w:vAlign w:val="bottom"/>
          </w:tcPr>
          <w:p>
            <w:pPr>
              <w:jc w:val="center"/>
              <w:ind w:left="354"/>
              <w:spacing w:after="0"/>
              <w:rPr>
                <w:sz w:val="20"/>
                <w:szCs w:val="20"/>
                <w:color w:val="auto"/>
              </w:rPr>
            </w:pPr>
            <w:r>
              <w:rPr>
                <w:rFonts w:ascii="Arial" w:cs="Arial" w:eastAsia="Arial" w:hAnsi="Arial"/>
                <w:sz w:val="17"/>
                <w:szCs w:val="17"/>
                <w:color w:val="auto"/>
              </w:rPr>
              <w:t>William Young</w:t>
            </w:r>
          </w:p>
        </w:tc>
        <w:tc>
          <w:tcPr>
            <w:tcW w:w="1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340"/>
          </w:cols>
          <w:pgMar w:left="320" w:top="118" w:right="239" w:bottom="1440" w:gutter="0" w:footer="0" w:header="0"/>
        </w:sectPr>
      </w:pPr>
    </w:p>
    <w:bookmarkStart w:id="163" w:name="page164"/>
    <w:bookmarkEnd w:id="163"/>
    <w:p>
      <w:pPr>
        <w:spacing w:after="0" w:line="7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4.3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DESCRIPTION OF THE REGISTRANT’S SECURITIES REGISTERED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SECTION 12 OF THE SECURITIES EXCHANGE ACT OF 1934, AS AMENDED</w:t>
      </w:r>
    </w:p>
    <w:p>
      <w:pPr>
        <w:spacing w:after="0" w:line="107" w:lineRule="exact"/>
        <w:rPr>
          <w:sz w:val="20"/>
          <w:szCs w:val="20"/>
          <w:color w:val="auto"/>
        </w:rPr>
      </w:pPr>
    </w:p>
    <w:p>
      <w:pPr>
        <w:ind w:right="40" w:firstLine="315"/>
        <w:spacing w:after="0" w:line="283" w:lineRule="auto"/>
        <w:rPr>
          <w:sz w:val="20"/>
          <w:szCs w:val="20"/>
          <w:color w:val="auto"/>
        </w:rPr>
      </w:pPr>
      <w:r>
        <w:rPr>
          <w:rFonts w:ascii="Arial" w:cs="Arial" w:eastAsia="Arial" w:hAnsi="Arial"/>
          <w:sz w:val="16"/>
          <w:szCs w:val="16"/>
          <w:color w:val="auto"/>
        </w:rPr>
        <w:t>The common stock, par value $0.0001 per share (“common stock”), of Praxis Precision Medicines, Inc. (“Praxis,” “we,” or “our”) is registered under Section 12 of the Securities Exchange Act of 1934, as amended. The following description sets forth certain general terms and provisions of our common stock. These descriptions are in all respects subject to and qualified in their entirety by, and should be read in conjunction with, the applicable provisions of our amended and restated certificate of incorporation (our “certificate of incorporation”) and our amended and restated bylaws (our “bylaws”), each of which is incorporated herein by reference and copies of which are incorporated by reference as exhibits to our most recent Annual Report on Form 10-K filed with the Securities and Exchange Commission, and the applicable provisions of General Corporation Law of the State of Delaware (the “DGCL”).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authorized to issue 150,000,000 shares of common stock and 10,000,000 shares of preferred stock, par value $0.0001 per share (“preferred stock”).</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5"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dividends declared by our board of directors out of funds legally available for that purpose. Our common stock has no preemptive rights, conversion rights or other subscription rights or redemption or sinking fund provisions.</w:t>
      </w:r>
    </w:p>
    <w:p>
      <w:pPr>
        <w:spacing w:after="0" w:line="71" w:lineRule="exact"/>
        <w:rPr>
          <w:sz w:val="20"/>
          <w:szCs w:val="20"/>
          <w:color w:val="auto"/>
        </w:rPr>
      </w:pPr>
    </w:p>
    <w:p>
      <w:pPr>
        <w:ind w:right="340" w:firstLine="315"/>
        <w:spacing w:after="0" w:line="289"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pro rata in the distribution of our assets remaining after payment of all debts and other liabilities.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5" w:lineRule="exact"/>
        <w:rPr>
          <w:sz w:val="20"/>
          <w:szCs w:val="20"/>
          <w:color w:val="auto"/>
        </w:rPr>
      </w:pPr>
    </w:p>
    <w:p>
      <w:pPr>
        <w:ind w:right="80" w:firstLine="315"/>
        <w:spacing w:after="0" w:line="305" w:lineRule="auto"/>
        <w:rPr>
          <w:sz w:val="20"/>
          <w:szCs w:val="20"/>
          <w:color w:val="auto"/>
        </w:rPr>
      </w:pPr>
      <w:r>
        <w:rPr>
          <w:rFonts w:ascii="Arial" w:cs="Arial" w:eastAsia="Arial" w:hAnsi="Arial"/>
          <w:sz w:val="15"/>
          <w:szCs w:val="15"/>
          <w:color w:val="auto"/>
        </w:rPr>
        <w:t>Our board of directors or any authorized committee thereof is authorized,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5" w:lineRule="exact"/>
        <w:rPr>
          <w:sz w:val="20"/>
          <w:szCs w:val="20"/>
          <w:color w:val="auto"/>
        </w:rPr>
      </w:pPr>
    </w:p>
    <w:p>
      <w:pPr>
        <w:ind w:right="160" w:firstLine="315"/>
        <w:spacing w:after="0" w:line="273" w:lineRule="auto"/>
        <w:rPr>
          <w:sz w:val="20"/>
          <w:szCs w:val="20"/>
          <w:color w:val="auto"/>
        </w:rPr>
      </w:pPr>
      <w:r>
        <w:rPr>
          <w:rFonts w:ascii="Arial" w:cs="Arial" w:eastAsia="Arial" w:hAnsi="Arial"/>
          <w:sz w:val="17"/>
          <w:szCs w:val="17"/>
          <w:color w:val="auto"/>
        </w:rPr>
        <w:t>Pursuant to the terms of our Fourth Amended and Restated Investors’ Rights Agreement, dated as of July 24, 2020, as amended, or the Investors’ Rights Agreement, certain of our stockholders are entitled to rights with respect to the registration of their shares (which we refer to herein as “registrable securities”) under the Securities Act, including demand registration rights and piggyback registration rights.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S-1 Registration Rights</w:t>
      </w:r>
    </w:p>
    <w:p>
      <w:pPr>
        <w:spacing w:after="0" w:line="119"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Under the terms of the Investors’ Rights Agreement, we are required, upon the request of holders holding at least a majority of the registrable securities then outstanding, to file a registration statement on Form S-1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$10 million. We are required to effect only two registrations pursuant to this provision of the Investors’ Rights Agreement. If the holders requesting registration intend to distribute their shares by means of an underwriting, the managing underwriter of such offering</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will have the right to limit the numbers of shares to be underwritten for reasons related to the marketing of the shares.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19" w:lineRule="exact"/>
        <w:rPr>
          <w:sz w:val="20"/>
          <w:szCs w:val="20"/>
          <w:color w:val="auto"/>
        </w:rPr>
      </w:pPr>
    </w:p>
    <w:p>
      <w:pPr>
        <w:ind w:right="120" w:firstLine="315"/>
        <w:spacing w:after="0" w:line="262" w:lineRule="auto"/>
        <w:rPr>
          <w:sz w:val="20"/>
          <w:szCs w:val="20"/>
          <w:color w:val="auto"/>
        </w:rPr>
      </w:pPr>
      <w:r>
        <w:rPr>
          <w:rFonts w:ascii="Arial" w:cs="Arial" w:eastAsia="Arial" w:hAnsi="Arial"/>
          <w:sz w:val="17"/>
          <w:szCs w:val="17"/>
          <w:color w:val="auto"/>
        </w:rPr>
        <w:t>Pursuant to the Investors’ Rights Agreement, if we are eligible to file a registration statement on Form S-3, we are required, upon the request of holders holding at least a majority of the registrable securities then outstanding, to file a registration restatement on Form S-3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$3 million. We are required to effect only two registrations in any twelve-month period pursuant to this provision of the Investors’ Rights Agreement.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9"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Subject to certain exceptions, if we register any of our securities either for our own account or for the account of security holders other than the holders party to the Investors’ Rights Agreements, the holders of shares of registrable securities are entitled to include their shares in the registration. If our proposed registration involves an underwriting, the managing underwriter of such offering will have the right to limit the number of shares to be underwritten for reasons related to the marketing of the shares.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9" w:lineRule="exact"/>
        <w:rPr>
          <w:sz w:val="20"/>
          <w:szCs w:val="20"/>
          <w:color w:val="auto"/>
        </w:rPr>
      </w:pPr>
    </w:p>
    <w:p>
      <w:pPr>
        <w:ind w:right="60" w:firstLine="315"/>
        <w:spacing w:after="0" w:line="273" w:lineRule="auto"/>
        <w:rPr>
          <w:sz w:val="20"/>
          <w:szCs w:val="20"/>
          <w:color w:val="auto"/>
        </w:rPr>
      </w:pPr>
      <w:r>
        <w:rPr>
          <w:rFonts w:ascii="Arial" w:cs="Arial" w:eastAsia="Arial" w:hAnsi="Arial"/>
          <w:sz w:val="17"/>
          <w:szCs w:val="17"/>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demand registration rights and short-form registration rights granted under the Investors’ Rights Agreement will terminate on the earliest to occur of:</w:t>
      </w:r>
    </w:p>
    <w:p>
      <w:pPr>
        <w:spacing w:after="0" w:line="38" w:lineRule="exact"/>
        <w:rPr>
          <w:sz w:val="20"/>
          <w:szCs w:val="20"/>
          <w:color w:val="auto"/>
        </w:rPr>
      </w:pPr>
    </w:p>
    <w:p>
      <w:pPr>
        <w:ind w:right="500" w:firstLine="5"/>
        <w:spacing w:after="0" w:line="266" w:lineRule="auto"/>
        <w:tabs>
          <w:tab w:leader="none" w:pos="20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fifth anniversary of the completion of our initial public offering and (ii) as to each holder of registrable securities, such time as either Rule 144 as promulgated under the Securities Act or another similar exemption under the Securities Act is available for the sale of all of such holder’s shares without limitation during a three-month period without registration or such holder no longer holds any registrable securities.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our Certificate of Incorporation and Bylaws and Delaware Law</w:t>
      </w:r>
    </w:p>
    <w:p>
      <w:pPr>
        <w:spacing w:after="0" w:line="125" w:lineRule="exact"/>
        <w:rPr>
          <w:sz w:val="20"/>
          <w:szCs w:val="20"/>
          <w:color w:val="auto"/>
        </w:rPr>
      </w:pPr>
    </w:p>
    <w:p>
      <w:pPr>
        <w:ind w:right="20" w:firstLine="315"/>
        <w:spacing w:after="0" w:line="273"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119"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w:t>
      </w:r>
    </w:p>
    <w:p>
      <w:pPr>
        <w:sectPr>
          <w:pgSz w:w="11900" w:h="16838" w:orient="portrait"/>
          <w:cols w:equalWidth="0" w:num="1">
            <w:col w:w="11200"/>
          </w:cols>
          <w:pgMar w:left="320" w:top="1440" w:right="379" w:bottom="1440" w:gutter="0" w:footer="0" w:header="0"/>
        </w:sectPr>
      </w:pPr>
    </w:p>
    <w:bookmarkStart w:id="165" w:name="page166"/>
    <w:bookmarkEnd w:id="165"/>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Jurisdiction for Certain Actions</w:t>
      </w:r>
    </w:p>
    <w:p>
      <w:pPr>
        <w:spacing w:after="0" w:line="106" w:lineRule="exact"/>
        <w:rPr>
          <w:sz w:val="20"/>
          <w:szCs w:val="20"/>
          <w:color w:val="auto"/>
        </w:rPr>
      </w:pPr>
    </w:p>
    <w:p>
      <w:pPr>
        <w:ind w:firstLine="315"/>
        <w:spacing w:after="0" w:line="243"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or based on a fiduciary duty owed by any current or former director, officer or other employee or stockholder to us or our stockholders, (iii) any action asserting a claim against us or any current or former director, officer or other employee or stockholder arising pursuant to any provision of the DGCL, our certificate of incorporation or our bylaws or as to which the DGCL confers jurisdiction on the Court of Chancery of the State of Delaware, or (iv) any action asserting a claim governed by the internal affairs doctrine, in each case subject to said Court of Chancery having personal jurisdiction over the indispensable parties named as defendants therein; provided that, the provisions of this sentence do not apply to suits brought to enforce any liability or duty created by the Securities Act of 1933, as amended, or the Securities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these exclusive jurisdiction provisions.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119" w:lineRule="exact"/>
        <w:rPr>
          <w:sz w:val="20"/>
          <w:szCs w:val="20"/>
          <w:color w:val="auto"/>
        </w:rPr>
      </w:pPr>
    </w:p>
    <w:p>
      <w:pPr>
        <w:ind w:right="20" w:firstLine="315"/>
        <w:spacing w:after="0" w:line="281" w:lineRule="auto"/>
        <w:rPr>
          <w:sz w:val="20"/>
          <w:szCs w:val="20"/>
          <w:color w:val="auto"/>
        </w:rPr>
      </w:pPr>
      <w:r>
        <w:rPr>
          <w:rFonts w:ascii="Arial" w:cs="Arial" w:eastAsia="Arial" w:hAnsi="Arial"/>
          <w:sz w:val="16"/>
          <w:szCs w:val="16"/>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119" w:lineRule="exact"/>
        <w:rPr>
          <w:sz w:val="20"/>
          <w:szCs w:val="20"/>
          <w:color w:val="auto"/>
        </w:rPr>
      </w:pPr>
    </w:p>
    <w:p>
      <w:pPr>
        <w:ind w:right="20" w:firstLine="315"/>
        <w:spacing w:after="0" w:line="268" w:lineRule="auto"/>
        <w:rPr>
          <w:sz w:val="20"/>
          <w:szCs w:val="20"/>
          <w:color w:val="auto"/>
        </w:rPr>
      </w:pPr>
      <w:r>
        <w:rPr>
          <w:rFonts w:ascii="Arial" w:cs="Arial" w:eastAsia="Arial" w:hAnsi="Arial"/>
          <w:sz w:val="17"/>
          <w:szCs w:val="17"/>
          <w:color w:val="auto"/>
        </w:rPr>
        <w:t>Provisions of our certificate of incorporation and our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71" w:lineRule="exact"/>
        <w:rPr>
          <w:sz w:val="20"/>
          <w:szCs w:val="20"/>
          <w:color w:val="auto"/>
        </w:rPr>
      </w:pPr>
    </w:p>
    <w:p>
      <w:pPr>
        <w:ind w:left="640" w:right="40" w:hanging="320"/>
        <w:spacing w:after="0" w:line="289"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permit our board of directors or any authorized committee thereof to issue up to 10,000,000 shares of preferred stock, with any rights, preferences and privileges as they may designate;</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provide that the authorized number of directors may be changed only by resolution adopted by the board of directors;</w:t>
      </w:r>
    </w:p>
    <w:p>
      <w:pPr>
        <w:spacing w:after="0" w:line="119" w:lineRule="exact"/>
        <w:rPr>
          <w:rFonts w:ascii="Arial" w:cs="Arial" w:eastAsia="Arial" w:hAnsi="Arial"/>
          <w:sz w:val="17"/>
          <w:szCs w:val="17"/>
          <w:color w:val="auto"/>
        </w:rPr>
      </w:pPr>
    </w:p>
    <w:p>
      <w:pPr>
        <w:ind w:left="640" w:right="220" w:hanging="320"/>
        <w:spacing w:after="0" w:line="289"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provide that the board of directors or any individual director may only be removed with cause and the affirmative vote of the holders of at least two thirds of the outstanding shares of capital stock then entitled vote at an election of directors;</w:t>
      </w:r>
    </w:p>
    <w:p>
      <w:pPr>
        <w:spacing w:after="0" w:line="53" w:lineRule="exact"/>
        <w:rPr>
          <w:rFonts w:ascii="Arial" w:cs="Arial" w:eastAsia="Arial" w:hAnsi="Arial"/>
          <w:sz w:val="17"/>
          <w:szCs w:val="17"/>
          <w:color w:val="auto"/>
        </w:rPr>
      </w:pPr>
    </w:p>
    <w:p>
      <w:pPr>
        <w:ind w:left="640" w:right="260" w:hanging="320"/>
        <w:spacing w:after="0" w:line="289"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subject to the rights of holders of preferred stock as designated from time to time, be filled by the affirmative vote of a majority of directors then in office, even if less than a quorum;</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divide our board of directors into three classes;</w:t>
      </w:r>
    </w:p>
    <w:p>
      <w:pPr>
        <w:spacing w:after="0" w:line="119" w:lineRule="exact"/>
        <w:rPr>
          <w:rFonts w:ascii="Arial" w:cs="Arial" w:eastAsia="Arial" w:hAnsi="Arial"/>
          <w:sz w:val="17"/>
          <w:szCs w:val="17"/>
          <w:color w:val="auto"/>
        </w:rPr>
      </w:pPr>
    </w:p>
    <w:p>
      <w:pPr>
        <w:ind w:left="640" w:right="60" w:hanging="320"/>
        <w:spacing w:after="0" w:line="289"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must be effected at a duly called annual or special meeting of stockholders and not be taken by written consent;</w:t>
      </w:r>
    </w:p>
    <w:p>
      <w:pPr>
        <w:sectPr>
          <w:pgSz w:w="11900" w:h="16838" w:orient="portrait"/>
          <w:cols w:equalWidth="0" w:num="1">
            <w:col w:w="11160"/>
          </w:cols>
          <w:pgMar w:left="320" w:top="1440" w:right="419" w:bottom="1440" w:gutter="0" w:footer="0" w:header="0"/>
        </w:sectPr>
      </w:pPr>
    </w:p>
    <w:bookmarkStart w:id="166" w:name="page167"/>
    <w:bookmarkEnd w:id="166"/>
    <w:p>
      <w:pPr>
        <w:spacing w:after="0" w:line="51" w:lineRule="exact"/>
        <w:rPr>
          <w:sz w:val="20"/>
          <w:szCs w:val="20"/>
          <w:color w:val="auto"/>
        </w:rPr>
      </w:pPr>
    </w:p>
    <w:p>
      <w:pPr>
        <w:ind w:left="640" w:right="60" w:hanging="320"/>
        <w:spacing w:after="0" w:line="360" w:lineRule="auto"/>
        <w:tabs>
          <w:tab w:leader="none" w:pos="635" w:val="left"/>
        </w:tabs>
        <w:numPr>
          <w:ilvl w:val="0"/>
          <w:numId w:val="69"/>
        </w:numPr>
        <w:rPr>
          <w:rFonts w:ascii="Arial" w:cs="Arial" w:eastAsia="Arial" w:hAnsi="Arial"/>
          <w:sz w:val="15"/>
          <w:szCs w:val="15"/>
          <w:color w:val="auto"/>
        </w:rPr>
      </w:pPr>
      <w:r>
        <w:rPr>
          <w:rFonts w:ascii="Arial" w:cs="Arial" w:eastAsia="Arial" w:hAnsi="Arial"/>
          <w:sz w:val="15"/>
          <w:szCs w:val="15"/>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7" w:lineRule="exact"/>
        <w:rPr>
          <w:rFonts w:ascii="Arial" w:cs="Arial" w:eastAsia="Arial" w:hAnsi="Arial"/>
          <w:sz w:val="15"/>
          <w:szCs w:val="15"/>
          <w:color w:val="auto"/>
        </w:rPr>
      </w:pPr>
    </w:p>
    <w:p>
      <w:pPr>
        <w:ind w:left="640" w:right="100" w:hanging="320"/>
        <w:spacing w:after="0" w:line="289" w:lineRule="auto"/>
        <w:tabs>
          <w:tab w:leader="none" w:pos="635" w:val="left"/>
        </w:tabs>
        <w:numPr>
          <w:ilvl w:val="0"/>
          <w:numId w:val="69"/>
        </w:numPr>
        <w:rPr>
          <w:rFonts w:ascii="Arial" w:cs="Arial" w:eastAsia="Arial" w:hAnsi="Arial"/>
          <w:sz w:val="17"/>
          <w:szCs w:val="17"/>
          <w:color w:val="auto"/>
        </w:rPr>
      </w:pPr>
      <w:r>
        <w:rPr>
          <w:rFonts w:ascii="Arial" w:cs="Arial" w:eastAsia="Arial" w:hAnsi="Arial"/>
          <w:sz w:val="17"/>
          <w:szCs w:val="17"/>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53" w:lineRule="exact"/>
        <w:rPr>
          <w:rFonts w:ascii="Arial" w:cs="Arial" w:eastAsia="Arial" w:hAnsi="Arial"/>
          <w:sz w:val="17"/>
          <w:szCs w:val="17"/>
          <w:color w:val="auto"/>
        </w:rPr>
      </w:pPr>
    </w:p>
    <w:p>
      <w:pPr>
        <w:ind w:left="640" w:right="700" w:hanging="320"/>
        <w:spacing w:after="0" w:line="289" w:lineRule="auto"/>
        <w:tabs>
          <w:tab w:leader="none" w:pos="635"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our board of directors acting pursuant to a resolution approved by the affirmative vote of a majority of the directors then in office; and</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provide that the Court of Chancery of the State of Delaware will be the sole and exclusive forum for state law claims, as described above.</w:t>
      </w:r>
    </w:p>
    <w:p>
      <w:pPr>
        <w:spacing w:after="0" w:line="119" w:lineRule="exact"/>
        <w:rPr>
          <w:sz w:val="20"/>
          <w:szCs w:val="20"/>
          <w:color w:val="auto"/>
        </w:rPr>
      </w:pPr>
    </w:p>
    <w:p>
      <w:pPr>
        <w:ind w:firstLine="315"/>
        <w:spacing w:after="0" w:line="290" w:lineRule="auto"/>
        <w:rPr>
          <w:sz w:val="20"/>
          <w:szCs w:val="20"/>
          <w:color w:val="auto"/>
        </w:rPr>
      </w:pPr>
      <w:r>
        <w:rPr>
          <w:rFonts w:ascii="Arial" w:cs="Arial" w:eastAsia="Arial" w:hAnsi="Arial"/>
          <w:sz w:val="16"/>
          <w:szCs w:val="16"/>
          <w:color w:val="auto"/>
        </w:rPr>
        <w:t>The amendment of any of these provisions included in our certificate of incorporation, with the exception of the ability of our board of directors to issue shares of preferred stock and designate any rights, preferences and privileges thereto, the removal of directors by our stockholders, the filling of vacancies by our board of directors, and cumulative voting rights, would require the affirmative vote of two thirds of the outstanding shares of capital stock entitled to vote on such amendment and the affirmative vote of two thirds of the outstanding shares of each class entitled to vote on such amendment as a class.</w:t>
      </w:r>
    </w:p>
    <w:p>
      <w:pPr>
        <w:spacing w:after="0" w:line="55"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The amendment of any of these provisions included in our bylaws, with the exception of the exclusive forum provision, would require the affirmative vote of two thirds of the outstanding shares of capital stock entitled to vote on such amendment, and the affirmative vote of not less than two thirds of the outstanding shares of each class entitled to vote on such amendment as a class; provided, however, that if our Board of Directors recommends that stockholders approve such amendment, such amendment shall only require the affirmative vote of a majority of the outstanding shares entitled to vote on such amendment, voting together as a single class.</w:t>
      </w:r>
    </w:p>
    <w:p>
      <w:pPr>
        <w:sectPr>
          <w:pgSz w:w="11900" w:h="16838" w:orient="portrait"/>
          <w:cols w:equalWidth="0" w:num="1">
            <w:col w:w="11240"/>
          </w:cols>
          <w:pgMar w:left="320" w:top="1440" w:right="339" w:bottom="1440" w:gutter="0" w:footer="0" w:header="0"/>
        </w:sectPr>
      </w:pPr>
    </w:p>
    <w:bookmarkStart w:id="167" w:name="page168"/>
    <w:bookmarkEnd w:id="167"/>
    <w:p>
      <w:pPr>
        <w:jc w:val="center"/>
        <w:ind w:right="20"/>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RAXIS</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RECISION</w:t>
      </w:r>
      <w:r>
        <w:rPr>
          <w:rFonts w:ascii="Arial" w:cs="Arial" w:eastAsia="Arial" w:hAnsi="Arial"/>
          <w:sz w:val="21"/>
          <w:szCs w:val="21"/>
          <w:b w:val="1"/>
          <w:bCs w:val="1"/>
          <w:color w:val="auto"/>
        </w:rPr>
        <w:t xml:space="preserve"> M</w:t>
      </w:r>
      <w:r>
        <w:rPr>
          <w:rFonts w:ascii="Arial" w:cs="Arial" w:eastAsia="Arial" w:hAnsi="Arial"/>
          <w:sz w:val="16"/>
          <w:szCs w:val="16"/>
          <w:b w:val="1"/>
          <w:bCs w:val="1"/>
          <w:color w:val="auto"/>
        </w:rPr>
        <w:t>EDICINES</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AMENDED AND RESTATED EMPLOYMENT AGREEMENT</w:t>
      </w:r>
    </w:p>
    <w:p>
      <w:pPr>
        <w:jc w:val="center"/>
        <w:ind w:right="20"/>
        <w:spacing w:after="0"/>
        <w:rPr>
          <w:sz w:val="20"/>
          <w:szCs w:val="20"/>
          <w:color w:val="auto"/>
        </w:rPr>
      </w:pPr>
      <w:r>
        <w:rPr>
          <w:rFonts w:ascii="Arial" w:cs="Arial" w:eastAsia="Arial" w:hAnsi="Arial"/>
          <w:sz w:val="21"/>
          <w:szCs w:val="21"/>
          <w:b w:val="1"/>
          <w:bCs w:val="1"/>
          <w:color w:val="auto"/>
        </w:rPr>
        <w:t>for Marcio Souza</w:t>
      </w:r>
    </w:p>
    <w:p>
      <w:pPr>
        <w:spacing w:after="0" w:line="180" w:lineRule="exact"/>
        <w:rPr>
          <w:sz w:val="20"/>
          <w:szCs w:val="20"/>
          <w:color w:val="auto"/>
        </w:rPr>
      </w:pPr>
    </w:p>
    <w:p>
      <w:pPr>
        <w:jc w:val="both"/>
        <w:ind w:firstLine="628"/>
        <w:spacing w:after="0" w:line="229" w:lineRule="auto"/>
        <w:rPr>
          <w:sz w:val="20"/>
          <w:szCs w:val="20"/>
          <w:color w:val="auto"/>
        </w:rPr>
      </w:pPr>
      <w:r>
        <w:rPr>
          <w:rFonts w:ascii="Arial" w:cs="Arial" w:eastAsia="Arial" w:hAnsi="Arial"/>
          <w:sz w:val="20"/>
          <w:szCs w:val="20"/>
          <w:color w:val="auto"/>
        </w:rPr>
        <w:t>This Amended and Restated Executive Employment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made between Praxis Precision Medicines, Inc. (the “</w:t>
      </w:r>
      <w:r>
        <w:rPr>
          <w:rFonts w:ascii="Arial" w:cs="Arial" w:eastAsia="Arial" w:hAnsi="Arial"/>
          <w:sz w:val="20"/>
          <w:szCs w:val="20"/>
          <w:b w:val="1"/>
          <w:bCs w:val="1"/>
          <w:color w:val="auto"/>
        </w:rPr>
        <w:t>Company</w:t>
      </w:r>
      <w:r>
        <w:rPr>
          <w:rFonts w:ascii="Arial" w:cs="Arial" w:eastAsia="Arial" w:hAnsi="Arial"/>
          <w:sz w:val="20"/>
          <w:szCs w:val="20"/>
          <w:color w:val="auto"/>
        </w:rPr>
        <w:t>”) and Marcio Souza (“</w:t>
      </w:r>
      <w:r>
        <w:rPr>
          <w:rFonts w:ascii="Arial" w:cs="Arial" w:eastAsia="Arial" w:hAnsi="Arial"/>
          <w:sz w:val="20"/>
          <w:szCs w:val="20"/>
          <w:b w:val="1"/>
          <w:bCs w:val="1"/>
          <w:color w:val="auto"/>
        </w:rPr>
        <w:t>Executive</w:t>
      </w:r>
      <w:r>
        <w:rPr>
          <w:rFonts w:ascii="Arial" w:cs="Arial" w:eastAsia="Arial" w:hAnsi="Arial"/>
          <w:sz w:val="20"/>
          <w:szCs w:val="20"/>
          <w:color w:val="auto"/>
        </w:rPr>
        <w:t>”) (collectively, the “</w:t>
      </w:r>
      <w:r>
        <w:rPr>
          <w:rFonts w:ascii="Arial" w:cs="Arial" w:eastAsia="Arial" w:hAnsi="Arial"/>
          <w:sz w:val="20"/>
          <w:szCs w:val="20"/>
          <w:b w:val="1"/>
          <w:bCs w:val="1"/>
          <w:color w:val="auto"/>
        </w:rPr>
        <w:t>Parties</w:t>
      </w:r>
      <w:r>
        <w:rPr>
          <w:rFonts w:ascii="Arial" w:cs="Arial" w:eastAsia="Arial" w:hAnsi="Arial"/>
          <w:sz w:val="20"/>
          <w:szCs w:val="20"/>
          <w:color w:val="auto"/>
        </w:rPr>
        <w:t>”) and is effective as of the closing of the Company’s first underwritten public offering of its equity securities pursuant to an effective registration statement under the Securities Act of 1933, as amended (the “</w:t>
      </w:r>
      <w:r>
        <w:rPr>
          <w:rFonts w:ascii="Arial" w:cs="Arial" w:eastAsia="Arial" w:hAnsi="Arial"/>
          <w:sz w:val="20"/>
          <w:szCs w:val="20"/>
          <w:b w:val="1"/>
          <w:bCs w:val="1"/>
          <w:color w:val="auto"/>
        </w:rPr>
        <w:t>Effective Date</w:t>
      </w:r>
      <w:r>
        <w:rPr>
          <w:rFonts w:ascii="Arial" w:cs="Arial" w:eastAsia="Arial" w:hAnsi="Arial"/>
          <w:sz w:val="20"/>
          <w:szCs w:val="20"/>
          <w:color w:val="auto"/>
        </w:rPr>
        <w:t>”). This Agreement supersedes in all respects all prior agreements between Executive and the Company regarding the subject matter herein, including without limitation, the Employment Agreement between Executive and the Company dated March 6, 2020 (the “</w:t>
      </w:r>
      <w:r>
        <w:rPr>
          <w:rFonts w:ascii="Arial" w:cs="Arial" w:eastAsia="Arial" w:hAnsi="Arial"/>
          <w:sz w:val="20"/>
          <w:szCs w:val="20"/>
          <w:b w:val="1"/>
          <w:bCs w:val="1"/>
          <w:color w:val="auto"/>
        </w:rPr>
        <w:t>Prior Agreement</w:t>
      </w:r>
      <w:r>
        <w:rPr>
          <w:rFonts w:ascii="Arial" w:cs="Arial" w:eastAsia="Arial" w:hAnsi="Arial"/>
          <w:sz w:val="20"/>
          <w:szCs w:val="20"/>
          <w:color w:val="auto"/>
        </w:rPr>
        <w:t>”).</w:t>
      </w:r>
    </w:p>
    <w:p>
      <w:pPr>
        <w:spacing w:after="0" w:line="191" w:lineRule="exact"/>
        <w:rPr>
          <w:sz w:val="20"/>
          <w:szCs w:val="20"/>
          <w:color w:val="auto"/>
        </w:rPr>
      </w:pPr>
    </w:p>
    <w:p>
      <w:pPr>
        <w:jc w:val="both"/>
        <w:ind w:right="20" w:firstLine="628"/>
        <w:spacing w:after="0" w:line="239"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6"/>
          <w:szCs w:val="16"/>
          <w:b w:val="1"/>
          <w:bCs w:val="1"/>
          <w:color w:val="auto"/>
        </w:rPr>
        <w:t>HEREAS</w:t>
      </w:r>
      <w:r>
        <w:rPr>
          <w:rFonts w:ascii="Arial" w:cs="Arial" w:eastAsia="Arial" w:hAnsi="Arial"/>
          <w:sz w:val="21"/>
          <w:szCs w:val="21"/>
          <w:color w:val="auto"/>
        </w:rPr>
        <w:t>, the Company desires Executive to continue to provide services to the Company, and wishes to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with certain compensation and benefits in return for such employment services; and</w:t>
      </w:r>
    </w:p>
    <w:p>
      <w:pPr>
        <w:spacing w:after="0" w:line="175" w:lineRule="exact"/>
        <w:rPr>
          <w:sz w:val="20"/>
          <w:szCs w:val="20"/>
          <w:color w:val="auto"/>
        </w:rPr>
      </w:pPr>
    </w:p>
    <w:p>
      <w:pPr>
        <w:jc w:val="both"/>
        <w:ind w:right="20" w:firstLine="628"/>
        <w:spacing w:after="0" w:line="239"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6"/>
          <w:szCs w:val="16"/>
          <w:b w:val="1"/>
          <w:bCs w:val="1"/>
          <w:color w:val="auto"/>
        </w:rPr>
        <w:t>HEREAS</w:t>
      </w:r>
      <w:r>
        <w:rPr>
          <w:rFonts w:ascii="Arial" w:cs="Arial" w:eastAsia="Arial" w:hAnsi="Arial"/>
          <w:sz w:val="21"/>
          <w:szCs w:val="21"/>
          <w:color w:val="auto"/>
        </w:rPr>
        <w:t>, Executive wishes to continue to be employed by the Company and to provide personal services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 return for certain compensation and benefits;</w:t>
      </w:r>
    </w:p>
    <w:p>
      <w:pPr>
        <w:spacing w:after="0" w:line="188" w:lineRule="exact"/>
        <w:rPr>
          <w:sz w:val="20"/>
          <w:szCs w:val="20"/>
          <w:color w:val="auto"/>
        </w:rPr>
      </w:pPr>
    </w:p>
    <w:p>
      <w:pPr>
        <w:jc w:val="both"/>
        <w:ind w:right="20" w:firstLine="628"/>
        <w:spacing w:after="0" w:line="263"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5"/>
          <w:szCs w:val="15"/>
          <w:b w:val="1"/>
          <w:bCs w:val="1"/>
          <w:color w:val="auto"/>
        </w:rPr>
        <w:t>OW</w:t>
      </w:r>
      <w:r>
        <w:rPr>
          <w:rFonts w:ascii="Arial" w:cs="Arial" w:eastAsia="Arial" w:hAnsi="Arial"/>
          <w:sz w:val="20"/>
          <w:szCs w:val="20"/>
          <w:b w:val="1"/>
          <w:bCs w:val="1"/>
          <w:color w:val="auto"/>
        </w:rPr>
        <w:t>, T</w:t>
      </w:r>
      <w:r>
        <w:rPr>
          <w:rFonts w:ascii="Arial" w:cs="Arial" w:eastAsia="Arial" w:hAnsi="Arial"/>
          <w:sz w:val="15"/>
          <w:szCs w:val="15"/>
          <w:b w:val="1"/>
          <w:bCs w:val="1"/>
          <w:color w:val="auto"/>
        </w:rPr>
        <w:t>HEREFORE</w:t>
      </w:r>
      <w:r>
        <w:rPr>
          <w:rFonts w:ascii="Arial" w:cs="Arial" w:eastAsia="Arial" w:hAnsi="Arial"/>
          <w:sz w:val="20"/>
          <w:szCs w:val="20"/>
          <w:color w:val="auto"/>
        </w:rPr>
        <w:t>, in consideration of the mutual promises and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 acknowledged, the Parties hereto agree as follows:</w:t>
      </w:r>
    </w:p>
    <w:p>
      <w:pPr>
        <w:spacing w:after="0" w:line="152"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1.</w:t>
      </w:r>
      <w:r>
        <w:rPr>
          <w:sz w:val="20"/>
          <w:szCs w:val="20"/>
          <w:color w:val="auto"/>
        </w:rPr>
        <w:tab/>
      </w:r>
      <w:r>
        <w:rPr>
          <w:rFonts w:ascii="Arial" w:cs="Arial" w:eastAsia="Arial" w:hAnsi="Arial"/>
          <w:sz w:val="18"/>
          <w:szCs w:val="18"/>
          <w:b w:val="1"/>
          <w:bCs w:val="1"/>
          <w:color w:val="auto"/>
        </w:rPr>
        <w:t>Employment by the Company.</w:t>
      </w:r>
    </w:p>
    <w:p>
      <w:pPr>
        <w:spacing w:after="0" w:line="217" w:lineRule="exact"/>
        <w:rPr>
          <w:sz w:val="20"/>
          <w:szCs w:val="20"/>
          <w:color w:val="auto"/>
        </w:rPr>
      </w:pPr>
    </w:p>
    <w:p>
      <w:pPr>
        <w:jc w:val="both"/>
        <w:ind w:firstLine="1258"/>
        <w:spacing w:after="0" w:line="224" w:lineRule="auto"/>
        <w:rPr>
          <w:sz w:val="20"/>
          <w:szCs w:val="20"/>
          <w:color w:val="auto"/>
        </w:rPr>
      </w:pPr>
      <w:r>
        <w:rPr>
          <w:rFonts w:ascii="Arial" w:cs="Arial" w:eastAsia="Arial" w:hAnsi="Arial"/>
          <w:sz w:val="20"/>
          <w:szCs w:val="20"/>
          <w:b w:val="1"/>
          <w:bCs w:val="1"/>
          <w:color w:val="auto"/>
        </w:rPr>
        <w:t xml:space="preserve">1.1 Position and Duties. </w:t>
      </w:r>
      <w:r>
        <w:rPr>
          <w:rFonts w:ascii="Arial" w:cs="Arial" w:eastAsia="Arial" w:hAnsi="Arial"/>
          <w:sz w:val="20"/>
          <w:szCs w:val="20"/>
          <w:color w:val="auto"/>
        </w:rPr>
        <w:t>Executive shall continue to serve as the Company’s Chief Executive Officer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Position</w:t>
      </w:r>
      <w:r>
        <w:rPr>
          <w:rFonts w:ascii="Arial" w:cs="Arial" w:eastAsia="Arial" w:hAnsi="Arial"/>
          <w:sz w:val="20"/>
          <w:szCs w:val="20"/>
          <w:color w:val="auto"/>
        </w:rPr>
        <w:t xml:space="preserve">”). During the term of Executive’s employment with the Company, Executive shall devote one hundred percent of Executive’s business time on behalf of the Company and, on a full time basis, use Executive’s skills and render services to the best of Executive’s abilities on behalf of the Company, and shall comply fully with the policies and procedures of the Company. Executive shall report directly to the Company’s </w:t>
      </w:r>
      <w:r>
        <w:rPr>
          <w:rFonts w:ascii="Arial" w:cs="Arial" w:eastAsia="Arial" w:hAnsi="Arial"/>
          <w:sz w:val="20"/>
          <w:szCs w:val="20"/>
          <w:b w:val="1"/>
          <w:bCs w:val="1"/>
          <w:color w:val="auto"/>
        </w:rPr>
        <w:t>Board of Directors (the “Board”)</w:t>
      </w:r>
      <w:r>
        <w:rPr>
          <w:rFonts w:ascii="Arial" w:cs="Arial" w:eastAsia="Arial" w:hAnsi="Arial"/>
          <w:sz w:val="20"/>
          <w:szCs w:val="20"/>
          <w:color w:val="auto"/>
        </w:rPr>
        <w:t xml:space="preserve">. Executive shall perform those duties typically associated with the Position and such other duties consistent with the Position as may be assigned by the </w:t>
      </w:r>
      <w:r>
        <w:rPr>
          <w:rFonts w:ascii="Arial" w:cs="Arial" w:eastAsia="Arial" w:hAnsi="Arial"/>
          <w:sz w:val="20"/>
          <w:szCs w:val="20"/>
          <w:b w:val="1"/>
          <w:bCs w:val="1"/>
          <w:color w:val="auto"/>
        </w:rPr>
        <w:t>Board</w:t>
      </w:r>
      <w:r>
        <w:rPr>
          <w:rFonts w:ascii="Arial" w:cs="Arial" w:eastAsia="Arial" w:hAnsi="Arial"/>
          <w:sz w:val="20"/>
          <w:szCs w:val="20"/>
          <w:color w:val="auto"/>
        </w:rPr>
        <w:t xml:space="preserve">, including but not limited to executive responsibility for R&amp;D and G&amp;A. Notwithstanding the foregoing, nothing herein shall preclude Executive from (i) serving, with the prior written consent of the </w:t>
      </w:r>
      <w:r>
        <w:rPr>
          <w:rFonts w:ascii="Arial" w:cs="Arial" w:eastAsia="Arial" w:hAnsi="Arial"/>
          <w:sz w:val="20"/>
          <w:szCs w:val="20"/>
          <w:b w:val="1"/>
          <w:bCs w:val="1"/>
          <w:color w:val="auto"/>
        </w:rPr>
        <w:t>Board</w:t>
      </w:r>
      <w:r>
        <w:rPr>
          <w:rFonts w:ascii="Arial" w:cs="Arial" w:eastAsia="Arial" w:hAnsi="Arial"/>
          <w:sz w:val="20"/>
          <w:szCs w:val="20"/>
          <w:color w:val="auto"/>
        </w:rPr>
        <w:t xml:space="preserve">, as a member of the boards of directors or advisory boards of non-competitive businesses and charitable organizations, (ii) engaging in charitable activities and community affairs, and (iii) managing Executive’s personal investments and affairs;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activities set out in clauses (i), (ii), and (iii) shall be limited by Executive so as not to materially interfere, individually or in the aggregate, with the performance of Executive’s duties and responsibilities hereunder and shall not, in the judgment of the </w:t>
      </w:r>
      <w:r>
        <w:rPr>
          <w:rFonts w:ascii="Arial" w:cs="Arial" w:eastAsia="Arial" w:hAnsi="Arial"/>
          <w:sz w:val="20"/>
          <w:szCs w:val="20"/>
          <w:b w:val="1"/>
          <w:bCs w:val="1"/>
          <w:color w:val="auto"/>
        </w:rPr>
        <w:t>Board</w:t>
      </w:r>
      <w:r>
        <w:rPr>
          <w:rFonts w:ascii="Arial" w:cs="Arial" w:eastAsia="Arial" w:hAnsi="Arial"/>
          <w:sz w:val="20"/>
          <w:szCs w:val="20"/>
          <w:color w:val="auto"/>
        </w:rPr>
        <w:t xml:space="preserve"> pose a conflict of interest with Executive’s duties to the Company or its affiliates.</w:t>
      </w:r>
    </w:p>
    <w:p>
      <w:pPr>
        <w:sectPr>
          <w:pgSz w:w="11900" w:h="16838" w:orient="portrait"/>
          <w:cols w:equalWidth="0" w:num="1">
            <w:col w:w="11060"/>
          </w:cols>
          <w:pgMar w:left="420" w:top="1345" w:right="419" w:bottom="1440" w:gutter="0" w:footer="0" w:header="0"/>
        </w:sectPr>
      </w:pPr>
    </w:p>
    <w:bookmarkStart w:id="168" w:name="page169"/>
    <w:bookmarkEnd w:id="168"/>
    <w:p>
      <w:pPr>
        <w:jc w:val="both"/>
        <w:ind w:firstLine="1258"/>
        <w:spacing w:after="0" w:line="239" w:lineRule="auto"/>
        <w:rPr>
          <w:sz w:val="20"/>
          <w:szCs w:val="20"/>
          <w:color w:val="auto"/>
        </w:rPr>
      </w:pPr>
      <w:r>
        <w:rPr>
          <w:rFonts w:ascii="Arial" w:cs="Arial" w:eastAsia="Arial" w:hAnsi="Arial"/>
          <w:sz w:val="19"/>
          <w:szCs w:val="19"/>
          <w:b w:val="1"/>
          <w:bCs w:val="1"/>
          <w:color w:val="auto"/>
        </w:rPr>
        <w:t xml:space="preserve">1.2 Location of Work. </w:t>
      </w:r>
      <w:r>
        <w:rPr>
          <w:rFonts w:ascii="Arial" w:cs="Arial" w:eastAsia="Arial" w:hAnsi="Arial"/>
          <w:sz w:val="19"/>
          <w:szCs w:val="19"/>
          <w:color w:val="auto"/>
        </w:rPr>
        <w:t>Executive shall work</w:t>
      </w:r>
      <w:r>
        <w:rPr>
          <w:rFonts w:ascii="Arial" w:cs="Arial" w:eastAsia="Arial" w:hAnsi="Arial"/>
          <w:sz w:val="19"/>
          <w:szCs w:val="19"/>
          <w:b w:val="1"/>
          <w:bCs w:val="1"/>
          <w:color w:val="auto"/>
        </w:rPr>
        <w:t xml:space="preserve"> remotely </w:t>
      </w:r>
      <w:r>
        <w:rPr>
          <w:rFonts w:ascii="Arial" w:cs="Arial" w:eastAsia="Arial" w:hAnsi="Arial"/>
          <w:sz w:val="19"/>
          <w:szCs w:val="19"/>
          <w:color w:val="auto"/>
        </w:rPr>
        <w:t>in Califon, New Jersey, USA. The Company reserves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reasonably require Executive to perform Executive’s duties at places other than Executive’s primary office location from time to time, and to require reasonable business travel. Understanding that the Executive currently lives outside of Massachusetts and is expected to relocate to the Boston metropolitan area within 24 months of the Start Date, the Company will provide Executive with a housing and living allowance not to exceed $60,000 total for the period of twenty-four months from the Start Date. The Company will provide Executive with a maximum relocation expense of $200,000, subject to the Expense Reimbursement Agreement between Executive and Company dated March 18, 2020, and agrees to repay the full amount of any relocation expenses provided by Company in the event that he resigns from employment within two years of the Start Date.</w:t>
      </w:r>
    </w:p>
    <w:p>
      <w:pPr>
        <w:spacing w:after="0" w:line="174"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1.3 Policies and Procedures. </w:t>
      </w:r>
      <w:r>
        <w:rPr>
          <w:rFonts w:ascii="Arial" w:cs="Arial" w:eastAsia="Arial" w:hAnsi="Arial"/>
          <w:sz w:val="21"/>
          <w:szCs w:val="21"/>
          <w:color w:val="auto"/>
        </w:rPr>
        <w:t>The employment relationship between the Parties shall be governed by the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policies and practices of the Company, except that when the terms of this Agreement differ from or are in conflict with the Company’s general employment policies or practices, this Agreement shall control.</w:t>
      </w:r>
    </w:p>
    <w:p>
      <w:pPr>
        <w:spacing w:after="0" w:line="187"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2.</w:t>
      </w:r>
      <w:r>
        <w:rPr>
          <w:sz w:val="20"/>
          <w:szCs w:val="20"/>
          <w:color w:val="auto"/>
        </w:rPr>
        <w:tab/>
      </w:r>
      <w:r>
        <w:rPr>
          <w:rFonts w:ascii="Arial" w:cs="Arial" w:eastAsia="Arial" w:hAnsi="Arial"/>
          <w:sz w:val="18"/>
          <w:szCs w:val="18"/>
          <w:b w:val="1"/>
          <w:bCs w:val="1"/>
          <w:color w:val="auto"/>
        </w:rPr>
        <w:t>Compensation.</w:t>
      </w:r>
    </w:p>
    <w:p>
      <w:pPr>
        <w:spacing w:after="0" w:line="204" w:lineRule="exact"/>
        <w:rPr>
          <w:sz w:val="20"/>
          <w:szCs w:val="20"/>
          <w:color w:val="auto"/>
        </w:rPr>
      </w:pPr>
    </w:p>
    <w:p>
      <w:pPr>
        <w:jc w:val="both"/>
        <w:ind w:firstLine="1258"/>
        <w:spacing w:after="0" w:line="224" w:lineRule="auto"/>
        <w:rPr>
          <w:sz w:val="20"/>
          <w:szCs w:val="20"/>
          <w:color w:val="auto"/>
        </w:rPr>
      </w:pPr>
      <w:r>
        <w:rPr>
          <w:rFonts w:ascii="Arial" w:cs="Arial" w:eastAsia="Arial" w:hAnsi="Arial"/>
          <w:sz w:val="21"/>
          <w:szCs w:val="21"/>
          <w:b w:val="1"/>
          <w:bCs w:val="1"/>
          <w:color w:val="auto"/>
        </w:rPr>
        <w:t xml:space="preserve">2.1 Salary. </w:t>
      </w:r>
      <w:r>
        <w:rPr>
          <w:rFonts w:ascii="Arial" w:cs="Arial" w:eastAsia="Arial" w:hAnsi="Arial"/>
          <w:sz w:val="21"/>
          <w:szCs w:val="21"/>
          <w:color w:val="auto"/>
        </w:rPr>
        <w:t>For services to be rendered hereunder, Executive shall receive an initial base salary at the rate of</w:t>
      </w:r>
      <w:r>
        <w:rPr>
          <w:rFonts w:ascii="Arial" w:cs="Arial" w:eastAsia="Arial" w:hAnsi="Arial"/>
          <w:sz w:val="21"/>
          <w:szCs w:val="21"/>
          <w:b w:val="1"/>
          <w:bCs w:val="1"/>
          <w:color w:val="auto"/>
        </w:rPr>
        <w:t xml:space="preserve"> </w:t>
      </w:r>
      <w:r>
        <w:rPr>
          <w:rFonts w:ascii="Arial" w:cs="Arial" w:eastAsia="Arial" w:hAnsi="Arial"/>
          <w:sz w:val="21"/>
          <w:szCs w:val="21"/>
          <w:color w:val="auto"/>
        </w:rPr>
        <w:t>$550,000 per year, subject to standard payroll deductions and withholdings and payable in accordance with the Company’s regular payroll schedule (the “</w:t>
      </w:r>
      <w:r>
        <w:rPr>
          <w:rFonts w:ascii="Arial" w:cs="Arial" w:eastAsia="Arial" w:hAnsi="Arial"/>
          <w:sz w:val="21"/>
          <w:szCs w:val="21"/>
          <w:b w:val="1"/>
          <w:bCs w:val="1"/>
          <w:color w:val="auto"/>
        </w:rPr>
        <w:t>Base Salary</w:t>
      </w:r>
      <w:r>
        <w:rPr>
          <w:rFonts w:ascii="Arial" w:cs="Arial" w:eastAsia="Arial" w:hAnsi="Arial"/>
          <w:sz w:val="21"/>
          <w:szCs w:val="21"/>
          <w:color w:val="auto"/>
        </w:rPr>
        <w:t>”). Executive’s Base Salary will be reviewed annually by the Board or the Compensation Committee of the Board (the “</w:t>
      </w:r>
      <w:r>
        <w:rPr>
          <w:rFonts w:ascii="Arial" w:cs="Arial" w:eastAsia="Arial" w:hAnsi="Arial"/>
          <w:sz w:val="21"/>
          <w:szCs w:val="21"/>
          <w:b w:val="1"/>
          <w:bCs w:val="1"/>
          <w:color w:val="auto"/>
        </w:rPr>
        <w:t>Compensation Committee</w:t>
      </w:r>
      <w:r>
        <w:rPr>
          <w:rFonts w:ascii="Arial" w:cs="Arial" w:eastAsia="Arial" w:hAnsi="Arial"/>
          <w:sz w:val="21"/>
          <w:szCs w:val="21"/>
          <w:color w:val="auto"/>
        </w:rPr>
        <w:t>”).</w:t>
      </w:r>
    </w:p>
    <w:p>
      <w:pPr>
        <w:spacing w:after="0" w:line="187" w:lineRule="exact"/>
        <w:rPr>
          <w:sz w:val="20"/>
          <w:szCs w:val="20"/>
          <w:color w:val="auto"/>
        </w:rPr>
      </w:pPr>
    </w:p>
    <w:p>
      <w:pPr>
        <w:jc w:val="both"/>
        <w:ind w:right="20" w:firstLine="1258"/>
        <w:spacing w:after="0" w:line="238" w:lineRule="auto"/>
        <w:rPr>
          <w:sz w:val="20"/>
          <w:szCs w:val="20"/>
          <w:color w:val="auto"/>
        </w:rPr>
      </w:pPr>
      <w:r>
        <w:rPr>
          <w:rFonts w:ascii="Arial" w:cs="Arial" w:eastAsia="Arial" w:hAnsi="Arial"/>
          <w:sz w:val="19"/>
          <w:szCs w:val="19"/>
          <w:b w:val="1"/>
          <w:bCs w:val="1"/>
          <w:color w:val="auto"/>
        </w:rPr>
        <w:t xml:space="preserve">2.2 Annual Cash Bonus. </w:t>
      </w:r>
      <w:r>
        <w:rPr>
          <w:rFonts w:ascii="Arial" w:cs="Arial" w:eastAsia="Arial" w:hAnsi="Arial"/>
          <w:sz w:val="19"/>
          <w:szCs w:val="19"/>
          <w:color w:val="auto"/>
        </w:rPr>
        <w:t>Executive will be eligible for an annual cash bonus with a target amount of seventy</w:t>
      </w:r>
      <w:r>
        <w:rPr>
          <w:rFonts w:ascii="Arial" w:cs="Arial" w:eastAsia="Arial" w:hAnsi="Arial"/>
          <w:sz w:val="19"/>
          <w:szCs w:val="19"/>
          <w:b w:val="1"/>
          <w:bCs w:val="1"/>
          <w:color w:val="auto"/>
        </w:rPr>
        <w:t xml:space="preserve"> </w:t>
      </w:r>
      <w:r>
        <w:rPr>
          <w:rFonts w:ascii="Arial" w:cs="Arial" w:eastAsia="Arial" w:hAnsi="Arial"/>
          <w:sz w:val="19"/>
          <w:szCs w:val="19"/>
          <w:color w:val="auto"/>
        </w:rPr>
        <w:t>percent (70%) of Executive’s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Whether Executive receives an Annual Bonus for any given year, and the amount of any such Annual Bonus, will be determined by the Board or the Compensation Committee based upon the Company’s and Executive’s achievement of objectives and milestones to be determined by the Board or the Compensation Committee on an annual basis. Except as otherwise provided herein or in applicable incentive compensation plan that may be in effect from time to time, Executive will not be eligible for, and will not earn, any Annual Bonus if Executive is not employed by the Company on the payment date (regardless of the reason for the separation from employment). Notwithstanding the foregoing, the Company will guarantee Executive the full amount of his Annual Bonus for calendar year 2020, provided that Executive is employed by the Company on the date on which the Annual Bonuses are paid to employees on or about March 31, 2021.</w:t>
      </w:r>
    </w:p>
    <w:p>
      <w:pPr>
        <w:spacing w:after="0" w:line="174" w:lineRule="exact"/>
        <w:rPr>
          <w:sz w:val="20"/>
          <w:szCs w:val="20"/>
          <w:color w:val="auto"/>
        </w:rPr>
      </w:pPr>
    </w:p>
    <w:p>
      <w:pPr>
        <w:jc w:val="both"/>
        <w:ind w:firstLine="1258"/>
        <w:spacing w:after="0" w:line="229" w:lineRule="auto"/>
        <w:rPr>
          <w:sz w:val="20"/>
          <w:szCs w:val="20"/>
          <w:color w:val="auto"/>
        </w:rPr>
      </w:pPr>
      <w:r>
        <w:rPr>
          <w:rFonts w:ascii="Arial" w:cs="Arial" w:eastAsia="Arial" w:hAnsi="Arial"/>
          <w:sz w:val="20"/>
          <w:szCs w:val="20"/>
          <w:b w:val="1"/>
          <w:bCs w:val="1"/>
          <w:color w:val="auto"/>
        </w:rPr>
        <w:t xml:space="preserve">2.3 Equity. </w:t>
      </w:r>
      <w:r>
        <w:rPr>
          <w:rFonts w:ascii="Arial" w:cs="Arial" w:eastAsia="Arial" w:hAnsi="Arial"/>
          <w:sz w:val="20"/>
          <w:szCs w:val="20"/>
          <w:color w:val="auto"/>
        </w:rPr>
        <w:t>The stock options and other stock-based awards held by Executive shall continue to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of the Company’s applicable equity incentive plan(s) and the applicable award agreement(s) governing the terms of such stock options and other stock-based awards (collectively, the “</w:t>
      </w:r>
      <w:r>
        <w:rPr>
          <w:rFonts w:ascii="Arial" w:cs="Arial" w:eastAsia="Arial" w:hAnsi="Arial"/>
          <w:sz w:val="20"/>
          <w:szCs w:val="20"/>
          <w:b w:val="1"/>
          <w:bCs w:val="1"/>
          <w:color w:val="auto"/>
        </w:rPr>
        <w:t>Equity Documents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and notwithstanding anything to the contrary in the Equity Documents, Section 5.3(ii)(b) of this Agreement shall apply in the event of a termination of Executive’s employment by the Company without Cause or by Executive for Good Reason, in either case within the Change of Control Period (as such terms are defined below).</w:t>
      </w:r>
    </w:p>
    <w:p>
      <w:pPr>
        <w:sectPr>
          <w:pgSz w:w="11900" w:h="16838" w:orient="portrait"/>
          <w:cols w:equalWidth="0" w:num="1">
            <w:col w:w="11060"/>
          </w:cols>
          <w:pgMar w:left="420" w:top="1345" w:right="419" w:bottom="1440" w:gutter="0" w:footer="0" w:header="0"/>
        </w:sectPr>
      </w:pPr>
    </w:p>
    <w:bookmarkStart w:id="169" w:name="page170"/>
    <w:bookmarkEnd w:id="169"/>
    <w:p>
      <w:pPr>
        <w:jc w:val="both"/>
        <w:ind w:right="20" w:firstLine="628"/>
        <w:spacing w:after="0" w:line="224" w:lineRule="auto"/>
        <w:tabs>
          <w:tab w:leader="none" w:pos="1063" w:val="left"/>
        </w:tabs>
        <w:numPr>
          <w:ilvl w:val="1"/>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Standard Company Benefits. </w:t>
      </w:r>
      <w:r>
        <w:rPr>
          <w:rFonts w:ascii="Arial" w:cs="Arial" w:eastAsia="Arial" w:hAnsi="Arial"/>
          <w:sz w:val="21"/>
          <w:szCs w:val="21"/>
          <w:color w:val="auto"/>
        </w:rPr>
        <w:t>Executive shall be entitled to participate in all employee benefit programs for which</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is eligible under the terms and conditions of the benefit plans that may be in effect from time to time and provided by the Company to its employees. The Company reserves the right to cancel or change the benefit plans or programs it offers to its employees at any time.</w:t>
      </w:r>
    </w:p>
    <w:p>
      <w:pPr>
        <w:spacing w:after="0" w:line="186" w:lineRule="exact"/>
        <w:rPr>
          <w:rFonts w:ascii="Arial" w:cs="Arial" w:eastAsia="Arial" w:hAnsi="Arial"/>
          <w:sz w:val="21"/>
          <w:szCs w:val="21"/>
          <w:b w:val="1"/>
          <w:bCs w:val="1"/>
          <w:color w:val="auto"/>
        </w:rPr>
      </w:pPr>
    </w:p>
    <w:p>
      <w:pPr>
        <w:jc w:val="both"/>
        <w:ind w:left="-20" w:right="20" w:firstLine="633"/>
        <w:spacing w:after="0" w:line="228" w:lineRule="auto"/>
        <w:tabs>
          <w:tab w:leader="none" w:pos="991"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Additional Benefits. </w:t>
      </w:r>
      <w:r>
        <w:rPr>
          <w:rFonts w:ascii="Arial" w:cs="Arial" w:eastAsia="Arial" w:hAnsi="Arial"/>
          <w:sz w:val="20"/>
          <w:szCs w:val="20"/>
          <w:color w:val="auto"/>
        </w:rPr>
        <w:t>In addition to the standard Company benefits, (i) the Company shall reimburse the Executive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premiums on a supplemental long- term disability policy owned by him the benefits of which, when combined with the benefits from any Company long-term disability plan or arrangement in which he participates, will replace 65% of his Base Salary; (ii) the Company shall reimburse the Executive for the premiums on a 20-year term life insurance policy that he owns with a death benefit of $3,000,000; and (iii) the Executive shall participate in a Company-sponsored supplemental retirement plan that will provide benefits equal to those provided under the Company’s qualified retirement plan that would be accrued but for the limitations on compensation and contributions applicable to qualified retirement plans.</w:t>
      </w:r>
    </w:p>
    <w:p>
      <w:pPr>
        <w:spacing w:after="0" w:line="122" w:lineRule="exact"/>
        <w:rPr>
          <w:rFonts w:ascii="Arial" w:cs="Arial" w:eastAsia="Arial" w:hAnsi="Arial"/>
          <w:sz w:val="20"/>
          <w:szCs w:val="20"/>
          <w:b w:val="1"/>
          <w:bCs w:val="1"/>
          <w:color w:val="auto"/>
        </w:rPr>
      </w:pPr>
    </w:p>
    <w:p>
      <w:pPr>
        <w:jc w:val="both"/>
        <w:ind w:right="20" w:firstLine="628"/>
        <w:spacing w:after="0" w:line="229" w:lineRule="auto"/>
        <w:tabs>
          <w:tab w:leader="none" w:pos="1038" w:val="left"/>
        </w:tabs>
        <w:numPr>
          <w:ilvl w:val="1"/>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Expenses. </w:t>
      </w:r>
      <w:r>
        <w:rPr>
          <w:rFonts w:ascii="Arial" w:cs="Arial" w:eastAsia="Arial" w:hAnsi="Arial"/>
          <w:sz w:val="21"/>
          <w:szCs w:val="21"/>
          <w:color w:val="auto"/>
        </w:rPr>
        <w:t>The Company will reimburse Executive for reasonable travel, entertainment or other expenses incurred by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in furtherance or in connection with the performance of Executive’s duties hereunder, in accordance with the Company’s expense reimbursement policy as in effect from time to time.</w:t>
      </w:r>
    </w:p>
    <w:p>
      <w:pPr>
        <w:spacing w:after="0" w:line="187" w:lineRule="exact"/>
        <w:rPr>
          <w:rFonts w:ascii="Arial" w:cs="Arial" w:eastAsia="Arial" w:hAnsi="Arial"/>
          <w:sz w:val="21"/>
          <w:szCs w:val="21"/>
          <w:b w:val="1"/>
          <w:bCs w:val="1"/>
          <w:color w:val="auto"/>
        </w:rPr>
      </w:pPr>
    </w:p>
    <w:p>
      <w:pPr>
        <w:ind w:left="1000" w:hanging="372"/>
        <w:spacing w:after="0"/>
        <w:tabs>
          <w:tab w:leader="none" w:pos="1000" w:val="left"/>
        </w:tabs>
        <w:numPr>
          <w:ilvl w:val="1"/>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of Employment; Severance.</w:t>
      </w:r>
    </w:p>
    <w:p>
      <w:pPr>
        <w:spacing w:after="0" w:line="204" w:lineRule="exact"/>
        <w:rPr>
          <w:sz w:val="20"/>
          <w:szCs w:val="20"/>
          <w:color w:val="auto"/>
        </w:rPr>
      </w:pPr>
    </w:p>
    <w:p>
      <w:pPr>
        <w:ind w:right="20" w:firstLine="1258"/>
        <w:spacing w:after="0" w:line="263" w:lineRule="auto"/>
        <w:rPr>
          <w:sz w:val="20"/>
          <w:szCs w:val="20"/>
          <w:color w:val="auto"/>
        </w:rPr>
      </w:pPr>
      <w:r>
        <w:rPr>
          <w:rFonts w:ascii="Arial" w:cs="Arial" w:eastAsia="Arial" w:hAnsi="Arial"/>
          <w:sz w:val="20"/>
          <w:szCs w:val="20"/>
          <w:b w:val="1"/>
          <w:bCs w:val="1"/>
          <w:color w:val="auto"/>
        </w:rPr>
        <w:t xml:space="preserve">6.1 At-Will Employment. </w:t>
      </w:r>
      <w:r>
        <w:rPr>
          <w:rFonts w:ascii="Arial" w:cs="Arial" w:eastAsia="Arial" w:hAnsi="Arial"/>
          <w:sz w:val="20"/>
          <w:szCs w:val="20"/>
          <w:color w:val="auto"/>
        </w:rPr>
        <w:t>Executive’s employment relationship is at- will. Either Executive or the Company may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the employment relationship at any time, with or without cause subject to the terms of this Agreement.</w:t>
      </w:r>
    </w:p>
    <w:p>
      <w:pPr>
        <w:spacing w:after="0" w:line="152" w:lineRule="exact"/>
        <w:rPr>
          <w:sz w:val="20"/>
          <w:szCs w:val="20"/>
          <w:color w:val="auto"/>
        </w:rPr>
      </w:pPr>
    </w:p>
    <w:p>
      <w:pPr>
        <w:ind w:right="680" w:firstLine="1258"/>
        <w:spacing w:after="0" w:line="239" w:lineRule="auto"/>
        <w:rPr>
          <w:sz w:val="20"/>
          <w:szCs w:val="20"/>
          <w:color w:val="auto"/>
        </w:rPr>
      </w:pPr>
      <w:r>
        <w:rPr>
          <w:rFonts w:ascii="Arial" w:cs="Arial" w:eastAsia="Arial" w:hAnsi="Arial"/>
          <w:sz w:val="21"/>
          <w:szCs w:val="21"/>
          <w:b w:val="1"/>
          <w:bCs w:val="1"/>
          <w:color w:val="auto"/>
        </w:rPr>
        <w:t>6.2 Severance Pay and Benefits Upon a Termination Without Cause or Resignation for Good Reason Outside the Change of Control Period.</w:t>
      </w:r>
    </w:p>
    <w:p>
      <w:pPr>
        <w:spacing w:after="0" w:line="194" w:lineRule="exact"/>
        <w:rPr>
          <w:sz w:val="20"/>
          <w:szCs w:val="20"/>
          <w:color w:val="auto"/>
        </w:rPr>
      </w:pPr>
    </w:p>
    <w:p>
      <w:pPr>
        <w:ind w:right="20" w:firstLine="1887"/>
        <w:spacing w:after="0" w:line="283" w:lineRule="auto"/>
        <w:tabs>
          <w:tab w:leader="none" w:pos="2348"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 without Cause. Executive may terminate Executive’s employment with the Company at any time for any reason, including for Good Reason.</w:t>
      </w:r>
    </w:p>
    <w:p>
      <w:pPr>
        <w:spacing w:after="0" w:line="140" w:lineRule="exact"/>
        <w:rPr>
          <w:rFonts w:ascii="Arial" w:cs="Arial" w:eastAsia="Arial" w:hAnsi="Arial"/>
          <w:sz w:val="19"/>
          <w:szCs w:val="19"/>
          <w:b w:val="1"/>
          <w:bCs w:val="1"/>
          <w:color w:val="auto"/>
        </w:rPr>
      </w:pPr>
    </w:p>
    <w:p>
      <w:pPr>
        <w:jc w:val="both"/>
        <w:ind w:firstLine="1887"/>
        <w:spacing w:after="0" w:line="222" w:lineRule="auto"/>
        <w:tabs>
          <w:tab w:leader="none" w:pos="2420" w:val="left"/>
        </w:tabs>
        <w:numPr>
          <w:ilvl w:val="0"/>
          <w:numId w:val="72"/>
        </w:numPr>
        <w:rPr>
          <w:rFonts w:ascii="Arial" w:cs="Arial" w:eastAsia="Arial" w:hAnsi="Arial"/>
          <w:sz w:val="21"/>
          <w:szCs w:val="21"/>
          <w:b w:val="1"/>
          <w:bCs w:val="1"/>
          <w:color w:val="auto"/>
        </w:rPr>
      </w:pPr>
      <w:r>
        <w:rPr>
          <w:rFonts w:ascii="Arial" w:cs="Arial" w:eastAsia="Arial" w:hAnsi="Arial"/>
          <w:sz w:val="21"/>
          <w:szCs w:val="21"/>
          <w:color w:val="auto"/>
        </w:rPr>
        <w:t>In the event that Executive’s employment with the Company is terminated by the Company without Cause or by Executive for Good Reason, in either case outside of the Change of Control Period, then, provided that Executive remains in compliance with the terms of this Agreement, the Company shall provide Executive with the following severance benefits:</w:t>
      </w:r>
    </w:p>
    <w:p>
      <w:pPr>
        <w:spacing w:after="0" w:line="260" w:lineRule="exact"/>
        <w:rPr>
          <w:rFonts w:ascii="Arial" w:cs="Arial" w:eastAsia="Arial" w:hAnsi="Arial"/>
          <w:sz w:val="21"/>
          <w:szCs w:val="21"/>
          <w:b w:val="1"/>
          <w:bCs w:val="1"/>
          <w:color w:val="auto"/>
        </w:rPr>
      </w:pPr>
    </w:p>
    <w:p>
      <w:pPr>
        <w:ind w:right="100" w:firstLine="2517"/>
        <w:spacing w:after="0" w:line="222" w:lineRule="auto"/>
        <w:tabs>
          <w:tab w:leader="none" w:pos="2972" w:val="left"/>
        </w:tabs>
        <w:numPr>
          <w:ilvl w:val="1"/>
          <w:numId w:val="72"/>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as severance, 12 months of Executive’s Base Salary in effect as of the date of Executive’s employment termination, subject to standard payroll deductions and withholdings (the “</w:t>
      </w:r>
      <w:r>
        <w:rPr>
          <w:rFonts w:ascii="Arial" w:cs="Arial" w:eastAsia="Arial" w:hAnsi="Arial"/>
          <w:sz w:val="21"/>
          <w:szCs w:val="21"/>
          <w:b w:val="1"/>
          <w:bCs w:val="1"/>
          <w:color w:val="auto"/>
        </w:rPr>
        <w:t>Severance</w:t>
      </w:r>
      <w:r>
        <w:rPr>
          <w:rFonts w:ascii="Arial" w:cs="Arial" w:eastAsia="Arial" w:hAnsi="Arial"/>
          <w:sz w:val="21"/>
          <w:szCs w:val="21"/>
          <w:color w:val="auto"/>
        </w:rPr>
        <w:t>”). Subject to Section 5.2(iii) below, the Severance will be paid in equal installments on the Company’s regular payroll schedule over the 12 month period following Executive’s termination of employment.</w:t>
      </w:r>
    </w:p>
    <w:p>
      <w:pPr>
        <w:sectPr>
          <w:pgSz w:w="11900" w:h="16838" w:orient="portrait"/>
          <w:cols w:equalWidth="0" w:num="1">
            <w:col w:w="11060"/>
          </w:cols>
          <w:pgMar w:left="420" w:top="1266" w:right="419" w:bottom="1440" w:gutter="0" w:footer="0" w:header="0"/>
        </w:sectPr>
      </w:pPr>
    </w:p>
    <w:bookmarkStart w:id="170" w:name="page171"/>
    <w:bookmarkEnd w:id="170"/>
    <w:p>
      <w:pPr>
        <w:jc w:val="both"/>
        <w:ind w:firstLine="2517"/>
        <w:spacing w:after="0" w:line="234" w:lineRule="auto"/>
        <w:tabs>
          <w:tab w:leader="none" w:pos="3049"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Arial" w:cs="Arial" w:eastAsia="Arial" w:hAnsi="Arial"/>
          <w:sz w:val="19"/>
          <w:szCs w:val="19"/>
          <w:b w:val="1"/>
          <w:bCs w:val="1"/>
          <w:color w:val="auto"/>
        </w:rPr>
        <w:t>COBRA</w:t>
      </w:r>
      <w:r>
        <w:rPr>
          <w:rFonts w:ascii="Arial" w:cs="Arial" w:eastAsia="Arial" w:hAnsi="Arial"/>
          <w:sz w:val="19"/>
          <w:szCs w:val="19"/>
          <w:color w:val="auto"/>
        </w:rPr>
        <w:t xml:space="preserve"> </w:t>
      </w:r>
      <w:r>
        <w:rPr>
          <w:rFonts w:ascii="Arial" w:cs="Arial" w:eastAsia="Arial" w:hAnsi="Arial"/>
          <w:sz w:val="19"/>
          <w:szCs w:val="19"/>
          <w:b w:val="1"/>
          <w:bCs w:val="1"/>
          <w:color w:val="auto"/>
        </w:rPr>
        <w:t>Premiums</w:t>
      </w:r>
      <w:r>
        <w:rPr>
          <w:rFonts w:ascii="Arial" w:cs="Arial" w:eastAsia="Arial" w:hAnsi="Arial"/>
          <w:sz w:val="19"/>
          <w:szCs w:val="19"/>
          <w:color w:val="auto"/>
        </w:rPr>
        <w:t>”) through the period (the “</w:t>
      </w:r>
      <w:r>
        <w:rPr>
          <w:rFonts w:ascii="Arial" w:cs="Arial" w:eastAsia="Arial" w:hAnsi="Arial"/>
          <w:sz w:val="19"/>
          <w:szCs w:val="19"/>
          <w:b w:val="1"/>
          <w:bCs w:val="1"/>
          <w:color w:val="auto"/>
        </w:rPr>
        <w:t>COBRA Premium Period</w:t>
      </w:r>
      <w:r>
        <w:rPr>
          <w:rFonts w:ascii="Arial" w:cs="Arial" w:eastAsia="Arial" w:hAnsi="Arial"/>
          <w:sz w:val="19"/>
          <w:szCs w:val="19"/>
          <w:color w:val="auto"/>
        </w:rPr>
        <w:t>”) starting on Executive’s date of termination and 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earliest to occur of: (i) the 12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Notwithstanding the foregoing, if the Company determines, in its sole discretion, that it cannot pay the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Arial" w:cs="Arial" w:eastAsia="Arial" w:hAnsi="Arial"/>
          <w:sz w:val="19"/>
          <w:szCs w:val="19"/>
          <w:b w:val="1"/>
          <w:bCs w:val="1"/>
          <w:color w:val="auto"/>
        </w:rPr>
        <w:t>Special Cash Payment</w:t>
      </w:r>
      <w:r>
        <w:rPr>
          <w:rFonts w:ascii="Arial" w:cs="Arial" w:eastAsia="Arial" w:hAnsi="Arial"/>
          <w:sz w:val="19"/>
          <w:szCs w:val="19"/>
          <w:color w:val="auto"/>
        </w:rPr>
        <w:t>”), for the remainder of the COBRA Premium Period. Executive may, but is not obligated to, use such Special Cash Payments toward the cost of COBRA premiums.</w:t>
      </w:r>
    </w:p>
    <w:p>
      <w:pPr>
        <w:spacing w:after="0" w:line="201" w:lineRule="exact"/>
        <w:rPr>
          <w:rFonts w:ascii="Arial" w:cs="Arial" w:eastAsia="Arial" w:hAnsi="Arial"/>
          <w:sz w:val="19"/>
          <w:szCs w:val="19"/>
          <w:b w:val="1"/>
          <w:bCs w:val="1"/>
          <w:color w:val="auto"/>
        </w:rPr>
      </w:pPr>
    </w:p>
    <w:p>
      <w:pPr>
        <w:jc w:val="both"/>
        <w:ind w:firstLine="1887"/>
        <w:spacing w:after="0" w:line="219" w:lineRule="auto"/>
        <w:tabs>
          <w:tab w:leader="none" w:pos="2478" w:val="left"/>
        </w:tabs>
        <w:numPr>
          <w:ilvl w:val="0"/>
          <w:numId w:val="74"/>
        </w:numPr>
        <w:rPr>
          <w:rFonts w:ascii="Arial" w:cs="Arial" w:eastAsia="Arial" w:hAnsi="Arial"/>
          <w:sz w:val="21"/>
          <w:szCs w:val="21"/>
          <w:b w:val="1"/>
          <w:bCs w:val="1"/>
          <w:color w:val="auto"/>
        </w:rPr>
      </w:pPr>
      <w:r>
        <w:rPr>
          <w:rFonts w:ascii="Arial" w:cs="Arial" w:eastAsia="Arial" w:hAnsi="Arial"/>
          <w:sz w:val="21"/>
          <w:szCs w:val="21"/>
          <w:color w:val="auto"/>
        </w:rPr>
        <w:t xml:space="preserve">The amounts payable under this Section 5.2, to the extent taxable, shall be paid or commence to be paid within 60 days after the date of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shall be paid or commence to be paid in the second calendar year by the last day of such 60-day period.</w:t>
      </w:r>
    </w:p>
    <w:p>
      <w:pPr>
        <w:spacing w:after="0" w:line="374" w:lineRule="exact"/>
        <w:rPr>
          <w:sz w:val="20"/>
          <w:szCs w:val="20"/>
          <w:color w:val="auto"/>
        </w:rPr>
      </w:pPr>
    </w:p>
    <w:p>
      <w:pPr>
        <w:ind w:right="160" w:firstLine="1258"/>
        <w:spacing w:after="0" w:line="239" w:lineRule="auto"/>
        <w:rPr>
          <w:sz w:val="20"/>
          <w:szCs w:val="20"/>
          <w:color w:val="auto"/>
        </w:rPr>
      </w:pPr>
      <w:r>
        <w:rPr>
          <w:rFonts w:ascii="Arial" w:cs="Arial" w:eastAsia="Arial" w:hAnsi="Arial"/>
          <w:sz w:val="21"/>
          <w:szCs w:val="21"/>
          <w:b w:val="1"/>
          <w:bCs w:val="1"/>
          <w:color w:val="auto"/>
        </w:rPr>
        <w:t>6.3 Severance Pay and Benefits Upon Termination Without Cause or Resignation for Good Reason Within the Change of Control Period.</w:t>
      </w:r>
    </w:p>
    <w:p>
      <w:pPr>
        <w:spacing w:after="0" w:line="181" w:lineRule="exact"/>
        <w:rPr>
          <w:sz w:val="20"/>
          <w:szCs w:val="20"/>
          <w:color w:val="auto"/>
        </w:rPr>
      </w:pPr>
    </w:p>
    <w:p>
      <w:pPr>
        <w:jc w:val="both"/>
        <w:ind w:firstLine="1887"/>
        <w:spacing w:after="0" w:line="219" w:lineRule="auto"/>
        <w:tabs>
          <w:tab w:leader="none" w:pos="2388" w:val="left"/>
        </w:tabs>
        <w:numPr>
          <w:ilvl w:val="0"/>
          <w:numId w:val="75"/>
        </w:numPr>
        <w:rPr>
          <w:rFonts w:ascii="Arial" w:cs="Arial" w:eastAsia="Arial" w:hAnsi="Arial"/>
          <w:sz w:val="21"/>
          <w:szCs w:val="21"/>
          <w:b w:val="1"/>
          <w:bCs w:val="1"/>
          <w:color w:val="auto"/>
        </w:rPr>
      </w:pPr>
      <w:r>
        <w:rPr>
          <w:rFonts w:ascii="Arial" w:cs="Arial" w:eastAsia="Arial" w:hAnsi="Arial"/>
          <w:sz w:val="21"/>
          <w:szCs w:val="21"/>
          <w:color w:val="auto"/>
        </w:rPr>
        <w:t>The provisions of this Section 5.3 shall apply in lieu of, and expressly supersede, the provisions of Section 5.2 regarding severance pay and benefits upon a termination of employment by the Company without Cause or by Executive for Good Reason if such termination of employment occurs on or within 12 months after the occurrence of the first event constituting a Change of Control (such period, the “</w:t>
      </w:r>
      <w:r>
        <w:rPr>
          <w:rFonts w:ascii="Arial" w:cs="Arial" w:eastAsia="Arial" w:hAnsi="Arial"/>
          <w:sz w:val="21"/>
          <w:szCs w:val="21"/>
          <w:b w:val="1"/>
          <w:bCs w:val="1"/>
          <w:color w:val="auto"/>
        </w:rPr>
        <w:t>Change of Control Period</w:t>
      </w:r>
      <w:r>
        <w:rPr>
          <w:rFonts w:ascii="Arial" w:cs="Arial" w:eastAsia="Arial" w:hAnsi="Arial"/>
          <w:sz w:val="21"/>
          <w:szCs w:val="21"/>
          <w:color w:val="auto"/>
        </w:rPr>
        <w:t>”). These provisions shall terminate and be of no further force or effect after the Change of Control Period.</w:t>
      </w:r>
    </w:p>
    <w:p>
      <w:pPr>
        <w:sectPr>
          <w:pgSz w:w="11900" w:h="16838" w:orient="portrait"/>
          <w:cols w:equalWidth="0" w:num="1">
            <w:col w:w="11060"/>
          </w:cols>
          <w:pgMar w:left="420" w:top="1351" w:right="419" w:bottom="1440" w:gutter="0" w:footer="0" w:header="0"/>
        </w:sectPr>
      </w:pPr>
    </w:p>
    <w:bookmarkStart w:id="171" w:name="page172"/>
    <w:bookmarkEnd w:id="171"/>
    <w:p>
      <w:pPr>
        <w:jc w:val="both"/>
        <w:ind w:left="1" w:firstLine="1887"/>
        <w:spacing w:after="0" w:line="257" w:lineRule="auto"/>
        <w:tabs>
          <w:tab w:leader="none" w:pos="2421" w:val="left"/>
        </w:tabs>
        <w:numPr>
          <w:ilvl w:val="1"/>
          <w:numId w:val="76"/>
        </w:numPr>
        <w:rPr>
          <w:rFonts w:ascii="Arial" w:cs="Arial" w:eastAsia="Arial" w:hAnsi="Arial"/>
          <w:sz w:val="19"/>
          <w:szCs w:val="19"/>
          <w:b w:val="1"/>
          <w:bCs w:val="1"/>
          <w:color w:val="auto"/>
        </w:rPr>
      </w:pPr>
      <w:r>
        <w:rPr>
          <w:rFonts w:ascii="Arial" w:cs="Arial" w:eastAsia="Arial" w:hAnsi="Arial"/>
          <w:sz w:val="19"/>
          <w:szCs w:val="19"/>
          <w:color w:val="auto"/>
        </w:rPr>
        <w:t>In the event that Executive’s employment with the Company is terminated by the Company without Cause or by Executive for Good Reason, in either case during the Change of Control Period, then, provided Executive remains in compliance with the terms of this Agreement, the Company shall provide Executive with the following severance benefits:</w:t>
      </w:r>
    </w:p>
    <w:p>
      <w:pPr>
        <w:spacing w:after="0" w:line="242" w:lineRule="exact"/>
        <w:rPr>
          <w:rFonts w:ascii="Arial" w:cs="Arial" w:eastAsia="Arial" w:hAnsi="Arial"/>
          <w:sz w:val="19"/>
          <w:szCs w:val="19"/>
          <w:b w:val="1"/>
          <w:bCs w:val="1"/>
          <w:color w:val="auto"/>
        </w:rPr>
      </w:pPr>
    </w:p>
    <w:p>
      <w:pPr>
        <w:jc w:val="both"/>
        <w:ind w:left="1" w:firstLine="2517"/>
        <w:spacing w:after="0" w:line="233" w:lineRule="auto"/>
        <w:tabs>
          <w:tab w:leader="none" w:pos="2986" w:val="left"/>
        </w:tabs>
        <w:numPr>
          <w:ilvl w:val="2"/>
          <w:numId w:val="76"/>
        </w:numPr>
        <w:rPr>
          <w:rFonts w:ascii="Arial" w:cs="Arial" w:eastAsia="Arial" w:hAnsi="Arial"/>
          <w:sz w:val="20"/>
          <w:szCs w:val="20"/>
          <w:b w:val="1"/>
          <w:bCs w:val="1"/>
          <w:color w:val="auto"/>
        </w:rPr>
      </w:pPr>
      <w:r>
        <w:rPr>
          <w:rFonts w:ascii="Arial" w:cs="Arial" w:eastAsia="Arial" w:hAnsi="Arial"/>
          <w:sz w:val="20"/>
          <w:szCs w:val="20"/>
          <w:color w:val="auto"/>
        </w:rPr>
        <w:t>The Company shall pay Executive, as severance, a lump sum in cash in an amount equal to 1.5 times the sum of (A) Executive’s then current Base Salary (or Executive’s Base Salary in effect immediately prior to the Change of Control, if higher) plus (B) Executive’s Annual Bonus for the then-current year (or Executive’s Annual Bonus in effect immediately prior to the Change of Control, if higher) (the “</w:t>
      </w:r>
      <w:r>
        <w:rPr>
          <w:rFonts w:ascii="Arial" w:cs="Arial" w:eastAsia="Arial" w:hAnsi="Arial"/>
          <w:sz w:val="20"/>
          <w:szCs w:val="20"/>
          <w:b w:val="1"/>
          <w:bCs w:val="1"/>
          <w:color w:val="auto"/>
        </w:rPr>
        <w:t>Change of Control Severance</w:t>
      </w:r>
      <w:r>
        <w:rPr>
          <w:rFonts w:ascii="Arial" w:cs="Arial" w:eastAsia="Arial" w:hAnsi="Arial"/>
          <w:sz w:val="20"/>
          <w:szCs w:val="20"/>
          <w:color w:val="auto"/>
        </w:rPr>
        <w:t>”).</w:t>
      </w:r>
    </w:p>
    <w:p>
      <w:pPr>
        <w:spacing w:after="0" w:line="182" w:lineRule="exact"/>
        <w:rPr>
          <w:rFonts w:ascii="Arial" w:cs="Arial" w:eastAsia="Arial" w:hAnsi="Arial"/>
          <w:sz w:val="20"/>
          <w:szCs w:val="20"/>
          <w:b w:val="1"/>
          <w:bCs w:val="1"/>
          <w:color w:val="auto"/>
        </w:rPr>
      </w:pPr>
    </w:p>
    <w:p>
      <w:pPr>
        <w:jc w:val="both"/>
        <w:ind w:left="1" w:firstLine="2517"/>
        <w:spacing w:after="0" w:line="250" w:lineRule="auto"/>
        <w:tabs>
          <w:tab w:leader="none" w:pos="3063" w:val="left"/>
        </w:tabs>
        <w:numPr>
          <w:ilvl w:val="2"/>
          <w:numId w:val="76"/>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any applicable option agreement or other stock-based award agreement, all time-based stock options and other stock-based awards subject to time-based vesting held by Executive (the “</w:t>
      </w:r>
      <w:r>
        <w:rPr>
          <w:rFonts w:ascii="Arial" w:cs="Arial" w:eastAsia="Arial" w:hAnsi="Arial"/>
          <w:sz w:val="18"/>
          <w:szCs w:val="18"/>
          <w:b w:val="1"/>
          <w:bCs w:val="1"/>
          <w:color w:val="auto"/>
        </w:rPr>
        <w:t>Time-Based Equity Awards</w:t>
      </w:r>
      <w:r>
        <w:rPr>
          <w:rFonts w:ascii="Arial" w:cs="Arial" w:eastAsia="Arial" w:hAnsi="Arial"/>
          <w:sz w:val="18"/>
          <w:szCs w:val="18"/>
          <w:color w:val="auto"/>
        </w:rPr>
        <w:t>”) shall immediately accelerate and become fully exercisable or nonforfeitable as of the later of</w:t>
      </w:r>
    </w:p>
    <w:p>
      <w:pPr>
        <w:jc w:val="both"/>
        <w:ind w:left="1" w:hanging="1"/>
        <w:spacing w:after="0" w:line="214" w:lineRule="auto"/>
        <w:tabs>
          <w:tab w:leader="none" w:pos="277"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date of termination or (ii) the effective date of the Separation Agreement (as defined below) (the “</w:t>
      </w:r>
      <w:r>
        <w:rPr>
          <w:rFonts w:ascii="Arial" w:cs="Arial" w:eastAsia="Arial" w:hAnsi="Arial"/>
          <w:sz w:val="21"/>
          <w:szCs w:val="21"/>
          <w:b w:val="1"/>
          <w:bCs w:val="1"/>
          <w:color w:val="auto"/>
        </w:rPr>
        <w:t>Accelerated Vesting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any termination or forfeiture of the unvested portion of such Time-Based Equity Awards that would</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occur on the date of termination in the absence of this Agreement will be delayed until the effective date of the Separation Agreement and will only occur if the vesting pursuant to this subsection does not occur due to the absence of the Separation Agreement becoming fully effective within the time period set forth therein. Notwithstanding the foregoing, no additional vesting of the Time-Based Equity Awards shall occur during the period between Executive’s date of termination and the Accelerated Vesting Date.</w:t>
      </w:r>
    </w:p>
    <w:p>
      <w:pPr>
        <w:spacing w:after="0" w:line="258" w:lineRule="exact"/>
        <w:rPr>
          <w:rFonts w:ascii="Arial" w:cs="Arial" w:eastAsia="Arial" w:hAnsi="Arial"/>
          <w:sz w:val="21"/>
          <w:szCs w:val="21"/>
          <w:color w:val="auto"/>
        </w:rPr>
      </w:pPr>
    </w:p>
    <w:p>
      <w:pPr>
        <w:jc w:val="both"/>
        <w:ind w:left="1" w:firstLine="2517"/>
        <w:spacing w:after="0" w:line="234" w:lineRule="auto"/>
        <w:tabs>
          <w:tab w:leader="none" w:pos="3040" w:val="left"/>
        </w:tabs>
        <w:numPr>
          <w:ilvl w:val="2"/>
          <w:numId w:val="77"/>
        </w:numPr>
        <w:rPr>
          <w:rFonts w:ascii="Arial" w:cs="Arial" w:eastAsia="Arial" w:hAnsi="Arial"/>
          <w:sz w:val="19"/>
          <w:szCs w:val="19"/>
          <w:b w:val="1"/>
          <w:bCs w:val="1"/>
          <w:color w:val="auto"/>
        </w:rPr>
      </w:pPr>
      <w:r>
        <w:rPr>
          <w:rFonts w:ascii="Arial" w:cs="Arial" w:eastAsia="Arial" w:hAnsi="Arial"/>
          <w:sz w:val="19"/>
          <w:szCs w:val="19"/>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Arial" w:cs="Arial" w:eastAsia="Arial" w:hAnsi="Arial"/>
          <w:sz w:val="19"/>
          <w:szCs w:val="19"/>
          <w:b w:val="1"/>
          <w:bCs w:val="1"/>
          <w:color w:val="auto"/>
        </w:rPr>
        <w:t>COC</w:t>
      </w:r>
      <w:r>
        <w:rPr>
          <w:rFonts w:ascii="Arial" w:cs="Arial" w:eastAsia="Arial" w:hAnsi="Arial"/>
          <w:sz w:val="19"/>
          <w:szCs w:val="19"/>
          <w:color w:val="auto"/>
        </w:rPr>
        <w:t xml:space="preserve"> </w:t>
      </w:r>
      <w:r>
        <w:rPr>
          <w:rFonts w:ascii="Arial" w:cs="Arial" w:eastAsia="Arial" w:hAnsi="Arial"/>
          <w:sz w:val="19"/>
          <w:szCs w:val="19"/>
          <w:b w:val="1"/>
          <w:bCs w:val="1"/>
          <w:color w:val="auto"/>
        </w:rPr>
        <w:t>COBRA Premiums</w:t>
      </w:r>
      <w:r>
        <w:rPr>
          <w:rFonts w:ascii="Arial" w:cs="Arial" w:eastAsia="Arial" w:hAnsi="Arial"/>
          <w:sz w:val="19"/>
          <w:szCs w:val="19"/>
          <w:color w:val="auto"/>
        </w:rPr>
        <w:t>”) through the period (the “</w:t>
      </w:r>
      <w:r>
        <w:rPr>
          <w:rFonts w:ascii="Arial" w:cs="Arial" w:eastAsia="Arial" w:hAnsi="Arial"/>
          <w:sz w:val="19"/>
          <w:szCs w:val="19"/>
          <w:b w:val="1"/>
          <w:bCs w:val="1"/>
          <w:color w:val="auto"/>
        </w:rPr>
        <w:t>COC COBRA Premium Period</w:t>
      </w:r>
      <w:r>
        <w:rPr>
          <w:rFonts w:ascii="Arial" w:cs="Arial" w:eastAsia="Arial" w:hAnsi="Arial"/>
          <w:sz w:val="19"/>
          <w:szCs w:val="19"/>
          <w:color w:val="auto"/>
        </w:rPr>
        <w:t>”) starting on Executive’s date of termination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ending on the earliest to occur of: (i) the 18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COC COBRA Premium Period, Executive must immediately notify the Company of such event. Notwithstanding the foregoing, if the Company determines, in its sole discretion, that it cannot pay the COC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Arial" w:cs="Arial" w:eastAsia="Arial" w:hAnsi="Arial"/>
          <w:sz w:val="19"/>
          <w:szCs w:val="19"/>
          <w:b w:val="1"/>
          <w:bCs w:val="1"/>
          <w:color w:val="auto"/>
        </w:rPr>
        <w:t>COC Special Cash Payment</w:t>
      </w:r>
      <w:r>
        <w:rPr>
          <w:rFonts w:ascii="Arial" w:cs="Arial" w:eastAsia="Arial" w:hAnsi="Arial"/>
          <w:sz w:val="19"/>
          <w:szCs w:val="19"/>
          <w:color w:val="auto"/>
        </w:rPr>
        <w:t>”), for the remainder of the COC COBRA Premium Period. Executive may, but is not obligated to, use such COC Special Cash Payments toward the cost of COBRA premiums.</w:t>
      </w:r>
    </w:p>
    <w:p>
      <w:pPr>
        <w:sectPr>
          <w:pgSz w:w="11900" w:h="16838" w:orient="portrait"/>
          <w:cols w:equalWidth="0" w:num="1">
            <w:col w:w="11061"/>
          </w:cols>
          <w:pgMar w:left="419" w:top="1351" w:right="419" w:bottom="1440" w:gutter="0" w:footer="0" w:header="0"/>
        </w:sectPr>
      </w:pPr>
    </w:p>
    <w:bookmarkStart w:id="172" w:name="page173"/>
    <w:bookmarkEnd w:id="172"/>
    <w:p>
      <w:pPr>
        <w:spacing w:after="0" w:line="147" w:lineRule="exact"/>
        <w:rPr>
          <w:sz w:val="20"/>
          <w:szCs w:val="20"/>
          <w:color w:val="auto"/>
        </w:rPr>
      </w:pPr>
    </w:p>
    <w:p>
      <w:pPr>
        <w:jc w:val="both"/>
        <w:ind w:left="-1020" w:right="20" w:firstLine="1887"/>
        <w:spacing w:after="0" w:line="219" w:lineRule="auto"/>
        <w:tabs>
          <w:tab w:leader="none" w:pos="1458" w:val="left"/>
        </w:tabs>
        <w:numPr>
          <w:ilvl w:val="0"/>
          <w:numId w:val="78"/>
        </w:numPr>
        <w:rPr>
          <w:rFonts w:ascii="Arial" w:cs="Arial" w:eastAsia="Arial" w:hAnsi="Arial"/>
          <w:sz w:val="21"/>
          <w:szCs w:val="21"/>
          <w:b w:val="1"/>
          <w:bCs w:val="1"/>
          <w:color w:val="auto"/>
        </w:rPr>
      </w:pPr>
      <w:r>
        <w:rPr>
          <w:rFonts w:ascii="Arial" w:cs="Arial" w:eastAsia="Arial" w:hAnsi="Arial"/>
          <w:sz w:val="21"/>
          <w:szCs w:val="21"/>
          <w:color w:val="auto"/>
        </w:rPr>
        <w:t xml:space="preserve">The amounts payable under this Section 5.3, to the extent taxable, shall be paid or commence to be paid within 60 days after the date of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90" w:lineRule="exact"/>
        <w:rPr>
          <w:rFonts w:ascii="Arial" w:cs="Arial" w:eastAsia="Arial" w:hAnsi="Arial"/>
          <w:sz w:val="21"/>
          <w:szCs w:val="21"/>
          <w:b w:val="1"/>
          <w:bCs w:val="1"/>
          <w:color w:val="auto"/>
        </w:rPr>
      </w:pPr>
    </w:p>
    <w:p>
      <w:pPr>
        <w:ind w:left="1360" w:hanging="492"/>
        <w:spacing w:after="0"/>
        <w:tabs>
          <w:tab w:leader="none" w:pos="136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Limitation.</w:t>
      </w:r>
    </w:p>
    <w:p>
      <w:pPr>
        <w:spacing w:after="0" w:line="210" w:lineRule="exact"/>
        <w:rPr>
          <w:rFonts w:ascii="Arial" w:cs="Arial" w:eastAsia="Arial" w:hAnsi="Arial"/>
          <w:sz w:val="21"/>
          <w:szCs w:val="21"/>
          <w:b w:val="1"/>
          <w:bCs w:val="1"/>
          <w:color w:val="auto"/>
        </w:rPr>
      </w:pPr>
    </w:p>
    <w:p>
      <w:pPr>
        <w:jc w:val="both"/>
        <w:ind w:left="-1020" w:firstLine="2517"/>
        <w:spacing w:after="0" w:line="234" w:lineRule="auto"/>
        <w:tabs>
          <w:tab w:leader="none" w:pos="1952" w:val="left"/>
        </w:tabs>
        <w:numPr>
          <w:ilvl w:val="1"/>
          <w:numId w:val="78"/>
        </w:numPr>
        <w:rPr>
          <w:rFonts w:ascii="Arial" w:cs="Arial" w:eastAsia="Arial" w:hAnsi="Arial"/>
          <w:sz w:val="19"/>
          <w:szCs w:val="19"/>
          <w:b w:val="1"/>
          <w:bCs w:val="1"/>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9"/>
          <w:szCs w:val="19"/>
          <w:b w:val="1"/>
          <w:bCs w:val="1"/>
          <w:color w:val="auto"/>
        </w:rPr>
        <w:t>Aggregate Payments</w:t>
      </w:r>
      <w:r>
        <w:rPr>
          <w:rFonts w:ascii="Arial" w:cs="Arial" w:eastAsia="Arial" w:hAnsi="Arial"/>
          <w:sz w:val="19"/>
          <w:szCs w:val="19"/>
          <w:color w:val="auto"/>
        </w:rPr>
        <w:t xml:space="preserve">”),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98" w:lineRule="exact"/>
        <w:rPr>
          <w:rFonts w:ascii="Arial" w:cs="Arial" w:eastAsia="Arial" w:hAnsi="Arial"/>
          <w:sz w:val="19"/>
          <w:szCs w:val="19"/>
          <w:b w:val="1"/>
          <w:bCs w:val="1"/>
          <w:color w:val="auto"/>
        </w:rPr>
      </w:pPr>
    </w:p>
    <w:p>
      <w:pPr>
        <w:jc w:val="both"/>
        <w:ind w:left="-1020" w:firstLine="2517"/>
        <w:spacing w:after="0" w:line="217" w:lineRule="auto"/>
        <w:tabs>
          <w:tab w:leader="none" w:pos="2121" w:val="left"/>
        </w:tabs>
        <w:numPr>
          <w:ilvl w:val="1"/>
          <w:numId w:val="78"/>
        </w:numPr>
        <w:rPr>
          <w:rFonts w:ascii="Arial" w:cs="Arial" w:eastAsia="Arial" w:hAnsi="Arial"/>
          <w:sz w:val="21"/>
          <w:szCs w:val="21"/>
          <w:b w:val="1"/>
          <w:bCs w:val="1"/>
          <w:color w:val="auto"/>
        </w:rPr>
      </w:pPr>
      <w:r>
        <w:rPr>
          <w:rFonts w:ascii="Arial" w:cs="Arial" w:eastAsia="Arial" w:hAnsi="Arial"/>
          <w:sz w:val="21"/>
          <w:szCs w:val="21"/>
          <w:color w:val="auto"/>
        </w:rPr>
        <w:t>For purposes of this Section 5.3(iv), the “</w:t>
      </w:r>
      <w:r>
        <w:rPr>
          <w:rFonts w:ascii="Arial" w:cs="Arial" w:eastAsia="Arial" w:hAnsi="Arial"/>
          <w:sz w:val="21"/>
          <w:szCs w:val="21"/>
          <w:b w:val="1"/>
          <w:bCs w:val="1"/>
          <w:color w:val="auto"/>
        </w:rPr>
        <w:t>After Tax Amount</w:t>
      </w:r>
      <w:r>
        <w:rPr>
          <w:rFonts w:ascii="Arial" w:cs="Arial" w:eastAsia="Arial" w:hAnsi="Arial"/>
          <w:sz w:val="21"/>
          <w:szCs w:val="21"/>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2" w:lineRule="exact"/>
        <w:rPr>
          <w:rFonts w:ascii="Arial" w:cs="Arial" w:eastAsia="Arial" w:hAnsi="Arial"/>
          <w:sz w:val="21"/>
          <w:szCs w:val="21"/>
          <w:b w:val="1"/>
          <w:bCs w:val="1"/>
          <w:color w:val="auto"/>
        </w:rPr>
      </w:pPr>
    </w:p>
    <w:p>
      <w:pPr>
        <w:jc w:val="both"/>
        <w:ind w:left="-1020" w:firstLine="2517"/>
        <w:spacing w:after="0" w:line="219" w:lineRule="auto"/>
        <w:tabs>
          <w:tab w:leader="none" w:pos="1953" w:val="left"/>
        </w:tabs>
        <w:numPr>
          <w:ilvl w:val="1"/>
          <w:numId w:val="78"/>
        </w:numPr>
        <w:rPr>
          <w:rFonts w:ascii="Arial" w:cs="Arial" w:eastAsia="Arial" w:hAnsi="Arial"/>
          <w:sz w:val="21"/>
          <w:szCs w:val="21"/>
          <w:b w:val="1"/>
          <w:bCs w:val="1"/>
          <w:color w:val="auto"/>
        </w:rPr>
      </w:pPr>
      <w:r>
        <w:rPr>
          <w:rFonts w:ascii="Arial" w:cs="Arial" w:eastAsia="Arial" w:hAnsi="Arial"/>
          <w:sz w:val="21"/>
          <w:szCs w:val="21"/>
          <w:color w:val="auto"/>
        </w:rPr>
        <w:t>The determination as to whether a reduction in the Aggregate Payments shall be made pursuant to Section 5.3(iv)(a) shall be made by a nationally recognized accounting firm selected by the Company (the “</w:t>
      </w:r>
      <w:r>
        <w:rPr>
          <w:rFonts w:ascii="Arial" w:cs="Arial" w:eastAsia="Arial" w:hAnsi="Arial"/>
          <w:sz w:val="21"/>
          <w:szCs w:val="21"/>
          <w:b w:val="1"/>
          <w:bCs w:val="1"/>
          <w:color w:val="auto"/>
        </w:rPr>
        <w:t>Accounting Firm</w:t>
      </w:r>
      <w:r>
        <w:rPr>
          <w:rFonts w:ascii="Arial" w:cs="Arial" w:eastAsia="Arial" w:hAnsi="Arial"/>
          <w:sz w:val="21"/>
          <w:szCs w:val="21"/>
          <w:color w:val="auto"/>
        </w:rPr>
        <w:t>”), which shall provide detailed supporting calculations both to the Company and Executive within 15 business days of the date of termination, if applicable, or at such earlier time as is reasonably requested by the Company or Executive. Any determination by the Accounting Firm shall be binding upon the Company and Executive.</w:t>
      </w:r>
    </w:p>
    <w:p>
      <w:pPr>
        <w:sectPr>
          <w:pgSz w:w="11900" w:h="16838" w:orient="portrait"/>
          <w:cols w:equalWidth="0" w:num="1">
            <w:col w:w="10040"/>
          </w:cols>
          <w:pgMar w:left="1440" w:top="1440" w:right="419" w:bottom="1440" w:gutter="0" w:footer="0" w:header="0"/>
        </w:sectPr>
      </w:pPr>
    </w:p>
    <w:bookmarkStart w:id="173" w:name="page174"/>
    <w:bookmarkEnd w:id="173"/>
    <w:p>
      <w:pPr>
        <w:ind w:left="1261"/>
        <w:spacing w:after="0"/>
        <w:tabs>
          <w:tab w:leader="none" w:pos="1700" w:val="left"/>
        </w:tabs>
        <w:rPr>
          <w:sz w:val="20"/>
          <w:szCs w:val="20"/>
          <w:color w:val="auto"/>
        </w:rPr>
      </w:pPr>
      <w:r>
        <w:rPr>
          <w:rFonts w:ascii="Arial" w:cs="Arial" w:eastAsia="Arial" w:hAnsi="Arial"/>
          <w:sz w:val="21"/>
          <w:szCs w:val="21"/>
          <w:b w:val="1"/>
          <w:bCs w:val="1"/>
          <w:color w:val="auto"/>
        </w:rPr>
        <w:t>6.4</w:t>
      </w:r>
      <w:r>
        <w:rPr>
          <w:sz w:val="20"/>
          <w:szCs w:val="20"/>
          <w:color w:val="auto"/>
        </w:rPr>
        <w:tab/>
      </w:r>
      <w:r>
        <w:rPr>
          <w:rFonts w:ascii="Arial" w:cs="Arial" w:eastAsia="Arial" w:hAnsi="Arial"/>
          <w:sz w:val="18"/>
          <w:szCs w:val="18"/>
          <w:b w:val="1"/>
          <w:bCs w:val="1"/>
          <w:color w:val="auto"/>
        </w:rPr>
        <w:t>Termination for Cause; Resignation without Good Reason; Death</w:t>
      </w:r>
    </w:p>
    <w:p>
      <w:pPr>
        <w:ind w:left="1"/>
        <w:spacing w:after="0"/>
        <w:rPr>
          <w:sz w:val="20"/>
          <w:szCs w:val="20"/>
          <w:color w:val="auto"/>
        </w:rPr>
      </w:pPr>
      <w:r>
        <w:rPr>
          <w:rFonts w:ascii="Arial" w:cs="Arial" w:eastAsia="Arial" w:hAnsi="Arial"/>
          <w:sz w:val="21"/>
          <w:szCs w:val="21"/>
          <w:b w:val="1"/>
          <w:bCs w:val="1"/>
          <w:color w:val="auto"/>
        </w:rPr>
        <w:t>or Disability.</w:t>
      </w:r>
    </w:p>
    <w:p>
      <w:pPr>
        <w:spacing w:after="0" w:line="186" w:lineRule="exact"/>
        <w:rPr>
          <w:sz w:val="20"/>
          <w:szCs w:val="20"/>
          <w:color w:val="auto"/>
        </w:rPr>
      </w:pPr>
    </w:p>
    <w:p>
      <w:pPr>
        <w:ind w:left="2301" w:hanging="412"/>
        <w:spacing w:after="0"/>
        <w:tabs>
          <w:tab w:leader="none" w:pos="2301" w:val="left"/>
        </w:tabs>
        <w:numPr>
          <w:ilvl w:val="0"/>
          <w:numId w:val="79"/>
        </w:numPr>
        <w:rPr>
          <w:rFonts w:ascii="Arial" w:cs="Arial" w:eastAsia="Arial" w:hAnsi="Arial"/>
          <w:sz w:val="21"/>
          <w:szCs w:val="21"/>
          <w:b w:val="1"/>
          <w:bCs w:val="1"/>
          <w:color w:val="auto"/>
        </w:rPr>
      </w:pPr>
      <w:r>
        <w:rPr>
          <w:rFonts w:ascii="Arial" w:cs="Arial" w:eastAsia="Arial" w:hAnsi="Arial"/>
          <w:sz w:val="21"/>
          <w:szCs w:val="21"/>
          <w:color w:val="auto"/>
        </w:rPr>
        <w:t>The Company may terminate Executive’s employment with</w:t>
      </w:r>
    </w:p>
    <w:p>
      <w:pPr>
        <w:ind w:left="1" w:right="20"/>
        <w:spacing w:after="0" w:line="239" w:lineRule="auto"/>
        <w:rPr>
          <w:sz w:val="20"/>
          <w:szCs w:val="20"/>
          <w:color w:val="auto"/>
        </w:rPr>
      </w:pPr>
      <w:r>
        <w:rPr>
          <w:rFonts w:ascii="Arial" w:cs="Arial" w:eastAsia="Arial" w:hAnsi="Arial"/>
          <w:sz w:val="20"/>
          <w:szCs w:val="20"/>
          <w:color w:val="auto"/>
        </w:rPr>
        <w:t>the Company at any time for Cause. Further, Executive may resign at any time for any reason other than Good Reason. Executive’s employment with the Company may also be terminated due to Executive’s death or Disability (as defined below).</w:t>
      </w:r>
    </w:p>
    <w:p>
      <w:pPr>
        <w:spacing w:after="0" w:line="180" w:lineRule="exact"/>
        <w:rPr>
          <w:sz w:val="20"/>
          <w:szCs w:val="20"/>
          <w:color w:val="auto"/>
        </w:rPr>
      </w:pPr>
    </w:p>
    <w:p>
      <w:pPr>
        <w:ind w:left="1" w:right="20" w:firstLine="1887"/>
        <w:spacing w:after="0" w:line="217" w:lineRule="auto"/>
        <w:tabs>
          <w:tab w:leader="none" w:pos="2434" w:val="left"/>
        </w:tabs>
        <w:numPr>
          <w:ilvl w:val="2"/>
          <w:numId w:val="80"/>
        </w:numPr>
        <w:rPr>
          <w:rFonts w:ascii="Arial" w:cs="Arial" w:eastAsia="Arial" w:hAnsi="Arial"/>
          <w:sz w:val="21"/>
          <w:szCs w:val="21"/>
          <w:b w:val="1"/>
          <w:bCs w:val="1"/>
          <w:color w:val="auto"/>
        </w:rPr>
      </w:pPr>
      <w:r>
        <w:rPr>
          <w:rFonts w:ascii="Arial" w:cs="Arial" w:eastAsia="Arial" w:hAnsi="Arial"/>
          <w:sz w:val="21"/>
          <w:szCs w:val="21"/>
          <w:color w:val="auto"/>
        </w:rPr>
        <w:t>If Executive resigns without Good Reason, or the Company terminates Executive’s employment for Cause, or upon Executive’s death or Disability, then</w:t>
      </w:r>
    </w:p>
    <w:p>
      <w:pPr>
        <w:jc w:val="both"/>
        <w:ind w:left="1" w:hanging="1"/>
        <w:spacing w:after="0" w:line="221" w:lineRule="auto"/>
        <w:tabs>
          <w:tab w:leader="none" w:pos="289" w:val="left"/>
        </w:tabs>
        <w:numPr>
          <w:ilvl w:val="0"/>
          <w:numId w:val="81"/>
        </w:numPr>
        <w:rPr>
          <w:rFonts w:ascii="Arial" w:cs="Arial" w:eastAsia="Arial" w:hAnsi="Arial"/>
          <w:sz w:val="21"/>
          <w:szCs w:val="21"/>
          <w:color w:val="auto"/>
        </w:rPr>
      </w:pPr>
      <w:r>
        <w:rPr>
          <w:rFonts w:ascii="Arial" w:cs="Arial" w:eastAsia="Arial" w:hAnsi="Arial"/>
          <w:sz w:val="21"/>
          <w:szCs w:val="21"/>
          <w:color w:val="auto"/>
        </w:rPr>
        <w:t>all payments of compensation by the Company to Executive hereunder will terminate immediately (except as to amounts already earned), and (ii) Executive will not be entitled to any severance benefits, including (without limitation) the Severance, COBRA Premiums, the Change of Control Severance or the COC COBRA Premiums.</w:t>
      </w:r>
    </w:p>
    <w:p>
      <w:pPr>
        <w:spacing w:after="0" w:line="187" w:lineRule="exact"/>
        <w:rPr>
          <w:rFonts w:ascii="Arial" w:cs="Arial" w:eastAsia="Arial" w:hAnsi="Arial"/>
          <w:sz w:val="21"/>
          <w:szCs w:val="21"/>
          <w:color w:val="auto"/>
        </w:rPr>
      </w:pPr>
    </w:p>
    <w:p>
      <w:pPr>
        <w:jc w:val="both"/>
        <w:ind w:left="1" w:right="20" w:firstLine="628"/>
        <w:spacing w:after="0" w:line="224" w:lineRule="auto"/>
        <w:tabs>
          <w:tab w:leader="none" w:pos="1043" w:val="left"/>
        </w:tabs>
        <w:numPr>
          <w:ilvl w:val="1"/>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Conditions to Receipt of Severance, COBRA Premiums, Special Cash Payments and Vesting Acceleration.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of the payments and benefits described in Section 5.2 and Section 5.3 will be subject to subject to (i) Executive signing a separation agreement and release in a form and manner satisfactory to the Company, which shall include, without limitation, a general release of claims against the Company and all related persons and entities and, in the Company’s sole discretion, a one-year post-employment noncompetition agreement (the “</w:t>
      </w:r>
      <w:r>
        <w:rPr>
          <w:rFonts w:ascii="Arial" w:cs="Arial" w:eastAsia="Arial" w:hAnsi="Arial"/>
          <w:sz w:val="20"/>
          <w:szCs w:val="20"/>
          <w:b w:val="1"/>
          <w:bCs w:val="1"/>
          <w:color w:val="auto"/>
        </w:rPr>
        <w:t>Separation Agreement”</w:t>
      </w:r>
      <w:r>
        <w:rPr>
          <w:rFonts w:ascii="Arial" w:cs="Arial" w:eastAsia="Arial" w:hAnsi="Arial"/>
          <w:sz w:val="20"/>
          <w:szCs w:val="20"/>
          <w:color w:val="auto"/>
        </w:rPr>
        <w:t>) and (ii) the Separation Agreement becoming irrevocable, all within 60 days after the date of termination (or such shorter period as set forth in the Separation Agreement), which shall include a seven business day revocation period. No amounts will be paid or provided under Section 5.2 or Section 5.3 until the Separation Agreement becomes effective. Executive shall be deemed to have resigned from all officer and board member positions that the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82" w:lineRule="exact"/>
        <w:rPr>
          <w:rFonts w:ascii="Arial" w:cs="Arial" w:eastAsia="Arial" w:hAnsi="Arial"/>
          <w:sz w:val="20"/>
          <w:szCs w:val="20"/>
          <w:b w:val="1"/>
          <w:bCs w:val="1"/>
          <w:color w:val="auto"/>
        </w:rPr>
      </w:pPr>
    </w:p>
    <w:p>
      <w:pPr>
        <w:ind w:left="1001" w:hanging="372"/>
        <w:spacing w:after="0"/>
        <w:tabs>
          <w:tab w:leader="none" w:pos="1001" w:val="left"/>
        </w:tabs>
        <w:numPr>
          <w:ilvl w:val="1"/>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Section 409A.</w:t>
      </w:r>
    </w:p>
    <w:p>
      <w:pPr>
        <w:spacing w:after="0" w:line="217" w:lineRule="exact"/>
        <w:rPr>
          <w:sz w:val="20"/>
          <w:szCs w:val="20"/>
          <w:color w:val="auto"/>
        </w:rPr>
      </w:pPr>
    </w:p>
    <w:p>
      <w:pPr>
        <w:jc w:val="both"/>
        <w:ind w:left="1" w:firstLine="1258"/>
        <w:spacing w:after="0" w:line="237"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color w:val="auto"/>
        </w:rPr>
        <w:t>Anything in this Agreement to the contrary notwithstanding, if at the time of Executive’s separation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 month period but for the application of this provision, and the balance of the installments shall be payable in accordance with their original schedule.</w:t>
      </w:r>
    </w:p>
    <w:p>
      <w:pPr>
        <w:sectPr>
          <w:pgSz w:w="11900" w:h="16838" w:orient="portrait"/>
          <w:cols w:equalWidth="0" w:num="1">
            <w:col w:w="11061"/>
          </w:cols>
          <w:pgMar w:left="419" w:top="1258" w:right="419" w:bottom="1440" w:gutter="0" w:footer="0" w:header="0"/>
        </w:sectPr>
      </w:pPr>
    </w:p>
    <w:bookmarkStart w:id="174" w:name="page175"/>
    <w:bookmarkEnd w:id="174"/>
    <w:p>
      <w:pPr>
        <w:jc w:val="both"/>
        <w:ind w:firstLine="1258"/>
        <w:spacing w:after="0"/>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color w:val="auto"/>
        </w:rPr>
        <w:t>All in-kind benefits provided and expenses eligible for reimbursement under this Agreement shall be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8" w:lineRule="exact"/>
        <w:rPr>
          <w:sz w:val="20"/>
          <w:szCs w:val="20"/>
          <w:color w:val="auto"/>
        </w:rPr>
      </w:pPr>
    </w:p>
    <w:p>
      <w:pPr>
        <w:jc w:val="both"/>
        <w:ind w:right="20" w:firstLine="1258"/>
        <w:spacing w:after="0" w:line="221" w:lineRule="auto"/>
        <w:rPr>
          <w:sz w:val="20"/>
          <w:szCs w:val="20"/>
          <w:color w:val="auto"/>
        </w:rPr>
      </w:pPr>
      <w:r>
        <w:rPr>
          <w:rFonts w:ascii="Arial" w:cs="Arial" w:eastAsia="Arial" w:hAnsi="Arial"/>
          <w:sz w:val="21"/>
          <w:szCs w:val="21"/>
          <w:b w:val="1"/>
          <w:bCs w:val="1"/>
          <w:color w:val="auto"/>
        </w:rPr>
        <w:t xml:space="preserve">8.3 </w:t>
      </w:r>
      <w:r>
        <w:rPr>
          <w:rFonts w:ascii="Arial" w:cs="Arial" w:eastAsia="Arial" w:hAnsi="Arial"/>
          <w:sz w:val="21"/>
          <w:szCs w:val="21"/>
          <w:color w:val="auto"/>
        </w:rPr>
        <w:t>To the extent that any payment or benefit described in this Agreement constitutes “non-qualified deferred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186" w:lineRule="exact"/>
        <w:rPr>
          <w:sz w:val="20"/>
          <w:szCs w:val="20"/>
          <w:color w:val="auto"/>
        </w:rPr>
      </w:pPr>
    </w:p>
    <w:p>
      <w:pPr>
        <w:jc w:val="both"/>
        <w:ind w:firstLine="1258"/>
        <w:spacing w:after="0" w:line="228" w:lineRule="auto"/>
        <w:rPr>
          <w:sz w:val="20"/>
          <w:szCs w:val="20"/>
          <w:color w:val="auto"/>
        </w:rPr>
      </w:pPr>
      <w:r>
        <w:rPr>
          <w:rFonts w:ascii="Arial" w:cs="Arial" w:eastAsia="Arial" w:hAnsi="Arial"/>
          <w:sz w:val="20"/>
          <w:szCs w:val="20"/>
          <w:b w:val="1"/>
          <w:bCs w:val="1"/>
          <w:color w:val="auto"/>
        </w:rPr>
        <w:t xml:space="preserve">8.4 </w:t>
      </w:r>
      <w:r>
        <w:rPr>
          <w:rFonts w:ascii="Arial" w:cs="Arial" w:eastAsia="Arial" w:hAnsi="Arial"/>
          <w:sz w:val="20"/>
          <w:szCs w:val="20"/>
          <w:color w:val="auto"/>
        </w:rPr>
        <w:t>The parties intend that this Agreement will be administered in accordance with Section 409A of the Code.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54"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8.5 </w:t>
      </w:r>
      <w:r>
        <w:rPr>
          <w:rFonts w:ascii="Arial" w:cs="Arial" w:eastAsia="Arial" w:hAnsi="Arial"/>
          <w:sz w:val="21"/>
          <w:szCs w:val="21"/>
          <w:color w:val="auto"/>
        </w:rPr>
        <w:t>The Company makes no representation or warranty and shall have no liability to Executive or any other person</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provisions of this Agreement are determined to constitute deferred compensation subject to Section 409A of the Code but do not satisfy an exemption from, or the conditions of, such Section.</w:t>
      </w:r>
    </w:p>
    <w:p>
      <w:pPr>
        <w:spacing w:after="0" w:line="174"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9.</w:t>
      </w:r>
      <w:r>
        <w:rPr>
          <w:sz w:val="20"/>
          <w:szCs w:val="20"/>
          <w:color w:val="auto"/>
        </w:rPr>
        <w:tab/>
      </w:r>
      <w:r>
        <w:rPr>
          <w:rFonts w:ascii="Arial" w:cs="Arial" w:eastAsia="Arial" w:hAnsi="Arial"/>
          <w:sz w:val="18"/>
          <w:szCs w:val="18"/>
          <w:b w:val="1"/>
          <w:bCs w:val="1"/>
          <w:color w:val="auto"/>
        </w:rPr>
        <w:t>Definitions.</w:t>
      </w:r>
    </w:p>
    <w:p>
      <w:pPr>
        <w:spacing w:after="0" w:line="204" w:lineRule="exact"/>
        <w:rPr>
          <w:sz w:val="20"/>
          <w:szCs w:val="20"/>
          <w:color w:val="auto"/>
        </w:rPr>
      </w:pPr>
    </w:p>
    <w:p>
      <w:pPr>
        <w:jc w:val="both"/>
        <w:ind w:right="20" w:firstLine="1258"/>
        <w:spacing w:after="0" w:line="226" w:lineRule="auto"/>
        <w:rPr>
          <w:sz w:val="20"/>
          <w:szCs w:val="20"/>
          <w:color w:val="auto"/>
        </w:rPr>
      </w:pPr>
      <w:r>
        <w:rPr>
          <w:rFonts w:ascii="Arial" w:cs="Arial" w:eastAsia="Arial" w:hAnsi="Arial"/>
          <w:sz w:val="20"/>
          <w:szCs w:val="20"/>
          <w:b w:val="1"/>
          <w:bCs w:val="1"/>
          <w:color w:val="auto"/>
        </w:rPr>
        <w:t>9.1 Cause</w:t>
      </w:r>
      <w:r>
        <w:rPr>
          <w:rFonts w:ascii="Arial" w:cs="Arial" w:eastAsia="Arial" w:hAnsi="Arial"/>
          <w:sz w:val="20"/>
          <w:szCs w:val="20"/>
          <w:color w:val="auto"/>
        </w:rPr>
        <w:t>. 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will mean: (a) conviction of or please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any felony or any crime involving dishonesty; (b) participation in any fraud against the Company; (c) material breach of any Company’s policy or procedure after written notice from the Company and a reasonable period of not less than twenty-one (21) calendar days in which to cure such breach (if deemed curable); (d) persistent failure or refusal to perform Executive’s job duties after written notice from the Company and a reasonable period of not less than twenty-one (21) calendar days in which to cure such performance issues (if deemed curable); (e) intentional damage to any property of the Company; (f) willful misconduct, or other violation of Company policy that causes harm; (g) breach of any written agreement by and between Executive and the Company; and (h) conduct by Executive which in the good faith and reasonable determination of the Company demonstrates gross unfitness to serve.</w:t>
      </w:r>
    </w:p>
    <w:p>
      <w:pPr>
        <w:sectPr>
          <w:pgSz w:w="11900" w:h="16838" w:orient="portrait"/>
          <w:cols w:equalWidth="0" w:num="1">
            <w:col w:w="11060"/>
          </w:cols>
          <w:pgMar w:left="420" w:top="1266" w:right="419" w:bottom="1440" w:gutter="0" w:footer="0" w:header="0"/>
        </w:sectPr>
      </w:pPr>
    </w:p>
    <w:bookmarkStart w:id="175" w:name="page176"/>
    <w:bookmarkEnd w:id="175"/>
    <w:p>
      <w:pPr>
        <w:jc w:val="both"/>
        <w:ind w:left="1" w:right="20" w:firstLine="1258"/>
        <w:spacing w:after="0" w:line="239" w:lineRule="auto"/>
        <w:rPr>
          <w:sz w:val="20"/>
          <w:szCs w:val="20"/>
          <w:color w:val="auto"/>
        </w:rPr>
      </w:pPr>
      <w:r>
        <w:rPr>
          <w:rFonts w:ascii="Arial" w:cs="Arial" w:eastAsia="Arial" w:hAnsi="Arial"/>
          <w:sz w:val="21"/>
          <w:szCs w:val="21"/>
          <w:b w:val="1"/>
          <w:bCs w:val="1"/>
          <w:color w:val="auto"/>
        </w:rPr>
        <w:t>9.2 Change of Control</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Change of Control</w:t>
      </w:r>
      <w:r>
        <w:rPr>
          <w:rFonts w:ascii="Arial" w:cs="Arial" w:eastAsia="Arial" w:hAnsi="Arial"/>
          <w:sz w:val="21"/>
          <w:szCs w:val="21"/>
          <w:color w:val="auto"/>
        </w:rPr>
        <w:t>” shall mean: a “Sale Event,” as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in the Company’s 2020 Stock Option and Incentive Plan.</w:t>
      </w:r>
    </w:p>
    <w:p>
      <w:pPr>
        <w:spacing w:after="0" w:line="253" w:lineRule="exact"/>
        <w:rPr>
          <w:sz w:val="20"/>
          <w:szCs w:val="20"/>
          <w:color w:val="auto"/>
        </w:rPr>
      </w:pPr>
    </w:p>
    <w:p>
      <w:pPr>
        <w:jc w:val="both"/>
        <w:ind w:left="1" w:right="20" w:firstLine="1258"/>
        <w:spacing w:after="0" w:line="224" w:lineRule="auto"/>
        <w:rPr>
          <w:sz w:val="20"/>
          <w:szCs w:val="20"/>
          <w:color w:val="auto"/>
        </w:rPr>
      </w:pPr>
      <w:r>
        <w:rPr>
          <w:rFonts w:ascii="Arial" w:cs="Arial" w:eastAsia="Arial" w:hAnsi="Arial"/>
          <w:sz w:val="21"/>
          <w:szCs w:val="21"/>
          <w:b w:val="1"/>
          <w:bCs w:val="1"/>
          <w:color w:val="auto"/>
        </w:rPr>
        <w:t>9.3 Disability</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Disability</w:t>
      </w:r>
      <w:r>
        <w:rPr>
          <w:rFonts w:ascii="Arial" w:cs="Arial" w:eastAsia="Arial" w:hAnsi="Arial"/>
          <w:sz w:val="21"/>
          <w:szCs w:val="21"/>
          <w:color w:val="auto"/>
        </w:rPr>
        <w:t>” shall mean Executive’s physical or mental condition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renders Executive unable to substantially perform for a period of ninety (90) aggregate days (regardless of whether or not continuous) during any three hundred sixty (360) day period, Executive’s regular responsibilities hereunder, with or without a reasonable accommodation.</w:t>
      </w:r>
    </w:p>
    <w:p>
      <w:pPr>
        <w:spacing w:after="0" w:line="187" w:lineRule="exact"/>
        <w:rPr>
          <w:sz w:val="20"/>
          <w:szCs w:val="20"/>
          <w:color w:val="auto"/>
        </w:rPr>
      </w:pPr>
    </w:p>
    <w:p>
      <w:pPr>
        <w:jc w:val="both"/>
        <w:ind w:left="1" w:firstLine="1258"/>
        <w:spacing w:after="0" w:line="234" w:lineRule="auto"/>
        <w:rPr>
          <w:sz w:val="20"/>
          <w:szCs w:val="20"/>
          <w:color w:val="auto"/>
        </w:rPr>
      </w:pPr>
      <w:r>
        <w:rPr>
          <w:rFonts w:ascii="Arial" w:cs="Arial" w:eastAsia="Arial" w:hAnsi="Arial"/>
          <w:sz w:val="19"/>
          <w:szCs w:val="19"/>
          <w:b w:val="1"/>
          <w:bCs w:val="1"/>
          <w:color w:val="auto"/>
        </w:rPr>
        <w:t>9.4 Good Reason</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(a) a material reduction in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Base Salary (unless pursuant to a salary reduction applicable generally to the Company’s similarly situated employees); or (b) the relocation of Executive’s place of work for the Company that is more than 40 miles from Executive’s primary place of work, unless mutually agreed upon. Notwithstanding the foregoing, no act or omission described in subclauses (a) or (b) above shall constitute “Good Reason” unless: (1) Executive first gives the Company written notice of such act or omission within forty-five (45) days of the later of the occurrence of such act or omission or Executive’s first becoming aware thereof, (2) the Company fails to cure such act or omission within twenty-one (21) days after receiving such written notice from Executive, and</w:t>
      </w:r>
    </w:p>
    <w:p>
      <w:pPr>
        <w:spacing w:after="0" w:line="2" w:lineRule="exact"/>
        <w:rPr>
          <w:sz w:val="20"/>
          <w:szCs w:val="20"/>
          <w:color w:val="auto"/>
        </w:rPr>
      </w:pPr>
    </w:p>
    <w:p>
      <w:pPr>
        <w:ind w:left="1" w:hanging="1"/>
        <w:spacing w:after="0" w:line="227" w:lineRule="auto"/>
        <w:tabs>
          <w:tab w:leader="none" w:pos="301" w:val="left"/>
        </w:tabs>
        <w:numPr>
          <w:ilvl w:val="0"/>
          <w:numId w:val="82"/>
        </w:numPr>
        <w:rPr>
          <w:rFonts w:ascii="Arial" w:cs="Arial" w:eastAsia="Arial" w:hAnsi="Arial"/>
          <w:sz w:val="21"/>
          <w:szCs w:val="21"/>
          <w:color w:val="auto"/>
        </w:rPr>
      </w:pPr>
      <w:r>
        <w:rPr>
          <w:rFonts w:ascii="Arial" w:cs="Arial" w:eastAsia="Arial" w:hAnsi="Arial"/>
          <w:sz w:val="21"/>
          <w:szCs w:val="21"/>
          <w:color w:val="auto"/>
        </w:rPr>
        <w:t>Executive resigns from employment (and all other positions, including as a member of the Board) within ten (10) days after the end of the cure period.</w:t>
      </w:r>
    </w:p>
    <w:p>
      <w:pPr>
        <w:spacing w:after="0" w:line="174" w:lineRule="exact"/>
        <w:rPr>
          <w:rFonts w:ascii="Arial" w:cs="Arial" w:eastAsia="Arial" w:hAnsi="Arial"/>
          <w:sz w:val="21"/>
          <w:szCs w:val="21"/>
          <w:color w:val="auto"/>
        </w:rPr>
      </w:pPr>
    </w:p>
    <w:p>
      <w:pPr>
        <w:ind w:left="1101" w:hanging="472"/>
        <w:spacing w:after="0"/>
        <w:tabs>
          <w:tab w:leader="none" w:pos="1101" w:val="left"/>
        </w:tabs>
        <w:numPr>
          <w:ilvl w:val="1"/>
          <w:numId w:val="82"/>
        </w:numPr>
        <w:rPr>
          <w:rFonts w:ascii="Arial" w:cs="Arial" w:eastAsia="Arial" w:hAnsi="Arial"/>
          <w:sz w:val="21"/>
          <w:szCs w:val="21"/>
          <w:b w:val="1"/>
          <w:bCs w:val="1"/>
          <w:color w:val="auto"/>
        </w:rPr>
      </w:pPr>
      <w:r>
        <w:rPr>
          <w:rFonts w:ascii="Arial" w:cs="Arial" w:eastAsia="Arial" w:hAnsi="Arial"/>
          <w:sz w:val="21"/>
          <w:szCs w:val="21"/>
          <w:b w:val="1"/>
          <w:bCs w:val="1"/>
          <w:color w:val="auto"/>
        </w:rPr>
        <w:t>Other Obligations.</w:t>
      </w:r>
    </w:p>
    <w:p>
      <w:pPr>
        <w:spacing w:after="0" w:line="217" w:lineRule="exact"/>
        <w:rPr>
          <w:sz w:val="20"/>
          <w:szCs w:val="20"/>
          <w:color w:val="auto"/>
        </w:rPr>
      </w:pPr>
    </w:p>
    <w:p>
      <w:pPr>
        <w:jc w:val="both"/>
        <w:ind w:left="1" w:firstLine="1258"/>
        <w:spacing w:after="0" w:line="238" w:lineRule="auto"/>
        <w:rPr>
          <w:sz w:val="20"/>
          <w:szCs w:val="20"/>
          <w:color w:val="auto"/>
        </w:rPr>
      </w:pPr>
      <w:r>
        <w:rPr>
          <w:rFonts w:ascii="Arial" w:cs="Arial" w:eastAsia="Arial" w:hAnsi="Arial"/>
          <w:sz w:val="19"/>
          <w:szCs w:val="19"/>
          <w:b w:val="1"/>
          <w:bCs w:val="1"/>
          <w:color w:val="auto"/>
        </w:rPr>
        <w:t xml:space="preserve">10.1 Restrictive Covenants. </w:t>
      </w:r>
      <w:r>
        <w:rPr>
          <w:rFonts w:ascii="Arial" w:cs="Arial" w:eastAsia="Arial" w:hAnsi="Arial"/>
          <w:sz w:val="19"/>
          <w:szCs w:val="19"/>
          <w:color w:val="auto"/>
        </w:rPr>
        <w:t>In connection with Executive’s employment with the Company, Executive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receive access to Company confidential information and trade secrets and develop valuable goodwill with the Company’s customers, partners and vendors. To protect the Company’s legitimate business interests, Executive executed the Employee Confidentiality, Assignment and Nonsolicitation Agreement on May 14, 2020 (the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In connection with Executive’s execution of this Amended and Restated Employment Agreement and in further consideration of Executive’s employment with the Company, Executive agrees to execute a Non- Competition Agreement (the “Non-Competition Agreement”) in a form acceptable to the Company, which Executive will do in or around September 2020. Executive herein acknowledges and agrees that (i) the Confidentiality Agreement shall continue in full force and effect in accordance with its terms, and (ii) Executive will abide by the terms of the Confidentiality Agreement and the Non-Competition Agreement at all times.</w:t>
      </w:r>
    </w:p>
    <w:p>
      <w:pPr>
        <w:spacing w:after="0" w:line="240" w:lineRule="exact"/>
        <w:rPr>
          <w:sz w:val="20"/>
          <w:szCs w:val="20"/>
          <w:color w:val="auto"/>
        </w:rPr>
      </w:pPr>
    </w:p>
    <w:p>
      <w:pPr>
        <w:jc w:val="both"/>
        <w:ind w:left="1" w:right="20" w:firstLine="1258"/>
        <w:spacing w:after="0" w:line="226" w:lineRule="auto"/>
        <w:rPr>
          <w:sz w:val="20"/>
          <w:szCs w:val="20"/>
          <w:color w:val="auto"/>
        </w:rPr>
      </w:pPr>
      <w:r>
        <w:rPr>
          <w:rFonts w:ascii="Arial" w:cs="Arial" w:eastAsia="Arial" w:hAnsi="Arial"/>
          <w:sz w:val="20"/>
          <w:szCs w:val="20"/>
          <w:b w:val="1"/>
          <w:bCs w:val="1"/>
          <w:color w:val="auto"/>
        </w:rPr>
        <w:t xml:space="preserve">10.2 Third-Party Agreements and Information. </w:t>
      </w:r>
      <w:r>
        <w:rPr>
          <w:rFonts w:ascii="Arial" w:cs="Arial" w:eastAsia="Arial" w:hAnsi="Arial"/>
          <w:sz w:val="20"/>
          <w:szCs w:val="20"/>
          <w:color w:val="auto"/>
        </w:rPr>
        <w:t>Executive represents and warrants that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by the Company does not conflict with any prior employment or consulting agreement or other agreement with any third party, and that Executive will perform Executive’s duties to the Company without violating any such agreement. Executive represents and warrants that Executive will not use or disclose confidential information arising out of prior employment, consulting, or other third party relationships, in connection with Executive’s employment by the Company, except as expressly authorized by that third party. During Executive’s employment by the Company, Executive will use in the performance of Executive’s duties only information which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ectPr>
          <w:pgSz w:w="11900" w:h="16838" w:orient="portrait"/>
          <w:cols w:equalWidth="0" w:num="1">
            <w:col w:w="11061"/>
          </w:cols>
          <w:pgMar w:left="419" w:top="1266" w:right="419" w:bottom="1440" w:gutter="0" w:footer="0" w:header="0"/>
        </w:sectPr>
      </w:pPr>
    </w:p>
    <w:bookmarkStart w:id="176" w:name="page177"/>
    <w:bookmarkEnd w:id="176"/>
    <w:p>
      <w:pPr>
        <w:ind w:left="620"/>
        <w:spacing w:after="0"/>
        <w:tabs>
          <w:tab w:leader="none" w:pos="106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b w:val="1"/>
          <w:bCs w:val="1"/>
          <w:color w:val="auto"/>
        </w:rPr>
        <w:t>Outside Activities During Employment.</w:t>
      </w:r>
    </w:p>
    <w:p>
      <w:pPr>
        <w:spacing w:after="0" w:line="217" w:lineRule="exact"/>
        <w:rPr>
          <w:sz w:val="20"/>
          <w:szCs w:val="20"/>
          <w:color w:val="auto"/>
        </w:rPr>
      </w:pPr>
    </w:p>
    <w:p>
      <w:pPr>
        <w:jc w:val="both"/>
        <w:ind w:right="20" w:firstLine="1258"/>
        <w:spacing w:after="0" w:line="250" w:lineRule="auto"/>
        <w:rPr>
          <w:sz w:val="20"/>
          <w:szCs w:val="20"/>
          <w:color w:val="auto"/>
        </w:rPr>
      </w:pPr>
      <w:r>
        <w:rPr>
          <w:rFonts w:ascii="Arial" w:cs="Arial" w:eastAsia="Arial" w:hAnsi="Arial"/>
          <w:sz w:val="19"/>
          <w:szCs w:val="19"/>
          <w:b w:val="1"/>
          <w:bCs w:val="1"/>
          <w:color w:val="auto"/>
        </w:rPr>
        <w:t xml:space="preserve">11.1 Non-Company Business. </w:t>
      </w:r>
      <w:r>
        <w:rPr>
          <w:rFonts w:ascii="Arial" w:cs="Arial" w:eastAsia="Arial" w:hAnsi="Arial"/>
          <w:sz w:val="19"/>
          <w:szCs w:val="19"/>
          <w:color w:val="auto"/>
        </w:rPr>
        <w:t>Except with the prior written consent of the Board, Executive will not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Executive’s employment with the Company undertake or engage in any other employment, occupation or business enterprise, other than ones in which Executive is a passive investor. In any event, Executive may engage in civic and not-for-profit activities so long as such activities do not materially interfere with the performance of Executive’s duties hereunder.</w:t>
      </w:r>
    </w:p>
    <w:p>
      <w:pPr>
        <w:spacing w:after="0" w:line="165"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11.2 No Adverse Interests. </w:t>
      </w:r>
      <w:r>
        <w:rPr>
          <w:rFonts w:ascii="Arial" w:cs="Arial" w:eastAsia="Arial" w:hAnsi="Arial"/>
          <w:sz w:val="21"/>
          <w:szCs w:val="21"/>
          <w:color w:val="auto"/>
        </w:rPr>
        <w:t>Executive agrees not to acquire, assume or participate in, directly or indirectly, any</w:t>
      </w:r>
      <w:r>
        <w:rPr>
          <w:rFonts w:ascii="Arial" w:cs="Arial" w:eastAsia="Arial" w:hAnsi="Arial"/>
          <w:sz w:val="21"/>
          <w:szCs w:val="21"/>
          <w:b w:val="1"/>
          <w:bCs w:val="1"/>
          <w:color w:val="auto"/>
        </w:rPr>
        <w:t xml:space="preserve"> </w:t>
      </w:r>
      <w:r>
        <w:rPr>
          <w:rFonts w:ascii="Arial" w:cs="Arial" w:eastAsia="Arial" w:hAnsi="Arial"/>
          <w:sz w:val="21"/>
          <w:szCs w:val="21"/>
          <w:color w:val="auto"/>
        </w:rPr>
        <w:t>position, investment or interest known to be adverse or antagonistic to the Company, its business or prospects, financial or otherwise.</w:t>
      </w:r>
    </w:p>
    <w:p>
      <w:pPr>
        <w:spacing w:after="0" w:line="187"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18"/>
          <w:szCs w:val="18"/>
          <w:b w:val="1"/>
          <w:bCs w:val="1"/>
          <w:color w:val="auto"/>
        </w:rPr>
        <w:t>General Provisions.</w:t>
      </w:r>
    </w:p>
    <w:p>
      <w:pPr>
        <w:spacing w:after="0" w:line="204"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12.1 Notices. </w:t>
      </w:r>
      <w:r>
        <w:rPr>
          <w:rFonts w:ascii="Arial" w:cs="Arial" w:eastAsia="Arial" w:hAnsi="Arial"/>
          <w:sz w:val="21"/>
          <w:szCs w:val="21"/>
          <w:color w:val="auto"/>
        </w:rPr>
        <w:t>Any notices provided must be in writing and will be deemed effective upon the earlier of personal</w:t>
      </w:r>
      <w:r>
        <w:rPr>
          <w:rFonts w:ascii="Arial" w:cs="Arial" w:eastAsia="Arial" w:hAnsi="Arial"/>
          <w:sz w:val="21"/>
          <w:szCs w:val="21"/>
          <w:b w:val="1"/>
          <w:bCs w:val="1"/>
          <w:color w:val="auto"/>
        </w:rPr>
        <w:t xml:space="preserve"> </w:t>
      </w:r>
      <w:r>
        <w:rPr>
          <w:rFonts w:ascii="Arial" w:cs="Arial" w:eastAsia="Arial" w:hAnsi="Arial"/>
          <w:sz w:val="21"/>
          <w:szCs w:val="21"/>
          <w:color w:val="auto"/>
        </w:rPr>
        <w:t>delivery (including personal delivery by fax) or the next day after sending by overnight carrier, to the Company at its primary office location and to Executive at the address as listed on the Company payroll.</w:t>
      </w:r>
    </w:p>
    <w:p>
      <w:pPr>
        <w:spacing w:after="0" w:line="187" w:lineRule="exact"/>
        <w:rPr>
          <w:sz w:val="20"/>
          <w:szCs w:val="20"/>
          <w:color w:val="auto"/>
        </w:rPr>
      </w:pPr>
    </w:p>
    <w:p>
      <w:pPr>
        <w:jc w:val="both"/>
        <w:ind w:right="20" w:firstLine="1258"/>
        <w:spacing w:after="0" w:line="221" w:lineRule="auto"/>
        <w:rPr>
          <w:sz w:val="20"/>
          <w:szCs w:val="20"/>
          <w:color w:val="auto"/>
        </w:rPr>
      </w:pPr>
      <w:r>
        <w:rPr>
          <w:rFonts w:ascii="Arial" w:cs="Arial" w:eastAsia="Arial" w:hAnsi="Arial"/>
          <w:sz w:val="21"/>
          <w:szCs w:val="21"/>
          <w:b w:val="1"/>
          <w:bCs w:val="1"/>
          <w:color w:val="auto"/>
        </w:rPr>
        <w:t xml:space="preserve">12.2 Severability. </w:t>
      </w:r>
      <w:r>
        <w:rPr>
          <w:rFonts w:ascii="Arial" w:cs="Arial" w:eastAsia="Arial" w:hAnsi="Arial"/>
          <w:sz w:val="21"/>
          <w:szCs w:val="21"/>
          <w:color w:val="auto"/>
        </w:rPr>
        <w:t>Whenever possible, each provision of this Agreement will be interpreted in such manner as to</w:t>
      </w:r>
      <w:r>
        <w:rPr>
          <w:rFonts w:ascii="Arial" w:cs="Arial" w:eastAsia="Arial" w:hAnsi="Arial"/>
          <w:sz w:val="21"/>
          <w:szCs w:val="21"/>
          <w:b w:val="1"/>
          <w:bCs w:val="1"/>
          <w:color w:val="auto"/>
        </w:rPr>
        <w:t xml:space="preserve"> </w:t>
      </w:r>
      <w:r>
        <w:rPr>
          <w:rFonts w:ascii="Arial" w:cs="Arial" w:eastAsia="Arial" w:hAnsi="Arial"/>
          <w:sz w:val="21"/>
          <w:szCs w:val="21"/>
          <w:color w:val="auto"/>
        </w:rPr>
        <w:t>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73"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12.3 Waiver. </w:t>
      </w:r>
      <w:r>
        <w:rPr>
          <w:rFonts w:ascii="Arial" w:cs="Arial" w:eastAsia="Arial" w:hAnsi="Arial"/>
          <w:sz w:val="21"/>
          <w:szCs w:val="21"/>
          <w:color w:val="auto"/>
        </w:rPr>
        <w:t>Any waiver of any breach of any provisions of this Agreement must be in writing to be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and it shall not thereby be deemed to have waived any preceding or succeeding breach of the same or any other provision of this Agreement.</w:t>
      </w:r>
    </w:p>
    <w:p>
      <w:pPr>
        <w:spacing w:after="0" w:line="253" w:lineRule="exact"/>
        <w:rPr>
          <w:sz w:val="20"/>
          <w:szCs w:val="20"/>
          <w:color w:val="auto"/>
        </w:rPr>
      </w:pPr>
    </w:p>
    <w:p>
      <w:pPr>
        <w:jc w:val="both"/>
        <w:ind w:firstLine="1258"/>
        <w:spacing w:after="0" w:line="228" w:lineRule="auto"/>
        <w:rPr>
          <w:sz w:val="20"/>
          <w:szCs w:val="20"/>
          <w:color w:val="auto"/>
        </w:rPr>
      </w:pPr>
      <w:r>
        <w:rPr>
          <w:rFonts w:ascii="Arial" w:cs="Arial" w:eastAsia="Arial" w:hAnsi="Arial"/>
          <w:sz w:val="20"/>
          <w:szCs w:val="20"/>
          <w:b w:val="1"/>
          <w:bCs w:val="1"/>
          <w:color w:val="auto"/>
        </w:rPr>
        <w:t xml:space="preserve">12.4 Complete Agreement. </w:t>
      </w:r>
      <w:r>
        <w:rPr>
          <w:rFonts w:ascii="Arial" w:cs="Arial" w:eastAsia="Arial" w:hAnsi="Arial"/>
          <w:sz w:val="20"/>
          <w:szCs w:val="20"/>
          <w:color w:val="auto"/>
        </w:rPr>
        <w:t>This Agreement, together with the Confidentiality Agreement, constitutes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Executive and the Company and is the complete, final, and exclusive embodiment of the Parties’ agreement and supersedes all prior agreements between the parties concerning such subject matter, including the Prior Agreement.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5" w:lineRule="exact"/>
        <w:rPr>
          <w:sz w:val="20"/>
          <w:szCs w:val="20"/>
          <w:color w:val="auto"/>
        </w:rPr>
      </w:pPr>
    </w:p>
    <w:p>
      <w:pPr>
        <w:jc w:val="both"/>
        <w:ind w:right="20" w:firstLine="1258"/>
        <w:spacing w:after="0" w:line="263" w:lineRule="auto"/>
        <w:rPr>
          <w:sz w:val="20"/>
          <w:szCs w:val="20"/>
          <w:color w:val="auto"/>
        </w:rPr>
      </w:pPr>
      <w:r>
        <w:rPr>
          <w:rFonts w:ascii="Arial" w:cs="Arial" w:eastAsia="Arial" w:hAnsi="Arial"/>
          <w:sz w:val="20"/>
          <w:szCs w:val="20"/>
          <w:b w:val="1"/>
          <w:bCs w:val="1"/>
          <w:color w:val="auto"/>
        </w:rPr>
        <w:t xml:space="preserve">12.5 Counterparts. </w:t>
      </w:r>
      <w:r>
        <w:rPr>
          <w:rFonts w:ascii="Arial" w:cs="Arial" w:eastAsia="Arial" w:hAnsi="Arial"/>
          <w:sz w:val="20"/>
          <w:szCs w:val="20"/>
          <w:color w:val="auto"/>
        </w:rPr>
        <w:t>This Agreement may be executed in separate counterparts, any one of which need not contain</w:t>
      </w:r>
      <w:r>
        <w:rPr>
          <w:rFonts w:ascii="Arial" w:cs="Arial" w:eastAsia="Arial" w:hAnsi="Arial"/>
          <w:sz w:val="20"/>
          <w:szCs w:val="20"/>
          <w:b w:val="1"/>
          <w:bCs w:val="1"/>
          <w:color w:val="auto"/>
        </w:rPr>
        <w:t xml:space="preserve"> </w:t>
      </w:r>
      <w:r>
        <w:rPr>
          <w:rFonts w:ascii="Arial" w:cs="Arial" w:eastAsia="Arial" w:hAnsi="Arial"/>
          <w:sz w:val="20"/>
          <w:szCs w:val="20"/>
          <w:color w:val="auto"/>
        </w:rPr>
        <w:t>signatures of more than one party, but all of which taken together will constitute one and the same Agreement.</w:t>
      </w:r>
    </w:p>
    <w:p>
      <w:pPr>
        <w:spacing w:after="0" w:line="165" w:lineRule="exact"/>
        <w:rPr>
          <w:sz w:val="20"/>
          <w:szCs w:val="20"/>
          <w:color w:val="auto"/>
        </w:rPr>
      </w:pPr>
    </w:p>
    <w:p>
      <w:pPr>
        <w:jc w:val="both"/>
        <w:ind w:right="20" w:firstLine="1258"/>
        <w:spacing w:after="0" w:line="239" w:lineRule="auto"/>
        <w:rPr>
          <w:sz w:val="20"/>
          <w:szCs w:val="20"/>
          <w:color w:val="auto"/>
        </w:rPr>
      </w:pPr>
      <w:r>
        <w:rPr>
          <w:rFonts w:ascii="Arial" w:cs="Arial" w:eastAsia="Arial" w:hAnsi="Arial"/>
          <w:sz w:val="21"/>
          <w:szCs w:val="21"/>
          <w:b w:val="1"/>
          <w:bCs w:val="1"/>
          <w:color w:val="auto"/>
        </w:rPr>
        <w:t xml:space="preserve">12.6 Headings. </w:t>
      </w:r>
      <w:r>
        <w:rPr>
          <w:rFonts w:ascii="Arial" w:cs="Arial" w:eastAsia="Arial" w:hAnsi="Arial"/>
          <w:sz w:val="21"/>
          <w:szCs w:val="21"/>
          <w:color w:val="auto"/>
        </w:rPr>
        <w:t>The headings of the paragraphs hereof are inserted for convenience only and shall not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to constitute a part hereof nor to affect the meaning thereof.</w:t>
      </w:r>
    </w:p>
    <w:p>
      <w:pPr>
        <w:sectPr>
          <w:pgSz w:w="11900" w:h="16838" w:orient="portrait"/>
          <w:cols w:equalWidth="0" w:num="1">
            <w:col w:w="11060"/>
          </w:cols>
          <w:pgMar w:left="420" w:top="1266" w:right="419" w:bottom="1440" w:gutter="0" w:footer="0" w:header="0"/>
        </w:sectPr>
      </w:pPr>
    </w:p>
    <w:bookmarkStart w:id="177" w:name="page178"/>
    <w:bookmarkEnd w:id="177"/>
    <w:p>
      <w:pPr>
        <w:jc w:val="both"/>
        <w:ind w:right="20" w:firstLine="1258"/>
        <w:spacing w:after="0" w:line="224" w:lineRule="auto"/>
        <w:rPr>
          <w:sz w:val="20"/>
          <w:szCs w:val="20"/>
          <w:color w:val="auto"/>
        </w:rPr>
      </w:pPr>
      <w:r>
        <w:rPr>
          <w:rFonts w:ascii="Arial" w:cs="Arial" w:eastAsia="Arial" w:hAnsi="Arial"/>
          <w:sz w:val="21"/>
          <w:szCs w:val="21"/>
          <w:b w:val="1"/>
          <w:bCs w:val="1"/>
          <w:color w:val="auto"/>
        </w:rPr>
        <w:t xml:space="preserve">12.7 Successors and Assigns. </w:t>
      </w:r>
      <w:r>
        <w:rPr>
          <w:rFonts w:ascii="Arial" w:cs="Arial" w:eastAsia="Arial" w:hAnsi="Arial"/>
          <w:sz w:val="21"/>
          <w:szCs w:val="21"/>
          <w:color w:val="auto"/>
        </w:rPr>
        <w:t>This Agreement shall be binding upon and inure to the benefit of and be</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87" w:lineRule="exact"/>
        <w:rPr>
          <w:sz w:val="20"/>
          <w:szCs w:val="20"/>
          <w:color w:val="auto"/>
        </w:rPr>
      </w:pPr>
    </w:p>
    <w:p>
      <w:pPr>
        <w:jc w:val="both"/>
        <w:ind w:firstLine="1258"/>
        <w:spacing w:after="0" w:line="229" w:lineRule="auto"/>
        <w:rPr>
          <w:sz w:val="20"/>
          <w:szCs w:val="20"/>
          <w:color w:val="auto"/>
        </w:rPr>
      </w:pPr>
      <w:r>
        <w:rPr>
          <w:rFonts w:ascii="Arial" w:cs="Arial" w:eastAsia="Arial" w:hAnsi="Arial"/>
          <w:sz w:val="20"/>
          <w:szCs w:val="20"/>
          <w:b w:val="1"/>
          <w:bCs w:val="1"/>
          <w:color w:val="auto"/>
        </w:rPr>
        <w:t xml:space="preserve">12.8 Tax Withholding and Indemnification. </w:t>
      </w:r>
      <w:r>
        <w:rPr>
          <w:rFonts w:ascii="Arial" w:cs="Arial" w:eastAsia="Arial" w:hAnsi="Arial"/>
          <w:sz w:val="20"/>
          <w:szCs w:val="20"/>
          <w:color w:val="auto"/>
        </w:rPr>
        <w:t>All payments and awards contemplated or made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91" w:lineRule="exact"/>
        <w:rPr>
          <w:sz w:val="20"/>
          <w:szCs w:val="20"/>
          <w:color w:val="auto"/>
        </w:rPr>
      </w:pPr>
    </w:p>
    <w:p>
      <w:pPr>
        <w:jc w:val="both"/>
        <w:ind w:firstLine="1258"/>
        <w:spacing w:after="0" w:line="239" w:lineRule="auto"/>
        <w:rPr>
          <w:sz w:val="20"/>
          <w:szCs w:val="20"/>
          <w:color w:val="auto"/>
        </w:rPr>
      </w:pPr>
      <w:r>
        <w:rPr>
          <w:rFonts w:ascii="Arial" w:cs="Arial" w:eastAsia="Arial" w:hAnsi="Arial"/>
          <w:sz w:val="21"/>
          <w:szCs w:val="21"/>
          <w:b w:val="1"/>
          <w:bCs w:val="1"/>
          <w:color w:val="auto"/>
        </w:rPr>
        <w:t xml:space="preserve">12.9 Choice of Law. </w:t>
      </w:r>
      <w:r>
        <w:rPr>
          <w:rFonts w:ascii="Arial" w:cs="Arial" w:eastAsia="Arial" w:hAnsi="Arial"/>
          <w:sz w:val="21"/>
          <w:szCs w:val="21"/>
          <w:color w:val="auto"/>
        </w:rPr>
        <w:t>All questions concerning the construction, validity and interpretation of this Agreement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Commonwealth of Massachusetts.</w:t>
      </w:r>
    </w:p>
    <w:p>
      <w:pPr>
        <w:sectPr>
          <w:pgSz w:w="11900" w:h="16838" w:orient="portrait"/>
          <w:cols w:equalWidth="0" w:num="1">
            <w:col w:w="11060"/>
          </w:cols>
          <w:pgMar w:left="420" w:top="1266" w:right="419" w:bottom="1440" w:gutter="0" w:footer="0" w:header="0"/>
        </w:sectPr>
      </w:pPr>
    </w:p>
    <w:bookmarkStart w:id="178" w:name="page179"/>
    <w:bookmarkEnd w:id="178"/>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4"/>
          <w:szCs w:val="14"/>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9"/>
          <w:szCs w:val="19"/>
          <w:color w:val="auto"/>
        </w:rPr>
        <w:t>, the Parties have executed this Agreement on the day and year first above written.</w:t>
      </w:r>
    </w:p>
    <w:p>
      <w:pPr>
        <w:sectPr>
          <w:pgSz w:w="11900" w:h="16838" w:orient="portrait"/>
          <w:cols w:equalWidth="0" w:num="1">
            <w:col w:w="9419"/>
          </w:cols>
          <w:pgMar w:left="10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RAXIS</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RECISION</w:t>
      </w:r>
      <w:r>
        <w:rPr>
          <w:rFonts w:ascii="Arial" w:cs="Arial" w:eastAsia="Arial" w:hAnsi="Arial"/>
          <w:sz w:val="21"/>
          <w:szCs w:val="21"/>
          <w:b w:val="1"/>
          <w:bCs w:val="1"/>
          <w:color w:val="auto"/>
        </w:rPr>
        <w:t xml:space="preserve"> M</w:t>
      </w:r>
      <w:r>
        <w:rPr>
          <w:rFonts w:ascii="Arial" w:cs="Arial" w:eastAsia="Arial" w:hAnsi="Arial"/>
          <w:sz w:val="16"/>
          <w:szCs w:val="16"/>
          <w:b w:val="1"/>
          <w:bCs w:val="1"/>
          <w:color w:val="auto"/>
        </w:rPr>
        <w:t>EDICINES</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p>
    <w:p>
      <w:pPr>
        <w:spacing w:after="0" w:line="257" w:lineRule="exact"/>
        <w:rPr>
          <w:sz w:val="20"/>
          <w:szCs w:val="20"/>
          <w:color w:val="auto"/>
        </w:rPr>
      </w:pPr>
    </w:p>
    <w:p>
      <w:pPr>
        <w:ind w:left="3500"/>
        <w:spacing w:after="0"/>
        <w:rPr>
          <w:sz w:val="20"/>
          <w:szCs w:val="20"/>
          <w:color w:val="auto"/>
        </w:rPr>
      </w:pPr>
      <w:r>
        <w:rPr>
          <w:rFonts w:ascii="Arial" w:cs="Arial" w:eastAsia="Arial" w:hAnsi="Arial"/>
          <w:sz w:val="21"/>
          <w:szCs w:val="21"/>
          <w:b w:val="1"/>
          <w:bCs w:val="1"/>
          <w:color w:val="auto"/>
        </w:rPr>
        <w:t xml:space="preserve">By: </w:t>
      </w:r>
      <w:r>
        <w:rPr>
          <w:rFonts w:ascii="Arial" w:cs="Arial" w:eastAsia="Arial" w:hAnsi="Arial"/>
          <w:sz w:val="21"/>
          <w:szCs w:val="21"/>
          <w:color w:val="auto"/>
        </w:rPr>
        <w:t>/s/ Dean Mitchell</w:t>
      </w:r>
    </w:p>
    <w:p>
      <w:pPr>
        <w:spacing w:after="0" w:line="31"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Dean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-150495</wp:posOffset>
            </wp:positionV>
            <wp:extent cx="19316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 xml:space="preserve">Title: </w:t>
      </w:r>
      <w:r>
        <w:rPr>
          <w:rFonts w:ascii="Arial" w:cs="Arial" w:eastAsia="Arial" w:hAnsi="Arial"/>
          <w:sz w:val="21"/>
          <w:szCs w:val="21"/>
          <w:color w:val="auto"/>
        </w:rPr>
        <w:t>Chairman of the Board</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 xml:space="preserve">Date: </w:t>
      </w:r>
      <w:r>
        <w:rPr>
          <w:rFonts w:ascii="Arial" w:cs="Arial" w:eastAsia="Arial" w:hAnsi="Arial"/>
          <w:sz w:val="21"/>
          <w:szCs w:val="21"/>
          <w:color w:val="auto"/>
        </w:rPr>
        <w:t>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22225</wp:posOffset>
            </wp:positionV>
            <wp:extent cx="193167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1931670" cy="165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Executive</w:t>
      </w:r>
    </w:p>
    <w:p>
      <w:pPr>
        <w:spacing w:after="0" w:line="263"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/s/ Marcio Souza</w:t>
      </w:r>
    </w:p>
    <w:p>
      <w:pPr>
        <w:spacing w:after="0" w:line="28"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-151765</wp:posOffset>
            </wp:positionV>
            <wp:extent cx="24980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355" w:lineRule="exact"/>
        <w:rPr>
          <w:sz w:val="20"/>
          <w:szCs w:val="20"/>
          <w:color w:val="auto"/>
        </w:rPr>
      </w:pPr>
    </w:p>
    <w:p>
      <w:pPr>
        <w:ind w:left="3220"/>
        <w:spacing w:after="0"/>
        <w:tabs>
          <w:tab w:leader="none" w:pos="4000" w:val="left"/>
        </w:tabs>
        <w:rPr>
          <w:sz w:val="20"/>
          <w:szCs w:val="20"/>
          <w:color w:val="auto"/>
        </w:rPr>
      </w:pPr>
      <w:r>
        <w:rPr>
          <w:rFonts w:ascii="Arial" w:cs="Arial" w:eastAsia="Arial" w:hAnsi="Arial"/>
          <w:sz w:val="21"/>
          <w:szCs w:val="21"/>
          <w:b w:val="1"/>
          <w:bCs w:val="1"/>
          <w:color w:val="auto"/>
        </w:rPr>
        <w:t>Date:</w:t>
      </w:r>
      <w:r>
        <w:rPr>
          <w:sz w:val="20"/>
          <w:szCs w:val="20"/>
          <w:color w:val="auto"/>
        </w:rPr>
        <w:tab/>
      </w:r>
      <w:r>
        <w:rPr>
          <w:rFonts w:ascii="Arial" w:cs="Arial" w:eastAsia="Arial" w:hAnsi="Arial"/>
          <w:sz w:val="21"/>
          <w:szCs w:val="21"/>
          <w:color w:val="auto"/>
        </w:rPr>
        <w:t>9/30/2020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22225</wp:posOffset>
            </wp:positionV>
            <wp:extent cx="193167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1931670" cy="16510"/>
                    </a:xfrm>
                    <a:prstGeom prst="rect">
                      <a:avLst/>
                    </a:prstGeom>
                    <a:noFill/>
                  </pic:spPr>
                </pic:pic>
              </a:graphicData>
            </a:graphic>
          </wp:anchor>
        </w:drawing>
      </w:r>
    </w:p>
    <w:p>
      <w:pPr>
        <w:sectPr>
          <w:pgSz w:w="11900" w:h="16838" w:orient="portrait"/>
          <w:cols w:equalWidth="0" w:num="1">
            <w:col w:w="9419"/>
          </w:cols>
          <w:pgMar w:left="1040" w:top="1440" w:right="1440" w:bottom="1440" w:gutter="0" w:footer="0" w:header="0"/>
          <w:type w:val="continuous"/>
        </w:sectPr>
      </w:pPr>
    </w:p>
    <w:bookmarkStart w:id="179" w:name="page180"/>
    <w:bookmarkEnd w:id="179"/>
    <w:p>
      <w:pPr>
        <w:jc w:val="center"/>
        <w:ind w:right="20"/>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RAXIS</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RECISION</w:t>
      </w:r>
      <w:r>
        <w:rPr>
          <w:rFonts w:ascii="Arial" w:cs="Arial" w:eastAsia="Arial" w:hAnsi="Arial"/>
          <w:sz w:val="21"/>
          <w:szCs w:val="21"/>
          <w:b w:val="1"/>
          <w:bCs w:val="1"/>
          <w:color w:val="auto"/>
        </w:rPr>
        <w:t xml:space="preserve"> M</w:t>
      </w:r>
      <w:r>
        <w:rPr>
          <w:rFonts w:ascii="Arial" w:cs="Arial" w:eastAsia="Arial" w:hAnsi="Arial"/>
          <w:sz w:val="16"/>
          <w:szCs w:val="16"/>
          <w:b w:val="1"/>
          <w:bCs w:val="1"/>
          <w:color w:val="auto"/>
        </w:rPr>
        <w:t>EDICINES</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AMENDED AND RESTATED EMPLOYMENT AGREEMENT</w:t>
      </w:r>
    </w:p>
    <w:p>
      <w:pPr>
        <w:jc w:val="center"/>
        <w:ind w:right="20"/>
        <w:spacing w:after="0"/>
        <w:rPr>
          <w:sz w:val="20"/>
          <w:szCs w:val="20"/>
          <w:color w:val="auto"/>
        </w:rPr>
      </w:pPr>
      <w:r>
        <w:rPr>
          <w:rFonts w:ascii="Arial" w:cs="Arial" w:eastAsia="Arial" w:hAnsi="Arial"/>
          <w:sz w:val="21"/>
          <w:szCs w:val="21"/>
          <w:b w:val="1"/>
          <w:bCs w:val="1"/>
          <w:color w:val="auto"/>
        </w:rPr>
        <w:t>for Bernard Ravina</w:t>
      </w:r>
    </w:p>
    <w:p>
      <w:pPr>
        <w:spacing w:after="0" w:line="180" w:lineRule="exact"/>
        <w:rPr>
          <w:sz w:val="20"/>
          <w:szCs w:val="20"/>
          <w:color w:val="auto"/>
        </w:rPr>
      </w:pPr>
    </w:p>
    <w:p>
      <w:pPr>
        <w:jc w:val="both"/>
        <w:ind w:firstLine="628"/>
        <w:spacing w:after="0" w:line="229" w:lineRule="auto"/>
        <w:rPr>
          <w:sz w:val="20"/>
          <w:szCs w:val="20"/>
          <w:color w:val="auto"/>
        </w:rPr>
      </w:pPr>
      <w:r>
        <w:rPr>
          <w:rFonts w:ascii="Arial" w:cs="Arial" w:eastAsia="Arial" w:hAnsi="Arial"/>
          <w:sz w:val="20"/>
          <w:szCs w:val="20"/>
          <w:color w:val="auto"/>
        </w:rPr>
        <w:t>This Amended and Restated Executive Employment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made between Praxis Precision Medicines, Inc. (the “</w:t>
      </w:r>
      <w:r>
        <w:rPr>
          <w:rFonts w:ascii="Arial" w:cs="Arial" w:eastAsia="Arial" w:hAnsi="Arial"/>
          <w:sz w:val="20"/>
          <w:szCs w:val="20"/>
          <w:b w:val="1"/>
          <w:bCs w:val="1"/>
          <w:color w:val="auto"/>
        </w:rPr>
        <w:t>Company</w:t>
      </w:r>
      <w:r>
        <w:rPr>
          <w:rFonts w:ascii="Arial" w:cs="Arial" w:eastAsia="Arial" w:hAnsi="Arial"/>
          <w:sz w:val="20"/>
          <w:szCs w:val="20"/>
          <w:color w:val="auto"/>
        </w:rPr>
        <w:t>”) and Bernard Ravina (“</w:t>
      </w:r>
      <w:r>
        <w:rPr>
          <w:rFonts w:ascii="Arial" w:cs="Arial" w:eastAsia="Arial" w:hAnsi="Arial"/>
          <w:sz w:val="20"/>
          <w:szCs w:val="20"/>
          <w:b w:val="1"/>
          <w:bCs w:val="1"/>
          <w:color w:val="auto"/>
        </w:rPr>
        <w:t>Executive</w:t>
      </w:r>
      <w:r>
        <w:rPr>
          <w:rFonts w:ascii="Arial" w:cs="Arial" w:eastAsia="Arial" w:hAnsi="Arial"/>
          <w:sz w:val="20"/>
          <w:szCs w:val="20"/>
          <w:color w:val="auto"/>
        </w:rPr>
        <w:t>”) (collectively, the “</w:t>
      </w:r>
      <w:r>
        <w:rPr>
          <w:rFonts w:ascii="Arial" w:cs="Arial" w:eastAsia="Arial" w:hAnsi="Arial"/>
          <w:sz w:val="20"/>
          <w:szCs w:val="20"/>
          <w:b w:val="1"/>
          <w:bCs w:val="1"/>
          <w:color w:val="auto"/>
        </w:rPr>
        <w:t>Parties</w:t>
      </w:r>
      <w:r>
        <w:rPr>
          <w:rFonts w:ascii="Arial" w:cs="Arial" w:eastAsia="Arial" w:hAnsi="Arial"/>
          <w:sz w:val="20"/>
          <w:szCs w:val="20"/>
          <w:color w:val="auto"/>
        </w:rPr>
        <w:t>”) and is effective as of the closing of the Company’s first underwritten public offering of its equity securities pursuant to an effective registration statement under the Securities Act of 1933, as amended (the “</w:t>
      </w:r>
      <w:r>
        <w:rPr>
          <w:rFonts w:ascii="Arial" w:cs="Arial" w:eastAsia="Arial" w:hAnsi="Arial"/>
          <w:sz w:val="20"/>
          <w:szCs w:val="20"/>
          <w:b w:val="1"/>
          <w:bCs w:val="1"/>
          <w:color w:val="auto"/>
        </w:rPr>
        <w:t>Effective Date</w:t>
      </w:r>
      <w:r>
        <w:rPr>
          <w:rFonts w:ascii="Arial" w:cs="Arial" w:eastAsia="Arial" w:hAnsi="Arial"/>
          <w:sz w:val="20"/>
          <w:szCs w:val="20"/>
          <w:color w:val="auto"/>
        </w:rPr>
        <w:t>”). This Agreement supersedes in all respects all prior agreements between Executive and the Company regarding the subject matter herein, including without limitation, the Employment Agreement between Executive and the Company dated April 17, 2020 (the “</w:t>
      </w:r>
      <w:r>
        <w:rPr>
          <w:rFonts w:ascii="Arial" w:cs="Arial" w:eastAsia="Arial" w:hAnsi="Arial"/>
          <w:sz w:val="20"/>
          <w:szCs w:val="20"/>
          <w:b w:val="1"/>
          <w:bCs w:val="1"/>
          <w:color w:val="auto"/>
        </w:rPr>
        <w:t>Prior Agreement</w:t>
      </w:r>
      <w:r>
        <w:rPr>
          <w:rFonts w:ascii="Arial" w:cs="Arial" w:eastAsia="Arial" w:hAnsi="Arial"/>
          <w:sz w:val="20"/>
          <w:szCs w:val="20"/>
          <w:color w:val="auto"/>
        </w:rPr>
        <w:t>”).</w:t>
      </w:r>
    </w:p>
    <w:p>
      <w:pPr>
        <w:spacing w:after="0" w:line="191" w:lineRule="exact"/>
        <w:rPr>
          <w:sz w:val="20"/>
          <w:szCs w:val="20"/>
          <w:color w:val="auto"/>
        </w:rPr>
      </w:pPr>
    </w:p>
    <w:p>
      <w:pPr>
        <w:jc w:val="both"/>
        <w:ind w:right="20" w:firstLine="628"/>
        <w:spacing w:after="0" w:line="239"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6"/>
          <w:szCs w:val="16"/>
          <w:b w:val="1"/>
          <w:bCs w:val="1"/>
          <w:color w:val="auto"/>
        </w:rPr>
        <w:t>HEREAS</w:t>
      </w:r>
      <w:r>
        <w:rPr>
          <w:rFonts w:ascii="Arial" w:cs="Arial" w:eastAsia="Arial" w:hAnsi="Arial"/>
          <w:sz w:val="21"/>
          <w:szCs w:val="21"/>
          <w:color w:val="auto"/>
        </w:rPr>
        <w:t>, the Company desires Executive to continue to provide services to the Company, and wishes to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with certain compensation and benefits in return for such employment services; and</w:t>
      </w:r>
    </w:p>
    <w:p>
      <w:pPr>
        <w:spacing w:after="0" w:line="175" w:lineRule="exact"/>
        <w:rPr>
          <w:sz w:val="20"/>
          <w:szCs w:val="20"/>
          <w:color w:val="auto"/>
        </w:rPr>
      </w:pPr>
    </w:p>
    <w:p>
      <w:pPr>
        <w:jc w:val="both"/>
        <w:ind w:right="20" w:firstLine="628"/>
        <w:spacing w:after="0" w:line="239"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6"/>
          <w:szCs w:val="16"/>
          <w:b w:val="1"/>
          <w:bCs w:val="1"/>
          <w:color w:val="auto"/>
        </w:rPr>
        <w:t>HEREAS</w:t>
      </w:r>
      <w:r>
        <w:rPr>
          <w:rFonts w:ascii="Arial" w:cs="Arial" w:eastAsia="Arial" w:hAnsi="Arial"/>
          <w:sz w:val="21"/>
          <w:szCs w:val="21"/>
          <w:color w:val="auto"/>
        </w:rPr>
        <w:t>, Executive wishes to continue to be employed by the Company and to provide personal services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 return for certain compensation and benefits;</w:t>
      </w:r>
    </w:p>
    <w:p>
      <w:pPr>
        <w:spacing w:after="0" w:line="188" w:lineRule="exact"/>
        <w:rPr>
          <w:sz w:val="20"/>
          <w:szCs w:val="20"/>
          <w:color w:val="auto"/>
        </w:rPr>
      </w:pPr>
    </w:p>
    <w:p>
      <w:pPr>
        <w:jc w:val="both"/>
        <w:ind w:right="20" w:firstLine="628"/>
        <w:spacing w:after="0" w:line="263"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5"/>
          <w:szCs w:val="15"/>
          <w:b w:val="1"/>
          <w:bCs w:val="1"/>
          <w:color w:val="auto"/>
        </w:rPr>
        <w:t>OW</w:t>
      </w:r>
      <w:r>
        <w:rPr>
          <w:rFonts w:ascii="Arial" w:cs="Arial" w:eastAsia="Arial" w:hAnsi="Arial"/>
          <w:sz w:val="20"/>
          <w:szCs w:val="20"/>
          <w:b w:val="1"/>
          <w:bCs w:val="1"/>
          <w:color w:val="auto"/>
        </w:rPr>
        <w:t>, T</w:t>
      </w:r>
      <w:r>
        <w:rPr>
          <w:rFonts w:ascii="Arial" w:cs="Arial" w:eastAsia="Arial" w:hAnsi="Arial"/>
          <w:sz w:val="15"/>
          <w:szCs w:val="15"/>
          <w:b w:val="1"/>
          <w:bCs w:val="1"/>
          <w:color w:val="auto"/>
        </w:rPr>
        <w:t>HEREFORE</w:t>
      </w:r>
      <w:r>
        <w:rPr>
          <w:rFonts w:ascii="Arial" w:cs="Arial" w:eastAsia="Arial" w:hAnsi="Arial"/>
          <w:sz w:val="20"/>
          <w:szCs w:val="20"/>
          <w:color w:val="auto"/>
        </w:rPr>
        <w:t>, in consideration of the mutual promises and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 acknowledged, the Parties hereto agree as follows:</w:t>
      </w:r>
    </w:p>
    <w:p>
      <w:pPr>
        <w:spacing w:after="0" w:line="152"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1.</w:t>
      </w:r>
      <w:r>
        <w:rPr>
          <w:sz w:val="20"/>
          <w:szCs w:val="20"/>
          <w:color w:val="auto"/>
        </w:rPr>
        <w:tab/>
      </w:r>
      <w:r>
        <w:rPr>
          <w:rFonts w:ascii="Arial" w:cs="Arial" w:eastAsia="Arial" w:hAnsi="Arial"/>
          <w:sz w:val="18"/>
          <w:szCs w:val="18"/>
          <w:b w:val="1"/>
          <w:bCs w:val="1"/>
          <w:color w:val="auto"/>
        </w:rPr>
        <w:t>Employment by the Company.</w:t>
      </w:r>
    </w:p>
    <w:p>
      <w:pPr>
        <w:spacing w:after="0" w:line="217" w:lineRule="exact"/>
        <w:rPr>
          <w:sz w:val="20"/>
          <w:szCs w:val="20"/>
          <w:color w:val="auto"/>
        </w:rPr>
      </w:pPr>
    </w:p>
    <w:p>
      <w:pPr>
        <w:jc w:val="both"/>
        <w:ind w:firstLine="1258"/>
        <w:spacing w:after="0" w:line="235" w:lineRule="auto"/>
        <w:rPr>
          <w:sz w:val="20"/>
          <w:szCs w:val="20"/>
          <w:color w:val="auto"/>
        </w:rPr>
      </w:pPr>
      <w:r>
        <w:rPr>
          <w:rFonts w:ascii="Arial" w:cs="Arial" w:eastAsia="Arial" w:hAnsi="Arial"/>
          <w:sz w:val="19"/>
          <w:szCs w:val="19"/>
          <w:b w:val="1"/>
          <w:bCs w:val="1"/>
          <w:color w:val="auto"/>
        </w:rPr>
        <w:t xml:space="preserve">1.1 Position and Duties. </w:t>
      </w:r>
      <w:r>
        <w:rPr>
          <w:rFonts w:ascii="Arial" w:cs="Arial" w:eastAsia="Arial" w:hAnsi="Arial"/>
          <w:sz w:val="19"/>
          <w:szCs w:val="19"/>
          <w:color w:val="auto"/>
        </w:rPr>
        <w:t>Executive shall continue to serve as the Company’s Chief Medical Officer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Position</w:t>
      </w:r>
      <w:r>
        <w:rPr>
          <w:rFonts w:ascii="Arial" w:cs="Arial" w:eastAsia="Arial" w:hAnsi="Arial"/>
          <w:sz w:val="19"/>
          <w:szCs w:val="19"/>
          <w:color w:val="auto"/>
        </w:rPr>
        <w:t xml:space="preserve">”). During the term of Executive’s employment with the Company, Executive shall devote one hundred percent of Executive’s business time on behalf of the Company and, on a full time basis, use Executive’s skills and render services to the best of Executive’s abilities on behalf of the Company, and shall comply fully with the policies and procedures of the Company. Executive shall report directly to the Company’s </w:t>
      </w:r>
      <w:r>
        <w:rPr>
          <w:rFonts w:ascii="Arial" w:cs="Arial" w:eastAsia="Arial" w:hAnsi="Arial"/>
          <w:sz w:val="19"/>
          <w:szCs w:val="19"/>
          <w:b w:val="1"/>
          <w:bCs w:val="1"/>
          <w:color w:val="auto"/>
        </w:rPr>
        <w:t>Chief Executive Officer (the “CEO”)</w:t>
      </w:r>
      <w:r>
        <w:rPr>
          <w:rFonts w:ascii="Arial" w:cs="Arial" w:eastAsia="Arial" w:hAnsi="Arial"/>
          <w:sz w:val="19"/>
          <w:szCs w:val="19"/>
          <w:color w:val="auto"/>
        </w:rPr>
        <w:t xml:space="preserve">. Executive shall perform those duties typically associated with the Position and such other duties consistent with the Position as may be assigned by the </w:t>
      </w:r>
      <w:r>
        <w:rPr>
          <w:rFonts w:ascii="Arial" w:cs="Arial" w:eastAsia="Arial" w:hAnsi="Arial"/>
          <w:sz w:val="19"/>
          <w:szCs w:val="19"/>
          <w:b w:val="1"/>
          <w:bCs w:val="1"/>
          <w:color w:val="auto"/>
        </w:rPr>
        <w:t>CEO</w:t>
      </w:r>
      <w:r>
        <w:rPr>
          <w:rFonts w:ascii="Arial" w:cs="Arial" w:eastAsia="Arial" w:hAnsi="Arial"/>
          <w:sz w:val="19"/>
          <w:szCs w:val="19"/>
          <w:color w:val="auto"/>
        </w:rPr>
        <w:t xml:space="preserve">, including but not limited to executive responsibility for clinical development and executive leadership. Notwithstanding the foregoing, nothing herein shall preclude Executive from (i)serving, with the prior written consent of the </w:t>
      </w:r>
      <w:r>
        <w:rPr>
          <w:rFonts w:ascii="Arial" w:cs="Arial" w:eastAsia="Arial" w:hAnsi="Arial"/>
          <w:sz w:val="19"/>
          <w:szCs w:val="19"/>
          <w:b w:val="1"/>
          <w:bCs w:val="1"/>
          <w:color w:val="auto"/>
        </w:rPr>
        <w:t>CEO</w:t>
      </w:r>
      <w:r>
        <w:rPr>
          <w:rFonts w:ascii="Arial" w:cs="Arial" w:eastAsia="Arial" w:hAnsi="Arial"/>
          <w:sz w:val="19"/>
          <w:szCs w:val="19"/>
          <w:color w:val="auto"/>
        </w:rPr>
        <w:t xml:space="preserve">, as a member of the boards of directors or advisory boards of non- competitive businesses and charitable organizations, (ii) engaging in charitable activities and community affairs, and (iii) managing Executive’s personal investments and affairs;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activities set out in clauses (i), (ii), and (iii) shall be limited by Executive so as not to materially interfere, individually or in the aggregate, with the performance of Executive’s duties and responsibilities hereunder and shall not, in the judgment of the </w:t>
      </w:r>
      <w:r>
        <w:rPr>
          <w:rFonts w:ascii="Arial" w:cs="Arial" w:eastAsia="Arial" w:hAnsi="Arial"/>
          <w:sz w:val="19"/>
          <w:szCs w:val="19"/>
          <w:b w:val="1"/>
          <w:bCs w:val="1"/>
          <w:color w:val="auto"/>
        </w:rPr>
        <w:t>CEO</w:t>
      </w:r>
      <w:r>
        <w:rPr>
          <w:rFonts w:ascii="Arial" w:cs="Arial" w:eastAsia="Arial" w:hAnsi="Arial"/>
          <w:sz w:val="19"/>
          <w:szCs w:val="19"/>
          <w:color w:val="auto"/>
        </w:rPr>
        <w:t xml:space="preserve"> pose a conflict of interest with Executive’s duties to the Company or its affiliates.</w:t>
      </w:r>
    </w:p>
    <w:p>
      <w:pPr>
        <w:spacing w:after="0" w:line="25"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1.2 Location of Work. </w:t>
      </w:r>
      <w:r>
        <w:rPr>
          <w:rFonts w:ascii="Arial" w:cs="Arial" w:eastAsia="Arial" w:hAnsi="Arial"/>
          <w:sz w:val="21"/>
          <w:szCs w:val="21"/>
          <w:color w:val="auto"/>
        </w:rPr>
        <w:t>Executive shall work in Cambridge, Massachusetts, USA. The Company reserves the right</w:t>
      </w:r>
      <w:r>
        <w:rPr>
          <w:rFonts w:ascii="Arial" w:cs="Arial" w:eastAsia="Arial" w:hAnsi="Arial"/>
          <w:sz w:val="21"/>
          <w:szCs w:val="21"/>
          <w:b w:val="1"/>
          <w:bCs w:val="1"/>
          <w:color w:val="auto"/>
        </w:rPr>
        <w:t xml:space="preserve"> </w:t>
      </w:r>
      <w:r>
        <w:rPr>
          <w:rFonts w:ascii="Arial" w:cs="Arial" w:eastAsia="Arial" w:hAnsi="Arial"/>
          <w:sz w:val="21"/>
          <w:szCs w:val="21"/>
          <w:color w:val="auto"/>
        </w:rPr>
        <w:t>to reasonably require Executive to perform Executive’s duties at places other than Executive’s primary office location from time to time, and to require reasonable business travel.</w:t>
      </w:r>
    </w:p>
    <w:p>
      <w:pPr>
        <w:sectPr>
          <w:pgSz w:w="11900" w:h="16838" w:orient="portrait"/>
          <w:cols w:equalWidth="0" w:num="1">
            <w:col w:w="11060"/>
          </w:cols>
          <w:pgMar w:left="420" w:top="1345" w:right="419" w:bottom="1440" w:gutter="0" w:footer="0" w:header="0"/>
        </w:sectPr>
      </w:pPr>
    </w:p>
    <w:bookmarkStart w:id="180" w:name="page181"/>
    <w:bookmarkEnd w:id="180"/>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1.3 Policies and Procedures. </w:t>
      </w:r>
      <w:r>
        <w:rPr>
          <w:rFonts w:ascii="Arial" w:cs="Arial" w:eastAsia="Arial" w:hAnsi="Arial"/>
          <w:sz w:val="21"/>
          <w:szCs w:val="21"/>
          <w:color w:val="auto"/>
        </w:rPr>
        <w:t>The employment relationship between the Parties shall be governed by the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policies and practices of the Company, except that when the terms of this Agreement differ from or are in conflict with the Company’s general employment policies or practices, this Agreement shall control.</w:t>
      </w:r>
    </w:p>
    <w:p>
      <w:pPr>
        <w:spacing w:after="0" w:line="187"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2.</w:t>
      </w:r>
      <w:r>
        <w:rPr>
          <w:sz w:val="20"/>
          <w:szCs w:val="20"/>
          <w:color w:val="auto"/>
        </w:rPr>
        <w:tab/>
      </w:r>
      <w:r>
        <w:rPr>
          <w:rFonts w:ascii="Arial" w:cs="Arial" w:eastAsia="Arial" w:hAnsi="Arial"/>
          <w:sz w:val="18"/>
          <w:szCs w:val="18"/>
          <w:b w:val="1"/>
          <w:bCs w:val="1"/>
          <w:color w:val="auto"/>
        </w:rPr>
        <w:t>Compensation.</w:t>
      </w:r>
    </w:p>
    <w:p>
      <w:pPr>
        <w:spacing w:after="0" w:line="204" w:lineRule="exact"/>
        <w:rPr>
          <w:sz w:val="20"/>
          <w:szCs w:val="20"/>
          <w:color w:val="auto"/>
        </w:rPr>
      </w:pPr>
    </w:p>
    <w:p>
      <w:pPr>
        <w:jc w:val="both"/>
        <w:ind w:firstLine="1258"/>
        <w:spacing w:after="0" w:line="224" w:lineRule="auto"/>
        <w:rPr>
          <w:sz w:val="20"/>
          <w:szCs w:val="20"/>
          <w:color w:val="auto"/>
        </w:rPr>
      </w:pPr>
      <w:r>
        <w:rPr>
          <w:rFonts w:ascii="Arial" w:cs="Arial" w:eastAsia="Arial" w:hAnsi="Arial"/>
          <w:sz w:val="21"/>
          <w:szCs w:val="21"/>
          <w:b w:val="1"/>
          <w:bCs w:val="1"/>
          <w:color w:val="auto"/>
        </w:rPr>
        <w:t xml:space="preserve">2.1 Salary. </w:t>
      </w:r>
      <w:r>
        <w:rPr>
          <w:rFonts w:ascii="Arial" w:cs="Arial" w:eastAsia="Arial" w:hAnsi="Arial"/>
          <w:sz w:val="21"/>
          <w:szCs w:val="21"/>
          <w:color w:val="auto"/>
        </w:rPr>
        <w:t>For services to be rendered hereunder, Executive shall receive an initial base salary at the rate of</w:t>
      </w:r>
      <w:r>
        <w:rPr>
          <w:rFonts w:ascii="Arial" w:cs="Arial" w:eastAsia="Arial" w:hAnsi="Arial"/>
          <w:sz w:val="21"/>
          <w:szCs w:val="21"/>
          <w:b w:val="1"/>
          <w:bCs w:val="1"/>
          <w:color w:val="auto"/>
        </w:rPr>
        <w:t xml:space="preserve"> </w:t>
      </w:r>
      <w:r>
        <w:rPr>
          <w:rFonts w:ascii="Arial" w:cs="Arial" w:eastAsia="Arial" w:hAnsi="Arial"/>
          <w:sz w:val="21"/>
          <w:szCs w:val="21"/>
          <w:color w:val="auto"/>
        </w:rPr>
        <w:t>$425,000 per year, subject to standard payroll deductions and withholdings and payable in accordance with the Company’s regular payroll schedule (the “</w:t>
      </w:r>
      <w:r>
        <w:rPr>
          <w:rFonts w:ascii="Arial" w:cs="Arial" w:eastAsia="Arial" w:hAnsi="Arial"/>
          <w:sz w:val="21"/>
          <w:szCs w:val="21"/>
          <w:b w:val="1"/>
          <w:bCs w:val="1"/>
          <w:color w:val="auto"/>
        </w:rPr>
        <w:t>Base Salary</w:t>
      </w:r>
      <w:r>
        <w:rPr>
          <w:rFonts w:ascii="Arial" w:cs="Arial" w:eastAsia="Arial" w:hAnsi="Arial"/>
          <w:sz w:val="21"/>
          <w:szCs w:val="21"/>
          <w:color w:val="auto"/>
        </w:rPr>
        <w:t>”). Executive’s Base Salary will be reviewed annually by the Board or the Compensation Committee of the Board (the “</w:t>
      </w:r>
      <w:r>
        <w:rPr>
          <w:rFonts w:ascii="Arial" w:cs="Arial" w:eastAsia="Arial" w:hAnsi="Arial"/>
          <w:sz w:val="21"/>
          <w:szCs w:val="21"/>
          <w:b w:val="1"/>
          <w:bCs w:val="1"/>
          <w:color w:val="auto"/>
        </w:rPr>
        <w:t>Compensation Committee</w:t>
      </w:r>
      <w:r>
        <w:rPr>
          <w:rFonts w:ascii="Arial" w:cs="Arial" w:eastAsia="Arial" w:hAnsi="Arial"/>
          <w:sz w:val="21"/>
          <w:szCs w:val="21"/>
          <w:color w:val="auto"/>
        </w:rPr>
        <w:t>”).</w:t>
      </w:r>
    </w:p>
    <w:p>
      <w:pPr>
        <w:spacing w:after="0" w:line="187" w:lineRule="exact"/>
        <w:rPr>
          <w:sz w:val="20"/>
          <w:szCs w:val="20"/>
          <w:color w:val="auto"/>
        </w:rPr>
      </w:pPr>
    </w:p>
    <w:p>
      <w:pPr>
        <w:jc w:val="both"/>
        <w:ind w:firstLine="1258"/>
        <w:spacing w:after="0" w:line="228" w:lineRule="auto"/>
        <w:rPr>
          <w:sz w:val="20"/>
          <w:szCs w:val="20"/>
          <w:color w:val="auto"/>
        </w:rPr>
      </w:pPr>
      <w:r>
        <w:rPr>
          <w:rFonts w:ascii="Arial" w:cs="Arial" w:eastAsia="Arial" w:hAnsi="Arial"/>
          <w:sz w:val="20"/>
          <w:szCs w:val="20"/>
          <w:b w:val="1"/>
          <w:bCs w:val="1"/>
          <w:color w:val="auto"/>
        </w:rPr>
        <w:t xml:space="preserve">2.2 Annual Cash Bonus. </w:t>
      </w:r>
      <w:r>
        <w:rPr>
          <w:rFonts w:ascii="Arial" w:cs="Arial" w:eastAsia="Arial" w:hAnsi="Arial"/>
          <w:sz w:val="20"/>
          <w:szCs w:val="20"/>
          <w:color w:val="auto"/>
        </w:rPr>
        <w:t>Executive will be eligible for an annual cash bonus with a target amount of forty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(40%) of Executive’s Base Salary (the “</w:t>
      </w:r>
      <w:r>
        <w:rPr>
          <w:rFonts w:ascii="Arial" w:cs="Arial" w:eastAsia="Arial" w:hAnsi="Arial"/>
          <w:sz w:val="20"/>
          <w:szCs w:val="20"/>
          <w:b w:val="1"/>
          <w:bCs w:val="1"/>
          <w:color w:val="auto"/>
        </w:rPr>
        <w:t>Annual Bonus</w:t>
      </w:r>
      <w:r>
        <w:rPr>
          <w:rFonts w:ascii="Arial" w:cs="Arial" w:eastAsia="Arial" w:hAnsi="Arial"/>
          <w:sz w:val="20"/>
          <w:szCs w:val="20"/>
          <w:color w:val="auto"/>
        </w:rPr>
        <w:t>”). Whether Executive receives an Annual Bonus for any given year, and the amount of any such Annual Bonus, will be determined by the Board or the Compensation Committee based upon the Company’s and Executive’s achievement of objectives and milestones to be determined by the Board or the Compensation Committee on an annual basis. Except as otherwise provided herein or in applicable incentive compensation plan that may be in effect from time to time, Executive will not be eligible for, and will not earn, any Annual Bonus if Executive is not employed by the Company on the payment date (regardless of the reason for the separation from employment).</w:t>
      </w:r>
    </w:p>
    <w:p>
      <w:pPr>
        <w:spacing w:after="0" w:line="175" w:lineRule="exact"/>
        <w:rPr>
          <w:sz w:val="20"/>
          <w:szCs w:val="20"/>
          <w:color w:val="auto"/>
        </w:rPr>
      </w:pPr>
    </w:p>
    <w:p>
      <w:pPr>
        <w:jc w:val="both"/>
        <w:ind w:firstLine="1258"/>
        <w:spacing w:after="0" w:line="229" w:lineRule="auto"/>
        <w:rPr>
          <w:sz w:val="20"/>
          <w:szCs w:val="20"/>
          <w:color w:val="auto"/>
        </w:rPr>
      </w:pPr>
      <w:r>
        <w:rPr>
          <w:rFonts w:ascii="Arial" w:cs="Arial" w:eastAsia="Arial" w:hAnsi="Arial"/>
          <w:sz w:val="20"/>
          <w:szCs w:val="20"/>
          <w:b w:val="1"/>
          <w:bCs w:val="1"/>
          <w:color w:val="auto"/>
        </w:rPr>
        <w:t xml:space="preserve">2.3 Equity. </w:t>
      </w:r>
      <w:r>
        <w:rPr>
          <w:rFonts w:ascii="Arial" w:cs="Arial" w:eastAsia="Arial" w:hAnsi="Arial"/>
          <w:sz w:val="20"/>
          <w:szCs w:val="20"/>
          <w:color w:val="auto"/>
        </w:rPr>
        <w:t>The stock options and other stock-based awards held by Executive shall continue to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of the Company’s applicable equity incentive plan(s) and the applicable award agreement(s) governing the terms of such stock options and other stock-based awards (collectively, the “</w:t>
      </w:r>
      <w:r>
        <w:rPr>
          <w:rFonts w:ascii="Arial" w:cs="Arial" w:eastAsia="Arial" w:hAnsi="Arial"/>
          <w:sz w:val="20"/>
          <w:szCs w:val="20"/>
          <w:b w:val="1"/>
          <w:bCs w:val="1"/>
          <w:color w:val="auto"/>
        </w:rPr>
        <w:t>Equity Documents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and notwithstanding anything to the contrary in the Equity Documents, Section 5.3(ii)(b) of this Agreement shall apply in the event of a termination of Executive’s employment by the Company without Cause or by Executive for Good Reason, in either case within the Change of Control Period (as such terms are defined below).</w:t>
      </w:r>
    </w:p>
    <w:p>
      <w:pPr>
        <w:spacing w:after="0" w:line="191" w:lineRule="exact"/>
        <w:rPr>
          <w:sz w:val="20"/>
          <w:szCs w:val="20"/>
          <w:color w:val="auto"/>
        </w:rPr>
      </w:pPr>
    </w:p>
    <w:p>
      <w:pPr>
        <w:jc w:val="both"/>
        <w:ind w:right="20" w:firstLine="628"/>
        <w:spacing w:after="0" w:line="224" w:lineRule="auto"/>
        <w:tabs>
          <w:tab w:leader="none" w:pos="1063"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Standard Company Benefits. </w:t>
      </w:r>
      <w:r>
        <w:rPr>
          <w:rFonts w:ascii="Arial" w:cs="Arial" w:eastAsia="Arial" w:hAnsi="Arial"/>
          <w:sz w:val="21"/>
          <w:szCs w:val="21"/>
          <w:color w:val="auto"/>
        </w:rPr>
        <w:t>Executive shall be entitled to participate in all employee benefit programs for which</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is eligible under the terms and conditions of the benefit plans that may be in effect from time to time and provided by the Company to its employees. The Company reserves the right to cancel or change the benefit plans or programs it offers to its employees at any time.</w:t>
      </w:r>
    </w:p>
    <w:p>
      <w:pPr>
        <w:spacing w:after="0" w:line="173" w:lineRule="exact"/>
        <w:rPr>
          <w:rFonts w:ascii="Arial" w:cs="Arial" w:eastAsia="Arial" w:hAnsi="Arial"/>
          <w:sz w:val="21"/>
          <w:szCs w:val="21"/>
          <w:b w:val="1"/>
          <w:bCs w:val="1"/>
          <w:color w:val="auto"/>
        </w:rPr>
      </w:pPr>
    </w:p>
    <w:p>
      <w:pPr>
        <w:jc w:val="both"/>
        <w:ind w:firstLine="628"/>
        <w:spacing w:after="0" w:line="229" w:lineRule="auto"/>
        <w:tabs>
          <w:tab w:leader="none" w:pos="1038"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Expenses. </w:t>
      </w:r>
      <w:r>
        <w:rPr>
          <w:rFonts w:ascii="Arial" w:cs="Arial" w:eastAsia="Arial" w:hAnsi="Arial"/>
          <w:sz w:val="21"/>
          <w:szCs w:val="21"/>
          <w:color w:val="auto"/>
        </w:rPr>
        <w:t>The Company will reimburse Executive for reasonable travel, entertainment or other expenses incurred by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in furtherance or in connection with the performance of Executive’s duties hereunder, in accordance with the Company’s expense reimbursement policy as in effect from time to time.</w:t>
      </w:r>
    </w:p>
    <w:p>
      <w:pPr>
        <w:spacing w:after="0" w:line="174" w:lineRule="exact"/>
        <w:rPr>
          <w:rFonts w:ascii="Arial" w:cs="Arial" w:eastAsia="Arial" w:hAnsi="Arial"/>
          <w:sz w:val="21"/>
          <w:szCs w:val="21"/>
          <w:b w:val="1"/>
          <w:bCs w:val="1"/>
          <w:color w:val="auto"/>
        </w:rPr>
      </w:pPr>
    </w:p>
    <w:p>
      <w:pPr>
        <w:ind w:left="1000" w:hanging="372"/>
        <w:spacing w:after="0"/>
        <w:tabs>
          <w:tab w:leader="none" w:pos="100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of Employment; Severance.</w:t>
      </w:r>
    </w:p>
    <w:p>
      <w:pPr>
        <w:spacing w:after="0" w:line="217" w:lineRule="exact"/>
        <w:rPr>
          <w:sz w:val="20"/>
          <w:szCs w:val="20"/>
          <w:color w:val="auto"/>
        </w:rPr>
      </w:pPr>
    </w:p>
    <w:p>
      <w:pPr>
        <w:ind w:right="20" w:firstLine="1258"/>
        <w:spacing w:after="0" w:line="263" w:lineRule="auto"/>
        <w:rPr>
          <w:sz w:val="20"/>
          <w:szCs w:val="20"/>
          <w:color w:val="auto"/>
        </w:rPr>
      </w:pPr>
      <w:r>
        <w:rPr>
          <w:rFonts w:ascii="Arial" w:cs="Arial" w:eastAsia="Arial" w:hAnsi="Arial"/>
          <w:sz w:val="20"/>
          <w:szCs w:val="20"/>
          <w:b w:val="1"/>
          <w:bCs w:val="1"/>
          <w:color w:val="auto"/>
        </w:rPr>
        <w:t xml:space="preserve">5.1 At-Will Employment. </w:t>
      </w:r>
      <w:r>
        <w:rPr>
          <w:rFonts w:ascii="Arial" w:cs="Arial" w:eastAsia="Arial" w:hAnsi="Arial"/>
          <w:sz w:val="20"/>
          <w:szCs w:val="20"/>
          <w:color w:val="auto"/>
        </w:rPr>
        <w:t>Executive’s employment relationship is at- will. Either Executive or the Company may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the employment relationship at any time, with or without cause subject to the terms of this Agreement.</w:t>
      </w:r>
    </w:p>
    <w:p>
      <w:pPr>
        <w:spacing w:after="0" w:line="152" w:lineRule="exact"/>
        <w:rPr>
          <w:sz w:val="20"/>
          <w:szCs w:val="20"/>
          <w:color w:val="auto"/>
        </w:rPr>
      </w:pPr>
    </w:p>
    <w:p>
      <w:pPr>
        <w:ind w:right="680" w:firstLine="1258"/>
        <w:spacing w:after="0" w:line="239" w:lineRule="auto"/>
        <w:rPr>
          <w:sz w:val="20"/>
          <w:szCs w:val="20"/>
          <w:color w:val="auto"/>
        </w:rPr>
      </w:pPr>
      <w:r>
        <w:rPr>
          <w:rFonts w:ascii="Arial" w:cs="Arial" w:eastAsia="Arial" w:hAnsi="Arial"/>
          <w:sz w:val="21"/>
          <w:szCs w:val="21"/>
          <w:b w:val="1"/>
          <w:bCs w:val="1"/>
          <w:color w:val="auto"/>
        </w:rPr>
        <w:t>5.2 Severance Pay and Benefits Upon a Termination Without Cause or Resignation for Good Reason Outside the Change of Control Period.</w:t>
      </w:r>
    </w:p>
    <w:p>
      <w:pPr>
        <w:sectPr>
          <w:pgSz w:w="11900" w:h="16838" w:orient="portrait"/>
          <w:cols w:equalWidth="0" w:num="1">
            <w:col w:w="11060"/>
          </w:cols>
          <w:pgMar w:left="420" w:top="1266" w:right="419" w:bottom="1440" w:gutter="0" w:footer="0" w:header="0"/>
        </w:sectPr>
      </w:pPr>
    </w:p>
    <w:bookmarkStart w:id="181" w:name="page182"/>
    <w:bookmarkEnd w:id="181"/>
    <w:p>
      <w:pPr>
        <w:ind w:left="-1020" w:right="20" w:firstLine="1887"/>
        <w:spacing w:after="0" w:line="283" w:lineRule="auto"/>
        <w:tabs>
          <w:tab w:leader="none" w:pos="1328" w:val="left"/>
        </w:tabs>
        <w:numPr>
          <w:ilvl w:val="0"/>
          <w:numId w:val="84"/>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 without Cause. Executive may terminate Executive’s employment with the Company at any time for any reason, including for Good Reason.</w:t>
      </w:r>
    </w:p>
    <w:p>
      <w:pPr>
        <w:spacing w:after="0" w:line="153" w:lineRule="exact"/>
        <w:rPr>
          <w:rFonts w:ascii="Arial" w:cs="Arial" w:eastAsia="Arial" w:hAnsi="Arial"/>
          <w:sz w:val="19"/>
          <w:szCs w:val="19"/>
          <w:b w:val="1"/>
          <w:bCs w:val="1"/>
          <w:color w:val="auto"/>
        </w:rPr>
      </w:pPr>
    </w:p>
    <w:p>
      <w:pPr>
        <w:jc w:val="both"/>
        <w:ind w:left="-1020" w:right="20" w:firstLine="1887"/>
        <w:spacing w:after="0" w:line="222" w:lineRule="auto"/>
        <w:tabs>
          <w:tab w:leader="none" w:pos="1400" w:val="left"/>
        </w:tabs>
        <w:numPr>
          <w:ilvl w:val="0"/>
          <w:numId w:val="84"/>
        </w:numPr>
        <w:rPr>
          <w:rFonts w:ascii="Arial" w:cs="Arial" w:eastAsia="Arial" w:hAnsi="Arial"/>
          <w:sz w:val="21"/>
          <w:szCs w:val="21"/>
          <w:b w:val="1"/>
          <w:bCs w:val="1"/>
          <w:color w:val="auto"/>
        </w:rPr>
      </w:pPr>
      <w:r>
        <w:rPr>
          <w:rFonts w:ascii="Arial" w:cs="Arial" w:eastAsia="Arial" w:hAnsi="Arial"/>
          <w:sz w:val="21"/>
          <w:szCs w:val="21"/>
          <w:color w:val="auto"/>
        </w:rPr>
        <w:t>In the event that Executive’s employment with the Company is terminated by the Company without Cause or by Executive for Good Reason, in either case outside of the Change of Control Period, then, provided that Executive remains in compliance with the terms of this Agreement, the Company shall provide Executive with the following severance benefits:</w:t>
      </w:r>
    </w:p>
    <w:p>
      <w:pPr>
        <w:spacing w:after="0" w:line="260" w:lineRule="exact"/>
        <w:rPr>
          <w:rFonts w:ascii="Arial" w:cs="Arial" w:eastAsia="Arial" w:hAnsi="Arial"/>
          <w:sz w:val="21"/>
          <w:szCs w:val="21"/>
          <w:b w:val="1"/>
          <w:bCs w:val="1"/>
          <w:color w:val="auto"/>
        </w:rPr>
      </w:pPr>
    </w:p>
    <w:p>
      <w:pPr>
        <w:jc w:val="both"/>
        <w:ind w:left="-1020" w:firstLine="2517"/>
        <w:spacing w:after="0" w:line="222" w:lineRule="auto"/>
        <w:tabs>
          <w:tab w:leader="none" w:pos="1965" w:val="left"/>
        </w:tabs>
        <w:numPr>
          <w:ilvl w:val="1"/>
          <w:numId w:val="84"/>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as severance, 9 months of Executive’s Base Salary in effect as of the date of Executive’s employment termination, subject to standard payroll deductions and withholdings (the “</w:t>
      </w:r>
      <w:r>
        <w:rPr>
          <w:rFonts w:ascii="Arial" w:cs="Arial" w:eastAsia="Arial" w:hAnsi="Arial"/>
          <w:sz w:val="21"/>
          <w:szCs w:val="21"/>
          <w:b w:val="1"/>
          <w:bCs w:val="1"/>
          <w:color w:val="auto"/>
        </w:rPr>
        <w:t>Severance</w:t>
      </w:r>
      <w:r>
        <w:rPr>
          <w:rFonts w:ascii="Arial" w:cs="Arial" w:eastAsia="Arial" w:hAnsi="Arial"/>
          <w:sz w:val="21"/>
          <w:szCs w:val="21"/>
          <w:color w:val="auto"/>
        </w:rPr>
        <w:t>”). Subject to Section 5.2(iii) below, the Severance will be paid in equal installments on the Company’s regular payroll schedule over the 9-month period following Executive’s termination of employment.</w:t>
      </w:r>
    </w:p>
    <w:p>
      <w:pPr>
        <w:spacing w:after="0" w:line="260" w:lineRule="exact"/>
        <w:rPr>
          <w:rFonts w:ascii="Arial" w:cs="Arial" w:eastAsia="Arial" w:hAnsi="Arial"/>
          <w:sz w:val="21"/>
          <w:szCs w:val="21"/>
          <w:b w:val="1"/>
          <w:bCs w:val="1"/>
          <w:color w:val="auto"/>
        </w:rPr>
      </w:pPr>
    </w:p>
    <w:p>
      <w:pPr>
        <w:jc w:val="both"/>
        <w:ind w:left="-1020" w:firstLine="2517"/>
        <w:spacing w:after="0" w:line="234" w:lineRule="auto"/>
        <w:tabs>
          <w:tab w:leader="none" w:pos="2029"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Arial" w:cs="Arial" w:eastAsia="Arial" w:hAnsi="Arial"/>
          <w:sz w:val="19"/>
          <w:szCs w:val="19"/>
          <w:b w:val="1"/>
          <w:bCs w:val="1"/>
          <w:color w:val="auto"/>
        </w:rPr>
        <w:t>COBRA</w:t>
      </w:r>
      <w:r>
        <w:rPr>
          <w:rFonts w:ascii="Arial" w:cs="Arial" w:eastAsia="Arial" w:hAnsi="Arial"/>
          <w:sz w:val="19"/>
          <w:szCs w:val="19"/>
          <w:color w:val="auto"/>
        </w:rPr>
        <w:t xml:space="preserve"> </w:t>
      </w:r>
      <w:r>
        <w:rPr>
          <w:rFonts w:ascii="Arial" w:cs="Arial" w:eastAsia="Arial" w:hAnsi="Arial"/>
          <w:sz w:val="19"/>
          <w:szCs w:val="19"/>
          <w:b w:val="1"/>
          <w:bCs w:val="1"/>
          <w:color w:val="auto"/>
        </w:rPr>
        <w:t>Premiums</w:t>
      </w:r>
      <w:r>
        <w:rPr>
          <w:rFonts w:ascii="Arial" w:cs="Arial" w:eastAsia="Arial" w:hAnsi="Arial"/>
          <w:sz w:val="19"/>
          <w:szCs w:val="19"/>
          <w:color w:val="auto"/>
        </w:rPr>
        <w:t>”) through the period (the “</w:t>
      </w:r>
      <w:r>
        <w:rPr>
          <w:rFonts w:ascii="Arial" w:cs="Arial" w:eastAsia="Arial" w:hAnsi="Arial"/>
          <w:sz w:val="19"/>
          <w:szCs w:val="19"/>
          <w:b w:val="1"/>
          <w:bCs w:val="1"/>
          <w:color w:val="auto"/>
        </w:rPr>
        <w:t>COBRA Premium Period</w:t>
      </w:r>
      <w:r>
        <w:rPr>
          <w:rFonts w:ascii="Arial" w:cs="Arial" w:eastAsia="Arial" w:hAnsi="Arial"/>
          <w:sz w:val="19"/>
          <w:szCs w:val="19"/>
          <w:color w:val="auto"/>
        </w:rPr>
        <w:t>”) starting on Executive’s date of termination and 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earliest to occur of: (i) the 9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Notwithstanding the foregoing, if the Company determines, in its sole discretion, that it cannot pay the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Arial" w:cs="Arial" w:eastAsia="Arial" w:hAnsi="Arial"/>
          <w:sz w:val="19"/>
          <w:szCs w:val="19"/>
          <w:b w:val="1"/>
          <w:bCs w:val="1"/>
          <w:color w:val="auto"/>
        </w:rPr>
        <w:t>Special Cash Payment</w:t>
      </w:r>
      <w:r>
        <w:rPr>
          <w:rFonts w:ascii="Arial" w:cs="Arial" w:eastAsia="Arial" w:hAnsi="Arial"/>
          <w:sz w:val="19"/>
          <w:szCs w:val="19"/>
          <w:color w:val="auto"/>
        </w:rPr>
        <w:t>”), for the remainder of the COBRA Premium Period. Executive may, but is not obligated to, use such Special Cash Payments toward the cost of COBRA premiums.</w:t>
      </w:r>
    </w:p>
    <w:p>
      <w:pPr>
        <w:spacing w:after="0" w:line="266" w:lineRule="exact"/>
        <w:rPr>
          <w:rFonts w:ascii="Arial" w:cs="Arial" w:eastAsia="Arial" w:hAnsi="Arial"/>
          <w:sz w:val="19"/>
          <w:szCs w:val="19"/>
          <w:b w:val="1"/>
          <w:bCs w:val="1"/>
          <w:color w:val="auto"/>
        </w:rPr>
      </w:pPr>
    </w:p>
    <w:p>
      <w:pPr>
        <w:jc w:val="both"/>
        <w:ind w:left="-1020" w:firstLine="1887"/>
        <w:spacing w:after="0" w:line="219" w:lineRule="auto"/>
        <w:tabs>
          <w:tab w:leader="none" w:pos="1458" w:val="left"/>
        </w:tabs>
        <w:numPr>
          <w:ilvl w:val="0"/>
          <w:numId w:val="84"/>
        </w:numPr>
        <w:rPr>
          <w:rFonts w:ascii="Arial" w:cs="Arial" w:eastAsia="Arial" w:hAnsi="Arial"/>
          <w:sz w:val="21"/>
          <w:szCs w:val="21"/>
          <w:b w:val="1"/>
          <w:bCs w:val="1"/>
          <w:color w:val="auto"/>
        </w:rPr>
      </w:pPr>
      <w:r>
        <w:rPr>
          <w:rFonts w:ascii="Arial" w:cs="Arial" w:eastAsia="Arial" w:hAnsi="Arial"/>
          <w:sz w:val="21"/>
          <w:szCs w:val="21"/>
          <w:color w:val="auto"/>
        </w:rPr>
        <w:t xml:space="preserve">The amounts payable under this Section 5.2, to the extent taxable, shall be paid or commence to be paid within 60 days after the date of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shall be paid or commence to be paid in the second calendar year by the last day of such 60-day period.</w:t>
      </w:r>
    </w:p>
    <w:p>
      <w:pPr>
        <w:sectPr>
          <w:pgSz w:w="11900" w:h="16838" w:orient="portrait"/>
          <w:cols w:equalWidth="0" w:num="1">
            <w:col w:w="10040"/>
          </w:cols>
          <w:pgMar w:left="1440" w:top="1272" w:right="419" w:bottom="1440" w:gutter="0" w:footer="0" w:header="0"/>
        </w:sectPr>
      </w:pPr>
    </w:p>
    <w:bookmarkStart w:id="182" w:name="page183"/>
    <w:bookmarkEnd w:id="182"/>
    <w:p>
      <w:pPr>
        <w:spacing w:after="0" w:line="23" w:lineRule="exact"/>
        <w:rPr>
          <w:sz w:val="20"/>
          <w:szCs w:val="20"/>
          <w:color w:val="auto"/>
        </w:rPr>
      </w:pPr>
    </w:p>
    <w:p>
      <w:pPr>
        <w:ind w:left="1" w:right="160" w:firstLine="1258"/>
        <w:spacing w:after="0" w:line="239" w:lineRule="auto"/>
        <w:rPr>
          <w:sz w:val="20"/>
          <w:szCs w:val="20"/>
          <w:color w:val="auto"/>
        </w:rPr>
      </w:pPr>
      <w:r>
        <w:rPr>
          <w:rFonts w:ascii="Arial" w:cs="Arial" w:eastAsia="Arial" w:hAnsi="Arial"/>
          <w:sz w:val="21"/>
          <w:szCs w:val="21"/>
          <w:b w:val="1"/>
          <w:bCs w:val="1"/>
          <w:color w:val="auto"/>
        </w:rPr>
        <w:t>5.3 Severance Pay and Benefits Upon Termination Without Cause or Resignation for Good Reason Within the Change of Control Period.</w:t>
      </w:r>
    </w:p>
    <w:p>
      <w:pPr>
        <w:spacing w:after="0" w:line="181" w:lineRule="exact"/>
        <w:rPr>
          <w:sz w:val="20"/>
          <w:szCs w:val="20"/>
          <w:color w:val="auto"/>
        </w:rPr>
      </w:pPr>
    </w:p>
    <w:p>
      <w:pPr>
        <w:jc w:val="both"/>
        <w:ind w:left="1" w:firstLine="1887"/>
        <w:spacing w:after="0" w:line="219" w:lineRule="auto"/>
        <w:tabs>
          <w:tab w:leader="none" w:pos="2389" w:val="left"/>
        </w:tabs>
        <w:numPr>
          <w:ilvl w:val="1"/>
          <w:numId w:val="85"/>
        </w:numPr>
        <w:rPr>
          <w:rFonts w:ascii="Arial" w:cs="Arial" w:eastAsia="Arial" w:hAnsi="Arial"/>
          <w:sz w:val="21"/>
          <w:szCs w:val="21"/>
          <w:b w:val="1"/>
          <w:bCs w:val="1"/>
          <w:color w:val="auto"/>
        </w:rPr>
      </w:pPr>
      <w:r>
        <w:rPr>
          <w:rFonts w:ascii="Arial" w:cs="Arial" w:eastAsia="Arial" w:hAnsi="Arial"/>
          <w:sz w:val="21"/>
          <w:szCs w:val="21"/>
          <w:color w:val="auto"/>
        </w:rPr>
        <w:t>The provisions of this Section 5.3 shall apply in lieu of, and expressly supersede, the provisions of Section 5.2 regarding severance pay and benefits upon a termination of employment by the Company without Cause or by Executive for Good Reason if such termination of employment occurs on or within 12 months after the occurrence of the first event constituting a Change of Control (such period, the “</w:t>
      </w:r>
      <w:r>
        <w:rPr>
          <w:rFonts w:ascii="Arial" w:cs="Arial" w:eastAsia="Arial" w:hAnsi="Arial"/>
          <w:sz w:val="21"/>
          <w:szCs w:val="21"/>
          <w:b w:val="1"/>
          <w:bCs w:val="1"/>
          <w:color w:val="auto"/>
        </w:rPr>
        <w:t>Change of Control Period</w:t>
      </w:r>
      <w:r>
        <w:rPr>
          <w:rFonts w:ascii="Arial" w:cs="Arial" w:eastAsia="Arial" w:hAnsi="Arial"/>
          <w:sz w:val="21"/>
          <w:szCs w:val="21"/>
          <w:color w:val="auto"/>
        </w:rPr>
        <w:t>”). These provisions shall terminate and be of no further force or effect after the Change of Control Period</w:t>
      </w:r>
    </w:p>
    <w:p>
      <w:pPr>
        <w:spacing w:after="0" w:line="196" w:lineRule="exact"/>
        <w:rPr>
          <w:rFonts w:ascii="Arial" w:cs="Arial" w:eastAsia="Arial" w:hAnsi="Arial"/>
          <w:sz w:val="21"/>
          <w:szCs w:val="21"/>
          <w:b w:val="1"/>
          <w:bCs w:val="1"/>
          <w:color w:val="auto"/>
        </w:rPr>
      </w:pPr>
    </w:p>
    <w:p>
      <w:pPr>
        <w:jc w:val="both"/>
        <w:ind w:left="1" w:firstLine="1887"/>
        <w:spacing w:after="0" w:line="257" w:lineRule="auto"/>
        <w:tabs>
          <w:tab w:leader="none" w:pos="2421"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In the event that Executive’s employment with the Company is terminated by the Company without Cause or by Executive for Good Reason, in either case during the Change of Control Period, then, provided Executive remains in compliance with the terms of this Agreement, the Company shall provide Executive with the following severance benefits:</w:t>
      </w:r>
    </w:p>
    <w:p>
      <w:pPr>
        <w:spacing w:after="0" w:line="242" w:lineRule="exact"/>
        <w:rPr>
          <w:rFonts w:ascii="Arial" w:cs="Arial" w:eastAsia="Arial" w:hAnsi="Arial"/>
          <w:sz w:val="19"/>
          <w:szCs w:val="19"/>
          <w:b w:val="1"/>
          <w:bCs w:val="1"/>
          <w:color w:val="auto"/>
        </w:rPr>
      </w:pPr>
    </w:p>
    <w:p>
      <w:pPr>
        <w:jc w:val="both"/>
        <w:ind w:left="1" w:firstLine="2517"/>
        <w:spacing w:after="0" w:line="222" w:lineRule="auto"/>
        <w:tabs>
          <w:tab w:leader="none" w:pos="3025" w:val="left"/>
        </w:tabs>
        <w:numPr>
          <w:ilvl w:val="2"/>
          <w:numId w:val="85"/>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as severance, a lump sum in cash in an amount equal to 1 times the sum of (A) Executive’s then current Base Salary (or Executive’s Base Salary in effect immediately prior to the Change of Control, if higher) plus (B) Executive’s Annual Bonus for the then-current year (or Executive’s Annual Bonus in effect immediately prior to the Change of Control, if higher) (the “</w:t>
      </w:r>
      <w:r>
        <w:rPr>
          <w:rFonts w:ascii="Arial" w:cs="Arial" w:eastAsia="Arial" w:hAnsi="Arial"/>
          <w:sz w:val="21"/>
          <w:szCs w:val="21"/>
          <w:b w:val="1"/>
          <w:bCs w:val="1"/>
          <w:color w:val="auto"/>
        </w:rPr>
        <w:t>Change of Control Severance</w:t>
      </w:r>
      <w:r>
        <w:rPr>
          <w:rFonts w:ascii="Arial" w:cs="Arial" w:eastAsia="Arial" w:hAnsi="Arial"/>
          <w:sz w:val="21"/>
          <w:szCs w:val="21"/>
          <w:color w:val="auto"/>
        </w:rPr>
        <w:t>”).</w:t>
      </w:r>
    </w:p>
    <w:p>
      <w:pPr>
        <w:spacing w:after="0" w:line="194" w:lineRule="exact"/>
        <w:rPr>
          <w:rFonts w:ascii="Arial" w:cs="Arial" w:eastAsia="Arial" w:hAnsi="Arial"/>
          <w:sz w:val="21"/>
          <w:szCs w:val="21"/>
          <w:b w:val="1"/>
          <w:bCs w:val="1"/>
          <w:color w:val="auto"/>
        </w:rPr>
      </w:pPr>
    </w:p>
    <w:p>
      <w:pPr>
        <w:jc w:val="both"/>
        <w:ind w:left="1" w:firstLine="2517"/>
        <w:spacing w:after="0" w:line="250" w:lineRule="auto"/>
        <w:tabs>
          <w:tab w:leader="none" w:pos="3063" w:val="left"/>
        </w:tabs>
        <w:numPr>
          <w:ilvl w:val="2"/>
          <w:numId w:val="85"/>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any applicable option agreement or other stock-based award agreement, all time-based stock options and other stock-based awards subject to time-based vesting held by Executive (the “</w:t>
      </w:r>
      <w:r>
        <w:rPr>
          <w:rFonts w:ascii="Arial" w:cs="Arial" w:eastAsia="Arial" w:hAnsi="Arial"/>
          <w:sz w:val="18"/>
          <w:szCs w:val="18"/>
          <w:b w:val="1"/>
          <w:bCs w:val="1"/>
          <w:color w:val="auto"/>
        </w:rPr>
        <w:t>Time-Based Equity Awards</w:t>
      </w:r>
      <w:r>
        <w:rPr>
          <w:rFonts w:ascii="Arial" w:cs="Arial" w:eastAsia="Arial" w:hAnsi="Arial"/>
          <w:sz w:val="18"/>
          <w:szCs w:val="18"/>
          <w:color w:val="auto"/>
        </w:rPr>
        <w:t>”) shall immediately accelerate and become fully exercisable or nonforfeitable as of the later of</w:t>
      </w:r>
    </w:p>
    <w:p>
      <w:pPr>
        <w:jc w:val="both"/>
        <w:ind w:left="1" w:hanging="1"/>
        <w:spacing w:after="0" w:line="214" w:lineRule="auto"/>
        <w:tabs>
          <w:tab w:leader="none" w:pos="277"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date of termination or (ii) the effective date of the Separation Agreement (as defined below) (the “</w:t>
      </w:r>
      <w:r>
        <w:rPr>
          <w:rFonts w:ascii="Arial" w:cs="Arial" w:eastAsia="Arial" w:hAnsi="Arial"/>
          <w:sz w:val="21"/>
          <w:szCs w:val="21"/>
          <w:b w:val="1"/>
          <w:bCs w:val="1"/>
          <w:color w:val="auto"/>
        </w:rPr>
        <w:t>Accelerated Vesting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any termination or forfeiture of the unvested portion of such Time-Based Equity Awards that would</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occur on the date of termination in the absence of this Agreement will be delayed until the effective date of the Separation Agreement and will only occur if the vesting pursuant to this subsection does not occur due to the absence of the Separation Agreement becoming fully effective within the time period set forth therein. Notwithstanding the foregoing, no additional vesting of the Time-Based Equity Awards shall occur during the period between Executive’s date of termination and the Accelerated Vesting Date.</w:t>
      </w:r>
    </w:p>
    <w:p>
      <w:pPr>
        <w:spacing w:after="0" w:line="22" w:lineRule="exact"/>
        <w:rPr>
          <w:rFonts w:ascii="Arial" w:cs="Arial" w:eastAsia="Arial" w:hAnsi="Arial"/>
          <w:sz w:val="21"/>
          <w:szCs w:val="21"/>
          <w:color w:val="auto"/>
        </w:rPr>
      </w:pPr>
    </w:p>
    <w:p>
      <w:pPr>
        <w:jc w:val="both"/>
        <w:ind w:left="1" w:firstLine="2517"/>
        <w:spacing w:after="0" w:line="223" w:lineRule="auto"/>
        <w:tabs>
          <w:tab w:leader="none" w:pos="3040" w:val="left"/>
        </w:tabs>
        <w:numPr>
          <w:ilvl w:val="2"/>
          <w:numId w:val="86"/>
        </w:numPr>
        <w:rPr>
          <w:rFonts w:ascii="Arial" w:cs="Arial" w:eastAsia="Arial" w:hAnsi="Arial"/>
          <w:sz w:val="20"/>
          <w:szCs w:val="20"/>
          <w:b w:val="1"/>
          <w:bCs w:val="1"/>
          <w:color w:val="auto"/>
        </w:rPr>
      </w:pPr>
      <w:r>
        <w:rPr>
          <w:rFonts w:ascii="Arial" w:cs="Arial" w:eastAsia="Arial" w:hAnsi="Arial"/>
          <w:sz w:val="20"/>
          <w:szCs w:val="20"/>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Arial" w:cs="Arial" w:eastAsia="Arial" w:hAnsi="Arial"/>
          <w:sz w:val="20"/>
          <w:szCs w:val="20"/>
          <w:b w:val="1"/>
          <w:bCs w:val="1"/>
          <w:color w:val="auto"/>
        </w:rPr>
        <w:t>COC</w:t>
      </w:r>
      <w:r>
        <w:rPr>
          <w:rFonts w:ascii="Arial" w:cs="Arial" w:eastAsia="Arial" w:hAnsi="Arial"/>
          <w:sz w:val="20"/>
          <w:szCs w:val="20"/>
          <w:color w:val="auto"/>
        </w:rPr>
        <w:t xml:space="preserve"> </w:t>
      </w:r>
      <w:r>
        <w:rPr>
          <w:rFonts w:ascii="Arial" w:cs="Arial" w:eastAsia="Arial" w:hAnsi="Arial"/>
          <w:sz w:val="20"/>
          <w:szCs w:val="20"/>
          <w:b w:val="1"/>
          <w:bCs w:val="1"/>
          <w:color w:val="auto"/>
        </w:rPr>
        <w:t>COBRA Premiums</w:t>
      </w:r>
      <w:r>
        <w:rPr>
          <w:rFonts w:ascii="Arial" w:cs="Arial" w:eastAsia="Arial" w:hAnsi="Arial"/>
          <w:sz w:val="20"/>
          <w:szCs w:val="20"/>
          <w:color w:val="auto"/>
        </w:rPr>
        <w:t>”) through the period (the “</w:t>
      </w:r>
      <w:r>
        <w:rPr>
          <w:rFonts w:ascii="Arial" w:cs="Arial" w:eastAsia="Arial" w:hAnsi="Arial"/>
          <w:sz w:val="20"/>
          <w:szCs w:val="20"/>
          <w:b w:val="1"/>
          <w:bCs w:val="1"/>
          <w:color w:val="auto"/>
        </w:rPr>
        <w:t>COC COBRA Premium Period</w:t>
      </w:r>
      <w:r>
        <w:rPr>
          <w:rFonts w:ascii="Arial" w:cs="Arial" w:eastAsia="Arial" w:hAnsi="Arial"/>
          <w:sz w:val="20"/>
          <w:szCs w:val="20"/>
          <w:color w:val="auto"/>
        </w:rPr>
        <w:t>”) starting on Executive’s date of termination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ending on the earliest to occur of: (i) the 12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COC COBRA Premium Period, Executive must immediately notify the Company of such event. Notwithstanding the foregoing, if the Company determines, in its sole discretion, that it cannot pay the COC COBRA Premiums without potentially violating applicable law (including, without limitation, Section 2716 of the Public Health Service Act), the Company instead shall pay to Executive, on the first day of each calendar</w:t>
      </w:r>
    </w:p>
    <w:p>
      <w:pPr>
        <w:sectPr>
          <w:pgSz w:w="11900" w:h="16838" w:orient="portrait"/>
          <w:cols w:equalWidth="0" w:num="1">
            <w:col w:w="11061"/>
          </w:cols>
          <w:pgMar w:left="419" w:top="1440" w:right="419" w:bottom="1440" w:gutter="0" w:footer="0" w:header="0"/>
        </w:sectPr>
      </w:pPr>
    </w:p>
    <w:bookmarkStart w:id="183" w:name="page184"/>
    <w:bookmarkEnd w:id="183"/>
    <w:p>
      <w:pPr>
        <w:jc w:val="both"/>
        <w:spacing w:after="0" w:line="248" w:lineRule="auto"/>
        <w:rPr>
          <w:sz w:val="20"/>
          <w:szCs w:val="20"/>
          <w:color w:val="auto"/>
        </w:rPr>
      </w:pPr>
      <w:r>
        <w:rPr>
          <w:rFonts w:ascii="Arial" w:cs="Arial" w:eastAsia="Arial" w:hAnsi="Arial"/>
          <w:sz w:val="19"/>
          <w:szCs w:val="19"/>
          <w:color w:val="auto"/>
        </w:rPr>
        <w:t>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Arial" w:cs="Arial" w:eastAsia="Arial" w:hAnsi="Arial"/>
          <w:sz w:val="19"/>
          <w:szCs w:val="19"/>
          <w:b w:val="1"/>
          <w:bCs w:val="1"/>
          <w:color w:val="auto"/>
        </w:rPr>
        <w:t>COC Special Cash Payment</w:t>
      </w:r>
      <w:r>
        <w:rPr>
          <w:rFonts w:ascii="Arial" w:cs="Arial" w:eastAsia="Arial" w:hAnsi="Arial"/>
          <w:sz w:val="19"/>
          <w:szCs w:val="19"/>
          <w:color w:val="auto"/>
        </w:rPr>
        <w:t>”), for the remainder of the COC COBRA Premium Period. Executive may, but is not obligated to, use such COC Special Cash Payments toward the cost of COBRA premiums.</w:t>
      </w:r>
    </w:p>
    <w:p>
      <w:pPr>
        <w:spacing w:after="0" w:line="251" w:lineRule="exact"/>
        <w:rPr>
          <w:sz w:val="20"/>
          <w:szCs w:val="20"/>
          <w:color w:val="auto"/>
        </w:rPr>
      </w:pPr>
    </w:p>
    <w:p>
      <w:pPr>
        <w:jc w:val="both"/>
        <w:ind w:right="20" w:firstLine="1887"/>
        <w:spacing w:after="0" w:line="219" w:lineRule="auto"/>
        <w:tabs>
          <w:tab w:leader="none" w:pos="2478" w:val="left"/>
        </w:tabs>
        <w:numPr>
          <w:ilvl w:val="0"/>
          <w:numId w:val="87"/>
        </w:numPr>
        <w:rPr>
          <w:rFonts w:ascii="Arial" w:cs="Arial" w:eastAsia="Arial" w:hAnsi="Arial"/>
          <w:sz w:val="21"/>
          <w:szCs w:val="21"/>
          <w:b w:val="1"/>
          <w:bCs w:val="1"/>
          <w:color w:val="auto"/>
        </w:rPr>
      </w:pPr>
      <w:r>
        <w:rPr>
          <w:rFonts w:ascii="Arial" w:cs="Arial" w:eastAsia="Arial" w:hAnsi="Arial"/>
          <w:sz w:val="21"/>
          <w:szCs w:val="21"/>
          <w:color w:val="auto"/>
        </w:rPr>
        <w:t xml:space="preserve">The amounts payable under this Section 5.3, to the extent taxable, shall be paid or commence to be paid within 60 days after the date of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90" w:lineRule="exact"/>
        <w:rPr>
          <w:rFonts w:ascii="Arial" w:cs="Arial" w:eastAsia="Arial" w:hAnsi="Arial"/>
          <w:sz w:val="21"/>
          <w:szCs w:val="21"/>
          <w:b w:val="1"/>
          <w:bCs w:val="1"/>
          <w:color w:val="auto"/>
        </w:rPr>
      </w:pPr>
    </w:p>
    <w:p>
      <w:pPr>
        <w:ind w:left="2380" w:hanging="492"/>
        <w:spacing w:after="0"/>
        <w:tabs>
          <w:tab w:leader="none" w:pos="238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Limitation.</w:t>
      </w:r>
    </w:p>
    <w:p>
      <w:pPr>
        <w:spacing w:after="0" w:line="210" w:lineRule="exact"/>
        <w:rPr>
          <w:rFonts w:ascii="Arial" w:cs="Arial" w:eastAsia="Arial" w:hAnsi="Arial"/>
          <w:sz w:val="21"/>
          <w:szCs w:val="21"/>
          <w:b w:val="1"/>
          <w:bCs w:val="1"/>
          <w:color w:val="auto"/>
        </w:rPr>
      </w:pPr>
    </w:p>
    <w:p>
      <w:pPr>
        <w:jc w:val="both"/>
        <w:ind w:firstLine="2517"/>
        <w:spacing w:after="0" w:line="231" w:lineRule="auto"/>
        <w:tabs>
          <w:tab w:leader="none" w:pos="2972" w:val="left"/>
        </w:tabs>
        <w:numPr>
          <w:ilvl w:val="1"/>
          <w:numId w:val="87"/>
        </w:numPr>
        <w:rPr>
          <w:rFonts w:ascii="Arial" w:cs="Arial" w:eastAsia="Arial" w:hAnsi="Arial"/>
          <w:sz w:val="19"/>
          <w:szCs w:val="19"/>
          <w:b w:val="1"/>
          <w:bCs w:val="1"/>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9"/>
          <w:szCs w:val="19"/>
          <w:b w:val="1"/>
          <w:bCs w:val="1"/>
          <w:color w:val="auto"/>
        </w:rPr>
        <w:t>Aggregate Payments</w:t>
      </w:r>
      <w:r>
        <w:rPr>
          <w:rFonts w:ascii="Arial" w:cs="Arial" w:eastAsia="Arial" w:hAnsi="Arial"/>
          <w:sz w:val="19"/>
          <w:szCs w:val="19"/>
          <w:color w:val="auto"/>
        </w:rPr>
        <w:t xml:space="preserve">”),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1" w:lineRule="exact"/>
        <w:rPr>
          <w:rFonts w:ascii="Arial" w:cs="Arial" w:eastAsia="Arial" w:hAnsi="Arial"/>
          <w:sz w:val="19"/>
          <w:szCs w:val="19"/>
          <w:b w:val="1"/>
          <w:bCs w:val="1"/>
          <w:color w:val="auto"/>
        </w:rPr>
      </w:pPr>
    </w:p>
    <w:p>
      <w:pPr>
        <w:jc w:val="both"/>
        <w:ind w:firstLine="2517"/>
        <w:spacing w:after="0" w:line="214" w:lineRule="auto"/>
        <w:tabs>
          <w:tab w:leader="none" w:pos="3141"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For purposes of this Section 5.3(iv), the “</w:t>
      </w:r>
      <w:r>
        <w:rPr>
          <w:rFonts w:ascii="Arial" w:cs="Arial" w:eastAsia="Arial" w:hAnsi="Arial"/>
          <w:sz w:val="21"/>
          <w:szCs w:val="21"/>
          <w:b w:val="1"/>
          <w:bCs w:val="1"/>
          <w:color w:val="auto"/>
        </w:rPr>
        <w:t>After Tax Amount</w:t>
      </w:r>
      <w:r>
        <w:rPr>
          <w:rFonts w:ascii="Arial" w:cs="Arial" w:eastAsia="Arial" w:hAnsi="Arial"/>
          <w:sz w:val="21"/>
          <w:szCs w:val="21"/>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92" w:lineRule="exact"/>
        <w:rPr>
          <w:rFonts w:ascii="Arial" w:cs="Arial" w:eastAsia="Arial" w:hAnsi="Arial"/>
          <w:sz w:val="21"/>
          <w:szCs w:val="21"/>
          <w:b w:val="1"/>
          <w:bCs w:val="1"/>
          <w:color w:val="auto"/>
        </w:rPr>
      </w:pPr>
    </w:p>
    <w:p>
      <w:pPr>
        <w:jc w:val="both"/>
        <w:ind w:firstLine="2517"/>
        <w:spacing w:after="0" w:line="222" w:lineRule="auto"/>
        <w:tabs>
          <w:tab w:leader="none" w:pos="2973"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The determination as to whether a reduction in the Aggregate Payments shall be made pursuant to Section 5.3(iv)(a) shall be made by a nationally recognized accounting firm selected by the Company (the “</w:t>
      </w:r>
      <w:r>
        <w:rPr>
          <w:rFonts w:ascii="Arial" w:cs="Arial" w:eastAsia="Arial" w:hAnsi="Arial"/>
          <w:sz w:val="21"/>
          <w:szCs w:val="21"/>
          <w:b w:val="1"/>
          <w:bCs w:val="1"/>
          <w:color w:val="auto"/>
        </w:rPr>
        <w:t>Accounting Firm</w:t>
      </w:r>
      <w:r>
        <w:rPr>
          <w:rFonts w:ascii="Arial" w:cs="Arial" w:eastAsia="Arial" w:hAnsi="Arial"/>
          <w:sz w:val="21"/>
          <w:szCs w:val="21"/>
          <w:color w:val="auto"/>
        </w:rPr>
        <w:t>”), which shall provide detailed supporting calculations both to the Company and Executive within 15 business days of the date of termination, if applicable, or at such earlier time as</w:t>
      </w:r>
    </w:p>
    <w:p>
      <w:pPr>
        <w:sectPr>
          <w:pgSz w:w="11900" w:h="16838" w:orient="portrait"/>
          <w:cols w:equalWidth="0" w:num="1">
            <w:col w:w="11060"/>
          </w:cols>
          <w:pgMar w:left="420" w:top="1351" w:right="419" w:bottom="1440" w:gutter="0" w:footer="0" w:header="0"/>
        </w:sectPr>
      </w:pPr>
    </w:p>
    <w:bookmarkStart w:id="184" w:name="page185"/>
    <w:bookmarkEnd w:id="184"/>
    <w:p>
      <w:pPr>
        <w:ind w:right="20"/>
        <w:spacing w:after="0" w:line="236" w:lineRule="auto"/>
        <w:rPr>
          <w:sz w:val="20"/>
          <w:szCs w:val="20"/>
          <w:color w:val="auto"/>
        </w:rPr>
      </w:pPr>
      <w:r>
        <w:rPr>
          <w:rFonts w:ascii="Arial" w:cs="Arial" w:eastAsia="Arial" w:hAnsi="Arial"/>
          <w:sz w:val="21"/>
          <w:szCs w:val="21"/>
          <w:color w:val="auto"/>
        </w:rPr>
        <w:t>is reasonably requested by the Company or Executive. Any determination by the Accounting Firm shall be binding upon the Company and Executive.</w:t>
      </w:r>
    </w:p>
    <w:p>
      <w:pPr>
        <w:spacing w:after="0" w:line="180" w:lineRule="exact"/>
        <w:rPr>
          <w:sz w:val="20"/>
          <w:szCs w:val="20"/>
          <w:color w:val="auto"/>
        </w:rPr>
      </w:pPr>
    </w:p>
    <w:p>
      <w:pPr>
        <w:ind w:left="1260"/>
        <w:spacing w:after="0"/>
        <w:tabs>
          <w:tab w:leader="none" w:pos="1700" w:val="left"/>
        </w:tabs>
        <w:rPr>
          <w:sz w:val="20"/>
          <w:szCs w:val="20"/>
          <w:color w:val="auto"/>
        </w:rPr>
      </w:pPr>
      <w:r>
        <w:rPr>
          <w:rFonts w:ascii="Arial" w:cs="Arial" w:eastAsia="Arial" w:hAnsi="Arial"/>
          <w:sz w:val="21"/>
          <w:szCs w:val="21"/>
          <w:b w:val="1"/>
          <w:bCs w:val="1"/>
          <w:color w:val="auto"/>
        </w:rPr>
        <w:t>5.4</w:t>
      </w:r>
      <w:r>
        <w:rPr>
          <w:sz w:val="20"/>
          <w:szCs w:val="20"/>
          <w:color w:val="auto"/>
        </w:rPr>
        <w:tab/>
      </w:r>
      <w:r>
        <w:rPr>
          <w:rFonts w:ascii="Arial" w:cs="Arial" w:eastAsia="Arial" w:hAnsi="Arial"/>
          <w:sz w:val="18"/>
          <w:szCs w:val="18"/>
          <w:b w:val="1"/>
          <w:bCs w:val="1"/>
          <w:color w:val="auto"/>
        </w:rPr>
        <w:t>Termination for Cause; Resignation without Good Reason; Death</w:t>
      </w:r>
    </w:p>
    <w:p>
      <w:pPr>
        <w:spacing w:after="0"/>
        <w:rPr>
          <w:sz w:val="20"/>
          <w:szCs w:val="20"/>
          <w:color w:val="auto"/>
        </w:rPr>
      </w:pPr>
      <w:r>
        <w:rPr>
          <w:rFonts w:ascii="Arial" w:cs="Arial" w:eastAsia="Arial" w:hAnsi="Arial"/>
          <w:sz w:val="21"/>
          <w:szCs w:val="21"/>
          <w:b w:val="1"/>
          <w:bCs w:val="1"/>
          <w:color w:val="auto"/>
        </w:rPr>
        <w:t>or Disability.</w:t>
      </w:r>
    </w:p>
    <w:p>
      <w:pPr>
        <w:spacing w:after="0" w:line="173" w:lineRule="exact"/>
        <w:rPr>
          <w:sz w:val="20"/>
          <w:szCs w:val="20"/>
          <w:color w:val="auto"/>
        </w:rPr>
      </w:pPr>
    </w:p>
    <w:p>
      <w:pPr>
        <w:ind w:left="2300" w:hanging="412"/>
        <w:spacing w:after="0"/>
        <w:tabs>
          <w:tab w:leader="none" w:pos="230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The Company may terminate Executive’s employment with</w:t>
      </w:r>
    </w:p>
    <w:p>
      <w:pPr>
        <w:ind w:right="20"/>
        <w:spacing w:after="0" w:line="239" w:lineRule="auto"/>
        <w:rPr>
          <w:sz w:val="20"/>
          <w:szCs w:val="20"/>
          <w:color w:val="auto"/>
        </w:rPr>
      </w:pPr>
      <w:r>
        <w:rPr>
          <w:rFonts w:ascii="Arial" w:cs="Arial" w:eastAsia="Arial" w:hAnsi="Arial"/>
          <w:sz w:val="20"/>
          <w:szCs w:val="20"/>
          <w:color w:val="auto"/>
        </w:rPr>
        <w:t>the Company at any time for Cause. Further, Executive may resign at any time for any reason other than Good Reason. Executive’s employment with the Company may also be terminated due to Executive’s death or Disability (as defined below).</w:t>
      </w:r>
    </w:p>
    <w:p>
      <w:pPr>
        <w:spacing w:after="0" w:line="193" w:lineRule="exact"/>
        <w:rPr>
          <w:sz w:val="20"/>
          <w:szCs w:val="20"/>
          <w:color w:val="auto"/>
        </w:rPr>
      </w:pPr>
    </w:p>
    <w:p>
      <w:pPr>
        <w:jc w:val="both"/>
        <w:ind w:firstLine="1887"/>
        <w:spacing w:after="0" w:line="219" w:lineRule="auto"/>
        <w:tabs>
          <w:tab w:leader="none" w:pos="2433" w:val="left"/>
        </w:tabs>
        <w:numPr>
          <w:ilvl w:val="1"/>
          <w:numId w:val="89"/>
        </w:numPr>
        <w:rPr>
          <w:rFonts w:ascii="Arial" w:cs="Arial" w:eastAsia="Arial" w:hAnsi="Arial"/>
          <w:sz w:val="21"/>
          <w:szCs w:val="21"/>
          <w:b w:val="1"/>
          <w:bCs w:val="1"/>
          <w:color w:val="auto"/>
        </w:rPr>
      </w:pPr>
      <w:r>
        <w:rPr>
          <w:rFonts w:ascii="Arial" w:cs="Arial" w:eastAsia="Arial" w:hAnsi="Arial"/>
          <w:sz w:val="21"/>
          <w:szCs w:val="21"/>
          <w:color w:val="auto"/>
        </w:rPr>
        <w:t>If Executive resigns without Good Reason, or the Company terminates Executive’s employment for Cause, or upon Executive’s death or Disability, then (i) all payments of compensation by the Company to Executive hereunder will terminate immediately (except as to amounts already earned), and (ii) Executive will not be entitled to any severance benefits, including (without limitation) the Severance, COBRA Premiums, the Change of Control Severance or the COC COBRA Premiums.</w:t>
      </w:r>
    </w:p>
    <w:p>
      <w:pPr>
        <w:spacing w:after="0" w:line="177" w:lineRule="exact"/>
        <w:rPr>
          <w:rFonts w:ascii="Arial" w:cs="Arial" w:eastAsia="Arial" w:hAnsi="Arial"/>
          <w:sz w:val="21"/>
          <w:szCs w:val="21"/>
          <w:b w:val="1"/>
          <w:bCs w:val="1"/>
          <w:color w:val="auto"/>
        </w:rPr>
      </w:pPr>
    </w:p>
    <w:p>
      <w:pPr>
        <w:jc w:val="both"/>
        <w:ind w:right="20" w:firstLine="628"/>
        <w:spacing w:after="0" w:line="224" w:lineRule="auto"/>
        <w:tabs>
          <w:tab w:leader="none" w:pos="1042"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Conditions to Receipt of Severance, COBRA Premiums, Special Cash Payments and Vesting Acceleration.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of the payments and benefits described in Section 5.2 and Section 5.3 will be subject to subject to (i) Executive signing a separation agreement and release in a form and manner satisfactory to the Company, which shall include, without limitation, a general release of claims against the Company and all related persons and entities and, in the Company’s sole discretion, a one-year post-employment noncompetition agreement (the “</w:t>
      </w:r>
      <w:r>
        <w:rPr>
          <w:rFonts w:ascii="Arial" w:cs="Arial" w:eastAsia="Arial" w:hAnsi="Arial"/>
          <w:sz w:val="20"/>
          <w:szCs w:val="20"/>
          <w:b w:val="1"/>
          <w:bCs w:val="1"/>
          <w:color w:val="auto"/>
        </w:rPr>
        <w:t>Separation Agreement”</w:t>
      </w:r>
      <w:r>
        <w:rPr>
          <w:rFonts w:ascii="Arial" w:cs="Arial" w:eastAsia="Arial" w:hAnsi="Arial"/>
          <w:sz w:val="20"/>
          <w:szCs w:val="20"/>
          <w:color w:val="auto"/>
        </w:rPr>
        <w:t>) and (ii) the Separation Agreement becoming irrevocable, all within 60 days after the date of termination (or such shorter period as set forth in the Separation Agreement), which shall include a seven business day revocation period. No amounts will be paid or provided under Section 5.2 or Section 5.3 until the Separation Agreement becomes effective. Executive shall be deemed to have resigned from all officer and board member positions that the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82" w:lineRule="exact"/>
        <w:rPr>
          <w:rFonts w:ascii="Arial" w:cs="Arial" w:eastAsia="Arial" w:hAnsi="Arial"/>
          <w:sz w:val="20"/>
          <w:szCs w:val="20"/>
          <w:b w:val="1"/>
          <w:bCs w:val="1"/>
          <w:color w:val="auto"/>
        </w:rPr>
      </w:pPr>
    </w:p>
    <w:p>
      <w:pPr>
        <w:ind w:left="1000" w:hanging="372"/>
        <w:spacing w:after="0"/>
        <w:tabs>
          <w:tab w:leader="none" w:pos="100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Section 409A.</w:t>
      </w:r>
    </w:p>
    <w:p>
      <w:pPr>
        <w:spacing w:after="0" w:line="204" w:lineRule="exact"/>
        <w:rPr>
          <w:sz w:val="20"/>
          <w:szCs w:val="20"/>
          <w:color w:val="auto"/>
        </w:rPr>
      </w:pPr>
    </w:p>
    <w:p>
      <w:pPr>
        <w:jc w:val="both"/>
        <w:ind w:firstLine="1258"/>
        <w:spacing w:after="0" w:line="237"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color w:val="auto"/>
        </w:rPr>
        <w:t>Anything in this Agreement to the contrary notwithstanding, if at the time of Executive’s separation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 month period but for the application of this provision, and the balance of the installments shall be payable in accordance with their original schedule.</w:t>
      </w:r>
    </w:p>
    <w:p>
      <w:pPr>
        <w:sectPr>
          <w:pgSz w:w="11900" w:h="16838" w:orient="portrait"/>
          <w:cols w:equalWidth="0" w:num="1">
            <w:col w:w="11060"/>
          </w:cols>
          <w:pgMar w:left="420" w:top="1272" w:right="419" w:bottom="1440" w:gutter="0" w:footer="0" w:header="0"/>
        </w:sectPr>
      </w:pPr>
    </w:p>
    <w:bookmarkStart w:id="185" w:name="page186"/>
    <w:bookmarkEnd w:id="185"/>
    <w:p>
      <w:pPr>
        <w:jc w:val="both"/>
        <w:ind w:firstLine="1258"/>
        <w:spacing w:after="0"/>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color w:val="auto"/>
        </w:rPr>
        <w:t>All in-kind benefits provided and expenses eligible for reimbursement under this Agreement shall be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8" w:lineRule="exact"/>
        <w:rPr>
          <w:sz w:val="20"/>
          <w:szCs w:val="20"/>
          <w:color w:val="auto"/>
        </w:rPr>
      </w:pPr>
    </w:p>
    <w:p>
      <w:pPr>
        <w:jc w:val="both"/>
        <w:ind w:right="20" w:firstLine="1258"/>
        <w:spacing w:after="0" w:line="221" w:lineRule="auto"/>
        <w:rPr>
          <w:sz w:val="20"/>
          <w:szCs w:val="20"/>
          <w:color w:val="auto"/>
        </w:rPr>
      </w:pPr>
      <w:r>
        <w:rPr>
          <w:rFonts w:ascii="Arial" w:cs="Arial" w:eastAsia="Arial" w:hAnsi="Arial"/>
          <w:sz w:val="21"/>
          <w:szCs w:val="21"/>
          <w:b w:val="1"/>
          <w:bCs w:val="1"/>
          <w:color w:val="auto"/>
        </w:rPr>
        <w:t xml:space="preserve">7.3 </w:t>
      </w:r>
      <w:r>
        <w:rPr>
          <w:rFonts w:ascii="Arial" w:cs="Arial" w:eastAsia="Arial" w:hAnsi="Arial"/>
          <w:sz w:val="21"/>
          <w:szCs w:val="21"/>
          <w:color w:val="auto"/>
        </w:rPr>
        <w:t>To the extent that any payment or benefit described in this Agreement constitutes “non-qualified deferred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173" w:lineRule="exact"/>
        <w:rPr>
          <w:sz w:val="20"/>
          <w:szCs w:val="20"/>
          <w:color w:val="auto"/>
        </w:rPr>
      </w:pPr>
    </w:p>
    <w:p>
      <w:pPr>
        <w:jc w:val="both"/>
        <w:ind w:firstLine="1258"/>
        <w:spacing w:after="0" w:line="228" w:lineRule="auto"/>
        <w:rPr>
          <w:sz w:val="20"/>
          <w:szCs w:val="20"/>
          <w:color w:val="auto"/>
        </w:rPr>
      </w:pPr>
      <w:r>
        <w:rPr>
          <w:rFonts w:ascii="Arial" w:cs="Arial" w:eastAsia="Arial" w:hAnsi="Arial"/>
          <w:sz w:val="20"/>
          <w:szCs w:val="20"/>
          <w:b w:val="1"/>
          <w:bCs w:val="1"/>
          <w:color w:val="auto"/>
        </w:rPr>
        <w:t xml:space="preserve">7.4 </w:t>
      </w:r>
      <w:r>
        <w:rPr>
          <w:rFonts w:ascii="Arial" w:cs="Arial" w:eastAsia="Arial" w:hAnsi="Arial"/>
          <w:sz w:val="20"/>
          <w:szCs w:val="20"/>
          <w:color w:val="auto"/>
        </w:rPr>
        <w:t>The parties intend that this Agreement will be administered in accordance with Section 409A of the Code.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54"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7.5 </w:t>
      </w:r>
      <w:r>
        <w:rPr>
          <w:rFonts w:ascii="Arial" w:cs="Arial" w:eastAsia="Arial" w:hAnsi="Arial"/>
          <w:sz w:val="21"/>
          <w:szCs w:val="21"/>
          <w:color w:val="auto"/>
        </w:rPr>
        <w:t>The Company makes no representation or warranty and shall have no liability to Executive or any other person</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provisions of this Agreement are determined to constitute deferred compensation subject to Section 409A of the Code but do not satisfy an exemption from, or the conditions of, such Section.</w:t>
      </w:r>
    </w:p>
    <w:p>
      <w:pPr>
        <w:spacing w:after="0" w:line="174"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8.</w:t>
      </w:r>
      <w:r>
        <w:rPr>
          <w:sz w:val="20"/>
          <w:szCs w:val="20"/>
          <w:color w:val="auto"/>
        </w:rPr>
        <w:tab/>
      </w:r>
      <w:r>
        <w:rPr>
          <w:rFonts w:ascii="Arial" w:cs="Arial" w:eastAsia="Arial" w:hAnsi="Arial"/>
          <w:sz w:val="18"/>
          <w:szCs w:val="18"/>
          <w:b w:val="1"/>
          <w:bCs w:val="1"/>
          <w:color w:val="auto"/>
        </w:rPr>
        <w:t>Definitions.</w:t>
      </w:r>
    </w:p>
    <w:p>
      <w:pPr>
        <w:spacing w:after="0" w:line="217" w:lineRule="exact"/>
        <w:rPr>
          <w:sz w:val="20"/>
          <w:szCs w:val="20"/>
          <w:color w:val="auto"/>
        </w:rPr>
      </w:pPr>
    </w:p>
    <w:p>
      <w:pPr>
        <w:jc w:val="both"/>
        <w:ind w:firstLine="1258"/>
        <w:spacing w:after="0" w:line="226" w:lineRule="auto"/>
        <w:rPr>
          <w:sz w:val="20"/>
          <w:szCs w:val="20"/>
          <w:color w:val="auto"/>
        </w:rPr>
      </w:pPr>
      <w:r>
        <w:rPr>
          <w:rFonts w:ascii="Arial" w:cs="Arial" w:eastAsia="Arial" w:hAnsi="Arial"/>
          <w:sz w:val="20"/>
          <w:szCs w:val="20"/>
          <w:b w:val="1"/>
          <w:bCs w:val="1"/>
          <w:color w:val="auto"/>
        </w:rPr>
        <w:t>8.1 Cause</w:t>
      </w:r>
      <w:r>
        <w:rPr>
          <w:rFonts w:ascii="Arial" w:cs="Arial" w:eastAsia="Arial" w:hAnsi="Arial"/>
          <w:sz w:val="20"/>
          <w:szCs w:val="20"/>
          <w:color w:val="auto"/>
        </w:rPr>
        <w:t>. 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will mean: (a) conviction of or please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any felony or any crime involving dishonesty; (b) participation in any fraud against the Company; (c) material breach of any Company’s policy or procedure after written notice from the Company and a reasonable period of not less than twenty-one (21) calendar days in which to cure such breach (if deemed curable); (d) persistent failure or refusal to perform Executive’s job duties after written notice from the Company and a reasonable period of not less than twenty-one (21) calendar days in which to cure such performance issues (if deemed curable); (e) intentional damage to any property of the Company; (f) willful misconduct, or other violation of Company policy that causes harm; (g) breach of any written agreement by and between Executive and the Company; and (h) conduct by Executive which in the good faith and reasonable determination of the Company demonstrates gross unfitness to serve.</w:t>
      </w:r>
    </w:p>
    <w:p>
      <w:pPr>
        <w:spacing w:after="0" w:line="175" w:lineRule="exact"/>
        <w:rPr>
          <w:sz w:val="20"/>
          <w:szCs w:val="20"/>
          <w:color w:val="auto"/>
        </w:rPr>
      </w:pPr>
    </w:p>
    <w:p>
      <w:pPr>
        <w:jc w:val="both"/>
        <w:ind w:right="20" w:firstLine="1258"/>
        <w:spacing w:after="0" w:line="239" w:lineRule="auto"/>
        <w:rPr>
          <w:sz w:val="20"/>
          <w:szCs w:val="20"/>
          <w:color w:val="auto"/>
        </w:rPr>
      </w:pPr>
      <w:r>
        <w:rPr>
          <w:rFonts w:ascii="Arial" w:cs="Arial" w:eastAsia="Arial" w:hAnsi="Arial"/>
          <w:sz w:val="21"/>
          <w:szCs w:val="21"/>
          <w:b w:val="1"/>
          <w:bCs w:val="1"/>
          <w:color w:val="auto"/>
        </w:rPr>
        <w:t>8.2 Change of Control</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Change of Control</w:t>
      </w:r>
      <w:r>
        <w:rPr>
          <w:rFonts w:ascii="Arial" w:cs="Arial" w:eastAsia="Arial" w:hAnsi="Arial"/>
          <w:sz w:val="21"/>
          <w:szCs w:val="21"/>
          <w:color w:val="auto"/>
        </w:rPr>
        <w:t>” shall mean: a “Sale Event,” as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in the Company’s 2020 Stock Option and Incentive Plan.</w:t>
      </w:r>
    </w:p>
    <w:p>
      <w:pPr>
        <w:sectPr>
          <w:pgSz w:w="11900" w:h="16838" w:orient="portrait"/>
          <w:cols w:equalWidth="0" w:num="1">
            <w:col w:w="11060"/>
          </w:cols>
          <w:pgMar w:left="420" w:top="1266" w:right="419" w:bottom="1440" w:gutter="0" w:footer="0" w:header="0"/>
        </w:sectPr>
      </w:pPr>
    </w:p>
    <w:bookmarkStart w:id="186" w:name="page187"/>
    <w:bookmarkEnd w:id="186"/>
    <w:p>
      <w:pPr>
        <w:jc w:val="both"/>
        <w:ind w:left="1" w:right="20" w:firstLine="1258"/>
        <w:spacing w:after="0" w:line="224" w:lineRule="auto"/>
        <w:rPr>
          <w:sz w:val="20"/>
          <w:szCs w:val="20"/>
          <w:color w:val="auto"/>
        </w:rPr>
      </w:pPr>
      <w:r>
        <w:rPr>
          <w:rFonts w:ascii="Arial" w:cs="Arial" w:eastAsia="Arial" w:hAnsi="Arial"/>
          <w:sz w:val="21"/>
          <w:szCs w:val="21"/>
          <w:b w:val="1"/>
          <w:bCs w:val="1"/>
          <w:color w:val="auto"/>
        </w:rPr>
        <w:t>8.3 Disability</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Disability</w:t>
      </w:r>
      <w:r>
        <w:rPr>
          <w:rFonts w:ascii="Arial" w:cs="Arial" w:eastAsia="Arial" w:hAnsi="Arial"/>
          <w:sz w:val="21"/>
          <w:szCs w:val="21"/>
          <w:color w:val="auto"/>
        </w:rPr>
        <w:t>” shall mean Executive’s physical or mental condition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renders Executive unable to substantially perform for a period of ninety (90) aggregate days (regardless of whether or not continuous) during any three hundred sixty (360) day period, Executive’s regular responsibilities hereunder, with or without a reasonable accommodation.</w:t>
      </w:r>
    </w:p>
    <w:p>
      <w:pPr>
        <w:spacing w:after="0" w:line="16" w:lineRule="exact"/>
        <w:rPr>
          <w:sz w:val="20"/>
          <w:szCs w:val="20"/>
          <w:color w:val="auto"/>
        </w:rPr>
      </w:pPr>
    </w:p>
    <w:p>
      <w:pPr>
        <w:jc w:val="both"/>
        <w:ind w:left="1" w:firstLine="1258"/>
        <w:spacing w:after="0" w:line="234" w:lineRule="auto"/>
        <w:rPr>
          <w:sz w:val="20"/>
          <w:szCs w:val="20"/>
          <w:color w:val="auto"/>
        </w:rPr>
      </w:pPr>
      <w:r>
        <w:rPr>
          <w:rFonts w:ascii="Arial" w:cs="Arial" w:eastAsia="Arial" w:hAnsi="Arial"/>
          <w:sz w:val="19"/>
          <w:szCs w:val="19"/>
          <w:b w:val="1"/>
          <w:bCs w:val="1"/>
          <w:color w:val="auto"/>
        </w:rPr>
        <w:t>8.4 Good Reason</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(a) a material reduction in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Base Salary (unless pursuant to a salary reduction applicable generally to the Company’s similarly situated employees); or (b) the relocation of Executive’s place of work for the Company that is more than 40 miles from Executive’s primary place of work, unless mutually agreed upon. Notwithstanding the foregoing, no act or omission described in subclauses (a) or (b) above shall constitute “Good Reason” unless: (1) Executive first gives the Company written notice of such act or omission within forty-five (45) days of the later of the occurrence of such act or omission or Executive’s first becoming aware thereof, (2) the Company fails to cure such act or omission within twenty-one (21) days after receiving such written notice from Executive, and</w:t>
      </w:r>
    </w:p>
    <w:p>
      <w:pPr>
        <w:spacing w:after="0" w:line="2" w:lineRule="exact"/>
        <w:rPr>
          <w:sz w:val="20"/>
          <w:szCs w:val="20"/>
          <w:color w:val="auto"/>
        </w:rPr>
      </w:pPr>
    </w:p>
    <w:p>
      <w:pPr>
        <w:ind w:left="1" w:hanging="1"/>
        <w:spacing w:after="0" w:line="227" w:lineRule="auto"/>
        <w:tabs>
          <w:tab w:leader="none" w:pos="301" w:val="left"/>
        </w:tabs>
        <w:numPr>
          <w:ilvl w:val="0"/>
          <w:numId w:val="91"/>
        </w:numPr>
        <w:rPr>
          <w:rFonts w:ascii="Arial" w:cs="Arial" w:eastAsia="Arial" w:hAnsi="Arial"/>
          <w:sz w:val="21"/>
          <w:szCs w:val="21"/>
          <w:color w:val="auto"/>
        </w:rPr>
      </w:pPr>
      <w:r>
        <w:rPr>
          <w:rFonts w:ascii="Arial" w:cs="Arial" w:eastAsia="Arial" w:hAnsi="Arial"/>
          <w:sz w:val="21"/>
          <w:szCs w:val="21"/>
          <w:color w:val="auto"/>
        </w:rPr>
        <w:t>Executive resigns from employment (and all other positions, including as a member of the Board) within ten (10) days after the end of the cure period.</w:t>
      </w:r>
    </w:p>
    <w:p>
      <w:pPr>
        <w:spacing w:after="0" w:line="174" w:lineRule="exact"/>
        <w:rPr>
          <w:rFonts w:ascii="Arial" w:cs="Arial" w:eastAsia="Arial" w:hAnsi="Arial"/>
          <w:sz w:val="21"/>
          <w:szCs w:val="21"/>
          <w:color w:val="auto"/>
        </w:rPr>
      </w:pPr>
    </w:p>
    <w:p>
      <w:pPr>
        <w:ind w:left="1001" w:hanging="372"/>
        <w:spacing w:after="0"/>
        <w:tabs>
          <w:tab w:leader="none" w:pos="1001" w:val="left"/>
        </w:tabs>
        <w:numPr>
          <w:ilvl w:val="1"/>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Other Obligations.</w:t>
      </w:r>
    </w:p>
    <w:p>
      <w:pPr>
        <w:spacing w:after="0" w:line="204" w:lineRule="exact"/>
        <w:rPr>
          <w:sz w:val="20"/>
          <w:szCs w:val="20"/>
          <w:color w:val="auto"/>
        </w:rPr>
      </w:pPr>
    </w:p>
    <w:p>
      <w:pPr>
        <w:jc w:val="both"/>
        <w:ind w:left="1" w:firstLine="1258"/>
        <w:spacing w:after="0" w:line="238" w:lineRule="auto"/>
        <w:rPr>
          <w:sz w:val="20"/>
          <w:szCs w:val="20"/>
          <w:color w:val="auto"/>
        </w:rPr>
      </w:pPr>
      <w:r>
        <w:rPr>
          <w:rFonts w:ascii="Arial" w:cs="Arial" w:eastAsia="Arial" w:hAnsi="Arial"/>
          <w:sz w:val="19"/>
          <w:szCs w:val="19"/>
          <w:b w:val="1"/>
          <w:bCs w:val="1"/>
          <w:color w:val="auto"/>
        </w:rPr>
        <w:t xml:space="preserve">9.1 Restrictive Covenants. </w:t>
      </w:r>
      <w:r>
        <w:rPr>
          <w:rFonts w:ascii="Arial" w:cs="Arial" w:eastAsia="Arial" w:hAnsi="Arial"/>
          <w:sz w:val="19"/>
          <w:szCs w:val="19"/>
          <w:color w:val="auto"/>
        </w:rPr>
        <w:t>In connection with Executive’s employment with the Company, Executive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receive access to Company confidential information and trade secrets and develop valuable goodwill with the Company’s customers, partners and vendors. To protect the Company’s legitimate business interests, Executive executed the Employee Confidentiality, Assignment and Nonsolicitation Agreement on March 5, 2019 (the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In connection with Executive’s execution of this Amended and Restated Employment Agreement and in further consideration of Executive’s employment with the Company, Executive agrees to execute a Non-Competition Agreement (the “Non-Competition Agreement”) in a form acceptable to the Company, which Executive will do in or around September 2020. Executive herein acknowledges and agrees that (i) the Confidentiality Agreement shall continue in full force and effect in accordance with its terms, and (ii) Executive will abide by the terms of the Confidentiality Agreement and the Non-Competition Agreement at all times.</w:t>
      </w:r>
    </w:p>
    <w:p>
      <w:pPr>
        <w:spacing w:after="0" w:line="187" w:lineRule="exact"/>
        <w:rPr>
          <w:sz w:val="20"/>
          <w:szCs w:val="20"/>
          <w:color w:val="auto"/>
        </w:rPr>
      </w:pPr>
    </w:p>
    <w:p>
      <w:pPr>
        <w:jc w:val="both"/>
        <w:ind w:left="1" w:firstLine="1258"/>
        <w:spacing w:after="0" w:line="226" w:lineRule="auto"/>
        <w:rPr>
          <w:sz w:val="20"/>
          <w:szCs w:val="20"/>
          <w:color w:val="auto"/>
        </w:rPr>
      </w:pPr>
      <w:r>
        <w:rPr>
          <w:rFonts w:ascii="Arial" w:cs="Arial" w:eastAsia="Arial" w:hAnsi="Arial"/>
          <w:sz w:val="20"/>
          <w:szCs w:val="20"/>
          <w:b w:val="1"/>
          <w:bCs w:val="1"/>
          <w:color w:val="auto"/>
        </w:rPr>
        <w:t xml:space="preserve">9.2 Third-Party Agreements and Information. </w:t>
      </w:r>
      <w:r>
        <w:rPr>
          <w:rFonts w:ascii="Arial" w:cs="Arial" w:eastAsia="Arial" w:hAnsi="Arial"/>
          <w:sz w:val="20"/>
          <w:szCs w:val="20"/>
          <w:color w:val="auto"/>
        </w:rPr>
        <w:t>Executive represents and warrants that Executive’s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by the Company does not conflict with any prior employment or consulting agreement or other agreement with any third party, and that Executive will perform Executive’s duties to the Company without violating any such agreement. Executive represents and warrants that Executive will not use or disclose confidential information arising out of prior employment, consulting, or other third party relationships, in connection with Executive’s employment by the Company, except as expressly authorized by that third party. During Executive’s employment by the Company, Executive will use in the performance of Executive’s duties only information which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ectPr>
          <w:pgSz w:w="11900" w:h="16838" w:orient="portrait"/>
          <w:cols w:equalWidth="0" w:num="1">
            <w:col w:w="11061"/>
          </w:cols>
          <w:pgMar w:left="419" w:top="1345" w:right="419" w:bottom="1440" w:gutter="0" w:footer="0" w:header="0"/>
        </w:sectPr>
      </w:pPr>
    </w:p>
    <w:bookmarkStart w:id="187" w:name="page188"/>
    <w:bookmarkEnd w:id="187"/>
    <w:p>
      <w:pPr>
        <w:ind w:left="620"/>
        <w:spacing w:after="0"/>
        <w:tabs>
          <w:tab w:leader="none" w:pos="108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9"/>
          <w:szCs w:val="19"/>
          <w:b w:val="1"/>
          <w:bCs w:val="1"/>
          <w:color w:val="auto"/>
        </w:rPr>
        <w:t>Outside Activities During Employment.</w:t>
      </w:r>
    </w:p>
    <w:p>
      <w:pPr>
        <w:spacing w:after="0" w:line="217" w:lineRule="exact"/>
        <w:rPr>
          <w:sz w:val="20"/>
          <w:szCs w:val="20"/>
          <w:color w:val="auto"/>
        </w:rPr>
      </w:pPr>
    </w:p>
    <w:p>
      <w:pPr>
        <w:jc w:val="both"/>
        <w:ind w:right="20" w:firstLine="1258"/>
        <w:spacing w:after="0" w:line="250" w:lineRule="auto"/>
        <w:rPr>
          <w:sz w:val="20"/>
          <w:szCs w:val="20"/>
          <w:color w:val="auto"/>
        </w:rPr>
      </w:pPr>
      <w:r>
        <w:rPr>
          <w:rFonts w:ascii="Arial" w:cs="Arial" w:eastAsia="Arial" w:hAnsi="Arial"/>
          <w:sz w:val="19"/>
          <w:szCs w:val="19"/>
          <w:b w:val="1"/>
          <w:bCs w:val="1"/>
          <w:color w:val="auto"/>
        </w:rPr>
        <w:t xml:space="preserve">10.1 Non-Company Business. </w:t>
      </w:r>
      <w:r>
        <w:rPr>
          <w:rFonts w:ascii="Arial" w:cs="Arial" w:eastAsia="Arial" w:hAnsi="Arial"/>
          <w:sz w:val="19"/>
          <w:szCs w:val="19"/>
          <w:color w:val="auto"/>
        </w:rPr>
        <w:t>Except with the prior written consent of the Board, Executive will not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Executive’s employment with the Company undertake or engage in any other employment, occupation or business enterprise, other than ones in which Executive is a passive investor. In any event, Executive may engage in civic and not-for-profit activities so long as such activities do not materially interfere with the performance of Executive’s duties hereunder.</w:t>
      </w:r>
    </w:p>
    <w:p>
      <w:pPr>
        <w:spacing w:after="0" w:line="165"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10.2 No Adverse Interests. </w:t>
      </w:r>
      <w:r>
        <w:rPr>
          <w:rFonts w:ascii="Arial" w:cs="Arial" w:eastAsia="Arial" w:hAnsi="Arial"/>
          <w:sz w:val="21"/>
          <w:szCs w:val="21"/>
          <w:color w:val="auto"/>
        </w:rPr>
        <w:t>Executive agrees not to acquire, assume or participate in, directly or indirectly, any</w:t>
      </w:r>
      <w:r>
        <w:rPr>
          <w:rFonts w:ascii="Arial" w:cs="Arial" w:eastAsia="Arial" w:hAnsi="Arial"/>
          <w:sz w:val="21"/>
          <w:szCs w:val="21"/>
          <w:b w:val="1"/>
          <w:bCs w:val="1"/>
          <w:color w:val="auto"/>
        </w:rPr>
        <w:t xml:space="preserve"> </w:t>
      </w:r>
      <w:r>
        <w:rPr>
          <w:rFonts w:ascii="Arial" w:cs="Arial" w:eastAsia="Arial" w:hAnsi="Arial"/>
          <w:sz w:val="21"/>
          <w:szCs w:val="21"/>
          <w:color w:val="auto"/>
        </w:rPr>
        <w:t>position, investment or interest known to be adverse or antagonistic to the Company, its business or prospects, financial or otherwise.</w:t>
      </w:r>
    </w:p>
    <w:p>
      <w:pPr>
        <w:spacing w:after="0" w:line="17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8"/>
          <w:szCs w:val="18"/>
          <w:b w:val="1"/>
          <w:bCs w:val="1"/>
          <w:color w:val="auto"/>
        </w:rPr>
        <w:t>General Provisions.</w:t>
      </w:r>
    </w:p>
    <w:p>
      <w:pPr>
        <w:spacing w:after="0" w:line="204"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11.1 Notices. </w:t>
      </w:r>
      <w:r>
        <w:rPr>
          <w:rFonts w:ascii="Arial" w:cs="Arial" w:eastAsia="Arial" w:hAnsi="Arial"/>
          <w:sz w:val="21"/>
          <w:szCs w:val="21"/>
          <w:color w:val="auto"/>
        </w:rPr>
        <w:t>Any notices provided must be in writing and will be deemed effective upon the earlier of personal</w:t>
      </w:r>
      <w:r>
        <w:rPr>
          <w:rFonts w:ascii="Arial" w:cs="Arial" w:eastAsia="Arial" w:hAnsi="Arial"/>
          <w:sz w:val="21"/>
          <w:szCs w:val="21"/>
          <w:b w:val="1"/>
          <w:bCs w:val="1"/>
          <w:color w:val="auto"/>
        </w:rPr>
        <w:t xml:space="preserve"> </w:t>
      </w:r>
      <w:r>
        <w:rPr>
          <w:rFonts w:ascii="Arial" w:cs="Arial" w:eastAsia="Arial" w:hAnsi="Arial"/>
          <w:sz w:val="21"/>
          <w:szCs w:val="21"/>
          <w:color w:val="auto"/>
        </w:rPr>
        <w:t>delivery (including personal delivery by fax) or the next day after sending by overnight carrier, to the Company at its primary office location and to Executive at the address as listed on the Company payroll.</w:t>
      </w:r>
    </w:p>
    <w:p>
      <w:pPr>
        <w:spacing w:after="0" w:line="187" w:lineRule="exact"/>
        <w:rPr>
          <w:sz w:val="20"/>
          <w:szCs w:val="20"/>
          <w:color w:val="auto"/>
        </w:rPr>
      </w:pPr>
    </w:p>
    <w:p>
      <w:pPr>
        <w:jc w:val="both"/>
        <w:ind w:right="20" w:firstLine="1258"/>
        <w:spacing w:after="0" w:line="221" w:lineRule="auto"/>
        <w:rPr>
          <w:sz w:val="20"/>
          <w:szCs w:val="20"/>
          <w:color w:val="auto"/>
        </w:rPr>
      </w:pPr>
      <w:r>
        <w:rPr>
          <w:rFonts w:ascii="Arial" w:cs="Arial" w:eastAsia="Arial" w:hAnsi="Arial"/>
          <w:sz w:val="21"/>
          <w:szCs w:val="21"/>
          <w:b w:val="1"/>
          <w:bCs w:val="1"/>
          <w:color w:val="auto"/>
        </w:rPr>
        <w:t xml:space="preserve">11.2 Severability. </w:t>
      </w:r>
      <w:r>
        <w:rPr>
          <w:rFonts w:ascii="Arial" w:cs="Arial" w:eastAsia="Arial" w:hAnsi="Arial"/>
          <w:sz w:val="21"/>
          <w:szCs w:val="21"/>
          <w:color w:val="auto"/>
        </w:rPr>
        <w:t>Whenever possible, each provision of this Agreement will be interpreted in such manner as to</w:t>
      </w:r>
      <w:r>
        <w:rPr>
          <w:rFonts w:ascii="Arial" w:cs="Arial" w:eastAsia="Arial" w:hAnsi="Arial"/>
          <w:sz w:val="21"/>
          <w:szCs w:val="21"/>
          <w:b w:val="1"/>
          <w:bCs w:val="1"/>
          <w:color w:val="auto"/>
        </w:rPr>
        <w:t xml:space="preserve"> </w:t>
      </w:r>
      <w:r>
        <w:rPr>
          <w:rFonts w:ascii="Arial" w:cs="Arial" w:eastAsia="Arial" w:hAnsi="Arial"/>
          <w:sz w:val="21"/>
          <w:szCs w:val="21"/>
          <w:color w:val="auto"/>
        </w:rPr>
        <w:t>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6"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11.3 Waiver. </w:t>
      </w:r>
      <w:r>
        <w:rPr>
          <w:rFonts w:ascii="Arial" w:cs="Arial" w:eastAsia="Arial" w:hAnsi="Arial"/>
          <w:sz w:val="21"/>
          <w:szCs w:val="21"/>
          <w:color w:val="auto"/>
        </w:rPr>
        <w:t>Any waiver of any breach of any provisions of this Agreement must be in writing to be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and it shall not thereby be deemed to have waived any preceding or succeeding breach of the same or any other provision of this Agreement.</w:t>
      </w:r>
    </w:p>
    <w:p>
      <w:pPr>
        <w:spacing w:after="0" w:line="253" w:lineRule="exact"/>
        <w:rPr>
          <w:sz w:val="20"/>
          <w:szCs w:val="20"/>
          <w:color w:val="auto"/>
        </w:rPr>
      </w:pPr>
    </w:p>
    <w:p>
      <w:pPr>
        <w:jc w:val="both"/>
        <w:ind w:firstLine="1258"/>
        <w:spacing w:after="0" w:line="228" w:lineRule="auto"/>
        <w:rPr>
          <w:sz w:val="20"/>
          <w:szCs w:val="20"/>
          <w:color w:val="auto"/>
        </w:rPr>
      </w:pPr>
      <w:r>
        <w:rPr>
          <w:rFonts w:ascii="Arial" w:cs="Arial" w:eastAsia="Arial" w:hAnsi="Arial"/>
          <w:sz w:val="20"/>
          <w:szCs w:val="20"/>
          <w:b w:val="1"/>
          <w:bCs w:val="1"/>
          <w:color w:val="auto"/>
        </w:rPr>
        <w:t xml:space="preserve">11.4 Complete Agreement. </w:t>
      </w:r>
      <w:r>
        <w:rPr>
          <w:rFonts w:ascii="Arial" w:cs="Arial" w:eastAsia="Arial" w:hAnsi="Arial"/>
          <w:sz w:val="20"/>
          <w:szCs w:val="20"/>
          <w:color w:val="auto"/>
        </w:rPr>
        <w:t>This Agreement, together with the Confidentiality Agreement, constitutes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Executive and the Company and is the complete, final, and exclusive embodiment of the Parties’ agreement and supersedes all prior agreements between the parties concerning such subject matter, including the Prior Agreement.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5" w:lineRule="exact"/>
        <w:rPr>
          <w:sz w:val="20"/>
          <w:szCs w:val="20"/>
          <w:color w:val="auto"/>
        </w:rPr>
      </w:pPr>
    </w:p>
    <w:p>
      <w:pPr>
        <w:jc w:val="both"/>
        <w:ind w:right="20" w:firstLine="1258"/>
        <w:spacing w:after="0" w:line="263" w:lineRule="auto"/>
        <w:rPr>
          <w:sz w:val="20"/>
          <w:szCs w:val="20"/>
          <w:color w:val="auto"/>
        </w:rPr>
      </w:pPr>
      <w:r>
        <w:rPr>
          <w:rFonts w:ascii="Arial" w:cs="Arial" w:eastAsia="Arial" w:hAnsi="Arial"/>
          <w:sz w:val="20"/>
          <w:szCs w:val="20"/>
          <w:b w:val="1"/>
          <w:bCs w:val="1"/>
          <w:color w:val="auto"/>
        </w:rPr>
        <w:t xml:space="preserve">11.5 Counterparts. </w:t>
      </w:r>
      <w:r>
        <w:rPr>
          <w:rFonts w:ascii="Arial" w:cs="Arial" w:eastAsia="Arial" w:hAnsi="Arial"/>
          <w:sz w:val="20"/>
          <w:szCs w:val="20"/>
          <w:color w:val="auto"/>
        </w:rPr>
        <w:t>This Agreement may be executed in separate counterparts, any one of which need not contain</w:t>
      </w:r>
      <w:r>
        <w:rPr>
          <w:rFonts w:ascii="Arial" w:cs="Arial" w:eastAsia="Arial" w:hAnsi="Arial"/>
          <w:sz w:val="20"/>
          <w:szCs w:val="20"/>
          <w:b w:val="1"/>
          <w:bCs w:val="1"/>
          <w:color w:val="auto"/>
        </w:rPr>
        <w:t xml:space="preserve"> </w:t>
      </w:r>
      <w:r>
        <w:rPr>
          <w:rFonts w:ascii="Arial" w:cs="Arial" w:eastAsia="Arial" w:hAnsi="Arial"/>
          <w:sz w:val="20"/>
          <w:szCs w:val="20"/>
          <w:color w:val="auto"/>
        </w:rPr>
        <w:t>signatures of more than one party, but all of which taken together will constitute one and the same Agreement.</w:t>
      </w:r>
    </w:p>
    <w:p>
      <w:pPr>
        <w:spacing w:after="0" w:line="165" w:lineRule="exact"/>
        <w:rPr>
          <w:sz w:val="20"/>
          <w:szCs w:val="20"/>
          <w:color w:val="auto"/>
        </w:rPr>
      </w:pPr>
    </w:p>
    <w:p>
      <w:pPr>
        <w:jc w:val="both"/>
        <w:ind w:right="20" w:firstLine="1258"/>
        <w:spacing w:after="0" w:line="239" w:lineRule="auto"/>
        <w:rPr>
          <w:sz w:val="20"/>
          <w:szCs w:val="20"/>
          <w:color w:val="auto"/>
        </w:rPr>
      </w:pPr>
      <w:r>
        <w:rPr>
          <w:rFonts w:ascii="Arial" w:cs="Arial" w:eastAsia="Arial" w:hAnsi="Arial"/>
          <w:sz w:val="21"/>
          <w:szCs w:val="21"/>
          <w:b w:val="1"/>
          <w:bCs w:val="1"/>
          <w:color w:val="auto"/>
        </w:rPr>
        <w:t xml:space="preserve">11.6 Headings. </w:t>
      </w:r>
      <w:r>
        <w:rPr>
          <w:rFonts w:ascii="Arial" w:cs="Arial" w:eastAsia="Arial" w:hAnsi="Arial"/>
          <w:sz w:val="21"/>
          <w:szCs w:val="21"/>
          <w:color w:val="auto"/>
        </w:rPr>
        <w:t>The headings of the paragraphs hereof are inserted for convenience only and shall not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to constitute a part hereof nor to affect the meaning thereof.</w:t>
      </w:r>
    </w:p>
    <w:p>
      <w:pPr>
        <w:sectPr>
          <w:pgSz w:w="11900" w:h="16838" w:orient="portrait"/>
          <w:cols w:equalWidth="0" w:num="1">
            <w:col w:w="11060"/>
          </w:cols>
          <w:pgMar w:left="420" w:top="1266" w:right="419" w:bottom="1440" w:gutter="0" w:footer="0" w:header="0"/>
        </w:sectPr>
      </w:pPr>
    </w:p>
    <w:bookmarkStart w:id="188" w:name="page189"/>
    <w:bookmarkEnd w:id="188"/>
    <w:p>
      <w:pPr>
        <w:spacing w:after="0" w:line="142" w:lineRule="exact"/>
        <w:rPr>
          <w:sz w:val="20"/>
          <w:szCs w:val="20"/>
          <w:color w:val="auto"/>
        </w:rPr>
      </w:pPr>
    </w:p>
    <w:p>
      <w:pPr>
        <w:jc w:val="both"/>
        <w:ind w:right="20" w:firstLine="1258"/>
        <w:spacing w:after="0" w:line="224" w:lineRule="auto"/>
        <w:rPr>
          <w:sz w:val="20"/>
          <w:szCs w:val="20"/>
          <w:color w:val="auto"/>
        </w:rPr>
      </w:pPr>
      <w:r>
        <w:rPr>
          <w:rFonts w:ascii="Arial" w:cs="Arial" w:eastAsia="Arial" w:hAnsi="Arial"/>
          <w:sz w:val="21"/>
          <w:szCs w:val="21"/>
          <w:b w:val="1"/>
          <w:bCs w:val="1"/>
          <w:color w:val="auto"/>
        </w:rPr>
        <w:t xml:space="preserve">11.7 Successors and Assigns. </w:t>
      </w:r>
      <w:r>
        <w:rPr>
          <w:rFonts w:ascii="Arial" w:cs="Arial" w:eastAsia="Arial" w:hAnsi="Arial"/>
          <w:sz w:val="21"/>
          <w:szCs w:val="21"/>
          <w:color w:val="auto"/>
        </w:rPr>
        <w:t>This Agreement shall be binding upon and inure to the benefit of and be</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74" w:lineRule="exact"/>
        <w:rPr>
          <w:sz w:val="20"/>
          <w:szCs w:val="20"/>
          <w:color w:val="auto"/>
        </w:rPr>
      </w:pPr>
    </w:p>
    <w:p>
      <w:pPr>
        <w:jc w:val="both"/>
        <w:ind w:firstLine="1258"/>
        <w:spacing w:after="0" w:line="229" w:lineRule="auto"/>
        <w:rPr>
          <w:sz w:val="20"/>
          <w:szCs w:val="20"/>
          <w:color w:val="auto"/>
        </w:rPr>
      </w:pPr>
      <w:r>
        <w:rPr>
          <w:rFonts w:ascii="Arial" w:cs="Arial" w:eastAsia="Arial" w:hAnsi="Arial"/>
          <w:sz w:val="20"/>
          <w:szCs w:val="20"/>
          <w:b w:val="1"/>
          <w:bCs w:val="1"/>
          <w:color w:val="auto"/>
        </w:rPr>
        <w:t xml:space="preserve">11.8 Tax Withholding and Indemnification. </w:t>
      </w:r>
      <w:r>
        <w:rPr>
          <w:rFonts w:ascii="Arial" w:cs="Arial" w:eastAsia="Arial" w:hAnsi="Arial"/>
          <w:sz w:val="20"/>
          <w:szCs w:val="20"/>
          <w:color w:val="auto"/>
        </w:rPr>
        <w:t>All payments and awards contemplated or made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91" w:lineRule="exact"/>
        <w:rPr>
          <w:sz w:val="20"/>
          <w:szCs w:val="20"/>
          <w:color w:val="auto"/>
        </w:rPr>
      </w:pPr>
    </w:p>
    <w:p>
      <w:pPr>
        <w:jc w:val="both"/>
        <w:ind w:firstLine="1258"/>
        <w:spacing w:after="0" w:line="239" w:lineRule="auto"/>
        <w:rPr>
          <w:sz w:val="20"/>
          <w:szCs w:val="20"/>
          <w:color w:val="auto"/>
        </w:rPr>
      </w:pPr>
      <w:r>
        <w:rPr>
          <w:rFonts w:ascii="Arial" w:cs="Arial" w:eastAsia="Arial" w:hAnsi="Arial"/>
          <w:sz w:val="21"/>
          <w:szCs w:val="21"/>
          <w:b w:val="1"/>
          <w:bCs w:val="1"/>
          <w:color w:val="auto"/>
        </w:rPr>
        <w:t xml:space="preserve">11.9 Choice of Law. </w:t>
      </w:r>
      <w:r>
        <w:rPr>
          <w:rFonts w:ascii="Arial" w:cs="Arial" w:eastAsia="Arial" w:hAnsi="Arial"/>
          <w:sz w:val="21"/>
          <w:szCs w:val="21"/>
          <w:color w:val="auto"/>
        </w:rPr>
        <w:t>All questions concerning the construction, validity and interpretation of this Agreement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Commonwealth of Massachusetts.</w:t>
      </w:r>
    </w:p>
    <w:p>
      <w:pPr>
        <w:sectPr>
          <w:pgSz w:w="11900" w:h="16838" w:orient="portrait"/>
          <w:cols w:equalWidth="0" w:num="1">
            <w:col w:w="11060"/>
          </w:cols>
          <w:pgMar w:left="420" w:top="1440" w:right="41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4"/>
          <w:szCs w:val="14"/>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9"/>
          <w:szCs w:val="19"/>
          <w:color w:val="auto"/>
        </w:rPr>
        <w:t>, the Parties have executed this Agreement on the day and year first above written.</w:t>
      </w:r>
    </w:p>
    <w:p>
      <w:pPr>
        <w:sectPr>
          <w:pgSz w:w="11900" w:h="16838" w:orient="portrait"/>
          <w:cols w:equalWidth="0" w:num="1">
            <w:col w:w="9419"/>
          </w:cols>
          <w:pgMar w:left="1040" w:top="13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RAXIS</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RECISION</w:t>
      </w:r>
      <w:r>
        <w:rPr>
          <w:rFonts w:ascii="Arial" w:cs="Arial" w:eastAsia="Arial" w:hAnsi="Arial"/>
          <w:sz w:val="21"/>
          <w:szCs w:val="21"/>
          <w:b w:val="1"/>
          <w:bCs w:val="1"/>
          <w:color w:val="auto"/>
        </w:rPr>
        <w:t xml:space="preserve"> M</w:t>
      </w:r>
      <w:r>
        <w:rPr>
          <w:rFonts w:ascii="Arial" w:cs="Arial" w:eastAsia="Arial" w:hAnsi="Arial"/>
          <w:sz w:val="16"/>
          <w:szCs w:val="16"/>
          <w:b w:val="1"/>
          <w:bCs w:val="1"/>
          <w:color w:val="auto"/>
        </w:rPr>
        <w:t>EDICINES</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p>
    <w:p>
      <w:pPr>
        <w:spacing w:after="0" w:line="257" w:lineRule="exact"/>
        <w:rPr>
          <w:sz w:val="20"/>
          <w:szCs w:val="20"/>
          <w:color w:val="auto"/>
        </w:rPr>
      </w:pPr>
    </w:p>
    <w:p>
      <w:pPr>
        <w:ind w:left="3500"/>
        <w:spacing w:after="0"/>
        <w:rPr>
          <w:sz w:val="20"/>
          <w:szCs w:val="20"/>
          <w:color w:val="auto"/>
        </w:rPr>
      </w:pPr>
      <w:r>
        <w:rPr>
          <w:rFonts w:ascii="Arial" w:cs="Arial" w:eastAsia="Arial" w:hAnsi="Arial"/>
          <w:sz w:val="21"/>
          <w:szCs w:val="21"/>
          <w:b w:val="1"/>
          <w:bCs w:val="1"/>
          <w:color w:val="auto"/>
        </w:rPr>
        <w:t xml:space="preserve">By: </w:t>
      </w:r>
      <w:r>
        <w:rPr>
          <w:rFonts w:ascii="Arial" w:cs="Arial" w:eastAsia="Arial" w:hAnsi="Arial"/>
          <w:sz w:val="21"/>
          <w:szCs w:val="21"/>
          <w:color w:val="auto"/>
        </w:rPr>
        <w:t>/s/ Marcio Souza</w:t>
      </w:r>
    </w:p>
    <w:p>
      <w:pPr>
        <w:spacing w:after="0" w:line="31"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-150495</wp:posOffset>
            </wp:positionV>
            <wp:extent cx="19316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 xml:space="preserve">Title: </w:t>
      </w:r>
      <w:r>
        <w:rPr>
          <w:rFonts w:ascii="Arial" w:cs="Arial" w:eastAsia="Arial" w:hAnsi="Arial"/>
          <w:sz w:val="21"/>
          <w:szCs w:val="21"/>
          <w:color w:val="auto"/>
        </w:rPr>
        <w:t>CEO</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 xml:space="preserve">Date: </w:t>
      </w:r>
      <w:r>
        <w:rPr>
          <w:rFonts w:ascii="Arial" w:cs="Arial" w:eastAsia="Arial" w:hAnsi="Arial"/>
          <w:sz w:val="21"/>
          <w:szCs w:val="21"/>
          <w:color w:val="auto"/>
        </w:rPr>
        <w:t>10/14/2020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22225</wp:posOffset>
            </wp:positionV>
            <wp:extent cx="193167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1931670" cy="165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Executive</w:t>
      </w:r>
    </w:p>
    <w:p>
      <w:pPr>
        <w:spacing w:after="0" w:line="263"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/s/ Bernard Ravina</w:t>
      </w:r>
    </w:p>
    <w:p>
      <w:pPr>
        <w:spacing w:after="0" w:line="28"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Bernard Ravina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-151765</wp:posOffset>
            </wp:positionV>
            <wp:extent cx="24980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355" w:lineRule="exact"/>
        <w:rPr>
          <w:sz w:val="20"/>
          <w:szCs w:val="20"/>
          <w:color w:val="auto"/>
        </w:rPr>
      </w:pPr>
    </w:p>
    <w:p>
      <w:pPr>
        <w:ind w:left="3160"/>
        <w:spacing w:after="0"/>
        <w:tabs>
          <w:tab w:leader="none" w:pos="3840" w:val="left"/>
        </w:tabs>
        <w:rPr>
          <w:sz w:val="20"/>
          <w:szCs w:val="20"/>
          <w:color w:val="auto"/>
        </w:rPr>
      </w:pPr>
      <w:r>
        <w:rPr>
          <w:rFonts w:ascii="Arial" w:cs="Arial" w:eastAsia="Arial" w:hAnsi="Arial"/>
          <w:sz w:val="21"/>
          <w:szCs w:val="21"/>
          <w:b w:val="1"/>
          <w:bCs w:val="1"/>
          <w:color w:val="auto"/>
        </w:rPr>
        <w:t>Date:</w:t>
      </w:r>
      <w:r>
        <w:rPr>
          <w:sz w:val="20"/>
          <w:szCs w:val="20"/>
          <w:color w:val="auto"/>
        </w:rPr>
        <w:tab/>
      </w:r>
      <w:r>
        <w:rPr>
          <w:rFonts w:ascii="Arial" w:cs="Arial" w:eastAsia="Arial" w:hAnsi="Arial"/>
          <w:sz w:val="18"/>
          <w:szCs w:val="18"/>
          <w:color w:val="auto"/>
        </w:rPr>
        <w:t>10/14/2020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22225</wp:posOffset>
            </wp:positionV>
            <wp:extent cx="200660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2006600" cy="16510"/>
                    </a:xfrm>
                    <a:prstGeom prst="rect">
                      <a:avLst/>
                    </a:prstGeom>
                    <a:noFill/>
                  </pic:spPr>
                </pic:pic>
              </a:graphicData>
            </a:graphic>
          </wp:anchor>
        </w:drawing>
      </w:r>
    </w:p>
    <w:p>
      <w:pPr>
        <w:sectPr>
          <w:pgSz w:w="11900" w:h="16838" w:orient="portrait"/>
          <w:cols w:equalWidth="0" w:num="1">
            <w:col w:w="9419"/>
          </w:cols>
          <w:pgMar w:left="1040" w:top="1345" w:right="1440" w:bottom="1440" w:gutter="0" w:footer="0" w:header="0"/>
          <w:type w:val="continuous"/>
        </w:sectPr>
      </w:pPr>
    </w:p>
    <w:bookmarkStart w:id="190" w:name="page191"/>
    <w:bookmarkEnd w:id="190"/>
    <w:p>
      <w:pPr>
        <w:jc w:val="center"/>
        <w:ind w:right="20"/>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RAXIS</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RECISION</w:t>
      </w:r>
      <w:r>
        <w:rPr>
          <w:rFonts w:ascii="Arial" w:cs="Arial" w:eastAsia="Arial" w:hAnsi="Arial"/>
          <w:sz w:val="21"/>
          <w:szCs w:val="21"/>
          <w:b w:val="1"/>
          <w:bCs w:val="1"/>
          <w:color w:val="auto"/>
        </w:rPr>
        <w:t xml:space="preserve"> M</w:t>
      </w:r>
      <w:r>
        <w:rPr>
          <w:rFonts w:ascii="Arial" w:cs="Arial" w:eastAsia="Arial" w:hAnsi="Arial"/>
          <w:sz w:val="16"/>
          <w:szCs w:val="16"/>
          <w:b w:val="1"/>
          <w:bCs w:val="1"/>
          <w:color w:val="auto"/>
        </w:rPr>
        <w:t>EDICINES</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AMENDED AND RESTATED EMPLOYMENT AGREEMENT</w:t>
      </w:r>
    </w:p>
    <w:p>
      <w:pPr>
        <w:jc w:val="center"/>
        <w:ind w:right="20"/>
        <w:spacing w:after="0"/>
        <w:rPr>
          <w:sz w:val="20"/>
          <w:szCs w:val="20"/>
          <w:color w:val="auto"/>
        </w:rPr>
      </w:pPr>
      <w:r>
        <w:rPr>
          <w:rFonts w:ascii="Arial" w:cs="Arial" w:eastAsia="Arial" w:hAnsi="Arial"/>
          <w:sz w:val="21"/>
          <w:szCs w:val="21"/>
          <w:b w:val="1"/>
          <w:bCs w:val="1"/>
          <w:color w:val="auto"/>
        </w:rPr>
        <w:t>for Nicole Sweeny</w:t>
      </w:r>
    </w:p>
    <w:p>
      <w:pPr>
        <w:spacing w:after="0" w:line="180" w:lineRule="exact"/>
        <w:rPr>
          <w:sz w:val="20"/>
          <w:szCs w:val="20"/>
          <w:color w:val="auto"/>
        </w:rPr>
      </w:pPr>
    </w:p>
    <w:p>
      <w:pPr>
        <w:jc w:val="both"/>
        <w:ind w:firstLine="628"/>
        <w:spacing w:after="0" w:line="229" w:lineRule="auto"/>
        <w:rPr>
          <w:sz w:val="20"/>
          <w:szCs w:val="20"/>
          <w:color w:val="auto"/>
        </w:rPr>
      </w:pPr>
      <w:r>
        <w:rPr>
          <w:rFonts w:ascii="Arial" w:cs="Arial" w:eastAsia="Arial" w:hAnsi="Arial"/>
          <w:sz w:val="20"/>
          <w:szCs w:val="20"/>
          <w:color w:val="auto"/>
        </w:rPr>
        <w:t>This Amended and Restated Executive Employment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made between Praxis Precision Medicines, Inc. (the “</w:t>
      </w:r>
      <w:r>
        <w:rPr>
          <w:rFonts w:ascii="Arial" w:cs="Arial" w:eastAsia="Arial" w:hAnsi="Arial"/>
          <w:sz w:val="20"/>
          <w:szCs w:val="20"/>
          <w:b w:val="1"/>
          <w:bCs w:val="1"/>
          <w:color w:val="auto"/>
        </w:rPr>
        <w:t>Company</w:t>
      </w:r>
      <w:r>
        <w:rPr>
          <w:rFonts w:ascii="Arial" w:cs="Arial" w:eastAsia="Arial" w:hAnsi="Arial"/>
          <w:sz w:val="20"/>
          <w:szCs w:val="20"/>
          <w:color w:val="auto"/>
        </w:rPr>
        <w:t>”) and Nicole Sweeny (“</w:t>
      </w:r>
      <w:r>
        <w:rPr>
          <w:rFonts w:ascii="Arial" w:cs="Arial" w:eastAsia="Arial" w:hAnsi="Arial"/>
          <w:sz w:val="20"/>
          <w:szCs w:val="20"/>
          <w:b w:val="1"/>
          <w:bCs w:val="1"/>
          <w:color w:val="auto"/>
        </w:rPr>
        <w:t>Executive</w:t>
      </w:r>
      <w:r>
        <w:rPr>
          <w:rFonts w:ascii="Arial" w:cs="Arial" w:eastAsia="Arial" w:hAnsi="Arial"/>
          <w:sz w:val="20"/>
          <w:szCs w:val="20"/>
          <w:color w:val="auto"/>
        </w:rPr>
        <w:t>”) (collectively, the “</w:t>
      </w:r>
      <w:r>
        <w:rPr>
          <w:rFonts w:ascii="Arial" w:cs="Arial" w:eastAsia="Arial" w:hAnsi="Arial"/>
          <w:sz w:val="20"/>
          <w:szCs w:val="20"/>
          <w:b w:val="1"/>
          <w:bCs w:val="1"/>
          <w:color w:val="auto"/>
        </w:rPr>
        <w:t>Parties</w:t>
      </w:r>
      <w:r>
        <w:rPr>
          <w:rFonts w:ascii="Arial" w:cs="Arial" w:eastAsia="Arial" w:hAnsi="Arial"/>
          <w:sz w:val="20"/>
          <w:szCs w:val="20"/>
          <w:color w:val="auto"/>
        </w:rPr>
        <w:t>”) and is effective as of the closing of the Company’s first underwritten public offering of its equity securities pursuant to an effective registration statement under the Securities Act of 1933, as amended (the “</w:t>
      </w:r>
      <w:r>
        <w:rPr>
          <w:rFonts w:ascii="Arial" w:cs="Arial" w:eastAsia="Arial" w:hAnsi="Arial"/>
          <w:sz w:val="20"/>
          <w:szCs w:val="20"/>
          <w:b w:val="1"/>
          <w:bCs w:val="1"/>
          <w:color w:val="auto"/>
        </w:rPr>
        <w:t>Effective Date</w:t>
      </w:r>
      <w:r>
        <w:rPr>
          <w:rFonts w:ascii="Arial" w:cs="Arial" w:eastAsia="Arial" w:hAnsi="Arial"/>
          <w:sz w:val="20"/>
          <w:szCs w:val="20"/>
          <w:color w:val="auto"/>
        </w:rPr>
        <w:t>”). This Agreement supersedes in all respects all prior agreements between Executive and the Company regarding the subject matter herein, including without limitation, the Offer Letter between Executive and the Company dated July 3, 2020 (the “</w:t>
      </w:r>
      <w:r>
        <w:rPr>
          <w:rFonts w:ascii="Arial" w:cs="Arial" w:eastAsia="Arial" w:hAnsi="Arial"/>
          <w:sz w:val="20"/>
          <w:szCs w:val="20"/>
          <w:b w:val="1"/>
          <w:bCs w:val="1"/>
          <w:color w:val="auto"/>
        </w:rPr>
        <w:t>Prior Agreement</w:t>
      </w:r>
      <w:r>
        <w:rPr>
          <w:rFonts w:ascii="Arial" w:cs="Arial" w:eastAsia="Arial" w:hAnsi="Arial"/>
          <w:sz w:val="20"/>
          <w:szCs w:val="20"/>
          <w:color w:val="auto"/>
        </w:rPr>
        <w:t>”).</w:t>
      </w:r>
    </w:p>
    <w:p>
      <w:pPr>
        <w:spacing w:after="0" w:line="191" w:lineRule="exact"/>
        <w:rPr>
          <w:sz w:val="20"/>
          <w:szCs w:val="20"/>
          <w:color w:val="auto"/>
        </w:rPr>
      </w:pPr>
    </w:p>
    <w:p>
      <w:pPr>
        <w:jc w:val="both"/>
        <w:ind w:right="20" w:firstLine="628"/>
        <w:spacing w:after="0" w:line="239"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6"/>
          <w:szCs w:val="16"/>
          <w:b w:val="1"/>
          <w:bCs w:val="1"/>
          <w:color w:val="auto"/>
        </w:rPr>
        <w:t>HEREAS</w:t>
      </w:r>
      <w:r>
        <w:rPr>
          <w:rFonts w:ascii="Arial" w:cs="Arial" w:eastAsia="Arial" w:hAnsi="Arial"/>
          <w:sz w:val="21"/>
          <w:szCs w:val="21"/>
          <w:color w:val="auto"/>
        </w:rPr>
        <w:t>, the Company desires Executive to continue to provide services to the Company, and wishes to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with certain compensation and benefits in return for such employment services; and</w:t>
      </w:r>
    </w:p>
    <w:p>
      <w:pPr>
        <w:spacing w:after="0" w:line="175" w:lineRule="exact"/>
        <w:rPr>
          <w:sz w:val="20"/>
          <w:szCs w:val="20"/>
          <w:color w:val="auto"/>
        </w:rPr>
      </w:pPr>
    </w:p>
    <w:p>
      <w:pPr>
        <w:jc w:val="both"/>
        <w:ind w:right="20" w:firstLine="628"/>
        <w:spacing w:after="0" w:line="239" w:lineRule="auto"/>
        <w:rPr>
          <w:sz w:val="20"/>
          <w:szCs w:val="20"/>
          <w:color w:val="auto"/>
        </w:rPr>
      </w:pPr>
      <w:r>
        <w:rPr>
          <w:rFonts w:ascii="Arial" w:cs="Arial" w:eastAsia="Arial" w:hAnsi="Arial"/>
          <w:sz w:val="21"/>
          <w:szCs w:val="21"/>
          <w:b w:val="1"/>
          <w:bCs w:val="1"/>
          <w:color w:val="auto"/>
        </w:rPr>
        <w:t>W</w:t>
      </w:r>
      <w:r>
        <w:rPr>
          <w:rFonts w:ascii="Arial" w:cs="Arial" w:eastAsia="Arial" w:hAnsi="Arial"/>
          <w:sz w:val="16"/>
          <w:szCs w:val="16"/>
          <w:b w:val="1"/>
          <w:bCs w:val="1"/>
          <w:color w:val="auto"/>
        </w:rPr>
        <w:t>HEREAS</w:t>
      </w:r>
      <w:r>
        <w:rPr>
          <w:rFonts w:ascii="Arial" w:cs="Arial" w:eastAsia="Arial" w:hAnsi="Arial"/>
          <w:sz w:val="21"/>
          <w:szCs w:val="21"/>
          <w:color w:val="auto"/>
        </w:rPr>
        <w:t>, Executive wishes to continue to be employed by the Company and to provide personal services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 return for certain compensation and benefits;</w:t>
      </w:r>
    </w:p>
    <w:p>
      <w:pPr>
        <w:spacing w:after="0" w:line="188" w:lineRule="exact"/>
        <w:rPr>
          <w:sz w:val="20"/>
          <w:szCs w:val="20"/>
          <w:color w:val="auto"/>
        </w:rPr>
      </w:pPr>
    </w:p>
    <w:p>
      <w:pPr>
        <w:jc w:val="both"/>
        <w:ind w:right="20" w:firstLine="628"/>
        <w:spacing w:after="0" w:line="263"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5"/>
          <w:szCs w:val="15"/>
          <w:b w:val="1"/>
          <w:bCs w:val="1"/>
          <w:color w:val="auto"/>
        </w:rPr>
        <w:t>OW</w:t>
      </w:r>
      <w:r>
        <w:rPr>
          <w:rFonts w:ascii="Arial" w:cs="Arial" w:eastAsia="Arial" w:hAnsi="Arial"/>
          <w:sz w:val="20"/>
          <w:szCs w:val="20"/>
          <w:b w:val="1"/>
          <w:bCs w:val="1"/>
          <w:color w:val="auto"/>
        </w:rPr>
        <w:t>, T</w:t>
      </w:r>
      <w:r>
        <w:rPr>
          <w:rFonts w:ascii="Arial" w:cs="Arial" w:eastAsia="Arial" w:hAnsi="Arial"/>
          <w:sz w:val="15"/>
          <w:szCs w:val="15"/>
          <w:b w:val="1"/>
          <w:bCs w:val="1"/>
          <w:color w:val="auto"/>
        </w:rPr>
        <w:t>HEREFORE</w:t>
      </w:r>
      <w:r>
        <w:rPr>
          <w:rFonts w:ascii="Arial" w:cs="Arial" w:eastAsia="Arial" w:hAnsi="Arial"/>
          <w:sz w:val="20"/>
          <w:szCs w:val="20"/>
          <w:color w:val="auto"/>
        </w:rPr>
        <w:t>, in consideration of the mutual promises and covenants contained herein and for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is hereby acknowledged, the Parties hereto agree as follows:</w:t>
      </w:r>
    </w:p>
    <w:p>
      <w:pPr>
        <w:spacing w:after="0" w:line="152"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1.</w:t>
      </w:r>
      <w:r>
        <w:rPr>
          <w:sz w:val="20"/>
          <w:szCs w:val="20"/>
          <w:color w:val="auto"/>
        </w:rPr>
        <w:tab/>
      </w:r>
      <w:r>
        <w:rPr>
          <w:rFonts w:ascii="Arial" w:cs="Arial" w:eastAsia="Arial" w:hAnsi="Arial"/>
          <w:sz w:val="18"/>
          <w:szCs w:val="18"/>
          <w:b w:val="1"/>
          <w:bCs w:val="1"/>
          <w:color w:val="auto"/>
        </w:rPr>
        <w:t>Employment by the Company.</w:t>
      </w:r>
    </w:p>
    <w:p>
      <w:pPr>
        <w:spacing w:after="0" w:line="217" w:lineRule="exact"/>
        <w:rPr>
          <w:sz w:val="20"/>
          <w:szCs w:val="20"/>
          <w:color w:val="auto"/>
        </w:rPr>
      </w:pPr>
    </w:p>
    <w:p>
      <w:pPr>
        <w:jc w:val="both"/>
        <w:ind w:firstLine="1258"/>
        <w:spacing w:after="0" w:line="224" w:lineRule="auto"/>
        <w:rPr>
          <w:sz w:val="20"/>
          <w:szCs w:val="20"/>
          <w:color w:val="auto"/>
        </w:rPr>
      </w:pPr>
      <w:r>
        <w:rPr>
          <w:rFonts w:ascii="Arial" w:cs="Arial" w:eastAsia="Arial" w:hAnsi="Arial"/>
          <w:sz w:val="20"/>
          <w:szCs w:val="20"/>
          <w:b w:val="1"/>
          <w:bCs w:val="1"/>
          <w:color w:val="auto"/>
        </w:rPr>
        <w:t xml:space="preserve">1.1 Position and Duties. </w:t>
      </w:r>
      <w:r>
        <w:rPr>
          <w:rFonts w:ascii="Arial" w:cs="Arial" w:eastAsia="Arial" w:hAnsi="Arial"/>
          <w:sz w:val="20"/>
          <w:szCs w:val="20"/>
          <w:color w:val="auto"/>
        </w:rPr>
        <w:t>Executive shall continue to serve as the Company’s Chief Commercial Officer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Position</w:t>
      </w:r>
      <w:r>
        <w:rPr>
          <w:rFonts w:ascii="Arial" w:cs="Arial" w:eastAsia="Arial" w:hAnsi="Arial"/>
          <w:sz w:val="20"/>
          <w:szCs w:val="20"/>
          <w:color w:val="auto"/>
        </w:rPr>
        <w:t xml:space="preserve">”). During the term of Executive’s employment with the Company, Executive shall devote one hundred percent of Executive’s business time on behalf of the Company and, on a full time basis, use Executive’s skills and render services to the best of Executive’s abilities on behalf of the Company, and shall comply fully with the policies and procedures of the Company. Executive shall report directly to the Company’s </w:t>
      </w:r>
      <w:r>
        <w:rPr>
          <w:rFonts w:ascii="Arial" w:cs="Arial" w:eastAsia="Arial" w:hAnsi="Arial"/>
          <w:sz w:val="20"/>
          <w:szCs w:val="20"/>
          <w:b w:val="1"/>
          <w:bCs w:val="1"/>
          <w:color w:val="auto"/>
        </w:rPr>
        <w:t>Chief Executive Officer (the “CEO”)</w:t>
      </w:r>
      <w:r>
        <w:rPr>
          <w:rFonts w:ascii="Arial" w:cs="Arial" w:eastAsia="Arial" w:hAnsi="Arial"/>
          <w:sz w:val="20"/>
          <w:szCs w:val="20"/>
          <w:color w:val="auto"/>
        </w:rPr>
        <w:t xml:space="preserve">. Executive shall perform those duties typically associated with the Position and such other duties consistent with the Position as may be assigned by the </w:t>
      </w:r>
      <w:r>
        <w:rPr>
          <w:rFonts w:ascii="Arial" w:cs="Arial" w:eastAsia="Arial" w:hAnsi="Arial"/>
          <w:sz w:val="20"/>
          <w:szCs w:val="20"/>
          <w:b w:val="1"/>
          <w:bCs w:val="1"/>
          <w:color w:val="auto"/>
        </w:rPr>
        <w:t>CEO</w:t>
      </w:r>
      <w:r>
        <w:rPr>
          <w:rFonts w:ascii="Arial" w:cs="Arial" w:eastAsia="Arial" w:hAnsi="Arial"/>
          <w:sz w:val="20"/>
          <w:szCs w:val="20"/>
          <w:color w:val="auto"/>
        </w:rPr>
        <w:t xml:space="preserve">, including but not limited to executive responsibility for business and executive leadership. Notwithstanding the foregoing, nothing herein shall preclude Executive from (i) serving, with the prior written consent of the </w:t>
      </w:r>
      <w:r>
        <w:rPr>
          <w:rFonts w:ascii="Arial" w:cs="Arial" w:eastAsia="Arial" w:hAnsi="Arial"/>
          <w:sz w:val="20"/>
          <w:szCs w:val="20"/>
          <w:b w:val="1"/>
          <w:bCs w:val="1"/>
          <w:color w:val="auto"/>
        </w:rPr>
        <w:t>CEO</w:t>
      </w:r>
      <w:r>
        <w:rPr>
          <w:rFonts w:ascii="Arial" w:cs="Arial" w:eastAsia="Arial" w:hAnsi="Arial"/>
          <w:sz w:val="20"/>
          <w:szCs w:val="20"/>
          <w:color w:val="auto"/>
        </w:rPr>
        <w:t xml:space="preserve">, as a member of the boards of directors or advisory boards of non-competitive businesses and charitable organizations, (ii) engaging in charitable activities and community affairs, and (iii) managing Executive’s personal investments and affairs;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activities set out in clauses (i), (ii), and (iii) shall be limited by Executive so as not to materially interfere, individually or in the aggregate, with the performance of Executive’s duties and responsibilities hereunder and shall not, in the judgment of the </w:t>
      </w:r>
      <w:r>
        <w:rPr>
          <w:rFonts w:ascii="Arial" w:cs="Arial" w:eastAsia="Arial" w:hAnsi="Arial"/>
          <w:sz w:val="20"/>
          <w:szCs w:val="20"/>
          <w:b w:val="1"/>
          <w:bCs w:val="1"/>
          <w:color w:val="auto"/>
        </w:rPr>
        <w:t>CEO</w:t>
      </w:r>
      <w:r>
        <w:rPr>
          <w:rFonts w:ascii="Arial" w:cs="Arial" w:eastAsia="Arial" w:hAnsi="Arial"/>
          <w:sz w:val="20"/>
          <w:szCs w:val="20"/>
          <w:color w:val="auto"/>
        </w:rPr>
        <w:t xml:space="preserve"> pose a conflict of interest with Executive’s duties to the Company or its affiliates.</w:t>
      </w:r>
    </w:p>
    <w:p>
      <w:pPr>
        <w:spacing w:after="0" w:line="3"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1.2 Location of Work. </w:t>
      </w:r>
      <w:r>
        <w:rPr>
          <w:rFonts w:ascii="Arial" w:cs="Arial" w:eastAsia="Arial" w:hAnsi="Arial"/>
          <w:sz w:val="21"/>
          <w:szCs w:val="21"/>
          <w:color w:val="auto"/>
        </w:rPr>
        <w:t>Executive shall work in Cambridge, Massachusetts, USA. The Company reserves the right</w:t>
      </w:r>
      <w:r>
        <w:rPr>
          <w:rFonts w:ascii="Arial" w:cs="Arial" w:eastAsia="Arial" w:hAnsi="Arial"/>
          <w:sz w:val="21"/>
          <w:szCs w:val="21"/>
          <w:b w:val="1"/>
          <w:bCs w:val="1"/>
          <w:color w:val="auto"/>
        </w:rPr>
        <w:t xml:space="preserve"> </w:t>
      </w:r>
      <w:r>
        <w:rPr>
          <w:rFonts w:ascii="Arial" w:cs="Arial" w:eastAsia="Arial" w:hAnsi="Arial"/>
          <w:sz w:val="21"/>
          <w:szCs w:val="21"/>
          <w:color w:val="auto"/>
        </w:rPr>
        <w:t>to reasonably require Executive to perform Executive’s duties at places other than Executive’s primary office location from time to time, and to require reasonable business travel.</w:t>
      </w:r>
    </w:p>
    <w:p>
      <w:pPr>
        <w:sectPr>
          <w:pgSz w:w="11900" w:h="16838" w:orient="portrait"/>
          <w:cols w:equalWidth="0" w:num="1">
            <w:col w:w="11060"/>
          </w:cols>
          <w:pgMar w:left="420" w:top="1345" w:right="419" w:bottom="1440" w:gutter="0" w:footer="0" w:header="0"/>
        </w:sectPr>
      </w:pPr>
    </w:p>
    <w:bookmarkStart w:id="191" w:name="page192"/>
    <w:bookmarkEnd w:id="191"/>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1.3 Policies and Procedures. </w:t>
      </w:r>
      <w:r>
        <w:rPr>
          <w:rFonts w:ascii="Arial" w:cs="Arial" w:eastAsia="Arial" w:hAnsi="Arial"/>
          <w:sz w:val="21"/>
          <w:szCs w:val="21"/>
          <w:color w:val="auto"/>
        </w:rPr>
        <w:t>The employment relationship between the Parties shall be governed by the general</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policies and practices of the Company, except that when the terms of this Agreement differ from or are in conflict with the Company’s general employment policies or practices, this Agreement shall control.</w:t>
      </w:r>
    </w:p>
    <w:p>
      <w:pPr>
        <w:spacing w:after="0" w:line="174"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21"/>
          <w:szCs w:val="21"/>
          <w:b w:val="1"/>
          <w:bCs w:val="1"/>
          <w:color w:val="auto"/>
        </w:rPr>
        <w:t>2.</w:t>
      </w:r>
      <w:r>
        <w:rPr>
          <w:sz w:val="20"/>
          <w:szCs w:val="20"/>
          <w:color w:val="auto"/>
        </w:rPr>
        <w:tab/>
      </w:r>
      <w:r>
        <w:rPr>
          <w:rFonts w:ascii="Arial" w:cs="Arial" w:eastAsia="Arial" w:hAnsi="Arial"/>
          <w:sz w:val="18"/>
          <w:szCs w:val="18"/>
          <w:b w:val="1"/>
          <w:bCs w:val="1"/>
          <w:color w:val="auto"/>
        </w:rPr>
        <w:t>Compensation.</w:t>
      </w:r>
    </w:p>
    <w:p>
      <w:pPr>
        <w:spacing w:after="0" w:line="217" w:lineRule="exact"/>
        <w:rPr>
          <w:sz w:val="20"/>
          <w:szCs w:val="20"/>
          <w:color w:val="auto"/>
        </w:rPr>
      </w:pPr>
    </w:p>
    <w:p>
      <w:pPr>
        <w:jc w:val="both"/>
        <w:ind w:firstLine="1258"/>
        <w:spacing w:after="0" w:line="224" w:lineRule="auto"/>
        <w:rPr>
          <w:sz w:val="20"/>
          <w:szCs w:val="20"/>
          <w:color w:val="auto"/>
        </w:rPr>
      </w:pPr>
      <w:r>
        <w:rPr>
          <w:rFonts w:ascii="Arial" w:cs="Arial" w:eastAsia="Arial" w:hAnsi="Arial"/>
          <w:sz w:val="21"/>
          <w:szCs w:val="21"/>
          <w:b w:val="1"/>
          <w:bCs w:val="1"/>
          <w:color w:val="auto"/>
        </w:rPr>
        <w:t xml:space="preserve">2.1 Salary. </w:t>
      </w:r>
      <w:r>
        <w:rPr>
          <w:rFonts w:ascii="Arial" w:cs="Arial" w:eastAsia="Arial" w:hAnsi="Arial"/>
          <w:sz w:val="21"/>
          <w:szCs w:val="21"/>
          <w:color w:val="auto"/>
        </w:rPr>
        <w:t>For services to be rendered hereunder, Executive shall receive an initial base salary at the rate of</w:t>
      </w:r>
      <w:r>
        <w:rPr>
          <w:rFonts w:ascii="Arial" w:cs="Arial" w:eastAsia="Arial" w:hAnsi="Arial"/>
          <w:sz w:val="21"/>
          <w:szCs w:val="21"/>
          <w:b w:val="1"/>
          <w:bCs w:val="1"/>
          <w:color w:val="auto"/>
        </w:rPr>
        <w:t xml:space="preserve"> </w:t>
      </w:r>
      <w:r>
        <w:rPr>
          <w:rFonts w:ascii="Arial" w:cs="Arial" w:eastAsia="Arial" w:hAnsi="Arial"/>
          <w:sz w:val="21"/>
          <w:szCs w:val="21"/>
          <w:color w:val="auto"/>
        </w:rPr>
        <w:t>$360,000 per year, subject to standard payroll deductions and withholdings and payable in accordance with the Company’s regular payroll schedule (the “</w:t>
      </w:r>
      <w:r>
        <w:rPr>
          <w:rFonts w:ascii="Arial" w:cs="Arial" w:eastAsia="Arial" w:hAnsi="Arial"/>
          <w:sz w:val="21"/>
          <w:szCs w:val="21"/>
          <w:b w:val="1"/>
          <w:bCs w:val="1"/>
          <w:color w:val="auto"/>
        </w:rPr>
        <w:t>Base Salary</w:t>
      </w:r>
      <w:r>
        <w:rPr>
          <w:rFonts w:ascii="Arial" w:cs="Arial" w:eastAsia="Arial" w:hAnsi="Arial"/>
          <w:sz w:val="21"/>
          <w:szCs w:val="21"/>
          <w:color w:val="auto"/>
        </w:rPr>
        <w:t>”). Executive’s Base Salary will be reviewed annually by the Board or the Compensation Committee of the Board (the “</w:t>
      </w:r>
      <w:r>
        <w:rPr>
          <w:rFonts w:ascii="Arial" w:cs="Arial" w:eastAsia="Arial" w:hAnsi="Arial"/>
          <w:sz w:val="21"/>
          <w:szCs w:val="21"/>
          <w:b w:val="1"/>
          <w:bCs w:val="1"/>
          <w:color w:val="auto"/>
        </w:rPr>
        <w:t>Compensation Committee</w:t>
      </w:r>
      <w:r>
        <w:rPr>
          <w:rFonts w:ascii="Arial" w:cs="Arial" w:eastAsia="Arial" w:hAnsi="Arial"/>
          <w:sz w:val="21"/>
          <w:szCs w:val="21"/>
          <w:color w:val="auto"/>
        </w:rPr>
        <w:t>”).</w:t>
      </w:r>
    </w:p>
    <w:p>
      <w:pPr>
        <w:spacing w:after="0" w:line="187" w:lineRule="exact"/>
        <w:rPr>
          <w:sz w:val="20"/>
          <w:szCs w:val="20"/>
          <w:color w:val="auto"/>
        </w:rPr>
      </w:pPr>
    </w:p>
    <w:p>
      <w:pPr>
        <w:jc w:val="both"/>
        <w:ind w:right="20" w:firstLine="1258"/>
        <w:spacing w:after="0"/>
        <w:rPr>
          <w:sz w:val="20"/>
          <w:szCs w:val="20"/>
          <w:color w:val="auto"/>
        </w:rPr>
      </w:pPr>
      <w:r>
        <w:rPr>
          <w:rFonts w:ascii="Arial" w:cs="Arial" w:eastAsia="Arial" w:hAnsi="Arial"/>
          <w:sz w:val="19"/>
          <w:szCs w:val="19"/>
          <w:b w:val="1"/>
          <w:bCs w:val="1"/>
          <w:color w:val="auto"/>
        </w:rPr>
        <w:t xml:space="preserve">2.2 Annual Cash Bonus. </w:t>
      </w:r>
      <w:r>
        <w:rPr>
          <w:rFonts w:ascii="Arial" w:cs="Arial" w:eastAsia="Arial" w:hAnsi="Arial"/>
          <w:sz w:val="19"/>
          <w:szCs w:val="19"/>
          <w:color w:val="auto"/>
        </w:rPr>
        <w:t>Executive will be eligible for an annual cash bonus with a target amount of thirty-five</w:t>
      </w:r>
      <w:r>
        <w:rPr>
          <w:rFonts w:ascii="Arial" w:cs="Arial" w:eastAsia="Arial" w:hAnsi="Arial"/>
          <w:sz w:val="19"/>
          <w:szCs w:val="19"/>
          <w:b w:val="1"/>
          <w:bCs w:val="1"/>
          <w:color w:val="auto"/>
        </w:rPr>
        <w:t xml:space="preserve"> </w:t>
      </w:r>
      <w:r>
        <w:rPr>
          <w:rFonts w:ascii="Arial" w:cs="Arial" w:eastAsia="Arial" w:hAnsi="Arial"/>
          <w:sz w:val="19"/>
          <w:szCs w:val="19"/>
          <w:color w:val="auto"/>
        </w:rPr>
        <w:t>percent (35%) of Executive’s Base Salary (the “</w:t>
      </w:r>
      <w:r>
        <w:rPr>
          <w:rFonts w:ascii="Arial" w:cs="Arial" w:eastAsia="Arial" w:hAnsi="Arial"/>
          <w:sz w:val="19"/>
          <w:szCs w:val="19"/>
          <w:b w:val="1"/>
          <w:bCs w:val="1"/>
          <w:color w:val="auto"/>
        </w:rPr>
        <w:t>Annual Bonus</w:t>
      </w:r>
      <w:r>
        <w:rPr>
          <w:rFonts w:ascii="Arial" w:cs="Arial" w:eastAsia="Arial" w:hAnsi="Arial"/>
          <w:sz w:val="19"/>
          <w:szCs w:val="19"/>
          <w:color w:val="auto"/>
        </w:rPr>
        <w:t>”). Whether Executive receives an Annual Bonus for any given year, and the amount of any such Annual Bonus, will be determined by the Board or the Compensation Committee based upon the Company’s and Executive’s achievement of objectives and milestones to be determined by the Board or the Compensation Committee on an annual basis. Except as otherwise provided herein or in applicable incentive compensation plan that may be in effect from time to time, Executive will not be eligible for, and will not earn, any Annual Bonus if Executive is not employed by the Company on the payment date (regardless of the reason for the separation from employment).</w:t>
      </w:r>
    </w:p>
    <w:p>
      <w:pPr>
        <w:spacing w:after="0" w:line="175" w:lineRule="exact"/>
        <w:rPr>
          <w:sz w:val="20"/>
          <w:szCs w:val="20"/>
          <w:color w:val="auto"/>
        </w:rPr>
      </w:pPr>
    </w:p>
    <w:p>
      <w:pPr>
        <w:jc w:val="both"/>
        <w:ind w:firstLine="1258"/>
        <w:spacing w:after="0" w:line="229" w:lineRule="auto"/>
        <w:rPr>
          <w:sz w:val="20"/>
          <w:szCs w:val="20"/>
          <w:color w:val="auto"/>
        </w:rPr>
      </w:pPr>
      <w:r>
        <w:rPr>
          <w:rFonts w:ascii="Arial" w:cs="Arial" w:eastAsia="Arial" w:hAnsi="Arial"/>
          <w:sz w:val="20"/>
          <w:szCs w:val="20"/>
          <w:b w:val="1"/>
          <w:bCs w:val="1"/>
          <w:color w:val="auto"/>
        </w:rPr>
        <w:t xml:space="preserve">2.3 Equity. </w:t>
      </w:r>
      <w:r>
        <w:rPr>
          <w:rFonts w:ascii="Arial" w:cs="Arial" w:eastAsia="Arial" w:hAnsi="Arial"/>
          <w:sz w:val="20"/>
          <w:szCs w:val="20"/>
          <w:color w:val="auto"/>
        </w:rPr>
        <w:t>The stock options and other stock-based awards held by Executive shall continue to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of the Company’s applicable equity incentive plan(s) and the applicable award agreement(s) governing the terms of such stock options and other stock-based awards (collectively, the “</w:t>
      </w:r>
      <w:r>
        <w:rPr>
          <w:rFonts w:ascii="Arial" w:cs="Arial" w:eastAsia="Arial" w:hAnsi="Arial"/>
          <w:sz w:val="20"/>
          <w:szCs w:val="20"/>
          <w:b w:val="1"/>
          <w:bCs w:val="1"/>
          <w:color w:val="auto"/>
        </w:rPr>
        <w:t>Equity Documents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and notwithstanding anything to the contrary in the Equity Documents, Section 5.3(ii)(b) of this Agreement shall apply in the event of a termination of Executive’s employment by the Company without Cause or by Executive for Good Reason, in either case within the Change of Control Period (as such terms are defined below).</w:t>
      </w:r>
    </w:p>
    <w:p>
      <w:pPr>
        <w:spacing w:after="0" w:line="191" w:lineRule="exact"/>
        <w:rPr>
          <w:sz w:val="20"/>
          <w:szCs w:val="20"/>
          <w:color w:val="auto"/>
        </w:rPr>
      </w:pPr>
    </w:p>
    <w:p>
      <w:pPr>
        <w:jc w:val="both"/>
        <w:ind w:right="20" w:firstLine="628"/>
        <w:spacing w:after="0" w:line="224" w:lineRule="auto"/>
        <w:tabs>
          <w:tab w:leader="none" w:pos="1063"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Standard Company Benefits. </w:t>
      </w:r>
      <w:r>
        <w:rPr>
          <w:rFonts w:ascii="Arial" w:cs="Arial" w:eastAsia="Arial" w:hAnsi="Arial"/>
          <w:sz w:val="21"/>
          <w:szCs w:val="21"/>
          <w:color w:val="auto"/>
        </w:rPr>
        <w:t>Executive shall be entitled to participate in all employee benefit programs for which</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is eligible under the terms and conditions of the benefit plans that may be in effect from time to time and provided by the Company to its employees. The Company reserves the right to cancel or change the benefit plans or programs it offers to its employees at any time.</w:t>
      </w:r>
    </w:p>
    <w:p>
      <w:pPr>
        <w:spacing w:after="0" w:line="186" w:lineRule="exact"/>
        <w:rPr>
          <w:rFonts w:ascii="Arial" w:cs="Arial" w:eastAsia="Arial" w:hAnsi="Arial"/>
          <w:sz w:val="21"/>
          <w:szCs w:val="21"/>
          <w:b w:val="1"/>
          <w:bCs w:val="1"/>
          <w:color w:val="auto"/>
        </w:rPr>
      </w:pPr>
    </w:p>
    <w:p>
      <w:pPr>
        <w:jc w:val="both"/>
        <w:ind w:firstLine="628"/>
        <w:spacing w:after="0" w:line="229" w:lineRule="auto"/>
        <w:tabs>
          <w:tab w:leader="none" w:pos="1038"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Expenses. </w:t>
      </w:r>
      <w:r>
        <w:rPr>
          <w:rFonts w:ascii="Arial" w:cs="Arial" w:eastAsia="Arial" w:hAnsi="Arial"/>
          <w:sz w:val="21"/>
          <w:szCs w:val="21"/>
          <w:color w:val="auto"/>
        </w:rPr>
        <w:t>The Company will reimburse Executive for reasonable travel, entertainment or other expenses incurred by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in furtherance or in connection with the performance of Executive’s duties hereunder, in accordance with the Company’s expense reimbursement policy as in effect from time to time.</w:t>
      </w:r>
    </w:p>
    <w:p>
      <w:pPr>
        <w:spacing w:after="0" w:line="174" w:lineRule="exact"/>
        <w:rPr>
          <w:rFonts w:ascii="Arial" w:cs="Arial" w:eastAsia="Arial" w:hAnsi="Arial"/>
          <w:sz w:val="21"/>
          <w:szCs w:val="21"/>
          <w:b w:val="1"/>
          <w:bCs w:val="1"/>
          <w:color w:val="auto"/>
        </w:rPr>
      </w:pPr>
    </w:p>
    <w:p>
      <w:pPr>
        <w:ind w:left="1000" w:hanging="372"/>
        <w:spacing w:after="0"/>
        <w:tabs>
          <w:tab w:leader="none" w:pos="1000"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of Employment; Severance.</w:t>
      </w:r>
    </w:p>
    <w:p>
      <w:pPr>
        <w:spacing w:after="0" w:line="204" w:lineRule="exact"/>
        <w:rPr>
          <w:sz w:val="20"/>
          <w:szCs w:val="20"/>
          <w:color w:val="auto"/>
        </w:rPr>
      </w:pPr>
    </w:p>
    <w:p>
      <w:pPr>
        <w:ind w:right="20" w:firstLine="1258"/>
        <w:spacing w:after="0" w:line="263" w:lineRule="auto"/>
        <w:rPr>
          <w:sz w:val="20"/>
          <w:szCs w:val="20"/>
          <w:color w:val="auto"/>
        </w:rPr>
      </w:pPr>
      <w:r>
        <w:rPr>
          <w:rFonts w:ascii="Arial" w:cs="Arial" w:eastAsia="Arial" w:hAnsi="Arial"/>
          <w:sz w:val="20"/>
          <w:szCs w:val="20"/>
          <w:b w:val="1"/>
          <w:bCs w:val="1"/>
          <w:color w:val="auto"/>
        </w:rPr>
        <w:t xml:space="preserve">5.1 At-Will Employment. </w:t>
      </w:r>
      <w:r>
        <w:rPr>
          <w:rFonts w:ascii="Arial" w:cs="Arial" w:eastAsia="Arial" w:hAnsi="Arial"/>
          <w:sz w:val="20"/>
          <w:szCs w:val="20"/>
          <w:color w:val="auto"/>
        </w:rPr>
        <w:t>Executive’s employment relationship is at- will. Either Executive or the Company may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the employment relationship at any time, with or without cause subject to the terms of this Agreement.</w:t>
      </w:r>
    </w:p>
    <w:p>
      <w:pPr>
        <w:sectPr>
          <w:pgSz w:w="11900" w:h="16838" w:orient="portrait"/>
          <w:cols w:equalWidth="0" w:num="1">
            <w:col w:w="11060"/>
          </w:cols>
          <w:pgMar w:left="420" w:top="1266" w:right="419" w:bottom="1440" w:gutter="0" w:footer="0" w:header="0"/>
        </w:sectPr>
      </w:pPr>
    </w:p>
    <w:bookmarkStart w:id="192" w:name="page193"/>
    <w:bookmarkEnd w:id="192"/>
    <w:p>
      <w:pPr>
        <w:ind w:right="20" w:firstLine="1258"/>
        <w:spacing w:after="0" w:line="239" w:lineRule="auto"/>
        <w:rPr>
          <w:sz w:val="20"/>
          <w:szCs w:val="20"/>
          <w:color w:val="auto"/>
        </w:rPr>
      </w:pPr>
      <w:r>
        <w:rPr>
          <w:rFonts w:ascii="Arial" w:cs="Arial" w:eastAsia="Arial" w:hAnsi="Arial"/>
          <w:sz w:val="21"/>
          <w:szCs w:val="21"/>
          <w:b w:val="1"/>
          <w:bCs w:val="1"/>
          <w:color w:val="auto"/>
        </w:rPr>
        <w:t>5.2 Severance Pay and Benefits Upon a Termination Without Cause or Resignation for Good Reason Outside the Change of Control Period.</w:t>
      </w:r>
    </w:p>
    <w:p>
      <w:pPr>
        <w:spacing w:after="0" w:line="194" w:lineRule="exact"/>
        <w:rPr>
          <w:sz w:val="20"/>
          <w:szCs w:val="20"/>
          <w:color w:val="auto"/>
        </w:rPr>
      </w:pPr>
    </w:p>
    <w:p>
      <w:pPr>
        <w:ind w:right="20" w:firstLine="1887"/>
        <w:spacing w:after="0" w:line="283" w:lineRule="auto"/>
        <w:tabs>
          <w:tab w:leader="none" w:pos="2348" w:val="left"/>
        </w:tabs>
        <w:numPr>
          <w:ilvl w:val="0"/>
          <w:numId w:val="93"/>
        </w:numPr>
        <w:rPr>
          <w:rFonts w:ascii="Arial" w:cs="Arial" w:eastAsia="Arial" w:hAnsi="Arial"/>
          <w:sz w:val="19"/>
          <w:szCs w:val="19"/>
          <w:b w:val="1"/>
          <w:bCs w:val="1"/>
          <w:color w:val="auto"/>
        </w:rPr>
      </w:pPr>
      <w:r>
        <w:rPr>
          <w:rFonts w:ascii="Arial" w:cs="Arial" w:eastAsia="Arial" w:hAnsi="Arial"/>
          <w:sz w:val="19"/>
          <w:szCs w:val="19"/>
          <w:color w:val="auto"/>
        </w:rPr>
        <w:t>The Company may terminate Executive’s employment with the Company at any time without Cause. Executive may terminate Executive’s employment with the Company at any time for any reason, including for Good Reason.</w:t>
      </w:r>
    </w:p>
    <w:p>
      <w:pPr>
        <w:spacing w:after="0" w:line="140" w:lineRule="exact"/>
        <w:rPr>
          <w:rFonts w:ascii="Arial" w:cs="Arial" w:eastAsia="Arial" w:hAnsi="Arial"/>
          <w:sz w:val="19"/>
          <w:szCs w:val="19"/>
          <w:b w:val="1"/>
          <w:bCs w:val="1"/>
          <w:color w:val="auto"/>
        </w:rPr>
      </w:pPr>
    </w:p>
    <w:p>
      <w:pPr>
        <w:jc w:val="both"/>
        <w:ind w:right="20" w:firstLine="1887"/>
        <w:spacing w:after="0" w:line="222" w:lineRule="auto"/>
        <w:tabs>
          <w:tab w:leader="none" w:pos="2420" w:val="left"/>
        </w:tabs>
        <w:numPr>
          <w:ilvl w:val="0"/>
          <w:numId w:val="93"/>
        </w:numPr>
        <w:rPr>
          <w:rFonts w:ascii="Arial" w:cs="Arial" w:eastAsia="Arial" w:hAnsi="Arial"/>
          <w:sz w:val="21"/>
          <w:szCs w:val="21"/>
          <w:b w:val="1"/>
          <w:bCs w:val="1"/>
          <w:color w:val="auto"/>
        </w:rPr>
      </w:pPr>
      <w:r>
        <w:rPr>
          <w:rFonts w:ascii="Arial" w:cs="Arial" w:eastAsia="Arial" w:hAnsi="Arial"/>
          <w:sz w:val="21"/>
          <w:szCs w:val="21"/>
          <w:color w:val="auto"/>
        </w:rPr>
        <w:t>In the event that Executive’s employment with the Company is terminated by the Company without Cause or by Executive for Good Reason, in either case outside of the Change of Control Period, then, provided that Executive remains in compliance with the terms of this Agreement, the Company shall provide Executive with the following severance benefits:</w:t>
      </w:r>
    </w:p>
    <w:p>
      <w:pPr>
        <w:spacing w:after="0" w:line="260" w:lineRule="exact"/>
        <w:rPr>
          <w:rFonts w:ascii="Arial" w:cs="Arial" w:eastAsia="Arial" w:hAnsi="Arial"/>
          <w:sz w:val="21"/>
          <w:szCs w:val="21"/>
          <w:b w:val="1"/>
          <w:bCs w:val="1"/>
          <w:color w:val="auto"/>
        </w:rPr>
      </w:pPr>
    </w:p>
    <w:p>
      <w:pPr>
        <w:jc w:val="both"/>
        <w:ind w:firstLine="2517"/>
        <w:spacing w:after="0" w:line="222" w:lineRule="auto"/>
        <w:tabs>
          <w:tab w:leader="none" w:pos="2985" w:val="left"/>
        </w:tabs>
        <w:numPr>
          <w:ilvl w:val="1"/>
          <w:numId w:val="93"/>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as severance, 9 months of Executive’s Base Salary in effect as of the date of Executive’s employment termination, subject to standard payroll deductions and withholdings (the “</w:t>
      </w:r>
      <w:r>
        <w:rPr>
          <w:rFonts w:ascii="Arial" w:cs="Arial" w:eastAsia="Arial" w:hAnsi="Arial"/>
          <w:sz w:val="21"/>
          <w:szCs w:val="21"/>
          <w:b w:val="1"/>
          <w:bCs w:val="1"/>
          <w:color w:val="auto"/>
        </w:rPr>
        <w:t>Severance</w:t>
      </w:r>
      <w:r>
        <w:rPr>
          <w:rFonts w:ascii="Arial" w:cs="Arial" w:eastAsia="Arial" w:hAnsi="Arial"/>
          <w:sz w:val="21"/>
          <w:szCs w:val="21"/>
          <w:color w:val="auto"/>
        </w:rPr>
        <w:t>”). Subject to Section 5.2(iii) below, the Severance will be paid in equal installments on the Company’s regular payroll schedule over the 9 month period following Executive’s termination of employment.</w:t>
      </w:r>
    </w:p>
    <w:p>
      <w:pPr>
        <w:spacing w:after="0" w:line="260" w:lineRule="exact"/>
        <w:rPr>
          <w:rFonts w:ascii="Arial" w:cs="Arial" w:eastAsia="Arial" w:hAnsi="Arial"/>
          <w:sz w:val="21"/>
          <w:szCs w:val="21"/>
          <w:b w:val="1"/>
          <w:bCs w:val="1"/>
          <w:color w:val="auto"/>
        </w:rPr>
      </w:pPr>
    </w:p>
    <w:p>
      <w:pPr>
        <w:jc w:val="both"/>
        <w:ind w:firstLine="2517"/>
        <w:spacing w:after="0" w:line="234" w:lineRule="auto"/>
        <w:tabs>
          <w:tab w:leader="none" w:pos="3049" w:val="left"/>
        </w:tabs>
        <w:numPr>
          <w:ilvl w:val="1"/>
          <w:numId w:val="93"/>
        </w:numPr>
        <w:rPr>
          <w:rFonts w:ascii="Arial" w:cs="Arial" w:eastAsia="Arial" w:hAnsi="Arial"/>
          <w:sz w:val="19"/>
          <w:szCs w:val="19"/>
          <w:b w:val="1"/>
          <w:bCs w:val="1"/>
          <w:color w:val="auto"/>
        </w:rPr>
      </w:pPr>
      <w:r>
        <w:rPr>
          <w:rFonts w:ascii="Arial" w:cs="Arial" w:eastAsia="Arial" w:hAnsi="Arial"/>
          <w:sz w:val="19"/>
          <w:szCs w:val="19"/>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Arial" w:cs="Arial" w:eastAsia="Arial" w:hAnsi="Arial"/>
          <w:sz w:val="19"/>
          <w:szCs w:val="19"/>
          <w:b w:val="1"/>
          <w:bCs w:val="1"/>
          <w:color w:val="auto"/>
        </w:rPr>
        <w:t>COBRA</w:t>
      </w:r>
      <w:r>
        <w:rPr>
          <w:rFonts w:ascii="Arial" w:cs="Arial" w:eastAsia="Arial" w:hAnsi="Arial"/>
          <w:sz w:val="19"/>
          <w:szCs w:val="19"/>
          <w:color w:val="auto"/>
        </w:rPr>
        <w:t xml:space="preserve"> </w:t>
      </w:r>
      <w:r>
        <w:rPr>
          <w:rFonts w:ascii="Arial" w:cs="Arial" w:eastAsia="Arial" w:hAnsi="Arial"/>
          <w:sz w:val="19"/>
          <w:szCs w:val="19"/>
          <w:b w:val="1"/>
          <w:bCs w:val="1"/>
          <w:color w:val="auto"/>
        </w:rPr>
        <w:t>Premiums</w:t>
      </w:r>
      <w:r>
        <w:rPr>
          <w:rFonts w:ascii="Arial" w:cs="Arial" w:eastAsia="Arial" w:hAnsi="Arial"/>
          <w:sz w:val="19"/>
          <w:szCs w:val="19"/>
          <w:color w:val="auto"/>
        </w:rPr>
        <w:t>”) through the period (the “</w:t>
      </w:r>
      <w:r>
        <w:rPr>
          <w:rFonts w:ascii="Arial" w:cs="Arial" w:eastAsia="Arial" w:hAnsi="Arial"/>
          <w:sz w:val="19"/>
          <w:szCs w:val="19"/>
          <w:b w:val="1"/>
          <w:bCs w:val="1"/>
          <w:color w:val="auto"/>
        </w:rPr>
        <w:t>COBRA Premium Period</w:t>
      </w:r>
      <w:r>
        <w:rPr>
          <w:rFonts w:ascii="Arial" w:cs="Arial" w:eastAsia="Arial" w:hAnsi="Arial"/>
          <w:sz w:val="19"/>
          <w:szCs w:val="19"/>
          <w:color w:val="auto"/>
        </w:rPr>
        <w:t>”) starting on Executive’s date of termination and 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earliest to occur of: (i) the 9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Notwithstanding the foregoing, if the Company determines, in its sole discretion, that it cannot pay the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Arial" w:cs="Arial" w:eastAsia="Arial" w:hAnsi="Arial"/>
          <w:sz w:val="19"/>
          <w:szCs w:val="19"/>
          <w:b w:val="1"/>
          <w:bCs w:val="1"/>
          <w:color w:val="auto"/>
        </w:rPr>
        <w:t>Special Cash Payment</w:t>
      </w:r>
      <w:r>
        <w:rPr>
          <w:rFonts w:ascii="Arial" w:cs="Arial" w:eastAsia="Arial" w:hAnsi="Arial"/>
          <w:sz w:val="19"/>
          <w:szCs w:val="19"/>
          <w:color w:val="auto"/>
        </w:rPr>
        <w:t>”), for the remainder of the COBRA Premium Period. Executive may, but is not obligated to, use such Special Cash Payments toward the cost of COBRA premiums.</w:t>
      </w:r>
    </w:p>
    <w:p>
      <w:pPr>
        <w:spacing w:after="0" w:line="187" w:lineRule="exact"/>
        <w:rPr>
          <w:rFonts w:ascii="Arial" w:cs="Arial" w:eastAsia="Arial" w:hAnsi="Arial"/>
          <w:sz w:val="19"/>
          <w:szCs w:val="19"/>
          <w:b w:val="1"/>
          <w:bCs w:val="1"/>
          <w:color w:val="auto"/>
        </w:rPr>
      </w:pPr>
    </w:p>
    <w:p>
      <w:pPr>
        <w:jc w:val="both"/>
        <w:ind w:firstLine="1887"/>
        <w:spacing w:after="0" w:line="219" w:lineRule="auto"/>
        <w:tabs>
          <w:tab w:leader="none" w:pos="2478" w:val="left"/>
        </w:tabs>
        <w:numPr>
          <w:ilvl w:val="0"/>
          <w:numId w:val="93"/>
        </w:numPr>
        <w:rPr>
          <w:rFonts w:ascii="Arial" w:cs="Arial" w:eastAsia="Arial" w:hAnsi="Arial"/>
          <w:sz w:val="21"/>
          <w:szCs w:val="21"/>
          <w:b w:val="1"/>
          <w:bCs w:val="1"/>
          <w:color w:val="auto"/>
        </w:rPr>
      </w:pPr>
      <w:r>
        <w:rPr>
          <w:rFonts w:ascii="Arial" w:cs="Arial" w:eastAsia="Arial" w:hAnsi="Arial"/>
          <w:sz w:val="21"/>
          <w:szCs w:val="21"/>
          <w:color w:val="auto"/>
        </w:rPr>
        <w:t xml:space="preserve">The amounts payable under this Section 5.2, to the extent taxable, shall be paid or commence to be paid within 60 days after the date of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shall be paid or commence to be paid in the second calendar year by the last day of such 60-day period.</w:t>
      </w:r>
    </w:p>
    <w:p>
      <w:pPr>
        <w:sectPr>
          <w:pgSz w:w="11900" w:h="16838" w:orient="portrait"/>
          <w:cols w:equalWidth="0" w:num="1">
            <w:col w:w="11060"/>
          </w:cols>
          <w:pgMar w:left="420" w:top="1266" w:right="419" w:bottom="1440" w:gutter="0" w:footer="0" w:header="0"/>
        </w:sectPr>
      </w:pPr>
    </w:p>
    <w:bookmarkStart w:id="193" w:name="page194"/>
    <w:bookmarkEnd w:id="193"/>
    <w:p>
      <w:pPr>
        <w:spacing w:after="0" w:line="24" w:lineRule="exact"/>
        <w:rPr>
          <w:sz w:val="20"/>
          <w:szCs w:val="20"/>
          <w:color w:val="auto"/>
        </w:rPr>
      </w:pPr>
    </w:p>
    <w:p>
      <w:pPr>
        <w:ind w:left="1" w:right="20" w:firstLine="1258"/>
        <w:spacing w:after="0" w:line="239" w:lineRule="auto"/>
        <w:rPr>
          <w:sz w:val="20"/>
          <w:szCs w:val="20"/>
          <w:color w:val="auto"/>
        </w:rPr>
      </w:pPr>
      <w:r>
        <w:rPr>
          <w:rFonts w:ascii="Arial" w:cs="Arial" w:eastAsia="Arial" w:hAnsi="Arial"/>
          <w:sz w:val="21"/>
          <w:szCs w:val="21"/>
          <w:b w:val="1"/>
          <w:bCs w:val="1"/>
          <w:color w:val="auto"/>
        </w:rPr>
        <w:t>5.3 Severance Pay and Benefits Upon Termination Without Cause or Resignation for Good Reason Within the Change of Control Period.</w:t>
      </w:r>
    </w:p>
    <w:p>
      <w:pPr>
        <w:spacing w:after="0" w:line="181" w:lineRule="exact"/>
        <w:rPr>
          <w:sz w:val="20"/>
          <w:szCs w:val="20"/>
          <w:color w:val="auto"/>
        </w:rPr>
      </w:pPr>
    </w:p>
    <w:p>
      <w:pPr>
        <w:jc w:val="both"/>
        <w:ind w:left="1" w:firstLine="1887"/>
        <w:spacing w:after="0" w:line="219" w:lineRule="auto"/>
        <w:tabs>
          <w:tab w:leader="none" w:pos="2389" w:val="left"/>
        </w:tabs>
        <w:numPr>
          <w:ilvl w:val="1"/>
          <w:numId w:val="94"/>
        </w:numPr>
        <w:rPr>
          <w:rFonts w:ascii="Arial" w:cs="Arial" w:eastAsia="Arial" w:hAnsi="Arial"/>
          <w:sz w:val="21"/>
          <w:szCs w:val="21"/>
          <w:b w:val="1"/>
          <w:bCs w:val="1"/>
          <w:color w:val="auto"/>
        </w:rPr>
      </w:pPr>
      <w:r>
        <w:rPr>
          <w:rFonts w:ascii="Arial" w:cs="Arial" w:eastAsia="Arial" w:hAnsi="Arial"/>
          <w:sz w:val="21"/>
          <w:szCs w:val="21"/>
          <w:color w:val="auto"/>
        </w:rPr>
        <w:t>The provisions of this Section 5.3 shall apply in lieu of, and expressly supersede, the provisions of Section 5.2 regarding severance pay and benefits upon a termination of employment by the Company without Cause or by Executive for Good Reason if such termination of employment occurs on or within 12 months after the occurrence of the first event constituting a Change of Control (such period, the “</w:t>
      </w:r>
      <w:r>
        <w:rPr>
          <w:rFonts w:ascii="Arial" w:cs="Arial" w:eastAsia="Arial" w:hAnsi="Arial"/>
          <w:sz w:val="21"/>
          <w:szCs w:val="21"/>
          <w:b w:val="1"/>
          <w:bCs w:val="1"/>
          <w:color w:val="auto"/>
        </w:rPr>
        <w:t>Change of Control Period</w:t>
      </w:r>
      <w:r>
        <w:rPr>
          <w:rFonts w:ascii="Arial" w:cs="Arial" w:eastAsia="Arial" w:hAnsi="Arial"/>
          <w:sz w:val="21"/>
          <w:szCs w:val="21"/>
          <w:color w:val="auto"/>
        </w:rPr>
        <w:t>”). These provisions shall terminate and be of no further force or effect after the Change of Control Period</w:t>
      </w:r>
    </w:p>
    <w:p>
      <w:pPr>
        <w:spacing w:after="0" w:line="196" w:lineRule="exact"/>
        <w:rPr>
          <w:rFonts w:ascii="Arial" w:cs="Arial" w:eastAsia="Arial" w:hAnsi="Arial"/>
          <w:sz w:val="21"/>
          <w:szCs w:val="21"/>
          <w:b w:val="1"/>
          <w:bCs w:val="1"/>
          <w:color w:val="auto"/>
        </w:rPr>
      </w:pPr>
    </w:p>
    <w:p>
      <w:pPr>
        <w:jc w:val="both"/>
        <w:ind w:left="1" w:firstLine="1887"/>
        <w:spacing w:after="0" w:line="257" w:lineRule="auto"/>
        <w:tabs>
          <w:tab w:leader="none" w:pos="2421" w:val="left"/>
        </w:tabs>
        <w:numPr>
          <w:ilvl w:val="1"/>
          <w:numId w:val="94"/>
        </w:numPr>
        <w:rPr>
          <w:rFonts w:ascii="Arial" w:cs="Arial" w:eastAsia="Arial" w:hAnsi="Arial"/>
          <w:sz w:val="19"/>
          <w:szCs w:val="19"/>
          <w:b w:val="1"/>
          <w:bCs w:val="1"/>
          <w:color w:val="auto"/>
        </w:rPr>
      </w:pPr>
      <w:r>
        <w:rPr>
          <w:rFonts w:ascii="Arial" w:cs="Arial" w:eastAsia="Arial" w:hAnsi="Arial"/>
          <w:sz w:val="19"/>
          <w:szCs w:val="19"/>
          <w:color w:val="auto"/>
        </w:rPr>
        <w:t>In the event that Executive’s employment with the Company is terminated by the Company without Cause or by Executive for Good Reason, in either case during the Change of Control Period, then, provided Executive remains in compliance with the terms of this Agreement, the Company shall provide Executive with the following severance benefits:</w:t>
      </w:r>
    </w:p>
    <w:p>
      <w:pPr>
        <w:spacing w:after="0" w:line="242" w:lineRule="exact"/>
        <w:rPr>
          <w:rFonts w:ascii="Arial" w:cs="Arial" w:eastAsia="Arial" w:hAnsi="Arial"/>
          <w:sz w:val="19"/>
          <w:szCs w:val="19"/>
          <w:b w:val="1"/>
          <w:bCs w:val="1"/>
          <w:color w:val="auto"/>
        </w:rPr>
      </w:pPr>
    </w:p>
    <w:p>
      <w:pPr>
        <w:jc w:val="both"/>
        <w:ind w:left="1" w:firstLine="2517"/>
        <w:spacing w:after="0" w:line="222" w:lineRule="auto"/>
        <w:tabs>
          <w:tab w:leader="none" w:pos="3025" w:val="left"/>
        </w:tabs>
        <w:numPr>
          <w:ilvl w:val="2"/>
          <w:numId w:val="94"/>
        </w:numPr>
        <w:rPr>
          <w:rFonts w:ascii="Arial" w:cs="Arial" w:eastAsia="Arial" w:hAnsi="Arial"/>
          <w:sz w:val="21"/>
          <w:szCs w:val="21"/>
          <w:b w:val="1"/>
          <w:bCs w:val="1"/>
          <w:color w:val="auto"/>
        </w:rPr>
      </w:pPr>
      <w:r>
        <w:rPr>
          <w:rFonts w:ascii="Arial" w:cs="Arial" w:eastAsia="Arial" w:hAnsi="Arial"/>
          <w:sz w:val="21"/>
          <w:szCs w:val="21"/>
          <w:color w:val="auto"/>
        </w:rPr>
        <w:t>The Company shall pay Executive, as severance, a lump sum in cash in an amount equal to 1 times the sum of (A) Executive’s then current Base Salary (or Executive’s Base Salary in effect immediately prior to the Change of Control, if higher) plus (B) Executive’s Annual Bonus for the then-current year (or Executive’s Annual Bonus in effect immediately prior to the Change of Control, if higher) (the “</w:t>
      </w:r>
      <w:r>
        <w:rPr>
          <w:rFonts w:ascii="Arial" w:cs="Arial" w:eastAsia="Arial" w:hAnsi="Arial"/>
          <w:sz w:val="21"/>
          <w:szCs w:val="21"/>
          <w:b w:val="1"/>
          <w:bCs w:val="1"/>
          <w:color w:val="auto"/>
        </w:rPr>
        <w:t>Change of Control Severance</w:t>
      </w:r>
      <w:r>
        <w:rPr>
          <w:rFonts w:ascii="Arial" w:cs="Arial" w:eastAsia="Arial" w:hAnsi="Arial"/>
          <w:sz w:val="21"/>
          <w:szCs w:val="21"/>
          <w:color w:val="auto"/>
        </w:rPr>
        <w:t>”).</w:t>
      </w:r>
    </w:p>
    <w:p>
      <w:pPr>
        <w:spacing w:after="0" w:line="194" w:lineRule="exact"/>
        <w:rPr>
          <w:rFonts w:ascii="Arial" w:cs="Arial" w:eastAsia="Arial" w:hAnsi="Arial"/>
          <w:sz w:val="21"/>
          <w:szCs w:val="21"/>
          <w:b w:val="1"/>
          <w:bCs w:val="1"/>
          <w:color w:val="auto"/>
        </w:rPr>
      </w:pPr>
    </w:p>
    <w:p>
      <w:pPr>
        <w:jc w:val="both"/>
        <w:ind w:left="1" w:firstLine="2517"/>
        <w:spacing w:after="0" w:line="250" w:lineRule="auto"/>
        <w:tabs>
          <w:tab w:leader="none" w:pos="3063" w:val="left"/>
        </w:tabs>
        <w:numPr>
          <w:ilvl w:val="2"/>
          <w:numId w:val="94"/>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any applicable option agreement or other stock-based award agreement, all time-based stock options and other stock-based awards subject to time-based vesting held by Executive (the “</w:t>
      </w:r>
      <w:r>
        <w:rPr>
          <w:rFonts w:ascii="Arial" w:cs="Arial" w:eastAsia="Arial" w:hAnsi="Arial"/>
          <w:sz w:val="18"/>
          <w:szCs w:val="18"/>
          <w:b w:val="1"/>
          <w:bCs w:val="1"/>
          <w:color w:val="auto"/>
        </w:rPr>
        <w:t>Time-Based Equity Awards</w:t>
      </w:r>
      <w:r>
        <w:rPr>
          <w:rFonts w:ascii="Arial" w:cs="Arial" w:eastAsia="Arial" w:hAnsi="Arial"/>
          <w:sz w:val="18"/>
          <w:szCs w:val="18"/>
          <w:color w:val="auto"/>
        </w:rPr>
        <w:t>”) shall immediately accelerate and become fully exercisable or nonforfeitable as of the later of</w:t>
      </w:r>
    </w:p>
    <w:p>
      <w:pPr>
        <w:jc w:val="both"/>
        <w:ind w:left="1" w:hanging="1"/>
        <w:spacing w:after="0" w:line="214" w:lineRule="auto"/>
        <w:tabs>
          <w:tab w:leader="none" w:pos="277"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date of termination or (ii) the effective date of the Separation Agreement (as defined below) (the “</w:t>
      </w:r>
      <w:r>
        <w:rPr>
          <w:rFonts w:ascii="Arial" w:cs="Arial" w:eastAsia="Arial" w:hAnsi="Arial"/>
          <w:sz w:val="21"/>
          <w:szCs w:val="21"/>
          <w:b w:val="1"/>
          <w:bCs w:val="1"/>
          <w:color w:val="auto"/>
        </w:rPr>
        <w:t>Accelerated Vesting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any termination or forfeiture of the unvested portion of such Time-Based Equity Awards that would</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occur on the date of termination in the absence of this Agreement will be delayed until the effective date of the Separation Agreement and will only occur if the vesting pursuant to this subsection does not occur due to the absence of the Separation Agreement becoming fully effective within the time period set forth therein. Notwithstanding the foregoing, no additional vesting of the Time-Based Equity Awards shall occur during the period between Executive’s date of termination and the Accelerated Vesting Date.</w:t>
      </w:r>
    </w:p>
    <w:p>
      <w:pPr>
        <w:spacing w:after="0" w:line="258" w:lineRule="exact"/>
        <w:rPr>
          <w:rFonts w:ascii="Arial" w:cs="Arial" w:eastAsia="Arial" w:hAnsi="Arial"/>
          <w:sz w:val="21"/>
          <w:szCs w:val="21"/>
          <w:color w:val="auto"/>
        </w:rPr>
      </w:pPr>
    </w:p>
    <w:p>
      <w:pPr>
        <w:jc w:val="both"/>
        <w:ind w:left="1" w:firstLine="2517"/>
        <w:spacing w:after="0" w:line="224" w:lineRule="auto"/>
        <w:tabs>
          <w:tab w:leader="none" w:pos="3040" w:val="left"/>
        </w:tabs>
        <w:numPr>
          <w:ilvl w:val="2"/>
          <w:numId w:val="95"/>
        </w:numPr>
        <w:rPr>
          <w:rFonts w:ascii="Arial" w:cs="Arial" w:eastAsia="Arial" w:hAnsi="Arial"/>
          <w:sz w:val="20"/>
          <w:szCs w:val="20"/>
          <w:b w:val="1"/>
          <w:bCs w:val="1"/>
          <w:color w:val="auto"/>
        </w:rPr>
      </w:pPr>
      <w:r>
        <w:rPr>
          <w:rFonts w:ascii="Arial" w:cs="Arial" w:eastAsia="Arial" w:hAnsi="Arial"/>
          <w:sz w:val="20"/>
          <w:szCs w:val="20"/>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Arial" w:cs="Arial" w:eastAsia="Arial" w:hAnsi="Arial"/>
          <w:sz w:val="20"/>
          <w:szCs w:val="20"/>
          <w:b w:val="1"/>
          <w:bCs w:val="1"/>
          <w:color w:val="auto"/>
        </w:rPr>
        <w:t>COC</w:t>
      </w:r>
      <w:r>
        <w:rPr>
          <w:rFonts w:ascii="Arial" w:cs="Arial" w:eastAsia="Arial" w:hAnsi="Arial"/>
          <w:sz w:val="20"/>
          <w:szCs w:val="20"/>
          <w:color w:val="auto"/>
        </w:rPr>
        <w:t xml:space="preserve"> </w:t>
      </w:r>
      <w:r>
        <w:rPr>
          <w:rFonts w:ascii="Arial" w:cs="Arial" w:eastAsia="Arial" w:hAnsi="Arial"/>
          <w:sz w:val="20"/>
          <w:szCs w:val="20"/>
          <w:b w:val="1"/>
          <w:bCs w:val="1"/>
          <w:color w:val="auto"/>
        </w:rPr>
        <w:t>COBRA Premiums</w:t>
      </w:r>
      <w:r>
        <w:rPr>
          <w:rFonts w:ascii="Arial" w:cs="Arial" w:eastAsia="Arial" w:hAnsi="Arial"/>
          <w:sz w:val="20"/>
          <w:szCs w:val="20"/>
          <w:color w:val="auto"/>
        </w:rPr>
        <w:t>”) through the period (the “</w:t>
      </w:r>
      <w:r>
        <w:rPr>
          <w:rFonts w:ascii="Arial" w:cs="Arial" w:eastAsia="Arial" w:hAnsi="Arial"/>
          <w:sz w:val="20"/>
          <w:szCs w:val="20"/>
          <w:b w:val="1"/>
          <w:bCs w:val="1"/>
          <w:color w:val="auto"/>
        </w:rPr>
        <w:t>COC COBRA Premium Period</w:t>
      </w:r>
      <w:r>
        <w:rPr>
          <w:rFonts w:ascii="Arial" w:cs="Arial" w:eastAsia="Arial" w:hAnsi="Arial"/>
          <w:sz w:val="20"/>
          <w:szCs w:val="20"/>
          <w:color w:val="auto"/>
        </w:rPr>
        <w:t>”) starting on Executive’s date of termination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ending on the earliest to occur of: (i) the 12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COC COBRA Premium Period, Executive must immediately notify the Company of such event. Notwithstanding the foregoing, if the Company determines, in its sole discretion, that it cannot pay the COC COBRA Premiums without potentially violating applicable law (including, without limitation, Section 2716 of the Public Health</w:t>
      </w:r>
    </w:p>
    <w:p>
      <w:pPr>
        <w:sectPr>
          <w:pgSz w:w="11900" w:h="16838" w:orient="portrait"/>
          <w:cols w:equalWidth="0" w:num="1">
            <w:col w:w="11061"/>
          </w:cols>
          <w:pgMar w:left="419" w:top="1440" w:right="419" w:bottom="1440" w:gutter="0" w:footer="0" w:header="0"/>
        </w:sectPr>
      </w:pPr>
    </w:p>
    <w:bookmarkStart w:id="194" w:name="page195"/>
    <w:bookmarkEnd w:id="194"/>
    <w:p>
      <w:pPr>
        <w:jc w:val="both"/>
        <w:spacing w:after="0" w:line="230" w:lineRule="auto"/>
        <w:rPr>
          <w:sz w:val="20"/>
          <w:szCs w:val="20"/>
          <w:color w:val="auto"/>
        </w:rPr>
      </w:pPr>
      <w:r>
        <w:rPr>
          <w:rFonts w:ascii="Arial" w:cs="Arial" w:eastAsia="Arial" w:hAnsi="Arial"/>
          <w:sz w:val="20"/>
          <w:szCs w:val="20"/>
          <w:color w:val="auto"/>
        </w:rPr>
        <w:t>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Arial" w:cs="Arial" w:eastAsia="Arial" w:hAnsi="Arial"/>
          <w:sz w:val="20"/>
          <w:szCs w:val="20"/>
          <w:b w:val="1"/>
          <w:bCs w:val="1"/>
          <w:color w:val="auto"/>
        </w:rPr>
        <w:t>COC</w:t>
      </w:r>
      <w:r>
        <w:rPr>
          <w:rFonts w:ascii="Arial" w:cs="Arial" w:eastAsia="Arial" w:hAnsi="Arial"/>
          <w:sz w:val="20"/>
          <w:szCs w:val="20"/>
          <w:color w:val="auto"/>
        </w:rPr>
        <w:t xml:space="preserve"> </w:t>
      </w:r>
      <w:r>
        <w:rPr>
          <w:rFonts w:ascii="Arial" w:cs="Arial" w:eastAsia="Arial" w:hAnsi="Arial"/>
          <w:sz w:val="20"/>
          <w:szCs w:val="20"/>
          <w:b w:val="1"/>
          <w:bCs w:val="1"/>
          <w:color w:val="auto"/>
        </w:rPr>
        <w:t>Special Cash Payment</w:t>
      </w:r>
      <w:r>
        <w:rPr>
          <w:rFonts w:ascii="Arial" w:cs="Arial" w:eastAsia="Arial" w:hAnsi="Arial"/>
          <w:sz w:val="20"/>
          <w:szCs w:val="20"/>
          <w:color w:val="auto"/>
        </w:rPr>
        <w:t>”), for the remainder of the COC COBRA Premium Period. Executive may, but is not obligated to, use such</w:t>
      </w:r>
      <w:r>
        <w:rPr>
          <w:rFonts w:ascii="Arial" w:cs="Arial" w:eastAsia="Arial" w:hAnsi="Arial"/>
          <w:sz w:val="20"/>
          <w:szCs w:val="20"/>
          <w:b w:val="1"/>
          <w:bCs w:val="1"/>
          <w:color w:val="auto"/>
        </w:rPr>
        <w:t xml:space="preserve"> </w:t>
      </w:r>
      <w:r>
        <w:rPr>
          <w:rFonts w:ascii="Arial" w:cs="Arial" w:eastAsia="Arial" w:hAnsi="Arial"/>
          <w:sz w:val="20"/>
          <w:szCs w:val="20"/>
          <w:color w:val="auto"/>
        </w:rPr>
        <w:t>COC Special Cash Payments toward the cost of COBRA premiums.</w:t>
      </w:r>
    </w:p>
    <w:p>
      <w:pPr>
        <w:spacing w:after="0" w:line="262" w:lineRule="exact"/>
        <w:rPr>
          <w:sz w:val="20"/>
          <w:szCs w:val="20"/>
          <w:color w:val="auto"/>
        </w:rPr>
      </w:pPr>
    </w:p>
    <w:p>
      <w:pPr>
        <w:jc w:val="both"/>
        <w:ind w:left="100" w:right="20" w:firstLine="1887"/>
        <w:spacing w:after="0" w:line="219" w:lineRule="auto"/>
        <w:tabs>
          <w:tab w:leader="none" w:pos="2578" w:val="left"/>
        </w:tabs>
        <w:numPr>
          <w:ilvl w:val="0"/>
          <w:numId w:val="96"/>
        </w:numPr>
        <w:rPr>
          <w:rFonts w:ascii="Arial" w:cs="Arial" w:eastAsia="Arial" w:hAnsi="Arial"/>
          <w:sz w:val="21"/>
          <w:szCs w:val="21"/>
          <w:b w:val="1"/>
          <w:bCs w:val="1"/>
          <w:color w:val="auto"/>
        </w:rPr>
      </w:pPr>
      <w:r>
        <w:rPr>
          <w:rFonts w:ascii="Arial" w:cs="Arial" w:eastAsia="Arial" w:hAnsi="Arial"/>
          <w:sz w:val="21"/>
          <w:szCs w:val="21"/>
          <w:color w:val="auto"/>
        </w:rPr>
        <w:t xml:space="preserve">The amounts payable under this Section 5.3, to the extent taxable, shall be paid or commence to be paid within 60 days after the date of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90" w:lineRule="exact"/>
        <w:rPr>
          <w:rFonts w:ascii="Arial" w:cs="Arial" w:eastAsia="Arial" w:hAnsi="Arial"/>
          <w:sz w:val="21"/>
          <w:szCs w:val="21"/>
          <w:b w:val="1"/>
          <w:bCs w:val="1"/>
          <w:color w:val="auto"/>
        </w:rPr>
      </w:pPr>
    </w:p>
    <w:p>
      <w:pPr>
        <w:ind w:left="2480" w:hanging="492"/>
        <w:spacing w:after="0"/>
        <w:tabs>
          <w:tab w:leader="none" w:pos="2480"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Limitation.</w:t>
      </w:r>
    </w:p>
    <w:p>
      <w:pPr>
        <w:spacing w:after="0" w:line="210" w:lineRule="exact"/>
        <w:rPr>
          <w:rFonts w:ascii="Arial" w:cs="Arial" w:eastAsia="Arial" w:hAnsi="Arial"/>
          <w:sz w:val="21"/>
          <w:szCs w:val="21"/>
          <w:b w:val="1"/>
          <w:bCs w:val="1"/>
          <w:color w:val="auto"/>
        </w:rPr>
      </w:pPr>
    </w:p>
    <w:p>
      <w:pPr>
        <w:jc w:val="both"/>
        <w:ind w:left="100" w:firstLine="2517"/>
        <w:spacing w:after="0" w:line="234" w:lineRule="auto"/>
        <w:tabs>
          <w:tab w:leader="none" w:pos="3072" w:val="left"/>
        </w:tabs>
        <w:numPr>
          <w:ilvl w:val="1"/>
          <w:numId w:val="96"/>
        </w:numPr>
        <w:rPr>
          <w:rFonts w:ascii="Arial" w:cs="Arial" w:eastAsia="Arial" w:hAnsi="Arial"/>
          <w:sz w:val="19"/>
          <w:szCs w:val="19"/>
          <w:b w:val="1"/>
          <w:bCs w:val="1"/>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9"/>
          <w:szCs w:val="19"/>
          <w:b w:val="1"/>
          <w:bCs w:val="1"/>
          <w:color w:val="auto"/>
        </w:rPr>
        <w:t>Aggregate Payments</w:t>
      </w:r>
      <w:r>
        <w:rPr>
          <w:rFonts w:ascii="Arial" w:cs="Arial" w:eastAsia="Arial" w:hAnsi="Arial"/>
          <w:sz w:val="19"/>
          <w:szCs w:val="19"/>
          <w:color w:val="auto"/>
        </w:rPr>
        <w:t xml:space="preserve">”),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5" w:lineRule="exact"/>
        <w:rPr>
          <w:rFonts w:ascii="Arial" w:cs="Arial" w:eastAsia="Arial" w:hAnsi="Arial"/>
          <w:sz w:val="19"/>
          <w:szCs w:val="19"/>
          <w:b w:val="1"/>
          <w:bCs w:val="1"/>
          <w:color w:val="auto"/>
        </w:rPr>
      </w:pPr>
    </w:p>
    <w:p>
      <w:pPr>
        <w:jc w:val="both"/>
        <w:ind w:left="100" w:firstLine="2517"/>
        <w:spacing w:after="0" w:line="217" w:lineRule="auto"/>
        <w:tabs>
          <w:tab w:leader="none" w:pos="3241" w:val="left"/>
        </w:tabs>
        <w:numPr>
          <w:ilvl w:val="1"/>
          <w:numId w:val="96"/>
        </w:numPr>
        <w:rPr>
          <w:rFonts w:ascii="Arial" w:cs="Arial" w:eastAsia="Arial" w:hAnsi="Arial"/>
          <w:sz w:val="21"/>
          <w:szCs w:val="21"/>
          <w:b w:val="1"/>
          <w:bCs w:val="1"/>
          <w:color w:val="auto"/>
        </w:rPr>
      </w:pPr>
      <w:r>
        <w:rPr>
          <w:rFonts w:ascii="Arial" w:cs="Arial" w:eastAsia="Arial" w:hAnsi="Arial"/>
          <w:sz w:val="21"/>
          <w:szCs w:val="21"/>
          <w:color w:val="auto"/>
        </w:rPr>
        <w:t>For purposes of this Section 5.3(iv), the “</w:t>
      </w:r>
      <w:r>
        <w:rPr>
          <w:rFonts w:ascii="Arial" w:cs="Arial" w:eastAsia="Arial" w:hAnsi="Arial"/>
          <w:sz w:val="21"/>
          <w:szCs w:val="21"/>
          <w:b w:val="1"/>
          <w:bCs w:val="1"/>
          <w:color w:val="auto"/>
        </w:rPr>
        <w:t>After Tax Amount</w:t>
      </w:r>
      <w:r>
        <w:rPr>
          <w:rFonts w:ascii="Arial" w:cs="Arial" w:eastAsia="Arial" w:hAnsi="Arial"/>
          <w:sz w:val="21"/>
          <w:szCs w:val="21"/>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ectPr>
          <w:pgSz w:w="11900" w:h="16838" w:orient="portrait"/>
          <w:cols w:equalWidth="0" w:num="1">
            <w:col w:w="11160"/>
          </w:cols>
          <w:pgMar w:left="320" w:top="1351" w:right="419" w:bottom="1440" w:gutter="0" w:footer="0" w:header="0"/>
        </w:sectPr>
      </w:pPr>
    </w:p>
    <w:bookmarkStart w:id="195" w:name="page196"/>
    <w:bookmarkEnd w:id="195"/>
    <w:p>
      <w:pPr>
        <w:jc w:val="both"/>
        <w:ind w:firstLine="2517"/>
        <w:spacing w:after="0" w:line="219" w:lineRule="auto"/>
        <w:tabs>
          <w:tab w:leader="none" w:pos="2973" w:val="left"/>
        </w:tabs>
        <w:numPr>
          <w:ilvl w:val="0"/>
          <w:numId w:val="97"/>
        </w:numPr>
        <w:rPr>
          <w:rFonts w:ascii="Arial" w:cs="Arial" w:eastAsia="Arial" w:hAnsi="Arial"/>
          <w:sz w:val="21"/>
          <w:szCs w:val="21"/>
          <w:b w:val="1"/>
          <w:bCs w:val="1"/>
          <w:color w:val="auto"/>
        </w:rPr>
      </w:pPr>
      <w:r>
        <w:rPr>
          <w:rFonts w:ascii="Arial" w:cs="Arial" w:eastAsia="Arial" w:hAnsi="Arial"/>
          <w:sz w:val="21"/>
          <w:szCs w:val="21"/>
          <w:color w:val="auto"/>
        </w:rPr>
        <w:t>The determination as to whether a reduction in the Aggregate Payments shall be made pursuant to Section 5.3(iv)(a) shall be made by a nationally recognized accounting firm selected by the Company (the “</w:t>
      </w:r>
      <w:r>
        <w:rPr>
          <w:rFonts w:ascii="Arial" w:cs="Arial" w:eastAsia="Arial" w:hAnsi="Arial"/>
          <w:sz w:val="21"/>
          <w:szCs w:val="21"/>
          <w:b w:val="1"/>
          <w:bCs w:val="1"/>
          <w:color w:val="auto"/>
        </w:rPr>
        <w:t>Accounting Firm</w:t>
      </w:r>
      <w:r>
        <w:rPr>
          <w:rFonts w:ascii="Arial" w:cs="Arial" w:eastAsia="Arial" w:hAnsi="Arial"/>
          <w:sz w:val="21"/>
          <w:szCs w:val="21"/>
          <w:color w:val="auto"/>
        </w:rPr>
        <w:t>”), which shall provide detailed supporting calculations both to the Company and Executive within 15 business days of the date of termination, if applicable, or at such earlier time as is reasonably requested by the Company or Executive. Any determination by the Accounting Firm shall be binding upon the Company and Executive.</w:t>
      </w:r>
    </w:p>
    <w:p>
      <w:pPr>
        <w:spacing w:after="0" w:line="183" w:lineRule="exact"/>
        <w:rPr>
          <w:sz w:val="20"/>
          <w:szCs w:val="20"/>
          <w:color w:val="auto"/>
        </w:rPr>
      </w:pPr>
    </w:p>
    <w:p>
      <w:pPr>
        <w:ind w:left="1260"/>
        <w:spacing w:after="0"/>
        <w:tabs>
          <w:tab w:leader="none" w:pos="1700" w:val="left"/>
        </w:tabs>
        <w:rPr>
          <w:sz w:val="20"/>
          <w:szCs w:val="20"/>
          <w:color w:val="auto"/>
        </w:rPr>
      </w:pPr>
      <w:r>
        <w:rPr>
          <w:rFonts w:ascii="Arial" w:cs="Arial" w:eastAsia="Arial" w:hAnsi="Arial"/>
          <w:sz w:val="21"/>
          <w:szCs w:val="21"/>
          <w:b w:val="1"/>
          <w:bCs w:val="1"/>
          <w:color w:val="auto"/>
        </w:rPr>
        <w:t>5.4</w:t>
      </w:r>
      <w:r>
        <w:rPr>
          <w:sz w:val="20"/>
          <w:szCs w:val="20"/>
          <w:color w:val="auto"/>
        </w:rPr>
        <w:tab/>
      </w:r>
      <w:r>
        <w:rPr>
          <w:rFonts w:ascii="Arial" w:cs="Arial" w:eastAsia="Arial" w:hAnsi="Arial"/>
          <w:sz w:val="18"/>
          <w:szCs w:val="18"/>
          <w:b w:val="1"/>
          <w:bCs w:val="1"/>
          <w:color w:val="auto"/>
        </w:rPr>
        <w:t>Termination for Cause; Resignation without Good Reason; Death</w:t>
      </w:r>
    </w:p>
    <w:p>
      <w:pPr>
        <w:spacing w:after="0"/>
        <w:rPr>
          <w:sz w:val="20"/>
          <w:szCs w:val="20"/>
          <w:color w:val="auto"/>
        </w:rPr>
      </w:pPr>
      <w:r>
        <w:rPr>
          <w:rFonts w:ascii="Arial" w:cs="Arial" w:eastAsia="Arial" w:hAnsi="Arial"/>
          <w:sz w:val="21"/>
          <w:szCs w:val="21"/>
          <w:b w:val="1"/>
          <w:bCs w:val="1"/>
          <w:color w:val="auto"/>
        </w:rPr>
        <w:t>or Disability.</w:t>
      </w:r>
    </w:p>
    <w:p>
      <w:pPr>
        <w:spacing w:after="0" w:line="173" w:lineRule="exact"/>
        <w:rPr>
          <w:sz w:val="20"/>
          <w:szCs w:val="20"/>
          <w:color w:val="auto"/>
        </w:rPr>
      </w:pPr>
    </w:p>
    <w:p>
      <w:pPr>
        <w:ind w:left="2300" w:hanging="412"/>
        <w:spacing w:after="0"/>
        <w:tabs>
          <w:tab w:leader="none" w:pos="2300" w:val="left"/>
        </w:tabs>
        <w:numPr>
          <w:ilvl w:val="0"/>
          <w:numId w:val="98"/>
        </w:numPr>
        <w:rPr>
          <w:rFonts w:ascii="Arial" w:cs="Arial" w:eastAsia="Arial" w:hAnsi="Arial"/>
          <w:sz w:val="21"/>
          <w:szCs w:val="21"/>
          <w:b w:val="1"/>
          <w:bCs w:val="1"/>
          <w:color w:val="auto"/>
        </w:rPr>
      </w:pPr>
      <w:r>
        <w:rPr>
          <w:rFonts w:ascii="Arial" w:cs="Arial" w:eastAsia="Arial" w:hAnsi="Arial"/>
          <w:sz w:val="21"/>
          <w:szCs w:val="21"/>
          <w:color w:val="auto"/>
        </w:rPr>
        <w:t>The Company may terminate Executive’s employment with</w:t>
      </w:r>
    </w:p>
    <w:p>
      <w:pPr>
        <w:ind w:right="20"/>
        <w:spacing w:after="0" w:line="239" w:lineRule="auto"/>
        <w:rPr>
          <w:sz w:val="20"/>
          <w:szCs w:val="20"/>
          <w:color w:val="auto"/>
        </w:rPr>
      </w:pPr>
      <w:r>
        <w:rPr>
          <w:rFonts w:ascii="Arial" w:cs="Arial" w:eastAsia="Arial" w:hAnsi="Arial"/>
          <w:sz w:val="20"/>
          <w:szCs w:val="20"/>
          <w:color w:val="auto"/>
        </w:rPr>
        <w:t>the Company at any time for Cause. Further, Executive may resign at any time for any reason other than Good Reason. Executive’s employment with the Company may also be terminated due to Executive’s death or Disability (as defined below).</w:t>
      </w:r>
    </w:p>
    <w:p>
      <w:pPr>
        <w:spacing w:after="0" w:line="193" w:lineRule="exact"/>
        <w:rPr>
          <w:sz w:val="20"/>
          <w:szCs w:val="20"/>
          <w:color w:val="auto"/>
        </w:rPr>
      </w:pPr>
    </w:p>
    <w:p>
      <w:pPr>
        <w:jc w:val="both"/>
        <w:ind w:firstLine="1887"/>
        <w:spacing w:after="0" w:line="219" w:lineRule="auto"/>
        <w:tabs>
          <w:tab w:leader="none" w:pos="2433" w:val="left"/>
        </w:tabs>
        <w:numPr>
          <w:ilvl w:val="1"/>
          <w:numId w:val="99"/>
        </w:numPr>
        <w:rPr>
          <w:rFonts w:ascii="Arial" w:cs="Arial" w:eastAsia="Arial" w:hAnsi="Arial"/>
          <w:sz w:val="21"/>
          <w:szCs w:val="21"/>
          <w:b w:val="1"/>
          <w:bCs w:val="1"/>
          <w:color w:val="auto"/>
        </w:rPr>
      </w:pPr>
      <w:r>
        <w:rPr>
          <w:rFonts w:ascii="Arial" w:cs="Arial" w:eastAsia="Arial" w:hAnsi="Arial"/>
          <w:sz w:val="21"/>
          <w:szCs w:val="21"/>
          <w:color w:val="auto"/>
        </w:rPr>
        <w:t>If Executive resigns without Good Reason, or the Company terminates Executive’s employment for Cause, or upon Executive’s death or Disability, then (i) all payments of compensation by the Company to Executive hereunder will terminate immediately (except as to amounts already earned), and (ii) Executive will not be entitled to any severance benefits, including (without limitation) the Severance, COBRA Premiums, the Change of Control Severance or the COC COBRA Premiums.</w:t>
      </w:r>
    </w:p>
    <w:p>
      <w:pPr>
        <w:spacing w:after="0" w:line="190" w:lineRule="exact"/>
        <w:rPr>
          <w:rFonts w:ascii="Arial" w:cs="Arial" w:eastAsia="Arial" w:hAnsi="Arial"/>
          <w:sz w:val="21"/>
          <w:szCs w:val="21"/>
          <w:b w:val="1"/>
          <w:bCs w:val="1"/>
          <w:color w:val="auto"/>
        </w:rPr>
      </w:pPr>
    </w:p>
    <w:p>
      <w:pPr>
        <w:jc w:val="both"/>
        <w:ind w:right="20" w:firstLine="628"/>
        <w:spacing w:after="0" w:line="250" w:lineRule="auto"/>
        <w:tabs>
          <w:tab w:leader="none" w:pos="1045"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Conditions to Receipt of Severance, COBRA Premiums, Special Cash Payments and Vesting Acceleration. </w:t>
      </w:r>
      <w:r>
        <w:rPr>
          <w:rFonts w:ascii="Arial" w:cs="Arial" w:eastAsia="Arial" w:hAnsi="Arial"/>
          <w:sz w:val="20"/>
          <w:szCs w:val="20"/>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of the payments and benefits described in Section 5.2 and Section 5.3 will be subject to subject to (i) Executive signing a separation agreement and release in a form and manner satisfactory to the Company, which shall include, without limitation, a general release of claims against the Company and all related persons and entities and, in the Company’s sole discretion, a one-year post-employment noncompetition agreement (the “Separation Agreement”) and (ii) the Separation Agreement becoming irrevocable, all within 60 days after the date of termination (or such shorter period as set forth in the Separation Agreement), which shall include a seven business day revocation period. No amounts will be paid or provided under Section 5.2 or Section 5.3 until the Separation Agreement becomes effective. Executive shall be deemed to have resigned from all officer and board member positions that the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ectPr>
          <w:pgSz w:w="11900" w:h="16838" w:orient="portrait"/>
          <w:cols w:equalWidth="0" w:num="1">
            <w:col w:w="11060"/>
          </w:cols>
          <w:pgMar w:left="420" w:top="1272" w:right="419" w:bottom="1440" w:gutter="0" w:footer="0" w:header="0"/>
        </w:sectPr>
      </w:pPr>
    </w:p>
    <w:bookmarkStart w:id="196" w:name="page197"/>
    <w:bookmarkEnd w:id="196"/>
    <w:p>
      <w:pPr>
        <w:ind w:left="620"/>
        <w:spacing w:after="0"/>
        <w:tabs>
          <w:tab w:leader="none" w:pos="980" w:val="left"/>
        </w:tabs>
        <w:rPr>
          <w:sz w:val="20"/>
          <w:szCs w:val="20"/>
          <w:color w:val="auto"/>
        </w:rPr>
      </w:pPr>
      <w:r>
        <w:rPr>
          <w:rFonts w:ascii="Arial" w:cs="Arial" w:eastAsia="Arial" w:hAnsi="Arial"/>
          <w:sz w:val="21"/>
          <w:szCs w:val="21"/>
          <w:b w:val="1"/>
          <w:bCs w:val="1"/>
          <w:color w:val="auto"/>
        </w:rPr>
        <w:t>7.</w:t>
      </w:r>
      <w:r>
        <w:rPr>
          <w:sz w:val="20"/>
          <w:szCs w:val="20"/>
          <w:color w:val="auto"/>
        </w:rPr>
        <w:tab/>
      </w:r>
      <w:r>
        <w:rPr>
          <w:rFonts w:ascii="Arial" w:cs="Arial" w:eastAsia="Arial" w:hAnsi="Arial"/>
          <w:sz w:val="18"/>
          <w:szCs w:val="18"/>
          <w:b w:val="1"/>
          <w:bCs w:val="1"/>
          <w:color w:val="auto"/>
        </w:rPr>
        <w:t>Section 409A.</w:t>
      </w:r>
    </w:p>
    <w:p>
      <w:pPr>
        <w:spacing w:after="0" w:line="217" w:lineRule="exact"/>
        <w:rPr>
          <w:sz w:val="20"/>
          <w:szCs w:val="20"/>
          <w:color w:val="auto"/>
        </w:rPr>
      </w:pPr>
    </w:p>
    <w:p>
      <w:pPr>
        <w:jc w:val="both"/>
        <w:ind w:firstLine="1258"/>
        <w:spacing w:after="0" w:line="237"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color w:val="auto"/>
        </w:rPr>
        <w:t>Anything in this Agreement to the contrary notwithstanding, if at the time of Executive’s separation from</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 month period but for the application of this provision, and the balance of the installments shall be payable in accordance with their original schedule.</w:t>
      </w:r>
    </w:p>
    <w:p>
      <w:pPr>
        <w:spacing w:after="0" w:line="177" w:lineRule="exact"/>
        <w:rPr>
          <w:sz w:val="20"/>
          <w:szCs w:val="20"/>
          <w:color w:val="auto"/>
        </w:rPr>
      </w:pPr>
    </w:p>
    <w:p>
      <w:pPr>
        <w:jc w:val="both"/>
        <w:ind w:firstLine="1258"/>
        <w:spacing w:after="0"/>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color w:val="auto"/>
        </w:rPr>
        <w:t>All in-kind benefits provided and expenses eligible for reimbursement under this Agreement shall be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8" w:lineRule="exact"/>
        <w:rPr>
          <w:sz w:val="20"/>
          <w:szCs w:val="20"/>
          <w:color w:val="auto"/>
        </w:rPr>
      </w:pPr>
    </w:p>
    <w:p>
      <w:pPr>
        <w:jc w:val="both"/>
        <w:ind w:right="20" w:firstLine="1258"/>
        <w:spacing w:after="0" w:line="221" w:lineRule="auto"/>
        <w:rPr>
          <w:sz w:val="20"/>
          <w:szCs w:val="20"/>
          <w:color w:val="auto"/>
        </w:rPr>
      </w:pPr>
      <w:r>
        <w:rPr>
          <w:rFonts w:ascii="Arial" w:cs="Arial" w:eastAsia="Arial" w:hAnsi="Arial"/>
          <w:sz w:val="21"/>
          <w:szCs w:val="21"/>
          <w:b w:val="1"/>
          <w:bCs w:val="1"/>
          <w:color w:val="auto"/>
        </w:rPr>
        <w:t xml:space="preserve">7.3 </w:t>
      </w:r>
      <w:r>
        <w:rPr>
          <w:rFonts w:ascii="Arial" w:cs="Arial" w:eastAsia="Arial" w:hAnsi="Arial"/>
          <w:sz w:val="21"/>
          <w:szCs w:val="21"/>
          <w:color w:val="auto"/>
        </w:rPr>
        <w:t>To the extent that any payment or benefit described in this Agreement constitutes “non-qualified deferred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173" w:lineRule="exact"/>
        <w:rPr>
          <w:sz w:val="20"/>
          <w:szCs w:val="20"/>
          <w:color w:val="auto"/>
        </w:rPr>
      </w:pPr>
    </w:p>
    <w:p>
      <w:pPr>
        <w:jc w:val="both"/>
        <w:ind w:firstLine="1258"/>
        <w:spacing w:after="0" w:line="228" w:lineRule="auto"/>
        <w:rPr>
          <w:sz w:val="20"/>
          <w:szCs w:val="20"/>
          <w:color w:val="auto"/>
        </w:rPr>
      </w:pPr>
      <w:r>
        <w:rPr>
          <w:rFonts w:ascii="Arial" w:cs="Arial" w:eastAsia="Arial" w:hAnsi="Arial"/>
          <w:sz w:val="20"/>
          <w:szCs w:val="20"/>
          <w:b w:val="1"/>
          <w:bCs w:val="1"/>
          <w:color w:val="auto"/>
        </w:rPr>
        <w:t xml:space="preserve">7.4 </w:t>
      </w:r>
      <w:r>
        <w:rPr>
          <w:rFonts w:ascii="Arial" w:cs="Arial" w:eastAsia="Arial" w:hAnsi="Arial"/>
          <w:sz w:val="20"/>
          <w:szCs w:val="20"/>
          <w:color w:val="auto"/>
        </w:rPr>
        <w:t>The parties intend that this Agreement will be administered in accordance with Section 409A of the Code.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54"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7.5 </w:t>
      </w:r>
      <w:r>
        <w:rPr>
          <w:rFonts w:ascii="Arial" w:cs="Arial" w:eastAsia="Arial" w:hAnsi="Arial"/>
          <w:sz w:val="21"/>
          <w:szCs w:val="21"/>
          <w:color w:val="auto"/>
        </w:rPr>
        <w:t>The Company makes no representation or warranty and shall have no liability to Executive or any other person</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provisions of this Agreement are determined to constitute deferred compensation subject to Section 409A of the Code but do not satisfy an exemption from, or the conditions of, such Section.</w:t>
      </w:r>
    </w:p>
    <w:p>
      <w:pPr>
        <w:sectPr>
          <w:pgSz w:w="11900" w:h="16838" w:orient="portrait"/>
          <w:cols w:equalWidth="0" w:num="1">
            <w:col w:w="11060"/>
          </w:cols>
          <w:pgMar w:left="420" w:top="1266" w:right="419" w:bottom="1440" w:gutter="0" w:footer="0" w:header="0"/>
        </w:sectPr>
      </w:pPr>
    </w:p>
    <w:bookmarkStart w:id="197" w:name="page198"/>
    <w:bookmarkEnd w:id="197"/>
    <w:p>
      <w:pPr>
        <w:ind w:left="621"/>
        <w:spacing w:after="0"/>
        <w:tabs>
          <w:tab w:leader="none" w:pos="980" w:val="left"/>
        </w:tabs>
        <w:rPr>
          <w:sz w:val="20"/>
          <w:szCs w:val="20"/>
          <w:color w:val="auto"/>
        </w:rPr>
      </w:pPr>
      <w:r>
        <w:rPr>
          <w:rFonts w:ascii="Arial" w:cs="Arial" w:eastAsia="Arial" w:hAnsi="Arial"/>
          <w:sz w:val="21"/>
          <w:szCs w:val="21"/>
          <w:b w:val="1"/>
          <w:bCs w:val="1"/>
          <w:color w:val="auto"/>
        </w:rPr>
        <w:t>8.</w:t>
      </w:r>
      <w:r>
        <w:rPr>
          <w:sz w:val="20"/>
          <w:szCs w:val="20"/>
          <w:color w:val="auto"/>
        </w:rPr>
        <w:tab/>
      </w:r>
      <w:r>
        <w:rPr>
          <w:rFonts w:ascii="Arial" w:cs="Arial" w:eastAsia="Arial" w:hAnsi="Arial"/>
          <w:sz w:val="18"/>
          <w:szCs w:val="18"/>
          <w:b w:val="1"/>
          <w:bCs w:val="1"/>
          <w:color w:val="auto"/>
        </w:rPr>
        <w:t>Definitions.</w:t>
      </w:r>
    </w:p>
    <w:p>
      <w:pPr>
        <w:spacing w:after="0" w:line="217" w:lineRule="exact"/>
        <w:rPr>
          <w:sz w:val="20"/>
          <w:szCs w:val="20"/>
          <w:color w:val="auto"/>
        </w:rPr>
      </w:pPr>
    </w:p>
    <w:p>
      <w:pPr>
        <w:jc w:val="both"/>
        <w:ind w:left="1" w:firstLine="1258"/>
        <w:spacing w:after="0" w:line="226" w:lineRule="auto"/>
        <w:rPr>
          <w:sz w:val="20"/>
          <w:szCs w:val="20"/>
          <w:color w:val="auto"/>
        </w:rPr>
      </w:pPr>
      <w:r>
        <w:rPr>
          <w:rFonts w:ascii="Arial" w:cs="Arial" w:eastAsia="Arial" w:hAnsi="Arial"/>
          <w:sz w:val="20"/>
          <w:szCs w:val="20"/>
          <w:b w:val="1"/>
          <w:bCs w:val="1"/>
          <w:color w:val="auto"/>
        </w:rPr>
        <w:t>8.1 Cause</w:t>
      </w:r>
      <w:r>
        <w:rPr>
          <w:rFonts w:ascii="Arial" w:cs="Arial" w:eastAsia="Arial" w:hAnsi="Arial"/>
          <w:sz w:val="20"/>
          <w:szCs w:val="20"/>
          <w:color w:val="auto"/>
        </w:rPr>
        <w:t>. 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for termination will mean: (a) conviction of or please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any felony or any crime involving dishonesty; (b) participation in any fraud against the Company; (c) material breach of any Company’s policy or procedure after written notice from the Company and a reasonable period of not less than twenty-one (21) calendar days in which to cure such breach (if deemed curable); (d) persistent failure or refusal to perform Executive’s job duties after written notice from the Company and a reasonable period of not less than twenty-one (21) calendar days in which to cure such performance issues (if deemed curable); (e) intentional damage to any property of the Company; (f) willful misconduct, or other violation of Company policy that causes harm; (g) breach of any written agreement by and between Executive and the Company; and (h) conduct by Executive which in the good faith and reasonable determination of the Company demonstrates gross unfitness to serve.</w:t>
      </w:r>
    </w:p>
    <w:p>
      <w:pPr>
        <w:spacing w:after="0" w:line="175" w:lineRule="exact"/>
        <w:rPr>
          <w:sz w:val="20"/>
          <w:szCs w:val="20"/>
          <w:color w:val="auto"/>
        </w:rPr>
      </w:pPr>
    </w:p>
    <w:p>
      <w:pPr>
        <w:jc w:val="both"/>
        <w:ind w:left="1" w:right="20" w:firstLine="1258"/>
        <w:spacing w:after="0" w:line="239" w:lineRule="auto"/>
        <w:rPr>
          <w:sz w:val="20"/>
          <w:szCs w:val="20"/>
          <w:color w:val="auto"/>
        </w:rPr>
      </w:pPr>
      <w:r>
        <w:rPr>
          <w:rFonts w:ascii="Arial" w:cs="Arial" w:eastAsia="Arial" w:hAnsi="Arial"/>
          <w:sz w:val="21"/>
          <w:szCs w:val="21"/>
          <w:b w:val="1"/>
          <w:bCs w:val="1"/>
          <w:color w:val="auto"/>
        </w:rPr>
        <w:t>8.2 Change of Control</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Change of Control</w:t>
      </w:r>
      <w:r>
        <w:rPr>
          <w:rFonts w:ascii="Arial" w:cs="Arial" w:eastAsia="Arial" w:hAnsi="Arial"/>
          <w:sz w:val="21"/>
          <w:szCs w:val="21"/>
          <w:color w:val="auto"/>
        </w:rPr>
        <w:t>” shall mean: a “Sale Event,” as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in the Company’s 2020 Stock Option and Incentive Plan.</w:t>
      </w:r>
    </w:p>
    <w:p>
      <w:pPr>
        <w:spacing w:after="0" w:line="253" w:lineRule="exact"/>
        <w:rPr>
          <w:sz w:val="20"/>
          <w:szCs w:val="20"/>
          <w:color w:val="auto"/>
        </w:rPr>
      </w:pPr>
    </w:p>
    <w:p>
      <w:pPr>
        <w:jc w:val="both"/>
        <w:ind w:left="1" w:right="20" w:firstLine="1258"/>
        <w:spacing w:after="0" w:line="224" w:lineRule="auto"/>
        <w:rPr>
          <w:sz w:val="20"/>
          <w:szCs w:val="20"/>
          <w:color w:val="auto"/>
        </w:rPr>
      </w:pPr>
      <w:r>
        <w:rPr>
          <w:rFonts w:ascii="Arial" w:cs="Arial" w:eastAsia="Arial" w:hAnsi="Arial"/>
          <w:sz w:val="21"/>
          <w:szCs w:val="21"/>
          <w:b w:val="1"/>
          <w:bCs w:val="1"/>
          <w:color w:val="auto"/>
        </w:rPr>
        <w:t>8.3 Disability</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Disability</w:t>
      </w:r>
      <w:r>
        <w:rPr>
          <w:rFonts w:ascii="Arial" w:cs="Arial" w:eastAsia="Arial" w:hAnsi="Arial"/>
          <w:sz w:val="21"/>
          <w:szCs w:val="21"/>
          <w:color w:val="auto"/>
        </w:rPr>
        <w:t>” shall mean Executive’s physical or mental condition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renders Executive unable to substantially perform for a period of ninety (90) aggregate days (regardless of whether or not continuous) during any three hundred sixty (360) day period, Executive’s regular responsibilities hereunder, with or without a reasonable accommodation.</w:t>
      </w:r>
    </w:p>
    <w:p>
      <w:pPr>
        <w:spacing w:after="0" w:line="187" w:lineRule="exact"/>
        <w:rPr>
          <w:sz w:val="20"/>
          <w:szCs w:val="20"/>
          <w:color w:val="auto"/>
        </w:rPr>
      </w:pPr>
    </w:p>
    <w:p>
      <w:pPr>
        <w:jc w:val="both"/>
        <w:ind w:left="1" w:firstLine="1258"/>
        <w:spacing w:after="0" w:line="234" w:lineRule="auto"/>
        <w:rPr>
          <w:sz w:val="20"/>
          <w:szCs w:val="20"/>
          <w:color w:val="auto"/>
        </w:rPr>
      </w:pPr>
      <w:r>
        <w:rPr>
          <w:rFonts w:ascii="Arial" w:cs="Arial" w:eastAsia="Arial" w:hAnsi="Arial"/>
          <w:sz w:val="19"/>
          <w:szCs w:val="19"/>
          <w:b w:val="1"/>
          <w:bCs w:val="1"/>
          <w:color w:val="auto"/>
        </w:rPr>
        <w:t>8.4 Good Reason</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(a) a material reduction in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Base Salary (unless pursuant to a salary reduction applicable generally to the Company’s similarly situated employees); or (b) the relocation of Executive’s place of work for the Company that is more than 40 miles from Executive’s primary place of work, unless mutually agreed upon. Notwithstanding the foregoing, no act or omission described in subclauses (a) or (b) above shall constitute “Good Reason” unless: (1) Executive first gives the Company written notice of such act or omission within forty-five (45) days of the later of the occurrence of such act or omission or Executive’s first becoming aware thereof, (2) the Company fails to cure such act or omission within twenty-one (21) days after receiving such written notice from Executive, and</w:t>
      </w:r>
    </w:p>
    <w:p>
      <w:pPr>
        <w:spacing w:after="0" w:line="2" w:lineRule="exact"/>
        <w:rPr>
          <w:sz w:val="20"/>
          <w:szCs w:val="20"/>
          <w:color w:val="auto"/>
        </w:rPr>
      </w:pPr>
    </w:p>
    <w:p>
      <w:pPr>
        <w:ind w:left="1" w:right="20" w:hanging="1"/>
        <w:spacing w:after="0" w:line="227" w:lineRule="auto"/>
        <w:tabs>
          <w:tab w:leader="none" w:pos="3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Executive resigns from employment (and all other positions, including as a member of the Board) within ten (10) days after the end of the cure period.</w:t>
      </w:r>
    </w:p>
    <w:p>
      <w:pPr>
        <w:spacing w:after="0" w:line="174" w:lineRule="exact"/>
        <w:rPr>
          <w:rFonts w:ascii="Arial" w:cs="Arial" w:eastAsia="Arial" w:hAnsi="Arial"/>
          <w:sz w:val="21"/>
          <w:szCs w:val="21"/>
          <w:color w:val="auto"/>
        </w:rPr>
      </w:pPr>
    </w:p>
    <w:p>
      <w:pPr>
        <w:ind w:left="1001" w:hanging="372"/>
        <w:spacing w:after="0"/>
        <w:tabs>
          <w:tab w:leader="none" w:pos="1001" w:val="left"/>
        </w:tabs>
        <w:numPr>
          <w:ilvl w:val="1"/>
          <w:numId w:val="101"/>
        </w:numPr>
        <w:rPr>
          <w:rFonts w:ascii="Arial" w:cs="Arial" w:eastAsia="Arial" w:hAnsi="Arial"/>
          <w:sz w:val="21"/>
          <w:szCs w:val="21"/>
          <w:b w:val="1"/>
          <w:bCs w:val="1"/>
          <w:color w:val="auto"/>
        </w:rPr>
      </w:pPr>
      <w:r>
        <w:rPr>
          <w:rFonts w:ascii="Arial" w:cs="Arial" w:eastAsia="Arial" w:hAnsi="Arial"/>
          <w:sz w:val="21"/>
          <w:szCs w:val="21"/>
          <w:b w:val="1"/>
          <w:bCs w:val="1"/>
          <w:color w:val="auto"/>
        </w:rPr>
        <w:t>Other Obligations.</w:t>
      </w:r>
    </w:p>
    <w:p>
      <w:pPr>
        <w:spacing w:after="0" w:line="204" w:lineRule="exact"/>
        <w:rPr>
          <w:sz w:val="20"/>
          <w:szCs w:val="20"/>
          <w:color w:val="auto"/>
        </w:rPr>
      </w:pPr>
    </w:p>
    <w:p>
      <w:pPr>
        <w:jc w:val="both"/>
        <w:ind w:left="1" w:firstLine="1258"/>
        <w:spacing w:after="0" w:line="238" w:lineRule="auto"/>
        <w:rPr>
          <w:sz w:val="20"/>
          <w:szCs w:val="20"/>
          <w:color w:val="auto"/>
        </w:rPr>
      </w:pPr>
      <w:r>
        <w:rPr>
          <w:rFonts w:ascii="Arial" w:cs="Arial" w:eastAsia="Arial" w:hAnsi="Arial"/>
          <w:sz w:val="19"/>
          <w:szCs w:val="19"/>
          <w:b w:val="1"/>
          <w:bCs w:val="1"/>
          <w:color w:val="auto"/>
        </w:rPr>
        <w:t xml:space="preserve">9.1 Restrictive Covenants. </w:t>
      </w:r>
      <w:r>
        <w:rPr>
          <w:rFonts w:ascii="Arial" w:cs="Arial" w:eastAsia="Arial" w:hAnsi="Arial"/>
          <w:sz w:val="19"/>
          <w:szCs w:val="19"/>
          <w:color w:val="auto"/>
        </w:rPr>
        <w:t>In connection with Executive’s employment with the Company, Executive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receive access to Company confidential information and trade secrets and develop valuable goodwill with the Company’s customers, partners and vendors. To protect the Company’s legitimate business interests, Executive executed the Employee Confidentiality, Assignment and Nonsolicitation Agreement on July 20, 2020 (the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In connection with Executive’s execution of this Amended and Restated Employment Agreement and in further consideration of Executive’s employment with the Company, Executive agrees to execute a Non- Competition Agreement (the “Non-Competition Agreement”) in a form acceptable to the Company, which Executive will do in or around September 2020. Executive herein acknowledges and agrees that (i) the Confidentiality Agreement shall continue in full force and effect in accordance with its terms, and (ii) Executive will abide by the terms of the Confidentiality Agreement and the Non-Competition Agreement at all times.</w:t>
      </w:r>
    </w:p>
    <w:p>
      <w:pPr>
        <w:sectPr>
          <w:pgSz w:w="11900" w:h="16838" w:orient="portrait"/>
          <w:cols w:equalWidth="0" w:num="1">
            <w:col w:w="11061"/>
          </w:cols>
          <w:pgMar w:left="419" w:top="1266" w:right="419" w:bottom="1440" w:gutter="0" w:footer="0" w:header="0"/>
        </w:sectPr>
      </w:pPr>
    </w:p>
    <w:bookmarkStart w:id="198" w:name="page199"/>
    <w:bookmarkEnd w:id="198"/>
    <w:p>
      <w:pPr>
        <w:jc w:val="both"/>
        <w:ind w:firstLine="1258"/>
        <w:spacing w:after="0" w:line="226" w:lineRule="auto"/>
        <w:rPr>
          <w:sz w:val="20"/>
          <w:szCs w:val="20"/>
          <w:color w:val="auto"/>
        </w:rPr>
      </w:pPr>
      <w:r>
        <w:rPr>
          <w:rFonts w:ascii="Arial" w:cs="Arial" w:eastAsia="Arial" w:hAnsi="Arial"/>
          <w:sz w:val="20"/>
          <w:szCs w:val="20"/>
          <w:b w:val="1"/>
          <w:bCs w:val="1"/>
          <w:color w:val="auto"/>
        </w:rPr>
        <w:t xml:space="preserve">9.2 Third-Party Agreements and Information. </w:t>
      </w:r>
      <w:r>
        <w:rPr>
          <w:rFonts w:ascii="Arial" w:cs="Arial" w:eastAsia="Arial" w:hAnsi="Arial"/>
          <w:sz w:val="20"/>
          <w:szCs w:val="20"/>
          <w:color w:val="auto"/>
        </w:rPr>
        <w:t>Executive represents and warrants that Executive’s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by the Company does not conflict with any prior employment or consulting agreement or other agreement with any third party, and that Executive will perform Executive’s duties to the Company without violating any such agreement. Executive represents and warrants that Executive will not use or disclose confidential information arising out of prior employment, consulting, or other third party relationships, in connection with Executive’s employment by the Company, except as expressly authorized by that third party. During Executive’s employment by the Company, Executive will use in the performance of Executive’s duties only information which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88" w:lineRule="exact"/>
        <w:rPr>
          <w:sz w:val="20"/>
          <w:szCs w:val="20"/>
          <w:color w:val="auto"/>
        </w:rPr>
      </w:pPr>
    </w:p>
    <w:p>
      <w:pPr>
        <w:ind w:left="620"/>
        <w:spacing w:after="0"/>
        <w:tabs>
          <w:tab w:leader="none" w:pos="108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9"/>
          <w:szCs w:val="19"/>
          <w:b w:val="1"/>
          <w:bCs w:val="1"/>
          <w:color w:val="auto"/>
        </w:rPr>
        <w:t>Outside Activities During Employment.</w:t>
      </w:r>
    </w:p>
    <w:p>
      <w:pPr>
        <w:spacing w:after="0" w:line="204" w:lineRule="exact"/>
        <w:rPr>
          <w:sz w:val="20"/>
          <w:szCs w:val="20"/>
          <w:color w:val="auto"/>
        </w:rPr>
      </w:pPr>
    </w:p>
    <w:p>
      <w:pPr>
        <w:jc w:val="both"/>
        <w:ind w:right="20" w:firstLine="1258"/>
        <w:spacing w:after="0" w:line="250" w:lineRule="auto"/>
        <w:rPr>
          <w:sz w:val="20"/>
          <w:szCs w:val="20"/>
          <w:color w:val="auto"/>
        </w:rPr>
      </w:pPr>
      <w:r>
        <w:rPr>
          <w:rFonts w:ascii="Arial" w:cs="Arial" w:eastAsia="Arial" w:hAnsi="Arial"/>
          <w:sz w:val="19"/>
          <w:szCs w:val="19"/>
          <w:b w:val="1"/>
          <w:bCs w:val="1"/>
          <w:color w:val="auto"/>
        </w:rPr>
        <w:t xml:space="preserve">10.1 Non-Company Business. </w:t>
      </w:r>
      <w:r>
        <w:rPr>
          <w:rFonts w:ascii="Arial" w:cs="Arial" w:eastAsia="Arial" w:hAnsi="Arial"/>
          <w:sz w:val="19"/>
          <w:szCs w:val="19"/>
          <w:color w:val="auto"/>
        </w:rPr>
        <w:t>Except with the prior written consent of the Board, Executive will not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Executive’s employment with the Company undertake or engage in any other employment, occupation or business enterprise, other than ones in which Executive is a passive investor. In any event, Executive may engage in civic and not-for-profit activities so long as such activities do not materially interfere with the performance of Executive’s duties hereunder.</w:t>
      </w:r>
    </w:p>
    <w:p>
      <w:pPr>
        <w:spacing w:after="0" w:line="165"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10.2 No Adverse Interests. </w:t>
      </w:r>
      <w:r>
        <w:rPr>
          <w:rFonts w:ascii="Arial" w:cs="Arial" w:eastAsia="Arial" w:hAnsi="Arial"/>
          <w:sz w:val="21"/>
          <w:szCs w:val="21"/>
          <w:color w:val="auto"/>
        </w:rPr>
        <w:t>Executive agrees not to acquire, assume or participate in, directly or indirectly, any</w:t>
      </w:r>
      <w:r>
        <w:rPr>
          <w:rFonts w:ascii="Arial" w:cs="Arial" w:eastAsia="Arial" w:hAnsi="Arial"/>
          <w:sz w:val="21"/>
          <w:szCs w:val="21"/>
          <w:b w:val="1"/>
          <w:bCs w:val="1"/>
          <w:color w:val="auto"/>
        </w:rPr>
        <w:t xml:space="preserve"> </w:t>
      </w:r>
      <w:r>
        <w:rPr>
          <w:rFonts w:ascii="Arial" w:cs="Arial" w:eastAsia="Arial" w:hAnsi="Arial"/>
          <w:sz w:val="21"/>
          <w:szCs w:val="21"/>
          <w:color w:val="auto"/>
        </w:rPr>
        <w:t>position, investment or interest known to be adverse or antagonistic to the Company, its business or prospects, financial or otherwise.</w:t>
      </w:r>
    </w:p>
    <w:p>
      <w:pPr>
        <w:spacing w:after="0" w:line="17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8"/>
          <w:szCs w:val="18"/>
          <w:b w:val="1"/>
          <w:bCs w:val="1"/>
          <w:color w:val="auto"/>
        </w:rPr>
        <w:t>General Provisions.</w:t>
      </w:r>
    </w:p>
    <w:p>
      <w:pPr>
        <w:spacing w:after="0" w:line="204"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11.1 Notices. </w:t>
      </w:r>
      <w:r>
        <w:rPr>
          <w:rFonts w:ascii="Arial" w:cs="Arial" w:eastAsia="Arial" w:hAnsi="Arial"/>
          <w:sz w:val="21"/>
          <w:szCs w:val="21"/>
          <w:color w:val="auto"/>
        </w:rPr>
        <w:t>Any notices provided must be in writing and will be deemed effective upon the earlier of personal</w:t>
      </w:r>
      <w:r>
        <w:rPr>
          <w:rFonts w:ascii="Arial" w:cs="Arial" w:eastAsia="Arial" w:hAnsi="Arial"/>
          <w:sz w:val="21"/>
          <w:szCs w:val="21"/>
          <w:b w:val="1"/>
          <w:bCs w:val="1"/>
          <w:color w:val="auto"/>
        </w:rPr>
        <w:t xml:space="preserve"> </w:t>
      </w:r>
      <w:r>
        <w:rPr>
          <w:rFonts w:ascii="Arial" w:cs="Arial" w:eastAsia="Arial" w:hAnsi="Arial"/>
          <w:sz w:val="21"/>
          <w:szCs w:val="21"/>
          <w:color w:val="auto"/>
        </w:rPr>
        <w:t>delivery (including personal delivery by fax) or the next day after sending by overnight carrier, to the Company at its primary office location and to Executive at the address as listed on the Company payroll.</w:t>
      </w:r>
    </w:p>
    <w:p>
      <w:pPr>
        <w:spacing w:after="0" w:line="187" w:lineRule="exact"/>
        <w:rPr>
          <w:sz w:val="20"/>
          <w:szCs w:val="20"/>
          <w:color w:val="auto"/>
        </w:rPr>
      </w:pPr>
    </w:p>
    <w:p>
      <w:pPr>
        <w:jc w:val="both"/>
        <w:ind w:right="20" w:firstLine="1258"/>
        <w:spacing w:after="0" w:line="221" w:lineRule="auto"/>
        <w:rPr>
          <w:sz w:val="20"/>
          <w:szCs w:val="20"/>
          <w:color w:val="auto"/>
        </w:rPr>
      </w:pPr>
      <w:r>
        <w:rPr>
          <w:rFonts w:ascii="Arial" w:cs="Arial" w:eastAsia="Arial" w:hAnsi="Arial"/>
          <w:sz w:val="21"/>
          <w:szCs w:val="21"/>
          <w:b w:val="1"/>
          <w:bCs w:val="1"/>
          <w:color w:val="auto"/>
        </w:rPr>
        <w:t xml:space="preserve">11.2 Severability. </w:t>
      </w:r>
      <w:r>
        <w:rPr>
          <w:rFonts w:ascii="Arial" w:cs="Arial" w:eastAsia="Arial" w:hAnsi="Arial"/>
          <w:sz w:val="21"/>
          <w:szCs w:val="21"/>
          <w:color w:val="auto"/>
        </w:rPr>
        <w:t>Whenever possible, each provision of this Agreement will be interpreted in such manner as to</w:t>
      </w:r>
      <w:r>
        <w:rPr>
          <w:rFonts w:ascii="Arial" w:cs="Arial" w:eastAsia="Arial" w:hAnsi="Arial"/>
          <w:sz w:val="21"/>
          <w:szCs w:val="21"/>
          <w:b w:val="1"/>
          <w:bCs w:val="1"/>
          <w:color w:val="auto"/>
        </w:rPr>
        <w:t xml:space="preserve"> </w:t>
      </w:r>
      <w:r>
        <w:rPr>
          <w:rFonts w:ascii="Arial" w:cs="Arial" w:eastAsia="Arial" w:hAnsi="Arial"/>
          <w:sz w:val="21"/>
          <w:szCs w:val="21"/>
          <w:color w:val="auto"/>
        </w:rPr>
        <w:t>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86" w:lineRule="exact"/>
        <w:rPr>
          <w:sz w:val="20"/>
          <w:szCs w:val="20"/>
          <w:color w:val="auto"/>
        </w:rPr>
      </w:pPr>
    </w:p>
    <w:p>
      <w:pPr>
        <w:jc w:val="both"/>
        <w:ind w:right="20" w:firstLine="1258"/>
        <w:spacing w:after="0" w:line="229" w:lineRule="auto"/>
        <w:rPr>
          <w:sz w:val="20"/>
          <w:szCs w:val="20"/>
          <w:color w:val="auto"/>
        </w:rPr>
      </w:pPr>
      <w:r>
        <w:rPr>
          <w:rFonts w:ascii="Arial" w:cs="Arial" w:eastAsia="Arial" w:hAnsi="Arial"/>
          <w:sz w:val="21"/>
          <w:szCs w:val="21"/>
          <w:b w:val="1"/>
          <w:bCs w:val="1"/>
          <w:color w:val="auto"/>
        </w:rPr>
        <w:t xml:space="preserve">11.3 Waiver. </w:t>
      </w:r>
      <w:r>
        <w:rPr>
          <w:rFonts w:ascii="Arial" w:cs="Arial" w:eastAsia="Arial" w:hAnsi="Arial"/>
          <w:sz w:val="21"/>
          <w:szCs w:val="21"/>
          <w:color w:val="auto"/>
        </w:rPr>
        <w:t>Any waiver of any breach of any provisions of this Agreement must be in writing to be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and it shall not thereby be deemed to have waived any preceding or succeeding breach of the same or any other provision of this Agreement.</w:t>
      </w:r>
    </w:p>
    <w:p>
      <w:pPr>
        <w:sectPr>
          <w:pgSz w:w="11900" w:h="16838" w:orient="portrait"/>
          <w:cols w:equalWidth="0" w:num="1">
            <w:col w:w="11060"/>
          </w:cols>
          <w:pgMar w:left="420" w:top="1266" w:right="419" w:bottom="1440" w:gutter="0" w:footer="0" w:header="0"/>
        </w:sectPr>
      </w:pPr>
    </w:p>
    <w:bookmarkStart w:id="199" w:name="page200"/>
    <w:bookmarkEnd w:id="199"/>
    <w:p>
      <w:pPr>
        <w:jc w:val="both"/>
        <w:ind w:firstLine="1258"/>
        <w:spacing w:after="0" w:line="228" w:lineRule="auto"/>
        <w:rPr>
          <w:sz w:val="20"/>
          <w:szCs w:val="20"/>
          <w:color w:val="auto"/>
        </w:rPr>
      </w:pPr>
      <w:r>
        <w:rPr>
          <w:rFonts w:ascii="Arial" w:cs="Arial" w:eastAsia="Arial" w:hAnsi="Arial"/>
          <w:sz w:val="20"/>
          <w:szCs w:val="20"/>
          <w:b w:val="1"/>
          <w:bCs w:val="1"/>
          <w:color w:val="auto"/>
        </w:rPr>
        <w:t xml:space="preserve">11.4 Complete Agreement. </w:t>
      </w:r>
      <w:r>
        <w:rPr>
          <w:rFonts w:ascii="Arial" w:cs="Arial" w:eastAsia="Arial" w:hAnsi="Arial"/>
          <w:sz w:val="20"/>
          <w:szCs w:val="20"/>
          <w:color w:val="auto"/>
        </w:rPr>
        <w:t>This Agreement, together with the Confidentiality Agreement, constitutes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Executive and the Company and is the complete, final, and exclusive embodiment of the Parties’ agreement and supersedes all prior agreements between the parties concerning such subject matter, including the Prior Agreement.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89" w:lineRule="exact"/>
        <w:rPr>
          <w:sz w:val="20"/>
          <w:szCs w:val="20"/>
          <w:color w:val="auto"/>
        </w:rPr>
      </w:pPr>
    </w:p>
    <w:p>
      <w:pPr>
        <w:jc w:val="both"/>
        <w:ind w:right="20" w:firstLine="1258"/>
        <w:spacing w:after="0" w:line="263" w:lineRule="auto"/>
        <w:rPr>
          <w:sz w:val="20"/>
          <w:szCs w:val="20"/>
          <w:color w:val="auto"/>
        </w:rPr>
      </w:pPr>
      <w:r>
        <w:rPr>
          <w:rFonts w:ascii="Arial" w:cs="Arial" w:eastAsia="Arial" w:hAnsi="Arial"/>
          <w:sz w:val="20"/>
          <w:szCs w:val="20"/>
          <w:b w:val="1"/>
          <w:bCs w:val="1"/>
          <w:color w:val="auto"/>
        </w:rPr>
        <w:t xml:space="preserve">11.5 Counterparts. </w:t>
      </w:r>
      <w:r>
        <w:rPr>
          <w:rFonts w:ascii="Arial" w:cs="Arial" w:eastAsia="Arial" w:hAnsi="Arial"/>
          <w:sz w:val="20"/>
          <w:szCs w:val="20"/>
          <w:color w:val="auto"/>
        </w:rPr>
        <w:t>This Agreement may be executed in separate counterparts, any one of which need not contain</w:t>
      </w:r>
      <w:r>
        <w:rPr>
          <w:rFonts w:ascii="Arial" w:cs="Arial" w:eastAsia="Arial" w:hAnsi="Arial"/>
          <w:sz w:val="20"/>
          <w:szCs w:val="20"/>
          <w:b w:val="1"/>
          <w:bCs w:val="1"/>
          <w:color w:val="auto"/>
        </w:rPr>
        <w:t xml:space="preserve"> </w:t>
      </w:r>
      <w:r>
        <w:rPr>
          <w:rFonts w:ascii="Arial" w:cs="Arial" w:eastAsia="Arial" w:hAnsi="Arial"/>
          <w:sz w:val="20"/>
          <w:szCs w:val="20"/>
          <w:color w:val="auto"/>
        </w:rPr>
        <w:t>signatures of more than one party, but all of which taken together will constitute one and the same Agreement.</w:t>
      </w:r>
    </w:p>
    <w:p>
      <w:pPr>
        <w:spacing w:after="0" w:line="165" w:lineRule="exact"/>
        <w:rPr>
          <w:sz w:val="20"/>
          <w:szCs w:val="20"/>
          <w:color w:val="auto"/>
        </w:rPr>
      </w:pPr>
    </w:p>
    <w:p>
      <w:pPr>
        <w:jc w:val="both"/>
        <w:ind w:right="20" w:firstLine="1258"/>
        <w:spacing w:after="0" w:line="239" w:lineRule="auto"/>
        <w:rPr>
          <w:sz w:val="20"/>
          <w:szCs w:val="20"/>
          <w:color w:val="auto"/>
        </w:rPr>
      </w:pPr>
      <w:r>
        <w:rPr>
          <w:rFonts w:ascii="Arial" w:cs="Arial" w:eastAsia="Arial" w:hAnsi="Arial"/>
          <w:sz w:val="21"/>
          <w:szCs w:val="21"/>
          <w:b w:val="1"/>
          <w:bCs w:val="1"/>
          <w:color w:val="auto"/>
        </w:rPr>
        <w:t xml:space="preserve">11.6 Headings. </w:t>
      </w:r>
      <w:r>
        <w:rPr>
          <w:rFonts w:ascii="Arial" w:cs="Arial" w:eastAsia="Arial" w:hAnsi="Arial"/>
          <w:sz w:val="21"/>
          <w:szCs w:val="21"/>
          <w:color w:val="auto"/>
        </w:rPr>
        <w:t>The headings of the paragraphs hereof are inserted for convenience only and shall not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to constitute a part hereof nor to affect the meaning thereof.</w:t>
      </w:r>
    </w:p>
    <w:p>
      <w:pPr>
        <w:spacing w:after="0" w:line="175" w:lineRule="exact"/>
        <w:rPr>
          <w:sz w:val="20"/>
          <w:szCs w:val="20"/>
          <w:color w:val="auto"/>
        </w:rPr>
      </w:pPr>
    </w:p>
    <w:p>
      <w:pPr>
        <w:jc w:val="both"/>
        <w:ind w:right="20" w:firstLine="1258"/>
        <w:spacing w:after="0" w:line="224" w:lineRule="auto"/>
        <w:rPr>
          <w:sz w:val="20"/>
          <w:szCs w:val="20"/>
          <w:color w:val="auto"/>
        </w:rPr>
      </w:pPr>
      <w:r>
        <w:rPr>
          <w:rFonts w:ascii="Arial" w:cs="Arial" w:eastAsia="Arial" w:hAnsi="Arial"/>
          <w:sz w:val="21"/>
          <w:szCs w:val="21"/>
          <w:b w:val="1"/>
          <w:bCs w:val="1"/>
          <w:color w:val="auto"/>
        </w:rPr>
        <w:t xml:space="preserve">11.7 Successors and Assigns. </w:t>
      </w:r>
      <w:r>
        <w:rPr>
          <w:rFonts w:ascii="Arial" w:cs="Arial" w:eastAsia="Arial" w:hAnsi="Arial"/>
          <w:sz w:val="21"/>
          <w:szCs w:val="21"/>
          <w:color w:val="auto"/>
        </w:rPr>
        <w:t>This Agreement shall be binding upon and inure to the benefit of and be</w:t>
      </w:r>
      <w:r>
        <w:rPr>
          <w:rFonts w:ascii="Arial" w:cs="Arial" w:eastAsia="Arial" w:hAnsi="Arial"/>
          <w:sz w:val="21"/>
          <w:szCs w:val="21"/>
          <w:b w:val="1"/>
          <w:bCs w:val="1"/>
          <w:color w:val="auto"/>
        </w:rPr>
        <w:t xml:space="preserve"> </w:t>
      </w:r>
      <w:r>
        <w:rPr>
          <w:rFonts w:ascii="Arial" w:cs="Arial" w:eastAsia="Arial" w:hAnsi="Arial"/>
          <w:sz w:val="21"/>
          <w:szCs w:val="21"/>
          <w:color w:val="auto"/>
        </w:rPr>
        <w:t>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74" w:lineRule="exact"/>
        <w:rPr>
          <w:sz w:val="20"/>
          <w:szCs w:val="20"/>
          <w:color w:val="auto"/>
        </w:rPr>
      </w:pPr>
    </w:p>
    <w:p>
      <w:pPr>
        <w:jc w:val="both"/>
        <w:ind w:firstLine="1258"/>
        <w:spacing w:after="0" w:line="229" w:lineRule="auto"/>
        <w:rPr>
          <w:sz w:val="20"/>
          <w:szCs w:val="20"/>
          <w:color w:val="auto"/>
        </w:rPr>
      </w:pPr>
      <w:r>
        <w:rPr>
          <w:rFonts w:ascii="Arial" w:cs="Arial" w:eastAsia="Arial" w:hAnsi="Arial"/>
          <w:sz w:val="20"/>
          <w:szCs w:val="20"/>
          <w:b w:val="1"/>
          <w:bCs w:val="1"/>
          <w:color w:val="auto"/>
        </w:rPr>
        <w:t xml:space="preserve">11.8 Tax Withholding and Indemnification. </w:t>
      </w:r>
      <w:r>
        <w:rPr>
          <w:rFonts w:ascii="Arial" w:cs="Arial" w:eastAsia="Arial" w:hAnsi="Arial"/>
          <w:sz w:val="20"/>
          <w:szCs w:val="20"/>
          <w:color w:val="auto"/>
        </w:rPr>
        <w:t>All payments and awards contemplated or made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91" w:lineRule="exact"/>
        <w:rPr>
          <w:sz w:val="20"/>
          <w:szCs w:val="20"/>
          <w:color w:val="auto"/>
        </w:rPr>
      </w:pPr>
    </w:p>
    <w:p>
      <w:pPr>
        <w:jc w:val="both"/>
        <w:ind w:firstLine="1258"/>
        <w:spacing w:after="0" w:line="239" w:lineRule="auto"/>
        <w:rPr>
          <w:sz w:val="20"/>
          <w:szCs w:val="20"/>
          <w:color w:val="auto"/>
        </w:rPr>
      </w:pPr>
      <w:r>
        <w:rPr>
          <w:rFonts w:ascii="Arial" w:cs="Arial" w:eastAsia="Arial" w:hAnsi="Arial"/>
          <w:sz w:val="21"/>
          <w:szCs w:val="21"/>
          <w:b w:val="1"/>
          <w:bCs w:val="1"/>
          <w:color w:val="auto"/>
        </w:rPr>
        <w:t xml:space="preserve">11.9 Choice of Law. </w:t>
      </w:r>
      <w:r>
        <w:rPr>
          <w:rFonts w:ascii="Arial" w:cs="Arial" w:eastAsia="Arial" w:hAnsi="Arial"/>
          <w:sz w:val="21"/>
          <w:szCs w:val="21"/>
          <w:color w:val="auto"/>
        </w:rPr>
        <w:t>All questions concerning the construction, validity and interpretation of this Agreement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Commonwealth of Massachusetts.</w:t>
      </w:r>
    </w:p>
    <w:p>
      <w:pPr>
        <w:sectPr>
          <w:pgSz w:w="11900" w:h="16838" w:orient="portrait"/>
          <w:cols w:equalWidth="0" w:num="1">
            <w:col w:w="11060"/>
          </w:cols>
          <w:pgMar w:left="420" w:top="1345" w:right="41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4"/>
          <w:szCs w:val="14"/>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9"/>
          <w:szCs w:val="19"/>
          <w:color w:val="auto"/>
        </w:rPr>
        <w:t>, the Parties have executed this Agreement on the day and year first above written.</w:t>
      </w:r>
    </w:p>
    <w:p>
      <w:pPr>
        <w:sectPr>
          <w:pgSz w:w="11900" w:h="16838" w:orient="portrait"/>
          <w:cols w:equalWidth="0" w:num="1">
            <w:col w:w="9419"/>
          </w:cols>
          <w:pgMar w:left="1040" w:top="13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6"/>
          <w:szCs w:val="16"/>
          <w:b w:val="1"/>
          <w:bCs w:val="1"/>
          <w:color w:val="auto"/>
        </w:rPr>
        <w:t>RAXIS</w:t>
      </w:r>
      <w:r>
        <w:rPr>
          <w:rFonts w:ascii="Arial" w:cs="Arial" w:eastAsia="Arial" w:hAnsi="Arial"/>
          <w:sz w:val="21"/>
          <w:szCs w:val="21"/>
          <w:b w:val="1"/>
          <w:bCs w:val="1"/>
          <w:color w:val="auto"/>
        </w:rPr>
        <w:t xml:space="preserve"> P</w:t>
      </w:r>
      <w:r>
        <w:rPr>
          <w:rFonts w:ascii="Arial" w:cs="Arial" w:eastAsia="Arial" w:hAnsi="Arial"/>
          <w:sz w:val="16"/>
          <w:szCs w:val="16"/>
          <w:b w:val="1"/>
          <w:bCs w:val="1"/>
          <w:color w:val="auto"/>
        </w:rPr>
        <w:t>RECISION</w:t>
      </w:r>
      <w:r>
        <w:rPr>
          <w:rFonts w:ascii="Arial" w:cs="Arial" w:eastAsia="Arial" w:hAnsi="Arial"/>
          <w:sz w:val="21"/>
          <w:szCs w:val="21"/>
          <w:b w:val="1"/>
          <w:bCs w:val="1"/>
          <w:color w:val="auto"/>
        </w:rPr>
        <w:t xml:space="preserve"> M</w:t>
      </w:r>
      <w:r>
        <w:rPr>
          <w:rFonts w:ascii="Arial" w:cs="Arial" w:eastAsia="Arial" w:hAnsi="Arial"/>
          <w:sz w:val="16"/>
          <w:szCs w:val="16"/>
          <w:b w:val="1"/>
          <w:bCs w:val="1"/>
          <w:color w:val="auto"/>
        </w:rPr>
        <w:t>EDICINES</w:t>
      </w:r>
      <w:r>
        <w:rPr>
          <w:rFonts w:ascii="Arial" w:cs="Arial" w:eastAsia="Arial" w:hAnsi="Arial"/>
          <w:sz w:val="21"/>
          <w:szCs w:val="21"/>
          <w:b w:val="1"/>
          <w:bCs w:val="1"/>
          <w:color w:val="auto"/>
        </w:rPr>
        <w:t>, I</w:t>
      </w:r>
      <w:r>
        <w:rPr>
          <w:rFonts w:ascii="Arial" w:cs="Arial" w:eastAsia="Arial" w:hAnsi="Arial"/>
          <w:sz w:val="16"/>
          <w:szCs w:val="16"/>
          <w:b w:val="1"/>
          <w:bCs w:val="1"/>
          <w:color w:val="auto"/>
        </w:rPr>
        <w:t>NC</w:t>
      </w:r>
      <w:r>
        <w:rPr>
          <w:rFonts w:ascii="Arial" w:cs="Arial" w:eastAsia="Arial" w:hAnsi="Arial"/>
          <w:sz w:val="21"/>
          <w:szCs w:val="21"/>
          <w:b w:val="1"/>
          <w:bCs w:val="1"/>
          <w:color w:val="auto"/>
        </w:rPr>
        <w:t>.</w:t>
      </w:r>
    </w:p>
    <w:p>
      <w:pPr>
        <w:spacing w:after="0" w:line="257" w:lineRule="exact"/>
        <w:rPr>
          <w:sz w:val="20"/>
          <w:szCs w:val="20"/>
          <w:color w:val="auto"/>
        </w:rPr>
      </w:pPr>
    </w:p>
    <w:p>
      <w:pPr>
        <w:ind w:left="3500"/>
        <w:spacing w:after="0"/>
        <w:rPr>
          <w:sz w:val="20"/>
          <w:szCs w:val="20"/>
          <w:color w:val="auto"/>
        </w:rPr>
      </w:pPr>
      <w:r>
        <w:rPr>
          <w:rFonts w:ascii="Arial" w:cs="Arial" w:eastAsia="Arial" w:hAnsi="Arial"/>
          <w:sz w:val="21"/>
          <w:szCs w:val="21"/>
          <w:b w:val="1"/>
          <w:bCs w:val="1"/>
          <w:color w:val="auto"/>
        </w:rPr>
        <w:t xml:space="preserve">By: </w:t>
      </w:r>
      <w:r>
        <w:rPr>
          <w:rFonts w:ascii="Arial" w:cs="Arial" w:eastAsia="Arial" w:hAnsi="Arial"/>
          <w:sz w:val="21"/>
          <w:szCs w:val="21"/>
          <w:color w:val="auto"/>
        </w:rPr>
        <w:t>/s/ Marcio Souza</w:t>
      </w:r>
    </w:p>
    <w:p>
      <w:pPr>
        <w:spacing w:after="0" w:line="31"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-150495</wp:posOffset>
            </wp:positionV>
            <wp:extent cx="19316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 xml:space="preserve">Title: </w:t>
      </w:r>
      <w:r>
        <w:rPr>
          <w:rFonts w:ascii="Arial" w:cs="Arial" w:eastAsia="Arial" w:hAnsi="Arial"/>
          <w:sz w:val="21"/>
          <w:szCs w:val="21"/>
          <w:color w:val="auto"/>
        </w:rPr>
        <w:t>CEO</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 xml:space="preserve">Date: </w:t>
      </w:r>
      <w:r>
        <w:rPr>
          <w:rFonts w:ascii="Arial" w:cs="Arial" w:eastAsia="Arial" w:hAnsi="Arial"/>
          <w:sz w:val="21"/>
          <w:szCs w:val="21"/>
          <w:color w:val="auto"/>
        </w:rPr>
        <w:t>10/14/2020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22225</wp:posOffset>
            </wp:positionV>
            <wp:extent cx="193167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1931670" cy="165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Executive</w:t>
      </w:r>
    </w:p>
    <w:p>
      <w:pPr>
        <w:spacing w:after="0" w:line="263"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/s/ Nicole Sweeny</w:t>
      </w:r>
    </w:p>
    <w:p>
      <w:pPr>
        <w:spacing w:after="0" w:line="28"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 xml:space="preserve">Name: </w:t>
      </w:r>
      <w:r>
        <w:rPr>
          <w:rFonts w:ascii="Arial" w:cs="Arial" w:eastAsia="Arial" w:hAnsi="Arial"/>
          <w:sz w:val="21"/>
          <w:szCs w:val="21"/>
          <w:color w:val="auto"/>
        </w:rPr>
        <w:t>Nicole Sweeny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-151765</wp:posOffset>
            </wp:positionV>
            <wp:extent cx="24980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355" w:lineRule="exact"/>
        <w:rPr>
          <w:sz w:val="20"/>
          <w:szCs w:val="20"/>
          <w:color w:val="auto"/>
        </w:rPr>
      </w:pPr>
    </w:p>
    <w:p>
      <w:pPr>
        <w:ind w:left="3160"/>
        <w:spacing w:after="0"/>
        <w:tabs>
          <w:tab w:leader="none" w:pos="3840" w:val="left"/>
        </w:tabs>
        <w:rPr>
          <w:sz w:val="20"/>
          <w:szCs w:val="20"/>
          <w:color w:val="auto"/>
        </w:rPr>
      </w:pPr>
      <w:r>
        <w:rPr>
          <w:rFonts w:ascii="Arial" w:cs="Arial" w:eastAsia="Arial" w:hAnsi="Arial"/>
          <w:sz w:val="21"/>
          <w:szCs w:val="21"/>
          <w:b w:val="1"/>
          <w:bCs w:val="1"/>
          <w:color w:val="auto"/>
        </w:rPr>
        <w:t>Date:</w:t>
      </w:r>
      <w:r>
        <w:rPr>
          <w:sz w:val="20"/>
          <w:szCs w:val="20"/>
          <w:color w:val="auto"/>
        </w:rPr>
        <w:tab/>
      </w:r>
      <w:r>
        <w:rPr>
          <w:rFonts w:ascii="Arial" w:cs="Arial" w:eastAsia="Arial" w:hAnsi="Arial"/>
          <w:sz w:val="18"/>
          <w:szCs w:val="18"/>
          <w:color w:val="auto"/>
        </w:rPr>
        <w:t>10/14/2020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22225</wp:posOffset>
            </wp:positionV>
            <wp:extent cx="200660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2006600" cy="16510"/>
                    </a:xfrm>
                    <a:prstGeom prst="rect">
                      <a:avLst/>
                    </a:prstGeom>
                    <a:noFill/>
                  </pic:spPr>
                </pic:pic>
              </a:graphicData>
            </a:graphic>
          </wp:anchor>
        </w:drawing>
      </w:r>
    </w:p>
    <w:p>
      <w:pPr>
        <w:sectPr>
          <w:pgSz w:w="11900" w:h="16838" w:orient="portrait"/>
          <w:cols w:equalWidth="0" w:num="1">
            <w:col w:w="9419"/>
          </w:cols>
          <w:pgMar w:left="1040" w:top="1345" w:right="1440" w:bottom="1440" w:gutter="0" w:footer="0" w:header="0"/>
          <w:type w:val="continuous"/>
        </w:sectPr>
      </w:pPr>
    </w:p>
    <w:bookmarkStart w:id="201" w:name="page202"/>
    <w:bookmarkEnd w:id="201"/>
    <w:p>
      <w:pPr>
        <w:jc w:val="center"/>
        <w:ind w:right="-99"/>
        <w:spacing w:after="0"/>
        <w:rPr>
          <w:sz w:val="20"/>
          <w:szCs w:val="20"/>
          <w:color w:val="auto"/>
        </w:rPr>
      </w:pPr>
      <w:r>
        <w:rPr>
          <w:rFonts w:ascii="Arial" w:cs="Arial" w:eastAsia="Arial" w:hAnsi="Arial"/>
          <w:sz w:val="21"/>
          <w:szCs w:val="21"/>
          <w:b w:val="1"/>
          <w:bCs w:val="1"/>
          <w:color w:val="auto"/>
        </w:rPr>
        <w:t>PRAXIS PRECISION MEDICINES, INC.</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NON-EMPLOYEE DIRECTOR COMPENSATION POLICY</w:t>
      </w:r>
    </w:p>
    <w:p>
      <w:pPr>
        <w:spacing w:after="0" w:line="184"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 xml:space="preserve">The purpose of this Non-Employee Director Compensation Policy (the “Policy”) of Praxis Precision Medicines, Inc. (the “Company”) is to provide a total compensation package that enables the Company to attract and retain, on a long-term basis, high-caliber directors who are not employees or officers of the Company or its subsidiaries (“Outside Directors”). </w:t>
      </w:r>
      <w:r>
        <w:rPr>
          <w:rFonts w:ascii="Arial" w:cs="Arial" w:eastAsia="Arial" w:hAnsi="Arial"/>
          <w:sz w:val="18"/>
          <w:szCs w:val="18"/>
          <w:color w:val="auto"/>
        </w:rPr>
        <w:t>This Policy will become</w:t>
      </w:r>
    </w:p>
    <w:p>
      <w:pPr>
        <w:spacing w:after="0" w:line="3"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effective as of the effective time of the registration statement for the Company’s initial public offering of equity securities (the “Effective Date”). In furtherance of the purpose stated above, all Outside Directors shall be paid compensation for services provided to the</w:t>
      </w:r>
    </w:p>
    <w:p>
      <w:pPr>
        <w:spacing w:after="0"/>
        <w:rPr>
          <w:sz w:val="20"/>
          <w:szCs w:val="20"/>
          <w:color w:val="auto"/>
        </w:rPr>
      </w:pPr>
      <w:r>
        <w:rPr>
          <w:rFonts w:ascii="Arial" w:cs="Arial" w:eastAsia="Arial" w:hAnsi="Arial"/>
          <w:sz w:val="21"/>
          <w:szCs w:val="21"/>
          <w:color w:val="auto"/>
        </w:rPr>
        <w:t>Company as set forth below:</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Cash Retainers</w:t>
      </w:r>
    </w:p>
    <w:p>
      <w:pPr>
        <w:spacing w:after="0" w:line="184" w:lineRule="exact"/>
        <w:rPr>
          <w:sz w:val="20"/>
          <w:szCs w:val="20"/>
          <w:color w:val="auto"/>
        </w:rPr>
      </w:pPr>
    </w:p>
    <w:p>
      <w:pPr>
        <w:jc w:val="both"/>
        <w:ind w:left="160" w:right="20"/>
        <w:spacing w:after="0" w:line="257" w:lineRule="auto"/>
        <w:rPr>
          <w:sz w:val="20"/>
          <w:szCs w:val="20"/>
          <w:color w:val="auto"/>
        </w:rPr>
      </w:pPr>
      <w:r>
        <w:rPr>
          <w:rFonts w:ascii="Arial" w:cs="Arial" w:eastAsia="Arial" w:hAnsi="Arial"/>
          <w:sz w:val="19"/>
          <w:szCs w:val="19"/>
          <w:u w:val="single" w:color="auto"/>
          <w:color w:val="auto"/>
        </w:rPr>
        <w:t>Annual Retainer for Board Membership</w:t>
      </w:r>
      <w:r>
        <w:rPr>
          <w:rFonts w:ascii="Arial" w:cs="Arial" w:eastAsia="Arial" w:hAnsi="Arial"/>
          <w:sz w:val="19"/>
          <w:szCs w:val="19"/>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14"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980" w:type="dxa"/>
            <w:vAlign w:val="bottom"/>
            <w:gridSpan w:val="2"/>
          </w:tcPr>
          <w:p>
            <w:pPr>
              <w:spacing w:after="0"/>
              <w:rPr>
                <w:sz w:val="20"/>
                <w:szCs w:val="20"/>
                <w:color w:val="auto"/>
              </w:rPr>
            </w:pPr>
            <w:r>
              <w:rPr>
                <w:rFonts w:ascii="Arial" w:cs="Arial" w:eastAsia="Arial" w:hAnsi="Arial"/>
                <w:sz w:val="21"/>
                <w:szCs w:val="21"/>
                <w:color w:val="auto"/>
              </w:rPr>
              <w:t>Additional Annual Retainer for Non-Executive Chair:</w:t>
            </w:r>
          </w:p>
        </w:tc>
        <w:tc>
          <w:tcPr>
            <w:tcW w:w="1120" w:type="dxa"/>
            <w:vAlign w:val="bottom"/>
          </w:tcPr>
          <w:p>
            <w:pPr>
              <w:jc w:val="right"/>
              <w:spacing w:after="0"/>
              <w:rPr>
                <w:sz w:val="20"/>
                <w:szCs w:val="20"/>
                <w:color w:val="auto"/>
              </w:rPr>
            </w:pPr>
            <w:r>
              <w:rPr>
                <w:rFonts w:ascii="Arial" w:cs="Arial" w:eastAsia="Arial" w:hAnsi="Arial"/>
                <w:sz w:val="21"/>
                <w:szCs w:val="21"/>
                <w:color w:val="auto"/>
              </w:rPr>
              <w:t>$30,000</w:t>
            </w:r>
          </w:p>
        </w:tc>
      </w:tr>
      <w:tr>
        <w:trPr>
          <w:trHeight w:val="20"/>
        </w:trPr>
        <w:tc>
          <w:tcPr>
            <w:tcW w:w="4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160"/>
        <w:spacing w:after="0"/>
        <w:rPr>
          <w:sz w:val="20"/>
          <w:szCs w:val="20"/>
          <w:color w:val="auto"/>
        </w:rPr>
      </w:pPr>
      <w:r>
        <w:rPr>
          <w:rFonts w:ascii="Arial" w:cs="Arial" w:eastAsia="Arial" w:hAnsi="Arial"/>
          <w:sz w:val="21"/>
          <w:szCs w:val="21"/>
          <w:u w:val="single" w:color="auto"/>
          <w:color w:val="auto"/>
        </w:rPr>
        <w:t>Additional Annual Retainers for Committee Membership</w:t>
      </w:r>
      <w:r>
        <w:rPr>
          <w:rFonts w:ascii="Arial" w:cs="Arial" w:eastAsia="Arial" w:hAnsi="Arial"/>
          <w:sz w:val="21"/>
          <w:szCs w:val="21"/>
          <w:color w:val="auto"/>
        </w:rPr>
        <w:t>:</w:t>
      </w:r>
    </w:p>
    <w:p>
      <w:pPr>
        <w:spacing w:after="0" w:line="178" w:lineRule="exact"/>
        <w:rPr>
          <w:sz w:val="20"/>
          <w:szCs w:val="20"/>
          <w:color w:val="auto"/>
        </w:rPr>
      </w:pPr>
    </w:p>
    <w:p>
      <w:pPr>
        <w:ind w:left="160"/>
        <w:spacing w:after="0"/>
        <w:tabs>
          <w:tab w:leader="none" w:pos="2400" w:val="left"/>
        </w:tabs>
        <w:rPr>
          <w:sz w:val="20"/>
          <w:szCs w:val="20"/>
          <w:color w:val="auto"/>
        </w:rPr>
      </w:pPr>
      <w:r>
        <w:rPr>
          <w:rFonts w:ascii="Arial" w:cs="Arial" w:eastAsia="Arial" w:hAnsi="Arial"/>
          <w:sz w:val="21"/>
          <w:szCs w:val="21"/>
          <w:color w:val="auto"/>
        </w:rPr>
        <w:t>Audit Committee Chair:</w:t>
      </w:r>
      <w:r>
        <w:rPr>
          <w:sz w:val="20"/>
          <w:szCs w:val="20"/>
          <w:color w:val="auto"/>
        </w:rPr>
        <w:tab/>
      </w:r>
      <w:r>
        <w:rPr>
          <w:rFonts w:ascii="Arial" w:cs="Arial" w:eastAsia="Arial" w:hAnsi="Arial"/>
          <w:sz w:val="18"/>
          <w:szCs w:val="18"/>
          <w:color w:val="auto"/>
        </w:rPr>
        <w:t>$16,000</w:t>
      </w:r>
    </w:p>
    <w:p>
      <w:pPr>
        <w:spacing w:after="0" w:line="178" w:lineRule="exact"/>
        <w:rPr>
          <w:sz w:val="20"/>
          <w:szCs w:val="20"/>
          <w:color w:val="auto"/>
        </w:rPr>
      </w:pPr>
    </w:p>
    <w:p>
      <w:pPr>
        <w:ind w:left="160"/>
        <w:spacing w:after="0"/>
        <w:tabs>
          <w:tab w:leader="none" w:pos="2620" w:val="left"/>
        </w:tabs>
        <w:rPr>
          <w:sz w:val="20"/>
          <w:szCs w:val="20"/>
          <w:color w:val="auto"/>
        </w:rPr>
      </w:pPr>
      <w:r>
        <w:rPr>
          <w:rFonts w:ascii="Arial" w:cs="Arial" w:eastAsia="Arial" w:hAnsi="Arial"/>
          <w:sz w:val="21"/>
          <w:szCs w:val="21"/>
          <w:color w:val="auto"/>
        </w:rPr>
        <w:t>Audit Committee member:</w:t>
      </w:r>
      <w:r>
        <w:rPr>
          <w:sz w:val="20"/>
          <w:szCs w:val="20"/>
          <w:color w:val="auto"/>
        </w:rPr>
        <w:tab/>
      </w:r>
      <w:r>
        <w:rPr>
          <w:rFonts w:ascii="Arial" w:cs="Arial" w:eastAsia="Arial" w:hAnsi="Arial"/>
          <w:sz w:val="18"/>
          <w:szCs w:val="18"/>
          <w:color w:val="auto"/>
        </w:rPr>
        <w:t>$8,000</w:t>
      </w:r>
    </w:p>
    <w:p>
      <w:pPr>
        <w:spacing w:after="0" w:line="178" w:lineRule="exact"/>
        <w:rPr>
          <w:sz w:val="20"/>
          <w:szCs w:val="20"/>
          <w:color w:val="auto"/>
        </w:rPr>
      </w:pPr>
    </w:p>
    <w:p>
      <w:pPr>
        <w:ind w:left="160"/>
        <w:spacing w:after="0"/>
        <w:tabs>
          <w:tab w:leader="none" w:pos="3120" w:val="left"/>
        </w:tabs>
        <w:rPr>
          <w:sz w:val="20"/>
          <w:szCs w:val="20"/>
          <w:color w:val="auto"/>
        </w:rPr>
      </w:pPr>
      <w:r>
        <w:rPr>
          <w:rFonts w:ascii="Arial" w:cs="Arial" w:eastAsia="Arial" w:hAnsi="Arial"/>
          <w:sz w:val="21"/>
          <w:szCs w:val="21"/>
          <w:color w:val="auto"/>
        </w:rPr>
        <w:t>Compensation Committee Chair:</w:t>
      </w:r>
      <w:r>
        <w:rPr>
          <w:sz w:val="20"/>
          <w:szCs w:val="20"/>
          <w:color w:val="auto"/>
        </w:rPr>
        <w:tab/>
      </w:r>
      <w:r>
        <w:rPr>
          <w:rFonts w:ascii="Arial" w:cs="Arial" w:eastAsia="Arial" w:hAnsi="Arial"/>
          <w:sz w:val="18"/>
          <w:szCs w:val="18"/>
          <w:color w:val="auto"/>
        </w:rPr>
        <w:t>$12,000</w:t>
      </w:r>
    </w:p>
    <w:p>
      <w:pPr>
        <w:spacing w:after="0" w:line="178" w:lineRule="exact"/>
        <w:rPr>
          <w:sz w:val="20"/>
          <w:szCs w:val="20"/>
          <w:color w:val="auto"/>
        </w:rPr>
      </w:pPr>
    </w:p>
    <w:p>
      <w:pPr>
        <w:ind w:left="160"/>
        <w:spacing w:after="0"/>
        <w:tabs>
          <w:tab w:leader="none" w:pos="3340" w:val="left"/>
        </w:tabs>
        <w:rPr>
          <w:sz w:val="20"/>
          <w:szCs w:val="20"/>
          <w:color w:val="auto"/>
        </w:rPr>
      </w:pPr>
      <w:r>
        <w:rPr>
          <w:rFonts w:ascii="Arial" w:cs="Arial" w:eastAsia="Arial" w:hAnsi="Arial"/>
          <w:sz w:val="21"/>
          <w:szCs w:val="21"/>
          <w:color w:val="auto"/>
        </w:rPr>
        <w:t>Compensation Committee member:</w:t>
      </w:r>
      <w:r>
        <w:rPr>
          <w:sz w:val="20"/>
          <w:szCs w:val="20"/>
          <w:color w:val="auto"/>
        </w:rPr>
        <w:tab/>
      </w:r>
      <w:r>
        <w:rPr>
          <w:rFonts w:ascii="Arial" w:cs="Arial" w:eastAsia="Arial" w:hAnsi="Arial"/>
          <w:sz w:val="18"/>
          <w:szCs w:val="18"/>
          <w:color w:val="auto"/>
        </w:rPr>
        <w:t>$6,000</w:t>
      </w:r>
    </w:p>
    <w:p>
      <w:pPr>
        <w:spacing w:after="0" w:line="178" w:lineRule="exact"/>
        <w:rPr>
          <w:sz w:val="20"/>
          <w:szCs w:val="20"/>
          <w:color w:val="auto"/>
        </w:rPr>
      </w:pPr>
    </w:p>
    <w:p>
      <w:pPr>
        <w:ind w:left="160"/>
        <w:spacing w:after="0"/>
        <w:tabs>
          <w:tab w:leader="none" w:pos="5220" w:val="left"/>
        </w:tabs>
        <w:rPr>
          <w:sz w:val="20"/>
          <w:szCs w:val="20"/>
          <w:color w:val="auto"/>
        </w:rPr>
      </w:pPr>
      <w:r>
        <w:rPr>
          <w:rFonts w:ascii="Arial" w:cs="Arial" w:eastAsia="Arial" w:hAnsi="Arial"/>
          <w:sz w:val="21"/>
          <w:szCs w:val="21"/>
          <w:color w:val="auto"/>
        </w:rPr>
        <w:t>Nominating and Corporate Governance Committee Chair:</w:t>
      </w:r>
      <w:r>
        <w:rPr>
          <w:sz w:val="20"/>
          <w:szCs w:val="20"/>
          <w:color w:val="auto"/>
        </w:rPr>
        <w:tab/>
      </w:r>
      <w:r>
        <w:rPr>
          <w:rFonts w:ascii="Arial" w:cs="Arial" w:eastAsia="Arial" w:hAnsi="Arial"/>
          <w:sz w:val="18"/>
          <w:szCs w:val="18"/>
          <w:color w:val="auto"/>
        </w:rPr>
        <w:t>$8,000</w:t>
      </w:r>
    </w:p>
    <w:p>
      <w:pPr>
        <w:spacing w:after="0" w:line="178" w:lineRule="exact"/>
        <w:rPr>
          <w:sz w:val="20"/>
          <w:szCs w:val="20"/>
          <w:color w:val="auto"/>
        </w:rPr>
      </w:pPr>
    </w:p>
    <w:p>
      <w:pPr>
        <w:ind w:left="160"/>
        <w:spacing w:after="0"/>
        <w:tabs>
          <w:tab w:leader="none" w:pos="5460" w:val="left"/>
        </w:tabs>
        <w:rPr>
          <w:sz w:val="20"/>
          <w:szCs w:val="20"/>
          <w:color w:val="auto"/>
        </w:rPr>
      </w:pPr>
      <w:r>
        <w:rPr>
          <w:rFonts w:ascii="Arial" w:cs="Arial" w:eastAsia="Arial" w:hAnsi="Arial"/>
          <w:sz w:val="21"/>
          <w:szCs w:val="21"/>
          <w:color w:val="auto"/>
        </w:rPr>
        <w:t>Nominating and Corporate Governance Committee member:</w:t>
      </w:r>
      <w:r>
        <w:rPr>
          <w:sz w:val="20"/>
          <w:szCs w:val="20"/>
          <w:color w:val="auto"/>
        </w:rPr>
        <w:tab/>
      </w:r>
      <w:r>
        <w:rPr>
          <w:rFonts w:ascii="Arial" w:cs="Arial" w:eastAsia="Arial" w:hAnsi="Arial"/>
          <w:sz w:val="18"/>
          <w:szCs w:val="18"/>
          <w:color w:val="auto"/>
        </w:rPr>
        <w:t>$4,000</w:t>
      </w:r>
    </w:p>
    <w:p>
      <w:pPr>
        <w:spacing w:after="0" w:line="178" w:lineRule="exact"/>
        <w:rPr>
          <w:sz w:val="20"/>
          <w:szCs w:val="20"/>
          <w:color w:val="auto"/>
        </w:rPr>
      </w:pPr>
    </w:p>
    <w:p>
      <w:pPr>
        <w:ind w:left="160"/>
        <w:spacing w:after="0"/>
        <w:tabs>
          <w:tab w:leader="none" w:pos="3960" w:val="left"/>
        </w:tabs>
        <w:rPr>
          <w:sz w:val="20"/>
          <w:szCs w:val="20"/>
          <w:color w:val="auto"/>
        </w:rPr>
      </w:pPr>
      <w:r>
        <w:rPr>
          <w:rFonts w:ascii="Arial" w:cs="Arial" w:eastAsia="Arial" w:hAnsi="Arial"/>
          <w:sz w:val="21"/>
          <w:szCs w:val="21"/>
          <w:color w:val="auto"/>
        </w:rPr>
        <w:t>Science and Technology Committee Chair:</w:t>
      </w:r>
      <w:r>
        <w:rPr>
          <w:sz w:val="20"/>
          <w:szCs w:val="20"/>
          <w:color w:val="auto"/>
        </w:rPr>
        <w:tab/>
      </w:r>
      <w:r>
        <w:rPr>
          <w:rFonts w:ascii="Arial" w:cs="Arial" w:eastAsia="Arial" w:hAnsi="Arial"/>
          <w:sz w:val="18"/>
          <w:szCs w:val="18"/>
          <w:color w:val="auto"/>
        </w:rPr>
        <w:t>$8,000</w:t>
      </w:r>
    </w:p>
    <w:p>
      <w:pPr>
        <w:spacing w:after="0" w:line="178" w:lineRule="exact"/>
        <w:rPr>
          <w:sz w:val="20"/>
          <w:szCs w:val="20"/>
          <w:color w:val="auto"/>
        </w:rPr>
      </w:pPr>
    </w:p>
    <w:p>
      <w:pPr>
        <w:ind w:left="160"/>
        <w:spacing w:after="0"/>
        <w:tabs>
          <w:tab w:leader="none" w:pos="4180" w:val="left"/>
        </w:tabs>
        <w:rPr>
          <w:sz w:val="20"/>
          <w:szCs w:val="20"/>
          <w:color w:val="auto"/>
        </w:rPr>
      </w:pPr>
      <w:r>
        <w:rPr>
          <w:rFonts w:ascii="Arial" w:cs="Arial" w:eastAsia="Arial" w:hAnsi="Arial"/>
          <w:sz w:val="21"/>
          <w:szCs w:val="21"/>
          <w:color w:val="auto"/>
        </w:rPr>
        <w:t>Science and Technology Committee member:</w:t>
      </w:r>
      <w:r>
        <w:rPr>
          <w:sz w:val="20"/>
          <w:szCs w:val="20"/>
          <w:color w:val="auto"/>
        </w:rPr>
        <w:tab/>
      </w:r>
      <w:r>
        <w:rPr>
          <w:rFonts w:ascii="Arial" w:cs="Arial" w:eastAsia="Arial" w:hAnsi="Arial"/>
          <w:sz w:val="18"/>
          <w:szCs w:val="18"/>
          <w:color w:val="auto"/>
        </w:rPr>
        <w:t>$4,000</w:t>
      </w:r>
    </w:p>
    <w:p>
      <w:pPr>
        <w:spacing w:after="0" w:line="178" w:lineRule="exact"/>
        <w:rPr>
          <w:sz w:val="20"/>
          <w:szCs w:val="20"/>
          <w:color w:val="auto"/>
        </w:rPr>
      </w:pPr>
    </w:p>
    <w:p>
      <w:pPr>
        <w:ind w:left="160" w:right="920"/>
        <w:spacing w:after="0" w:line="257" w:lineRule="auto"/>
        <w:rPr>
          <w:sz w:val="20"/>
          <w:szCs w:val="20"/>
          <w:color w:val="auto"/>
        </w:rPr>
      </w:pPr>
      <w:r>
        <w:rPr>
          <w:rFonts w:ascii="Arial" w:cs="Arial" w:eastAsia="Arial" w:hAnsi="Arial"/>
          <w:sz w:val="20"/>
          <w:szCs w:val="20"/>
          <w:color w:val="auto"/>
        </w:rPr>
        <w:t>Chair and committee member retainers are in addition to retainers for members of the Board of Directors. No additional compensation will be paid for attending individual committee meetings of the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Equity Retainers</w:t>
      </w:r>
    </w:p>
    <w:p>
      <w:pPr>
        <w:spacing w:after="0" w:line="184" w:lineRule="exact"/>
        <w:rPr>
          <w:sz w:val="20"/>
          <w:szCs w:val="20"/>
          <w:color w:val="auto"/>
        </w:rPr>
      </w:pPr>
    </w:p>
    <w:p>
      <w:pPr>
        <w:ind w:left="160"/>
        <w:spacing w:after="0" w:line="217" w:lineRule="auto"/>
        <w:rPr>
          <w:sz w:val="20"/>
          <w:szCs w:val="20"/>
          <w:color w:val="auto"/>
        </w:rPr>
      </w:pPr>
      <w:r>
        <w:rPr>
          <w:rFonts w:ascii="Arial" w:cs="Arial" w:eastAsia="Arial" w:hAnsi="Arial"/>
          <w:sz w:val="21"/>
          <w:szCs w:val="21"/>
          <w:u w:val="single" w:color="auto"/>
          <w:color w:val="auto"/>
        </w:rPr>
        <w:t>Initial Award</w:t>
      </w:r>
      <w:r>
        <w:rPr>
          <w:rFonts w:ascii="Arial" w:cs="Arial" w:eastAsia="Arial" w:hAnsi="Arial"/>
          <w:sz w:val="21"/>
          <w:szCs w:val="21"/>
          <w:color w:val="auto"/>
        </w:rPr>
        <w:t xml:space="preserve"> : An initial, one-time stock option award (the “Initial Award”) to purchase a number of shares equal to 0.1% of the total number of shares of the Company’s common stock issued and outstanding on the date of grant will be granted to each new Outside Director upon his or her election to the Board of Directors, which shall vest in equal monthly installments over three years from the date of grant; provided, however, that all vesting shall cease if the director resigns from the Board of Directors or otherwise ceases to serve as a director of the Company. The Initial Award shall expire ten years from the date of grant, and shall have a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140"/>
          </w:cols>
          <w:pgMar w:left="320" w:top="1358" w:right="439" w:bottom="1440" w:gutter="0" w:footer="0" w:header="0"/>
        </w:sectPr>
      </w:pPr>
    </w:p>
    <w:bookmarkStart w:id="202" w:name="page203"/>
    <w:bookmarkEnd w:id="202"/>
    <w:p>
      <w:pPr>
        <w:jc w:val="both"/>
        <w:ind w:left="160" w:right="420"/>
        <w:spacing w:after="0" w:line="227" w:lineRule="auto"/>
        <w:rPr>
          <w:sz w:val="20"/>
          <w:szCs w:val="20"/>
          <w:color w:val="auto"/>
        </w:rPr>
      </w:pPr>
      <w:r>
        <w:rPr>
          <w:rFonts w:ascii="Arial" w:cs="Arial" w:eastAsia="Arial" w:hAnsi="Arial"/>
          <w:sz w:val="21"/>
          <w:szCs w:val="21"/>
          <w:color w:val="auto"/>
        </w:rPr>
        <w:t>share exercise price equal to the Fair Market Value (as defined in the Company’s 2020 Stock Option and Incentive Plan) of the Company’s common stock on the date of grant. This Initial Award applies only to Outside Directors who are first elected to the Board of Directors subsequent to the Effective Date.</w:t>
      </w:r>
    </w:p>
    <w:p>
      <w:pPr>
        <w:spacing w:after="0" w:line="154" w:lineRule="exact"/>
        <w:rPr>
          <w:sz w:val="20"/>
          <w:szCs w:val="20"/>
          <w:color w:val="auto"/>
        </w:rPr>
      </w:pPr>
    </w:p>
    <w:p>
      <w:pPr>
        <w:ind w:left="160" w:right="40"/>
        <w:spacing w:after="0" w:line="238" w:lineRule="auto"/>
        <w:rPr>
          <w:sz w:val="20"/>
          <w:szCs w:val="20"/>
          <w:color w:val="auto"/>
        </w:rPr>
      </w:pPr>
      <w:r>
        <w:rPr>
          <w:rFonts w:ascii="Arial" w:cs="Arial" w:eastAsia="Arial" w:hAnsi="Arial"/>
          <w:sz w:val="19"/>
          <w:szCs w:val="19"/>
          <w:u w:val="single" w:color="auto"/>
          <w:color w:val="auto"/>
        </w:rPr>
        <w:t>Annual Award</w:t>
      </w:r>
      <w:r>
        <w:rPr>
          <w:rFonts w:ascii="Arial" w:cs="Arial" w:eastAsia="Arial" w:hAnsi="Arial"/>
          <w:sz w:val="19"/>
          <w:szCs w:val="19"/>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a number of shares equal to 0.05% of the total number of shares of the Company’s common stock issued and outstanding on the date of grant, which shall vest in twelve equal monthly installments from the date of grant; provided, however, that all vesting shall cease if the director resigns from the Board of Directors or otherwise ceases to serve as a director, unless the Board of Directors determines that the circumstances warrant continuation of vesting. Such Annual Award shall expire ten years from the date of grant, and shall have a per share exercise price equal to the Fair Market Value (as defined in the Company’s 2020 Stock Option and Incentive Plan) of the Company’s common stock on the date of grant.</w:t>
      </w:r>
    </w:p>
    <w:p>
      <w:pPr>
        <w:spacing w:after="0" w:line="155" w:lineRule="exact"/>
        <w:rPr>
          <w:sz w:val="20"/>
          <w:szCs w:val="20"/>
          <w:color w:val="auto"/>
        </w:rPr>
      </w:pPr>
    </w:p>
    <w:p>
      <w:pPr>
        <w:ind w:left="160" w:right="120"/>
        <w:spacing w:after="0" w:line="236" w:lineRule="auto"/>
        <w:rPr>
          <w:sz w:val="20"/>
          <w:szCs w:val="20"/>
          <w:color w:val="auto"/>
        </w:rPr>
      </w:pPr>
      <w:r>
        <w:rPr>
          <w:rFonts w:ascii="Arial" w:cs="Arial" w:eastAsia="Arial" w:hAnsi="Arial"/>
          <w:sz w:val="21"/>
          <w:szCs w:val="21"/>
          <w:u w:val="single" w:color="auto"/>
          <w:color w:val="auto"/>
        </w:rPr>
        <w:t>Sale Event Acceleration</w:t>
      </w:r>
      <w:r>
        <w:rPr>
          <w:rFonts w:ascii="Arial" w:cs="Arial" w:eastAsia="Arial" w:hAnsi="Arial"/>
          <w:sz w:val="21"/>
          <w:szCs w:val="21"/>
          <w:color w:val="auto"/>
        </w:rPr>
        <w:t>: All outstanding Initial Awards and Annual Awards held by an Outside Director shall become fully vested and exercisable upon a Sale Event (as defined in the Company’s 2020 Stock Option and Incentive Plan).</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Expenses</w:t>
      </w:r>
    </w:p>
    <w:p>
      <w:pPr>
        <w:spacing w:after="0" w:line="184" w:lineRule="exact"/>
        <w:rPr>
          <w:sz w:val="20"/>
          <w:szCs w:val="20"/>
          <w:color w:val="auto"/>
        </w:rPr>
      </w:pPr>
    </w:p>
    <w:p>
      <w:pPr>
        <w:ind w:left="160" w:right="260"/>
        <w:spacing w:after="0" w:line="236" w:lineRule="auto"/>
        <w:rPr>
          <w:sz w:val="20"/>
          <w:szCs w:val="20"/>
          <w:color w:val="auto"/>
        </w:rPr>
      </w:pPr>
      <w:r>
        <w:rPr>
          <w:rFonts w:ascii="Arial" w:cs="Arial" w:eastAsia="Arial" w:hAnsi="Arial"/>
          <w:sz w:val="21"/>
          <w:szCs w:val="21"/>
          <w:color w:val="auto"/>
        </w:rPr>
        <w:t>The Company will reimburse all reasonable out-of-pocket expenses incurred by non-employee directors in attending meetings of the Board of Directors or any committee thereof.</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Maximum Annual Compensation</w:t>
      </w:r>
    </w:p>
    <w:p>
      <w:pPr>
        <w:spacing w:after="0" w:line="184" w:lineRule="exact"/>
        <w:rPr>
          <w:sz w:val="20"/>
          <w:szCs w:val="20"/>
          <w:color w:val="auto"/>
        </w:rPr>
      </w:pPr>
    </w:p>
    <w:p>
      <w:pPr>
        <w:jc w:val="both"/>
        <w:ind w:left="160"/>
        <w:spacing w:after="0" w:line="236" w:lineRule="auto"/>
        <w:rPr>
          <w:sz w:val="20"/>
          <w:szCs w:val="20"/>
          <w:color w:val="auto"/>
        </w:rPr>
      </w:pPr>
      <w:r>
        <w:rPr>
          <w:rFonts w:ascii="Arial" w:cs="Arial" w:eastAsia="Arial" w:hAnsi="Arial"/>
          <w:sz w:val="19"/>
          <w:szCs w:val="19"/>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and such amount shall be $1,500,000 for the non-executive Chair of the Board of Directors; (or such other limits as may be set forth in Section 3(b) of the Company’s 2020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 Notwithstanding the foregoing, the independent members of the Board may make exceptions to these limits in exceptional circumstances, provided that the Non-Employee Director receiving such additional compensation may not participate in the decision to award such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Adopted September 9, 2020, as amended January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4"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color w:val="auto"/>
        </w:rPr>
        <w:t>Exhibit 23.1</w:t>
      </w:r>
    </w:p>
    <w:p>
      <w:pPr>
        <w:spacing w:after="0" w:line="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7" w:lineRule="exact"/>
        <w:rPr>
          <w:sz w:val="20"/>
          <w:szCs w:val="20"/>
          <w:color w:val="auto"/>
        </w:rPr>
      </w:pPr>
    </w:p>
    <w:p>
      <w:pPr>
        <w:ind w:left="640" w:right="3760" w:hanging="6"/>
        <w:spacing w:after="0" w:line="257" w:lineRule="auto"/>
        <w:tabs>
          <w:tab w:leader="none" w:pos="89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Registration Statement and related prospectus (Form S-3 No. 333-260726) of Praxis Precision Medicines, Inc., and</w:t>
      </w:r>
    </w:p>
    <w:p>
      <w:pPr>
        <w:spacing w:after="0" w:line="223" w:lineRule="exact"/>
        <w:rPr>
          <w:rFonts w:ascii="Arial" w:cs="Arial" w:eastAsia="Arial" w:hAnsi="Arial"/>
          <w:sz w:val="17"/>
          <w:szCs w:val="17"/>
          <w:color w:val="auto"/>
        </w:rPr>
      </w:pPr>
    </w:p>
    <w:p>
      <w:pPr>
        <w:jc w:val="both"/>
        <w:ind w:left="640" w:right="3440" w:hanging="6"/>
        <w:spacing w:after="0" w:line="241" w:lineRule="auto"/>
        <w:tabs>
          <w:tab w:leader="none" w:pos="89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Registration Statement (Form S-8 Nos. 333-254410 and 333-249522) pertaining to the 2017 Stock Incentive Plan, the 2020 Stock Option and Incentive Plan, and 2020 Employee Stock Purchase Plan of Praxis Precision Medicines, Inc.;</w:t>
      </w:r>
    </w:p>
    <w:p>
      <w:pPr>
        <w:spacing w:after="0" w:line="198"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of our reports dated February 28, 2022, with respect to the consolidated financial statements of Praxis Precision Medicines, Inc. and the effectiveness of internal control over financial reporting of Praxis Precision Medicines, Inc. included in this Annual Report (Form 10-K) of Praxis Precision Medicines, Inc. for the year ended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rPr>
          <w:sz w:val="20"/>
          <w:szCs w:val="20"/>
          <w:color w:val="auto"/>
        </w:rPr>
      </w:pPr>
      <w:r>
        <w:rPr>
          <w:rFonts w:ascii="Arial" w:cs="Arial" w:eastAsia="Arial" w:hAnsi="Arial"/>
          <w:sz w:val="17"/>
          <w:szCs w:val="17"/>
          <w:color w:val="auto"/>
        </w:rPr>
        <w:t>February 28, 2022</w:t>
      </w:r>
    </w:p>
    <w:p>
      <w:pPr>
        <w:sectPr>
          <w:pgSz w:w="11900" w:h="16838" w:orient="portrait"/>
          <w:cols w:equalWidth="0" w:num="1">
            <w:col w:w="11240"/>
          </w:cols>
          <w:pgMar w:left="320" w:top="1380"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auto"/>
        </w:rPr>
        <w:t>CERTIFICATION OF PRINCIPAL EXECUTIVE OFFICER PURSUANT TO RULES 13a-14(a) AND 15d-14(a) UNDER THE SECURITIES EXCHANGE ACT OF 1934,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Marcio Souza, certify that:</w:t>
      </w:r>
    </w:p>
    <w:p>
      <w:pPr>
        <w:spacing w:after="0" w:line="185" w:lineRule="exact"/>
        <w:rPr>
          <w:sz w:val="20"/>
          <w:szCs w:val="20"/>
          <w:color w:val="auto"/>
        </w:rPr>
      </w:pPr>
    </w:p>
    <w:p>
      <w:pPr>
        <w:ind w:left="460" w:hanging="438"/>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Praxis Precision Medicines, Inc.;</w:t>
      </w:r>
    </w:p>
    <w:p>
      <w:pPr>
        <w:spacing w:after="0" w:line="289" w:lineRule="exact"/>
        <w:rPr>
          <w:rFonts w:ascii="Arial" w:cs="Arial" w:eastAsia="Arial" w:hAnsi="Arial"/>
          <w:sz w:val="17"/>
          <w:szCs w:val="17"/>
          <w:color w:val="auto"/>
        </w:rPr>
      </w:pPr>
    </w:p>
    <w:p>
      <w:pPr>
        <w:jc w:val="both"/>
        <w:ind w:left="460" w:right="620" w:hanging="438"/>
        <w:spacing w:after="0" w:line="273"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17"/>
          <w:szCs w:val="17"/>
          <w:color w:val="auto"/>
        </w:rPr>
      </w:pPr>
    </w:p>
    <w:p>
      <w:pPr>
        <w:ind w:left="480" w:right="560" w:hanging="431"/>
        <w:spacing w:after="0" w:line="289" w:lineRule="auto"/>
        <w:tabs>
          <w:tab w:leader="none" w:pos="4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480" w:right="580" w:hanging="431"/>
        <w:spacing w:after="0" w:line="241" w:lineRule="auto"/>
        <w:tabs>
          <w:tab w:leader="none" w:pos="4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17"/>
          <w:szCs w:val="17"/>
          <w:color w:val="auto"/>
        </w:rPr>
      </w:pPr>
    </w:p>
    <w:p>
      <w:pPr>
        <w:ind w:left="1040" w:right="300" w:hanging="572"/>
        <w:spacing w:after="0" w:line="273" w:lineRule="auto"/>
        <w:tabs>
          <w:tab w:leader="none" w:pos="104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7"/>
          <w:szCs w:val="17"/>
          <w:color w:val="auto"/>
        </w:rPr>
      </w:pPr>
    </w:p>
    <w:p>
      <w:pPr>
        <w:ind w:left="1040" w:right="600" w:hanging="572"/>
        <w:spacing w:after="0" w:line="241" w:lineRule="auto"/>
        <w:tabs>
          <w:tab w:leader="none" w:pos="104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17"/>
          <w:szCs w:val="17"/>
          <w:color w:val="auto"/>
        </w:rPr>
      </w:pPr>
    </w:p>
    <w:p>
      <w:pPr>
        <w:jc w:val="both"/>
        <w:ind w:left="1040" w:right="760" w:hanging="572"/>
        <w:spacing w:after="0" w:line="360" w:lineRule="auto"/>
        <w:tabs>
          <w:tab w:leader="none" w:pos="1040" w:val="left"/>
        </w:tabs>
        <w:numPr>
          <w:ilvl w:val="2"/>
          <w:numId w:val="10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5"/>
          <w:szCs w:val="15"/>
          <w:color w:val="auto"/>
        </w:rPr>
      </w:pPr>
    </w:p>
    <w:p>
      <w:pPr>
        <w:ind w:left="1040" w:right="280" w:hanging="572"/>
        <w:spacing w:after="0" w:line="273" w:lineRule="auto"/>
        <w:tabs>
          <w:tab w:leader="none" w:pos="104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480" w:right="300" w:hanging="431"/>
        <w:spacing w:after="0" w:line="322" w:lineRule="auto"/>
        <w:tabs>
          <w:tab w:leader="none" w:pos="4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40" w:right="240" w:hanging="572"/>
        <w:spacing w:after="0" w:line="289" w:lineRule="auto"/>
        <w:tabs>
          <w:tab w:leader="none" w:pos="104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040" w:right="740" w:hanging="572"/>
        <w:spacing w:after="0" w:line="289" w:lineRule="auto"/>
        <w:tabs>
          <w:tab w:leader="none" w:pos="1040" w:val="left"/>
        </w:tabs>
        <w:numPr>
          <w:ilvl w:val="2"/>
          <w:numId w:val="10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p>
      <w:pPr>
        <w:ind w:left="20"/>
        <w:spacing w:after="0"/>
        <w:tabs>
          <w:tab w:leader="none" w:pos="5560" w:val="left"/>
          <w:tab w:leader="none" w:pos="7780" w:val="left"/>
        </w:tabs>
        <w:rPr>
          <w:sz w:val="20"/>
          <w:szCs w:val="20"/>
          <w:color w:val="auto"/>
        </w:rPr>
      </w:pPr>
      <w:r>
        <w:rPr>
          <w:rFonts w:ascii="Arial" w:cs="Arial" w:eastAsia="Arial" w:hAnsi="Arial"/>
          <w:sz w:val="17"/>
          <w:szCs w:val="17"/>
          <w:color w:val="auto"/>
        </w:rPr>
        <w:t>Date: February 28,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33655</wp:posOffset>
            </wp:positionV>
            <wp:extent cx="31229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60" w:lineRule="exact"/>
        <w:rPr>
          <w:sz w:val="20"/>
          <w:szCs w:val="20"/>
          <w:color w:val="auto"/>
        </w:rPr>
      </w:pPr>
    </w:p>
    <w:p>
      <w:pPr>
        <w:jc w:val="center"/>
        <w:ind w:left="6060"/>
        <w:spacing w:after="0"/>
        <w:rPr>
          <w:sz w:val="20"/>
          <w:szCs w:val="20"/>
          <w:color w:val="auto"/>
        </w:rPr>
      </w:pPr>
      <w:r>
        <w:rPr>
          <w:rFonts w:ascii="Arial" w:cs="Arial" w:eastAsia="Arial" w:hAnsi="Arial"/>
          <w:sz w:val="17"/>
          <w:szCs w:val="17"/>
          <w:color w:val="auto"/>
        </w:rPr>
        <w:t>Marcio Souza</w:t>
      </w:r>
    </w:p>
    <w:p>
      <w:pPr>
        <w:spacing w:after="0" w:line="67" w:lineRule="exact"/>
        <w:rPr>
          <w:sz w:val="20"/>
          <w:szCs w:val="20"/>
          <w:color w:val="auto"/>
        </w:rPr>
      </w:pPr>
    </w:p>
    <w:p>
      <w:pPr>
        <w:jc w:val="center"/>
        <w:ind w:left="6060"/>
        <w:spacing w:after="0"/>
        <w:rPr>
          <w:sz w:val="20"/>
          <w:szCs w:val="20"/>
          <w:color w:val="auto"/>
        </w:rPr>
      </w:pPr>
      <w:r>
        <w:rPr>
          <w:rFonts w:ascii="Arial" w:cs="Arial" w:eastAsia="Arial" w:hAnsi="Arial"/>
          <w:sz w:val="17"/>
          <w:szCs w:val="17"/>
          <w:color w:val="auto"/>
        </w:rPr>
        <w:t>Chief Executive Officer and Director</w:t>
      </w:r>
    </w:p>
    <w:p>
      <w:pPr>
        <w:spacing w:after="0" w:line="67" w:lineRule="exact"/>
        <w:rPr>
          <w:sz w:val="20"/>
          <w:szCs w:val="20"/>
          <w:color w:val="auto"/>
        </w:rPr>
      </w:pPr>
    </w:p>
    <w:p>
      <w:pPr>
        <w:jc w:val="center"/>
        <w:ind w:left="60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380"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auto"/>
        </w:rPr>
        <w:t>CERTIFICATION OF PRINCIPAL FINANCIAL OFFICER PURSUANT TO RULES 13a-14(a) AND 15d-14(a) UNDER THE SECURITIES EXCHANGE ACT OF 1934, AS ADOPTED PURSUANT TO SECTION 302 OF 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Timothy Kelly, certify that:</w:t>
      </w:r>
    </w:p>
    <w:p>
      <w:pPr>
        <w:spacing w:after="0" w:line="185" w:lineRule="exact"/>
        <w:rPr>
          <w:sz w:val="20"/>
          <w:szCs w:val="20"/>
          <w:color w:val="auto"/>
        </w:rPr>
      </w:pPr>
    </w:p>
    <w:p>
      <w:pPr>
        <w:ind w:left="460" w:hanging="438"/>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Praxis Precision Medicines, Inc.;</w:t>
      </w:r>
    </w:p>
    <w:p>
      <w:pPr>
        <w:spacing w:after="0" w:line="289" w:lineRule="exact"/>
        <w:rPr>
          <w:rFonts w:ascii="Arial" w:cs="Arial" w:eastAsia="Arial" w:hAnsi="Arial"/>
          <w:sz w:val="17"/>
          <w:szCs w:val="17"/>
          <w:color w:val="auto"/>
        </w:rPr>
      </w:pPr>
    </w:p>
    <w:p>
      <w:pPr>
        <w:jc w:val="both"/>
        <w:ind w:left="480" w:right="600" w:hanging="431"/>
        <w:spacing w:after="0" w:line="273" w:lineRule="auto"/>
        <w:tabs>
          <w:tab w:leader="none" w:pos="4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480" w:right="560" w:hanging="431"/>
        <w:spacing w:after="0" w:line="289" w:lineRule="auto"/>
        <w:tabs>
          <w:tab w:leader="none" w:pos="4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480" w:right="580" w:hanging="431"/>
        <w:spacing w:after="0" w:line="241" w:lineRule="auto"/>
        <w:tabs>
          <w:tab w:leader="none" w:pos="4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17"/>
          <w:szCs w:val="17"/>
          <w:color w:val="auto"/>
        </w:rPr>
      </w:pPr>
    </w:p>
    <w:p>
      <w:pPr>
        <w:ind w:left="1040" w:right="300" w:hanging="572"/>
        <w:spacing w:after="0" w:line="273" w:lineRule="auto"/>
        <w:tabs>
          <w:tab w:leader="none" w:pos="104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7"/>
          <w:szCs w:val="17"/>
          <w:color w:val="auto"/>
        </w:rPr>
      </w:pPr>
    </w:p>
    <w:p>
      <w:pPr>
        <w:ind w:left="1040" w:right="600" w:hanging="572"/>
        <w:spacing w:after="0" w:line="241" w:lineRule="auto"/>
        <w:tabs>
          <w:tab w:leader="none" w:pos="104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Arial" w:cs="Arial" w:eastAsia="Arial" w:hAnsi="Arial"/>
          <w:sz w:val="17"/>
          <w:szCs w:val="17"/>
          <w:color w:val="auto"/>
        </w:rPr>
      </w:pPr>
    </w:p>
    <w:p>
      <w:pPr>
        <w:jc w:val="both"/>
        <w:ind w:left="1040" w:right="760" w:hanging="572"/>
        <w:spacing w:after="0" w:line="360" w:lineRule="auto"/>
        <w:tabs>
          <w:tab w:leader="none" w:pos="1040" w:val="left"/>
        </w:tabs>
        <w:numPr>
          <w:ilvl w:val="2"/>
          <w:numId w:val="10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5"/>
          <w:szCs w:val="15"/>
          <w:color w:val="auto"/>
        </w:rPr>
      </w:pPr>
    </w:p>
    <w:p>
      <w:pPr>
        <w:ind w:left="1040" w:right="280" w:hanging="572"/>
        <w:spacing w:after="0" w:line="273" w:lineRule="auto"/>
        <w:tabs>
          <w:tab w:leader="none" w:pos="104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480" w:right="300" w:hanging="431"/>
        <w:spacing w:after="0" w:line="322" w:lineRule="auto"/>
        <w:tabs>
          <w:tab w:leader="none" w:pos="4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40" w:right="240" w:hanging="572"/>
        <w:spacing w:after="0" w:line="289" w:lineRule="auto"/>
        <w:tabs>
          <w:tab w:leader="none" w:pos="104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040" w:right="740" w:hanging="572"/>
        <w:spacing w:after="0" w:line="289" w:lineRule="auto"/>
        <w:tabs>
          <w:tab w:leader="none" w:pos="104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p>
      <w:pPr>
        <w:ind w:left="20"/>
        <w:spacing w:after="0"/>
        <w:tabs>
          <w:tab w:leader="none" w:pos="5600" w:val="left"/>
          <w:tab w:leader="none" w:pos="7760" w:val="left"/>
        </w:tabs>
        <w:rPr>
          <w:sz w:val="20"/>
          <w:szCs w:val="20"/>
          <w:color w:val="auto"/>
        </w:rPr>
      </w:pPr>
      <w:r>
        <w:rPr>
          <w:rFonts w:ascii="Arial" w:cs="Arial" w:eastAsia="Arial" w:hAnsi="Arial"/>
          <w:sz w:val="17"/>
          <w:szCs w:val="17"/>
          <w:color w:val="auto"/>
        </w:rPr>
        <w:t>Date: February 28,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33655</wp:posOffset>
            </wp:positionV>
            <wp:extent cx="31311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60" w:lineRule="exact"/>
        <w:rPr>
          <w:sz w:val="20"/>
          <w:szCs w:val="20"/>
          <w:color w:val="auto"/>
        </w:rPr>
      </w:pPr>
    </w:p>
    <w:p>
      <w:pPr>
        <w:jc w:val="center"/>
        <w:ind w:left="6100"/>
        <w:spacing w:after="0"/>
        <w:rPr>
          <w:sz w:val="20"/>
          <w:szCs w:val="20"/>
          <w:color w:val="auto"/>
        </w:rPr>
      </w:pPr>
      <w:r>
        <w:rPr>
          <w:rFonts w:ascii="Arial" w:cs="Arial" w:eastAsia="Arial" w:hAnsi="Arial"/>
          <w:sz w:val="17"/>
          <w:szCs w:val="17"/>
          <w:color w:val="auto"/>
        </w:rPr>
        <w:t>Timothy Kelly</w:t>
      </w:r>
    </w:p>
    <w:p>
      <w:pPr>
        <w:spacing w:after="0" w:line="67" w:lineRule="exact"/>
        <w:rPr>
          <w:sz w:val="20"/>
          <w:szCs w:val="20"/>
          <w:color w:val="auto"/>
        </w:rPr>
      </w:pPr>
    </w:p>
    <w:p>
      <w:pPr>
        <w:jc w:val="center"/>
        <w:ind w:left="6100"/>
        <w:spacing w:after="0"/>
        <w:rPr>
          <w:sz w:val="20"/>
          <w:szCs w:val="20"/>
          <w:color w:val="auto"/>
        </w:rPr>
      </w:pPr>
      <w:r>
        <w:rPr>
          <w:rFonts w:ascii="Arial" w:cs="Arial" w:eastAsia="Arial" w:hAnsi="Arial"/>
          <w:sz w:val="17"/>
          <w:szCs w:val="17"/>
          <w:color w:val="auto"/>
        </w:rPr>
        <w:t>Chief Financial Officer</w:t>
      </w:r>
    </w:p>
    <w:p>
      <w:pPr>
        <w:spacing w:after="0" w:line="67" w:lineRule="exact"/>
        <w:rPr>
          <w:sz w:val="20"/>
          <w:szCs w:val="20"/>
          <w:color w:val="auto"/>
        </w:rPr>
      </w:pPr>
    </w:p>
    <w:p>
      <w:pPr>
        <w:jc w:val="center"/>
        <w:ind w:left="61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380"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PRINCIPAL EXECUTIVE OFFICER AND PRINCIPAL FINANCIAL OFFICER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In connection with the Annual Report on Form 10-K of Praxis Precision Medicines, Inc. (the “Company”) for the fiscal year ended December 31, 2021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33" w:lineRule="exact"/>
        <w:rPr>
          <w:sz w:val="20"/>
          <w:szCs w:val="20"/>
          <w:color w:val="auto"/>
        </w:rPr>
      </w:pPr>
    </w:p>
    <w:p>
      <w:pPr>
        <w:ind w:left="1000" w:hanging="558"/>
        <w:spacing w:after="0"/>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000" w:right="900" w:hanging="558"/>
        <w:spacing w:after="0" w:line="289"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5600" w:val="left"/>
          <w:tab w:leader="none" w:pos="7820" w:val="left"/>
        </w:tabs>
        <w:rPr>
          <w:sz w:val="20"/>
          <w:szCs w:val="20"/>
          <w:color w:val="auto"/>
        </w:rPr>
      </w:pPr>
      <w:r>
        <w:rPr>
          <w:rFonts w:ascii="Arial" w:cs="Arial" w:eastAsia="Arial" w:hAnsi="Arial"/>
          <w:sz w:val="17"/>
          <w:szCs w:val="17"/>
          <w:color w:val="auto"/>
        </w:rPr>
        <w:t>Date: February 28,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33655</wp:posOffset>
            </wp:positionV>
            <wp:extent cx="31229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60" w:lineRule="exact"/>
        <w:rPr>
          <w:sz w:val="20"/>
          <w:szCs w:val="20"/>
          <w:color w:val="auto"/>
        </w:rPr>
      </w:pPr>
    </w:p>
    <w:p>
      <w:pPr>
        <w:jc w:val="center"/>
        <w:ind w:left="6140"/>
        <w:spacing w:after="0"/>
        <w:rPr>
          <w:sz w:val="20"/>
          <w:szCs w:val="20"/>
          <w:color w:val="auto"/>
        </w:rPr>
      </w:pPr>
      <w:r>
        <w:rPr>
          <w:rFonts w:ascii="Arial" w:cs="Arial" w:eastAsia="Arial" w:hAnsi="Arial"/>
          <w:sz w:val="17"/>
          <w:szCs w:val="17"/>
          <w:color w:val="auto"/>
        </w:rPr>
        <w:t>Marcio Souza</w:t>
      </w:r>
    </w:p>
    <w:p>
      <w:pPr>
        <w:spacing w:after="0" w:line="67" w:lineRule="exact"/>
        <w:rPr>
          <w:sz w:val="20"/>
          <w:szCs w:val="20"/>
          <w:color w:val="auto"/>
        </w:rPr>
      </w:pPr>
    </w:p>
    <w:p>
      <w:pPr>
        <w:jc w:val="center"/>
        <w:ind w:left="6140"/>
        <w:spacing w:after="0"/>
        <w:rPr>
          <w:sz w:val="20"/>
          <w:szCs w:val="20"/>
          <w:color w:val="auto"/>
        </w:rPr>
      </w:pPr>
      <w:r>
        <w:rPr>
          <w:rFonts w:ascii="Arial" w:cs="Arial" w:eastAsia="Arial" w:hAnsi="Arial"/>
          <w:sz w:val="17"/>
          <w:szCs w:val="17"/>
          <w:color w:val="auto"/>
        </w:rPr>
        <w:t>Chief Executive Officer</w:t>
      </w:r>
    </w:p>
    <w:p>
      <w:pPr>
        <w:spacing w:after="0" w:line="67" w:lineRule="exact"/>
        <w:rPr>
          <w:sz w:val="20"/>
          <w:szCs w:val="20"/>
          <w:color w:val="auto"/>
        </w:rPr>
      </w:pPr>
    </w:p>
    <w:p>
      <w:pPr>
        <w:jc w:val="center"/>
        <w:ind w:left="6140"/>
        <w:spacing w:after="0"/>
        <w:rPr>
          <w:sz w:val="20"/>
          <w:szCs w:val="20"/>
          <w:color w:val="auto"/>
        </w:rPr>
      </w:pPr>
      <w:r>
        <w:rPr>
          <w:rFonts w:ascii="Arial" w:cs="Arial" w:eastAsia="Arial" w:hAnsi="Arial"/>
          <w:sz w:val="17"/>
          <w:szCs w:val="17"/>
          <w:color w:val="auto"/>
        </w:rPr>
        <w:t>(Principal Executive Officer)</w:t>
      </w:r>
    </w:p>
    <w:p>
      <w:pPr>
        <w:spacing w:after="0" w:line="329" w:lineRule="exact"/>
        <w:rPr>
          <w:sz w:val="20"/>
          <w:szCs w:val="20"/>
          <w:color w:val="auto"/>
        </w:rPr>
      </w:pPr>
    </w:p>
    <w:p>
      <w:pPr>
        <w:ind w:left="20"/>
        <w:spacing w:after="0"/>
        <w:tabs>
          <w:tab w:leader="none" w:pos="5600" w:val="left"/>
          <w:tab w:leader="none" w:pos="7760" w:val="left"/>
        </w:tabs>
        <w:rPr>
          <w:sz w:val="20"/>
          <w:szCs w:val="20"/>
          <w:color w:val="auto"/>
        </w:rPr>
      </w:pPr>
      <w:r>
        <w:rPr>
          <w:rFonts w:ascii="Arial" w:cs="Arial" w:eastAsia="Arial" w:hAnsi="Arial"/>
          <w:sz w:val="17"/>
          <w:szCs w:val="17"/>
          <w:color w:val="auto"/>
        </w:rPr>
        <w:t>Date: February 28,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33655</wp:posOffset>
            </wp:positionV>
            <wp:extent cx="31229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60" w:lineRule="exact"/>
        <w:rPr>
          <w:sz w:val="20"/>
          <w:szCs w:val="20"/>
          <w:color w:val="auto"/>
        </w:rPr>
      </w:pPr>
    </w:p>
    <w:p>
      <w:pPr>
        <w:jc w:val="center"/>
        <w:ind w:left="6140"/>
        <w:spacing w:after="0"/>
        <w:rPr>
          <w:sz w:val="20"/>
          <w:szCs w:val="20"/>
          <w:color w:val="auto"/>
        </w:rPr>
      </w:pPr>
      <w:r>
        <w:rPr>
          <w:rFonts w:ascii="Arial" w:cs="Arial" w:eastAsia="Arial" w:hAnsi="Arial"/>
          <w:sz w:val="17"/>
          <w:szCs w:val="17"/>
          <w:color w:val="auto"/>
        </w:rPr>
        <w:t>Timothy Kelly</w:t>
      </w:r>
    </w:p>
    <w:p>
      <w:pPr>
        <w:spacing w:after="0" w:line="67" w:lineRule="exact"/>
        <w:rPr>
          <w:sz w:val="20"/>
          <w:szCs w:val="20"/>
          <w:color w:val="auto"/>
        </w:rPr>
      </w:pPr>
    </w:p>
    <w:p>
      <w:pPr>
        <w:jc w:val="center"/>
        <w:ind w:left="6140"/>
        <w:spacing w:after="0"/>
        <w:rPr>
          <w:sz w:val="20"/>
          <w:szCs w:val="20"/>
          <w:color w:val="auto"/>
        </w:rPr>
      </w:pPr>
      <w:r>
        <w:rPr>
          <w:rFonts w:ascii="Arial" w:cs="Arial" w:eastAsia="Arial" w:hAnsi="Arial"/>
          <w:sz w:val="17"/>
          <w:szCs w:val="17"/>
          <w:color w:val="auto"/>
        </w:rPr>
        <w:t>Chief Financial Officer</w:t>
      </w:r>
    </w:p>
    <w:p>
      <w:pPr>
        <w:spacing w:after="0" w:line="67" w:lineRule="exact"/>
        <w:rPr>
          <w:sz w:val="20"/>
          <w:szCs w:val="20"/>
          <w:color w:val="auto"/>
        </w:rPr>
      </w:pPr>
    </w:p>
    <w:p>
      <w:pPr>
        <w:jc w:val="center"/>
        <w:ind w:left="614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3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decimal"/>
      <w:start w:val="2"/>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bullet"/>
      <w:start w:val="1"/>
    </w:lvl>
  </w:abstractNum>
  <w:abstractNum w:abstractNumId="60">
    <w:nsid w:val="1A27709E"/>
    <w:multiLevelType w:val="hybridMultilevel"/>
    <w:lvl w:ilvl="0">
      <w:lvlJc w:val="left"/>
      <w:lvlText w:val="%1."/>
      <w:numFmt w:val="decimal"/>
      <w:start w:val="12"/>
    </w:lvl>
  </w:abstractNum>
  <w:abstractNum w:abstractNumId="61">
    <w:nsid w:val="71EA1109"/>
    <w:multiLevelType w:val="hybridMultilevel"/>
    <w:lvl w:ilvl="0">
      <w:lvlJc w:val="left"/>
      <w:lvlText w:val="(%1)"/>
      <w:numFmt w:val="lowerRoman"/>
      <w:start w:val="2"/>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1)"/>
      <w:numFmt w:val="lowerRoman"/>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1"/>
      <w:numFmt w:val="decimal"/>
      <w:start w:val="1"/>
    </w:lvl>
    <w:lvl w:ilvl="1">
      <w:lvlJc w:val="left"/>
      <w:lvlText w:val="%2."/>
      <w:numFmt w:val="decimal"/>
      <w:start w:val="3"/>
    </w:lvl>
  </w:abstractNum>
  <w:abstractNum w:abstractNumId="70">
    <w:nsid w:val="1716703B"/>
    <w:multiLevelType w:val="hybridMultilevel"/>
    <w:lvl w:ilvl="0">
      <w:lvlJc w:val="left"/>
      <w:lvlText w:val="%1."/>
      <w:numFmt w:val="decimal"/>
      <w:start w:val="4"/>
    </w:lvl>
    <w:lvl w:ilvl="1">
      <w:lvlJc w:val="left"/>
      <w:lvlText w:val="%2."/>
      <w:numFmt w:val="decimal"/>
      <w:start w:val="5"/>
    </w:lvl>
  </w:abstractNum>
  <w:abstractNum w:abstractNumId="71">
    <w:nsid w:val="14E17E33"/>
    <w:multiLevelType w:val="hybridMultilevel"/>
    <w:lvl w:ilvl="0">
      <w:lvlJc w:val="left"/>
      <w:lvlText w:val="(%1)"/>
      <w:numFmt w:val="lowerRoman"/>
      <w:start w:val="1"/>
    </w:lvl>
    <w:lvl w:ilvl="1">
      <w:lvlJc w:val="left"/>
      <w:lvlText w:val="(%2)"/>
      <w:numFmt w:val="lowerLetter"/>
      <w:start w:val="1"/>
    </w:lvl>
  </w:abstractNum>
  <w:abstractNum w:abstractNumId="72">
    <w:nsid w:val="3222E7CD"/>
    <w:multiLevelType w:val="hybridMultilevel"/>
    <w:lvl w:ilvl="0">
      <w:lvlJc w:val="left"/>
      <w:lvlText w:val="%1"/>
      <w:numFmt w:val="lowerLetter"/>
      <w:start w:val="1"/>
    </w:lvl>
    <w:lvl w:ilvl="1">
      <w:lvlJc w:val="left"/>
      <w:lvlText w:val="(%2)"/>
      <w:numFmt w:val="lowerLetter"/>
      <w:start w:val="2"/>
    </w:lvl>
  </w:abstractNum>
  <w:abstractNum w:abstractNumId="73">
    <w:nsid w:val="74DE0EE3"/>
    <w:multiLevelType w:val="hybridMultilevel"/>
    <w:lvl w:ilvl="0">
      <w:lvlJc w:val="left"/>
      <w:lvlText w:val="(%1)"/>
      <w:numFmt w:val="lowerLetter"/>
      <w:start w:val="61"/>
    </w:lvl>
    <w:lvl w:ilvl="1">
      <w:lvlJc w:val="left"/>
      <w:lvlText w:val="%2"/>
      <w:numFmt w:val="lowerLetter"/>
      <w:start w:val="1"/>
    </w:lvl>
  </w:abstractNum>
  <w:abstractNum w:abstractNumId="74">
    <w:nsid w:val="68EBC550"/>
    <w:multiLevelType w:val="hybridMultilevel"/>
    <w:lvl w:ilvl="0">
      <w:lvlJc w:val="left"/>
      <w:lvlText w:val="(%1)"/>
      <w:numFmt w:val="lowerRoman"/>
      <w:start w:val="1"/>
    </w:lvl>
  </w:abstractNum>
  <w:abstractNum w:abstractNumId="75">
    <w:nsid w:val="2DF6D648"/>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76">
    <w:nsid w:val="46B7D44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3"/>
    </w:lvl>
  </w:abstractNum>
  <w:abstractNum w:abstractNumId="77">
    <w:nsid w:val="4A2AC315"/>
    <w:multiLevelType w:val="hybridMultilevel"/>
    <w:lvl w:ilvl="0">
      <w:lvlJc w:val="left"/>
      <w:lvlText w:val="(%1)"/>
      <w:numFmt w:val="lowerRoman"/>
      <w:start w:val="3"/>
    </w:lvl>
    <w:lvl w:ilvl="1">
      <w:lvlJc w:val="left"/>
      <w:lvlText w:val="(%2)"/>
      <w:numFmt w:val="lowerLetter"/>
      <w:start w:val="1"/>
    </w:lvl>
  </w:abstractNum>
  <w:abstractNum w:abstractNumId="78">
    <w:nsid w:val="39EE015C"/>
    <w:multiLevelType w:val="hybridMultilevel"/>
    <w:lvl w:ilvl="0">
      <w:lvlJc w:val="left"/>
      <w:lvlText w:val="(%1)"/>
      <w:numFmt w:val="lowerRoman"/>
      <w:start w:val="1"/>
    </w:lvl>
  </w:abstractNum>
  <w:abstractNum w:abstractNumId="79">
    <w:nsid w:val="57FC4FBB"/>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80">
    <w:nsid w:val="CC1016F"/>
    <w:multiLevelType w:val="hybridMultilevel"/>
    <w:lvl w:ilvl="0">
      <w:lvlJc w:val="left"/>
      <w:lvlText w:val="(%1)"/>
      <w:numFmt w:val="lowerRoman"/>
      <w:start w:val="1"/>
    </w:lvl>
    <w:lvl w:ilvl="1">
      <w:lvlJc w:val="left"/>
      <w:lvlText w:val="%2."/>
      <w:numFmt w:val="decimal"/>
      <w:start w:val="7"/>
    </w:lvl>
    <w:lvl w:ilvl="2">
      <w:lvlJc w:val="left"/>
      <w:lvlText w:val="%3"/>
      <w:numFmt w:val="lowerRoman"/>
      <w:start w:val="1"/>
    </w:lvl>
  </w:abstractNum>
  <w:abstractNum w:abstractNumId="81">
    <w:nsid w:val="43F18422"/>
    <w:multiLevelType w:val="hybridMultilevel"/>
    <w:lvl w:ilvl="0">
      <w:lvlJc w:val="left"/>
      <w:lvlText w:val="(%1)"/>
      <w:numFmt w:val="decimal"/>
      <w:start w:val="3"/>
    </w:lvl>
    <w:lvl w:ilvl="1">
      <w:lvlJc w:val="left"/>
      <w:lvlText w:val="%2."/>
      <w:numFmt w:val="decimal"/>
      <w:start w:val="10"/>
    </w:lvl>
  </w:abstractNum>
  <w:abstractNum w:abstractNumId="82">
    <w:nsid w:val="60EF0119"/>
    <w:multiLevelType w:val="hybridMultilevel"/>
    <w:lvl w:ilvl="0">
      <w:lvlJc w:val="left"/>
      <w:lvlText w:val="%1."/>
      <w:numFmt w:val="decimal"/>
      <w:start w:val="3"/>
    </w:lvl>
  </w:abstractNum>
  <w:abstractNum w:abstractNumId="83">
    <w:nsid w:val="26F324BA"/>
    <w:multiLevelType w:val="hybridMultilevel"/>
    <w:lvl w:ilvl="0">
      <w:lvlJc w:val="left"/>
      <w:lvlText w:val="(%1)"/>
      <w:numFmt w:val="lowerRoman"/>
      <w:start w:val="1"/>
    </w:lvl>
    <w:lvl w:ilvl="1">
      <w:lvlJc w:val="left"/>
      <w:lvlText w:val="(%2)"/>
      <w:numFmt w:val="lowerLetter"/>
      <w:start w:val="1"/>
    </w:lvl>
  </w:abstractNum>
  <w:abstractNum w:abstractNumId="84">
    <w:nsid w:val="7F01579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5">
    <w:nsid w:val="49DA307D"/>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abstractNum>
  <w:abstractNum w:abstractNumId="86">
    <w:nsid w:val="7055A5F5"/>
    <w:multiLevelType w:val="hybridMultilevel"/>
    <w:lvl w:ilvl="0">
      <w:lvlJc w:val="left"/>
      <w:lvlText w:val="(%1)"/>
      <w:numFmt w:val="lowerRoman"/>
      <w:start w:val="3"/>
    </w:lvl>
    <w:lvl w:ilvl="1">
      <w:lvlJc w:val="left"/>
      <w:lvlText w:val="(%2)"/>
      <w:numFmt w:val="lowerLetter"/>
      <w:start w:val="1"/>
    </w:lvl>
  </w:abstractNum>
  <w:abstractNum w:abstractNumId="87">
    <w:nsid w:val="5FB8370B"/>
    <w:multiLevelType w:val="hybridMultilevel"/>
    <w:lvl w:ilvl="0">
      <w:lvlJc w:val="left"/>
      <w:lvlText w:val="(%1)"/>
      <w:numFmt w:val="lowerRoman"/>
      <w:start w:val="1"/>
    </w:lvl>
  </w:abstractNum>
  <w:abstractNum w:abstractNumId="88">
    <w:nsid w:val="50801EE1"/>
    <w:multiLevelType w:val="hybridMultilevel"/>
    <w:lvl w:ilvl="0">
      <w:lvlJc w:val="left"/>
      <w:lvlText w:val="%1"/>
      <w:numFmt w:val="decimal"/>
      <w:start w:val="1"/>
    </w:lvl>
    <w:lvl w:ilvl="1">
      <w:lvlJc w:val="left"/>
      <w:lvlText w:val="(%2)"/>
      <w:numFmt w:val="lowerRoman"/>
      <w:start w:val="2"/>
    </w:lvl>
  </w:abstractNum>
  <w:abstractNum w:abstractNumId="89">
    <w:nsid w:val="488AC1A"/>
    <w:multiLevelType w:val="hybridMultilevel"/>
    <w:lvl w:ilvl="0">
      <w:lvlJc w:val="left"/>
      <w:lvlText w:val="%1."/>
      <w:numFmt w:val="decimal"/>
      <w:start w:val="6"/>
    </w:lvl>
    <w:lvl w:ilvl="1">
      <w:lvlJc w:val="left"/>
      <w:lvlText w:val="%2"/>
      <w:numFmt w:val="lowerRoman"/>
      <w:start w:val="1"/>
    </w:lvl>
  </w:abstractNum>
  <w:abstractNum w:abstractNumId="90">
    <w:nsid w:val="5FB8011C"/>
    <w:multiLevelType w:val="hybridMultilevel"/>
    <w:lvl w:ilvl="0">
      <w:lvlJc w:val="left"/>
      <w:lvlText w:val="(%1)"/>
      <w:numFmt w:val="decimal"/>
      <w:start w:val="3"/>
    </w:lvl>
    <w:lvl w:ilvl="1">
      <w:lvlJc w:val="left"/>
      <w:lvlText w:val="%2."/>
      <w:numFmt w:val="decimal"/>
      <w:start w:val="9"/>
    </w:lvl>
  </w:abstractNum>
  <w:abstractNum w:abstractNumId="91">
    <w:nsid w:val="6AA78F7F"/>
    <w:multiLevelType w:val="hybridMultilevel"/>
    <w:lvl w:ilvl="0">
      <w:lvlJc w:val="left"/>
      <w:lvlText w:val="%1."/>
      <w:numFmt w:val="decimal"/>
      <w:start w:val="3"/>
    </w:lvl>
  </w:abstractNum>
  <w:abstractNum w:abstractNumId="92">
    <w:nsid w:val="7672BD23"/>
    <w:multiLevelType w:val="hybridMultilevel"/>
    <w:lvl w:ilvl="0">
      <w:lvlJc w:val="left"/>
      <w:lvlText w:val="(%1)"/>
      <w:numFmt w:val="lowerRoman"/>
      <w:start w:val="1"/>
    </w:lvl>
    <w:lvl w:ilvl="1">
      <w:lvlJc w:val="left"/>
      <w:lvlText w:val="(%2)"/>
      <w:numFmt w:val="lowerLetter"/>
      <w:start w:val="1"/>
    </w:lvl>
  </w:abstractNum>
  <w:abstractNum w:abstractNumId="93">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94">
    <w:nsid w:val="6A5F7029"/>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abstractNum>
  <w:abstractNum w:abstractNumId="95">
    <w:nsid w:val="7D5E18F8"/>
    <w:multiLevelType w:val="hybridMultilevel"/>
    <w:lvl w:ilvl="0">
      <w:lvlJc w:val="left"/>
      <w:lvlText w:val="(%1)"/>
      <w:numFmt w:val="lowerRoman"/>
      <w:start w:val="3"/>
    </w:lvl>
    <w:lvl w:ilvl="1">
      <w:lvlJc w:val="left"/>
      <w:lvlText w:val="(%2)"/>
      <w:numFmt w:val="lowerLetter"/>
      <w:start w:val="1"/>
    </w:lvl>
  </w:abstractNum>
  <w:abstractNum w:abstractNumId="96">
    <w:nsid w:val="5F3534A4"/>
    <w:multiLevelType w:val="hybridMultilevel"/>
    <w:lvl w:ilvl="0">
      <w:lvlJc w:val="left"/>
      <w:lvlText w:val="(%1)"/>
      <w:numFmt w:val="lowerLetter"/>
      <w:start w:val="3"/>
    </w:lvl>
  </w:abstractNum>
  <w:abstractNum w:abstractNumId="97">
    <w:nsid w:val="73A1821B"/>
    <w:multiLevelType w:val="hybridMultilevel"/>
    <w:lvl w:ilvl="0">
      <w:lvlJc w:val="left"/>
      <w:lvlText w:val="(%1)"/>
      <w:numFmt w:val="lowerRoman"/>
      <w:start w:val="1"/>
    </w:lvl>
  </w:abstractNum>
  <w:abstractNum w:abstractNumId="98">
    <w:nsid w:val="7DE67713"/>
    <w:multiLevelType w:val="hybridMultilevel"/>
    <w:lvl w:ilvl="0">
      <w:lvlJc w:val="left"/>
      <w:lvlText w:val="%1"/>
      <w:numFmt w:val="decimal"/>
      <w:start w:val="1"/>
    </w:lvl>
    <w:lvl w:ilvl="1">
      <w:lvlJc w:val="left"/>
      <w:lvlText w:val="(%2)"/>
      <w:numFmt w:val="lowerRoman"/>
      <w:start w:val="2"/>
    </w:lvl>
  </w:abstractNum>
  <w:abstractNum w:abstractNumId="99">
    <w:nsid w:val="555C55B5"/>
    <w:multiLevelType w:val="hybridMultilevel"/>
    <w:lvl w:ilvl="0">
      <w:lvlJc w:val="left"/>
      <w:lvlText w:val="%1."/>
      <w:numFmt w:val="decimal"/>
      <w:start w:val="6"/>
    </w:lvl>
    <w:lvl w:ilvl="1">
      <w:lvlJc w:val="left"/>
      <w:lvlText w:val="%2"/>
      <w:numFmt w:val="lowerRoman"/>
      <w:start w:val="1"/>
    </w:lvl>
  </w:abstractNum>
  <w:abstractNum w:abstractNumId="100">
    <w:nsid w:val="3FA62ACA"/>
    <w:multiLevelType w:val="hybridMultilevel"/>
    <w:lvl w:ilvl="0">
      <w:lvlJc w:val="left"/>
      <w:lvlText w:val="(%1)"/>
      <w:numFmt w:val="decimal"/>
      <w:start w:val="3"/>
    </w:lvl>
    <w:lvl w:ilvl="1">
      <w:lvlJc w:val="left"/>
      <w:lvlText w:val="%2."/>
      <w:numFmt w:val="decimal"/>
      <w:start w:val="9"/>
    </w:lvl>
  </w:abstractNum>
  <w:abstractNum w:abstractNumId="101">
    <w:nsid w:val="14FCE74E"/>
    <w:multiLevelType w:val="hybridMultilevel"/>
    <w:lvl w:ilvl="0">
      <w:lvlJc w:val="left"/>
      <w:lvlText w:val="(%1)"/>
      <w:numFmt w:val="decimal"/>
      <w:start w:val="1"/>
    </w:lvl>
  </w:abstractNum>
  <w:abstractNum w:abstractNumId="102">
    <w:nsid w:val="6A3DD3E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3">
    <w:nsid w:val="71C9129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04" Type="http://schemas.openxmlformats.org/officeDocument/2006/relationships/hyperlink" Target="https://www.sec.gov/Archives/edgar/data/1689548/000119312520272877/d94620dex31.htm" TargetMode="External"/><Relationship Id="rId205" Type="http://schemas.openxmlformats.org/officeDocument/2006/relationships/hyperlink" Target="https://www.sec.gov/Archives/edgar/data/1689548/000110465922002260/tm222120d1_ex3-1.htm" TargetMode="External"/><Relationship Id="rId206" Type="http://schemas.openxmlformats.org/officeDocument/2006/relationships/hyperlink" Target="https://www.sec.gov/Archives/edgar/data/1689548/000119312520266699/d945651dex41.htm" TargetMode="External"/><Relationship Id="rId207" Type="http://schemas.openxmlformats.org/officeDocument/2006/relationships/hyperlink" Target="https://www.sec.gov/Archives/edgar/data/1689548/000110465921133741/tm2131445d2_ex4-2.htm" TargetMode="External"/><Relationship Id="rId208" Type="http://schemas.openxmlformats.org/officeDocument/2006/relationships/hyperlink" Target="https://www.sec.gov/Archives/edgar/data/1689548/000119312520266699/d945651dex101.htm" TargetMode="External"/><Relationship Id="rId209" Type="http://schemas.openxmlformats.org/officeDocument/2006/relationships/hyperlink" Target="https://www.sec.gov/Archives/edgar/data/1689548/000119312520254741/d945651dex102.htm" TargetMode="External"/><Relationship Id="rId210" Type="http://schemas.openxmlformats.org/officeDocument/2006/relationships/hyperlink" Target="https://www.sec.gov/Archives/edgar/data/1689548/000168954821000081/exhibit10120210830.htm" TargetMode="External"/><Relationship Id="rId211" Type="http://schemas.openxmlformats.org/officeDocument/2006/relationships/hyperlink" Target="https://www.sec.gov/Archives/edgar/data/1689548/000119312520266699/d945651dex104.htm" TargetMode="External"/><Relationship Id="rId212" Type="http://schemas.openxmlformats.org/officeDocument/2006/relationships/hyperlink" Target="https://www.sec.gov/Archives/edgar/data/1689548/000119312520266699/d945651dex105.htm" TargetMode="External"/><Relationship Id="rId213" Type="http://schemas.openxmlformats.org/officeDocument/2006/relationships/hyperlink" Target="https://www.sec.gov/Archives/edgar/data/1689548/000119312520266699/d945651dex106.htm" TargetMode="External"/><Relationship Id="rId214" Type="http://schemas.openxmlformats.org/officeDocument/2006/relationships/hyperlink" Target="https://www.sec.gov/Archives/edgar/data/1689548/000119312520266699/d945651dex107.htm" TargetMode="External"/><Relationship Id="rId215" Type="http://schemas.openxmlformats.org/officeDocument/2006/relationships/hyperlink" Target="https://www.sec.gov/Archives/edgar/data/1689548/000119312520266699/d945651dex108.htm" TargetMode="External"/><Relationship Id="rId216" Type="http://schemas.openxmlformats.org/officeDocument/2006/relationships/hyperlink" Target="https://www.sec.gov/Archives/edgar/data/1689548/000119312520266699/d945651dex109.htm" TargetMode="External"/><Relationship Id="rId219" Type="http://schemas.openxmlformats.org/officeDocument/2006/relationships/hyperlink" Target="https://www.sec.gov/Archives/edgar/data/1689548/000119312520266699/d945651dex1010.htm" TargetMode="External"/><Relationship Id="rId220" Type="http://schemas.openxmlformats.org/officeDocument/2006/relationships/hyperlink" Target="https://www.sec.gov/Archives/edgar/data/1689548/000119312520266699/d945651dex1011.htm" TargetMode="External"/><Relationship Id="rId221" Type="http://schemas.openxmlformats.org/officeDocument/2006/relationships/hyperlink" Target="https://www.sec.gov/Archives/edgar/data/1689548/000119312520254741/d945651dex1014.htm" TargetMode="External"/><Relationship Id="rId222" Type="http://schemas.openxmlformats.org/officeDocument/2006/relationships/hyperlink" Target="https://www.sec.gov/Archives/edgar/data/1689548/000119312520254741/d945651dex1015.htm" TargetMode="External"/><Relationship Id="rId223" Type="http://schemas.openxmlformats.org/officeDocument/2006/relationships/hyperlink" Target="https://www.sec.gov/Archives/edgar/data/1689548/000119312520254741/d945651dex1016.htm" TargetMode="External"/><Relationship Id="rId224" Type="http://schemas.openxmlformats.org/officeDocument/2006/relationships/hyperlink" Target="https://www.sec.gov/Archives/edgar/data/1689548/000168954821000054/exhibit10120210527.htm" TargetMode="External"/><Relationship Id="rId225" Type="http://schemas.openxmlformats.org/officeDocument/2006/relationships/hyperlink" Target="https://www.sec.gov/Archives/edgar/data/1689548/000119312520254741/d94565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2022-02-28T05:33:25Z</dcterms:created>
  <dcterms:modified xsi:type="dcterms:W3CDTF">2022-02-28T05:33:25Z</dcterms:modified>
</cp:coreProperties>
</file>