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79375</wp:posOffset>
            </wp:positionV>
            <wp:extent cx="600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139700</wp:posOffset>
            </wp:positionV>
            <wp:extent cx="600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9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5"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460" w:hanging="434"/>
        <w:spacing w:after="0" w:line="220" w:lineRule="auto"/>
        <w:tabs>
          <w:tab w:leader="none" w:pos="46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290"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3669665</wp:posOffset>
            </wp:positionH>
            <wp:positionV relativeFrom="paragraph">
              <wp:posOffset>-5080</wp:posOffset>
            </wp:positionV>
            <wp:extent cx="14414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1450"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97155</wp:posOffset>
            </wp:positionV>
            <wp:extent cx="600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PRAXIS PRECISION MEDICINES, INC.</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109220</wp:posOffset>
            </wp:positionV>
            <wp:extent cx="600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5160" w:type="dxa"/>
            <w:vAlign w:val="bottom"/>
            <w:gridSpan w:val="3"/>
          </w:tcPr>
          <w:p>
            <w:pPr>
              <w:jc w:val="center"/>
              <w:ind w:left="220"/>
              <w:spacing w:after="0"/>
              <w:rPr>
                <w:sz w:val="20"/>
                <w:szCs w:val="20"/>
                <w:color w:val="auto"/>
              </w:rPr>
            </w:pPr>
            <w:r>
              <w:rPr>
                <w:rFonts w:ascii="Arial" w:cs="Arial" w:eastAsia="Arial" w:hAnsi="Arial"/>
                <w:sz w:val="16"/>
                <w:szCs w:val="16"/>
                <w:b w:val="1"/>
                <w:bCs w:val="1"/>
                <w:color w:val="auto"/>
                <w:w w:val="99"/>
              </w:rPr>
              <w:t>Delaware</w:t>
            </w:r>
          </w:p>
        </w:tc>
        <w:tc>
          <w:tcPr>
            <w:tcW w:w="940" w:type="dxa"/>
            <w:vAlign w:val="bottom"/>
          </w:tcPr>
          <w:p>
            <w:pPr>
              <w:spacing w:after="0"/>
              <w:rPr>
                <w:sz w:val="19"/>
                <w:szCs w:val="19"/>
                <w:color w:val="auto"/>
              </w:rPr>
            </w:pPr>
          </w:p>
        </w:tc>
        <w:tc>
          <w:tcPr>
            <w:tcW w:w="5120" w:type="dxa"/>
            <w:vAlign w:val="bottom"/>
            <w:gridSpan w:val="3"/>
          </w:tcPr>
          <w:p>
            <w:pPr>
              <w:jc w:val="right"/>
              <w:ind w:right="2206"/>
              <w:spacing w:after="0"/>
              <w:rPr>
                <w:sz w:val="20"/>
                <w:szCs w:val="20"/>
                <w:color w:val="auto"/>
              </w:rPr>
            </w:pPr>
            <w:r>
              <w:rPr>
                <w:rFonts w:ascii="Arial" w:cs="Arial" w:eastAsia="Arial" w:hAnsi="Arial"/>
                <w:sz w:val="16"/>
                <w:szCs w:val="16"/>
                <w:b w:val="1"/>
                <w:bCs w:val="1"/>
                <w:color w:val="auto"/>
              </w:rPr>
              <w:t>47-5195942</w:t>
            </w:r>
          </w:p>
        </w:tc>
        <w:tc>
          <w:tcPr>
            <w:tcW w:w="0" w:type="dxa"/>
            <w:vAlign w:val="bottom"/>
          </w:tcPr>
          <w:p>
            <w:pPr>
              <w:spacing w:after="0"/>
              <w:rPr>
                <w:sz w:val="1"/>
                <w:szCs w:val="1"/>
                <w:color w:val="auto"/>
              </w:rPr>
            </w:pPr>
          </w:p>
        </w:tc>
      </w:tr>
      <w:tr>
        <w:trPr>
          <w:trHeight w:val="235"/>
        </w:trPr>
        <w:tc>
          <w:tcPr>
            <w:tcW w:w="5160" w:type="dxa"/>
            <w:vAlign w:val="bottom"/>
            <w:gridSpan w:val="3"/>
          </w:tcPr>
          <w:p>
            <w:pPr>
              <w:jc w:val="center"/>
              <w:ind w:left="22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940" w:type="dxa"/>
            <w:vAlign w:val="bottom"/>
          </w:tcPr>
          <w:p>
            <w:pPr>
              <w:spacing w:after="0"/>
              <w:rPr>
                <w:sz w:val="20"/>
                <w:szCs w:val="20"/>
                <w:color w:val="auto"/>
              </w:rPr>
            </w:pPr>
          </w:p>
        </w:tc>
        <w:tc>
          <w:tcPr>
            <w:tcW w:w="5120" w:type="dxa"/>
            <w:vAlign w:val="bottom"/>
            <w:gridSpan w:val="3"/>
          </w:tcPr>
          <w:p>
            <w:pPr>
              <w:jc w:val="center"/>
              <w:ind w:right="226"/>
              <w:spacing w:after="0"/>
              <w:rPr>
                <w:sz w:val="20"/>
                <w:szCs w:val="20"/>
                <w:color w:val="auto"/>
              </w:rPr>
            </w:pPr>
            <w:r>
              <w:rPr>
                <w:rFonts w:ascii="Arial" w:cs="Arial" w:eastAsia="Arial" w:hAnsi="Arial"/>
                <w:sz w:val="16"/>
                <w:szCs w:val="16"/>
                <w:b w:val="1"/>
                <w:bCs w:val="1"/>
                <w:color w:val="auto"/>
              </w:rPr>
              <w:t>(I.R.S. Employer Identification No.)</w:t>
            </w:r>
          </w:p>
        </w:tc>
        <w:tc>
          <w:tcPr>
            <w:tcW w:w="0" w:type="dxa"/>
            <w:vAlign w:val="bottom"/>
          </w:tcPr>
          <w:p>
            <w:pPr>
              <w:spacing w:after="0"/>
              <w:rPr>
                <w:sz w:val="1"/>
                <w:szCs w:val="1"/>
                <w:color w:val="auto"/>
              </w:rPr>
            </w:pPr>
          </w:p>
        </w:tc>
      </w:tr>
      <w:tr>
        <w:trPr>
          <w:trHeight w:val="308"/>
        </w:trPr>
        <w:tc>
          <w:tcPr>
            <w:tcW w:w="5160" w:type="dxa"/>
            <w:vAlign w:val="bottom"/>
            <w:gridSpan w:val="3"/>
          </w:tcPr>
          <w:p>
            <w:pPr>
              <w:jc w:val="center"/>
              <w:ind w:left="240"/>
              <w:spacing w:after="0"/>
              <w:rPr>
                <w:sz w:val="20"/>
                <w:szCs w:val="20"/>
                <w:color w:val="auto"/>
              </w:rPr>
            </w:pPr>
            <w:r>
              <w:rPr>
                <w:rFonts w:ascii="Arial" w:cs="Arial" w:eastAsia="Arial" w:hAnsi="Arial"/>
                <w:sz w:val="16"/>
                <w:szCs w:val="16"/>
                <w:b w:val="1"/>
                <w:bCs w:val="1"/>
                <w:color w:val="auto"/>
              </w:rPr>
              <w:t>99 High Street, 30th Floor</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160" w:type="dxa"/>
            <w:vAlign w:val="bottom"/>
            <w:gridSpan w:val="3"/>
          </w:tcPr>
          <w:p>
            <w:pPr>
              <w:jc w:val="center"/>
              <w:ind w:left="220"/>
              <w:spacing w:after="0"/>
              <w:rPr>
                <w:sz w:val="20"/>
                <w:szCs w:val="20"/>
                <w:color w:val="auto"/>
              </w:rPr>
            </w:pPr>
            <w:r>
              <w:rPr>
                <w:rFonts w:ascii="Arial" w:cs="Arial" w:eastAsia="Arial" w:hAnsi="Arial"/>
                <w:sz w:val="16"/>
                <w:szCs w:val="16"/>
                <w:b w:val="1"/>
                <w:bCs w:val="1"/>
                <w:color w:val="auto"/>
              </w:rPr>
              <w:t>Boston, MA</w:t>
            </w:r>
          </w:p>
        </w:tc>
        <w:tc>
          <w:tcPr>
            <w:tcW w:w="940" w:type="dxa"/>
            <w:vAlign w:val="bottom"/>
          </w:tcPr>
          <w:p>
            <w:pPr>
              <w:spacing w:after="0"/>
              <w:rPr>
                <w:sz w:val="19"/>
                <w:szCs w:val="19"/>
                <w:color w:val="auto"/>
              </w:rPr>
            </w:pPr>
          </w:p>
        </w:tc>
        <w:tc>
          <w:tcPr>
            <w:tcW w:w="5120" w:type="dxa"/>
            <w:vAlign w:val="bottom"/>
            <w:gridSpan w:val="3"/>
          </w:tcPr>
          <w:p>
            <w:pPr>
              <w:jc w:val="right"/>
              <w:ind w:right="2406"/>
              <w:spacing w:after="0"/>
              <w:rPr>
                <w:sz w:val="20"/>
                <w:szCs w:val="20"/>
                <w:color w:val="auto"/>
              </w:rPr>
            </w:pPr>
            <w:r>
              <w:rPr>
                <w:rFonts w:ascii="Arial" w:cs="Arial" w:eastAsia="Arial" w:hAnsi="Arial"/>
                <w:sz w:val="16"/>
                <w:szCs w:val="16"/>
                <w:b w:val="1"/>
                <w:bCs w:val="1"/>
                <w:color w:val="auto"/>
              </w:rPr>
              <w:t>02110</w:t>
            </w:r>
          </w:p>
        </w:tc>
        <w:tc>
          <w:tcPr>
            <w:tcW w:w="0" w:type="dxa"/>
            <w:vAlign w:val="bottom"/>
          </w:tcPr>
          <w:p>
            <w:pPr>
              <w:spacing w:after="0"/>
              <w:rPr>
                <w:sz w:val="1"/>
                <w:szCs w:val="1"/>
                <w:color w:val="auto"/>
              </w:rPr>
            </w:pPr>
          </w:p>
        </w:tc>
      </w:tr>
      <w:tr>
        <w:trPr>
          <w:trHeight w:val="200"/>
        </w:trPr>
        <w:tc>
          <w:tcPr>
            <w:tcW w:w="5160" w:type="dxa"/>
            <w:vAlign w:val="bottom"/>
            <w:gridSpan w:val="3"/>
          </w:tcPr>
          <w:p>
            <w:pPr>
              <w:jc w:val="center"/>
              <w:ind w:left="240"/>
              <w:spacing w:after="0"/>
              <w:rPr>
                <w:sz w:val="20"/>
                <w:szCs w:val="20"/>
                <w:color w:val="auto"/>
              </w:rPr>
            </w:pPr>
            <w:r>
              <w:rPr>
                <w:rFonts w:ascii="Arial" w:cs="Arial" w:eastAsia="Arial" w:hAnsi="Arial"/>
                <w:sz w:val="14"/>
                <w:szCs w:val="14"/>
                <w:b w:val="1"/>
                <w:bCs w:val="1"/>
                <w:color w:val="auto"/>
              </w:rPr>
              <w:t>(Address of principal executive offices)</w:t>
            </w:r>
          </w:p>
        </w:tc>
        <w:tc>
          <w:tcPr>
            <w:tcW w:w="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tcPr>
          <w:p>
            <w:pPr>
              <w:jc w:val="center"/>
              <w:ind w:right="1666"/>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433"/>
        </w:trPr>
        <w:tc>
          <w:tcPr>
            <w:tcW w:w="112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9"/>
              </w:rPr>
              <w:t>Registrant’s telephone number, including area code: 617-300-8460</w:t>
            </w:r>
          </w:p>
        </w:tc>
        <w:tc>
          <w:tcPr>
            <w:tcW w:w="0" w:type="dxa"/>
            <w:vAlign w:val="bottom"/>
          </w:tcPr>
          <w:p>
            <w:pPr>
              <w:spacing w:after="0"/>
              <w:rPr>
                <w:sz w:val="1"/>
                <w:szCs w:val="1"/>
                <w:color w:val="auto"/>
              </w:rPr>
            </w:pPr>
          </w:p>
        </w:tc>
      </w:tr>
      <w:tr>
        <w:trPr>
          <w:trHeight w:val="96"/>
        </w:trPr>
        <w:tc>
          <w:tcPr>
            <w:tcW w:w="3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6"/>
        </w:trPr>
        <w:tc>
          <w:tcPr>
            <w:tcW w:w="112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258"/>
        </w:trPr>
        <w:tc>
          <w:tcPr>
            <w:tcW w:w="5160" w:type="dxa"/>
            <w:vAlign w:val="bottom"/>
            <w:gridSpan w:val="3"/>
            <w:vMerge w:val="restart"/>
          </w:tcPr>
          <w:p>
            <w:pPr>
              <w:jc w:val="center"/>
              <w:ind w:right="1480"/>
              <w:spacing w:after="0"/>
              <w:rPr>
                <w:sz w:val="20"/>
                <w:szCs w:val="20"/>
                <w:color w:val="auto"/>
              </w:rPr>
            </w:pPr>
            <w:r>
              <w:rPr>
                <w:rFonts w:ascii="Arial" w:cs="Arial" w:eastAsia="Arial" w:hAnsi="Arial"/>
                <w:sz w:val="14"/>
                <w:szCs w:val="14"/>
                <w:b w:val="1"/>
                <w:bCs w:val="1"/>
                <w:color w:val="auto"/>
              </w:rPr>
              <w:t>Title of each class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9"/>
        </w:trPr>
        <w:tc>
          <w:tcPr>
            <w:tcW w:w="5160" w:type="dxa"/>
            <w:vAlign w:val="bottom"/>
            <w:gridSpan w:val="3"/>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Symbol(s)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20"/>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par value $0.0001 per share</w:t>
            </w:r>
          </w:p>
        </w:tc>
        <w:tc>
          <w:tcPr>
            <w:tcW w:w="1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PRAX</w:t>
            </w: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bl>
    <w:p>
      <w:pPr>
        <w:spacing w:after="0" w:line="182" w:lineRule="exact"/>
        <w:rPr>
          <w:sz w:val="24"/>
          <w:szCs w:val="24"/>
          <w:color w:val="auto"/>
        </w:rPr>
      </w:pPr>
    </w:p>
    <w:p>
      <w:pPr>
        <w:jc w:val="both"/>
        <w:ind w:right="44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ind w:right="20" w:firstLine="446"/>
        <w:spacing w:after="0" w:line="26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184" w:lineRule="exact"/>
        <w:tabs>
          <w:tab w:leader="none" w:pos="560" w:val="left"/>
          <w:tab w:leader="none" w:pos="11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05" w:lineRule="exact"/>
        <w:rPr>
          <w:sz w:val="24"/>
          <w:szCs w:val="24"/>
          <w:color w:val="auto"/>
        </w:rPr>
      </w:pPr>
    </w:p>
    <w:p>
      <w:pPr>
        <w:ind w:right="120" w:firstLine="446"/>
        <w:spacing w:after="0" w:line="27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4" w:lineRule="exact"/>
        <w:rPr>
          <w:sz w:val="24"/>
          <w:szCs w:val="24"/>
          <w:color w:val="auto"/>
        </w:rPr>
      </w:pPr>
    </w:p>
    <w:p>
      <w:pPr>
        <w:ind w:right="200" w:firstLine="446"/>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0" w:lineRule="exact"/>
        <w:rPr>
          <w:sz w:val="24"/>
          <w:szCs w:val="24"/>
          <w:color w:val="auto"/>
        </w:rPr>
      </w:pPr>
    </w:p>
    <w:p>
      <w:pPr>
        <w:ind w:left="460" w:right="1460"/>
        <w:spacing w:after="0" w:line="27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5, 2023, the registrant had 62,101,292,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411480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This Quarterly Report on Form 10-Q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Quarterly Report on Form 10-Q include, but are not limited to, statements about:</w:t>
      </w:r>
    </w:p>
    <w:p>
      <w:pPr>
        <w:spacing w:after="0" w:line="138"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clinical trials;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71" w:lineRule="exact"/>
        <w:rPr>
          <w:rFonts w:ascii="Arial" w:cs="Arial" w:eastAsia="Arial" w:hAnsi="Arial"/>
          <w:sz w:val="18"/>
          <w:szCs w:val="18"/>
          <w:color w:val="auto"/>
        </w:rPr>
      </w:pPr>
    </w:p>
    <w:p>
      <w:pPr>
        <w:ind w:left="980" w:right="280" w:hanging="324"/>
        <w:spacing w:after="0" w:line="27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license additional intellectual property relating to our product candidates from third parties and to comply with our existing license agreements and collaboration agreements;</w:t>
      </w:r>
    </w:p>
    <w:p>
      <w:pPr>
        <w:spacing w:after="0" w:line="119" w:lineRule="exact"/>
        <w:rPr>
          <w:rFonts w:ascii="Arial" w:cs="Arial" w:eastAsia="Arial" w:hAnsi="Arial"/>
          <w:sz w:val="18"/>
          <w:szCs w:val="18"/>
          <w:color w:val="auto"/>
        </w:rPr>
      </w:pPr>
    </w:p>
    <w:p>
      <w:pPr>
        <w:ind w:left="980" w:right="360" w:hanging="324"/>
        <w:spacing w:after="0" w:line="27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third-party research institution collaborators to continue research and development activities relating to our product candidates;</w:t>
      </w:r>
    </w:p>
    <w:p>
      <w:pPr>
        <w:spacing w:after="0" w:line="11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 in light of the intellectual property rights of others;</w:t>
      </w:r>
    </w:p>
    <w:p>
      <w:pPr>
        <w:spacing w:after="0" w:line="171" w:lineRule="exact"/>
        <w:rPr>
          <w:rFonts w:ascii="Arial" w:cs="Arial" w:eastAsia="Arial" w:hAnsi="Arial"/>
          <w:sz w:val="18"/>
          <w:szCs w:val="18"/>
          <w:color w:val="auto"/>
        </w:rPr>
      </w:pPr>
    </w:p>
    <w:p>
      <w:pPr>
        <w:ind w:left="980" w:right="300" w:hanging="324"/>
        <w:spacing w:after="0" w:line="27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if approved, commercialization of our product candidates;</w:t>
      </w:r>
    </w:p>
    <w:p>
      <w:pPr>
        <w:spacing w:after="0" w:line="11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if approved, commercialize our product candidates;</w:t>
      </w:r>
    </w:p>
    <w:p>
      <w:pPr>
        <w:spacing w:after="0" w:line="171" w:lineRule="exact"/>
        <w:rPr>
          <w:rFonts w:ascii="Arial" w:cs="Arial" w:eastAsia="Arial" w:hAnsi="Arial"/>
          <w:sz w:val="18"/>
          <w:szCs w:val="18"/>
          <w:color w:val="auto"/>
        </w:rPr>
      </w:pPr>
    </w:p>
    <w:p>
      <w:pPr>
        <w:ind w:left="980" w:right="360" w:hanging="324"/>
        <w:spacing w:after="0" w:line="27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 if approved, and any other approved product;</w:t>
      </w:r>
    </w:p>
    <w:p>
      <w:pPr>
        <w:spacing w:after="0" w:line="11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in our Annual Report on Form 10-K for the year ended December 31, 2022 and under the section titled "Risk Factors" in this Quarterly Report on Form 10-Q for the quarter ended March 31, 2023. If one or more of these risks or uncertainties occur, or if our underlying assumptions prove to be incorrect, actual events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ind w:right="40"/>
        <w:spacing w:after="0" w:line="278" w:lineRule="auto"/>
        <w:rPr>
          <w:sz w:val="20"/>
          <w:szCs w:val="20"/>
          <w:color w:val="auto"/>
        </w:rPr>
      </w:pPr>
      <w:r>
        <w:rPr>
          <w:rFonts w:ascii="Arial" w:cs="Arial" w:eastAsia="Arial" w:hAnsi="Arial"/>
          <w:sz w:val="17"/>
          <w:szCs w:val="17"/>
          <w:color w:val="auto"/>
        </w:rPr>
        <w:t>results may vary significantly from those implied or projected by the forward-looking statements. No forward-looking statement is a guarantee of future performance. You should read this Quarterly Report on Form 10-Q and the documents that we reference in this Quarterly Report on Form 10-Q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174"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19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 titled “Risk Factors” in our Annual Report on Form 10-K for the year ended December 31, 2022 and elsewhere in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5"/>
          </w:tcPr>
          <w:p>
            <w:pPr>
              <w:ind w:left="5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20" w:type="dxa"/>
            <w:vAlign w:val="bottom"/>
            <w:tcBorders>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97"/>
              </w:rPr>
              <w:t>FINANCIAL INFORMATION</w:t>
            </w:r>
          </w:p>
        </w:tc>
        <w:tc>
          <w:tcPr>
            <w:tcW w:w="6320" w:type="dxa"/>
            <w:vAlign w:val="bottom"/>
            <w:gridSpan w:val="11"/>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1.</w:t>
            </w:r>
          </w:p>
        </w:tc>
        <w:tc>
          <w:tcPr>
            <w:tcW w:w="240" w:type="dxa"/>
            <w:vAlign w:val="bottom"/>
          </w:tcPr>
          <w:p>
            <w:pPr>
              <w:spacing w:after="0"/>
              <w:rPr>
                <w:sz w:val="18"/>
                <w:szCs w:val="18"/>
                <w:color w:val="auto"/>
              </w:rPr>
            </w:pPr>
          </w:p>
        </w:tc>
        <w:tc>
          <w:tcPr>
            <w:tcW w:w="8540" w:type="dxa"/>
            <w:vAlign w:val="bottom"/>
            <w:gridSpan w:val="20"/>
          </w:tcPr>
          <w:p>
            <w:pPr>
              <w:spacing w:after="0"/>
              <w:rPr>
                <w:sz w:val="20"/>
                <w:szCs w:val="20"/>
                <w:color w:val="auto"/>
              </w:rPr>
            </w:pPr>
            <w:r>
              <w:rPr>
                <w:rFonts w:ascii="Arial" w:cs="Arial" w:eastAsia="Arial" w:hAnsi="Arial"/>
                <w:sz w:val="18"/>
                <w:szCs w:val="18"/>
                <w:color w:val="0000FF"/>
              </w:rPr>
              <w:t>Financial Statements (Unaudited)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40" w:type="dxa"/>
            <w:vAlign w:val="bottom"/>
            <w:gridSpan w:val="20"/>
          </w:tcPr>
          <w:p>
            <w:pPr>
              <w:spacing w:after="0"/>
              <w:rPr>
                <w:sz w:val="20"/>
                <w:szCs w:val="20"/>
                <w:color w:val="auto"/>
              </w:rPr>
            </w:pPr>
            <w:r>
              <w:rPr>
                <w:rFonts w:ascii="Arial" w:cs="Arial" w:eastAsia="Arial" w:hAnsi="Arial"/>
                <w:sz w:val="18"/>
                <w:szCs w:val="18"/>
                <w:color w:val="0000FF"/>
              </w:rPr>
              <w:t>Condensed Consolidated Balance Sheets as of March 31, 2023 and December 31, 2022</w:t>
            </w:r>
          </w:p>
        </w:tc>
        <w:tc>
          <w:tcPr>
            <w:tcW w:w="1440" w:type="dxa"/>
            <w:vAlign w:val="bottom"/>
            <w:gridSpan w:val="3"/>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50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Condensed Consolidated Statements of Operations for the Three Months Ended March 31, 2023 and 2022</w:t>
            </w:r>
          </w:p>
        </w:tc>
        <w:tc>
          <w:tcPr>
            <w:tcW w:w="40" w:type="dxa"/>
            <w:vAlign w:val="bottom"/>
          </w:tcPr>
          <w:p>
            <w:pPr>
              <w:spacing w:after="0"/>
              <w:rPr>
                <w:sz w:val="19"/>
                <w:szCs w:val="19"/>
                <w:color w:val="auto"/>
              </w:rPr>
            </w:pPr>
          </w:p>
        </w:tc>
        <w:tc>
          <w:tcPr>
            <w:tcW w:w="1340" w:type="dxa"/>
            <w:vAlign w:val="bottom"/>
            <w:gridSpan w:val="2"/>
          </w:tcPr>
          <w:p>
            <w:pPr>
              <w:spacing w:after="0"/>
              <w:rPr>
                <w:sz w:val="19"/>
                <w:szCs w:val="19"/>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4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Comprehensive Loss for the Three Months Ended March 31, 2023</w:t>
            </w:r>
          </w:p>
        </w:tc>
        <w:tc>
          <w:tcPr>
            <w:tcW w:w="1440" w:type="dxa"/>
            <w:vAlign w:val="bottom"/>
            <w:gridSpan w:val="3"/>
            <w:vMerge w:val="restart"/>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500" w:type="dxa"/>
            <w:vAlign w:val="bottom"/>
            <w:tcBorders>
              <w:top w:val="single" w:sz="8" w:color="0000FF"/>
            </w:tcBorders>
            <w:gridSpan w:val="19"/>
          </w:tcPr>
          <w:p>
            <w:pPr>
              <w:spacing w:after="0" w:line="156" w:lineRule="exact"/>
              <w:rPr>
                <w:sz w:val="20"/>
                <w:szCs w:val="20"/>
                <w:color w:val="auto"/>
              </w:rPr>
            </w:pPr>
            <w:r>
              <w:rPr>
                <w:rFonts w:ascii="Arial" w:cs="Arial" w:eastAsia="Arial" w:hAnsi="Arial"/>
                <w:sz w:val="18"/>
                <w:szCs w:val="18"/>
                <w:color w:val="0000FF"/>
              </w:rPr>
              <w:t>and 2022</w:t>
            </w:r>
          </w:p>
        </w:tc>
        <w:tc>
          <w:tcPr>
            <w:tcW w:w="4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54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Stockholders’ Equity for the Three Months Ended March 31, 2023</w:t>
            </w:r>
          </w:p>
        </w:tc>
        <w:tc>
          <w:tcPr>
            <w:tcW w:w="1440" w:type="dxa"/>
            <w:vAlign w:val="bottom"/>
            <w:gridSpan w:val="3"/>
            <w:vMerge w:val="restart"/>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40" w:type="dxa"/>
            <w:vAlign w:val="bottom"/>
            <w:tcBorders>
              <w:top w:val="single" w:sz="8" w:color="0000FF"/>
            </w:tcBorders>
            <w:gridSpan w:val="18"/>
          </w:tcPr>
          <w:p>
            <w:pPr>
              <w:spacing w:after="0" w:line="156" w:lineRule="exact"/>
              <w:rPr>
                <w:sz w:val="20"/>
                <w:szCs w:val="20"/>
                <w:color w:val="auto"/>
              </w:rPr>
            </w:pPr>
            <w:r>
              <w:rPr>
                <w:rFonts w:ascii="Arial" w:cs="Arial" w:eastAsia="Arial" w:hAnsi="Arial"/>
                <w:sz w:val="18"/>
                <w:szCs w:val="18"/>
                <w:color w:val="0000FF"/>
              </w:rPr>
              <w:t>and 2022</w:t>
            </w:r>
          </w:p>
        </w:tc>
        <w:tc>
          <w:tcPr>
            <w:tcW w:w="100" w:type="dxa"/>
            <w:vAlign w:val="bottom"/>
            <w:gridSpan w:val="2"/>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4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Cash Flows for the Three Months Ended March 31, 2023 and</w:t>
            </w:r>
          </w:p>
        </w:tc>
        <w:tc>
          <w:tcPr>
            <w:tcW w:w="1340" w:type="dxa"/>
            <w:vAlign w:val="bottom"/>
            <w:gridSpan w:val="2"/>
            <w:vMerge w:val="restart"/>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4"/>
              </w:rPr>
              <w:t>2022</w:t>
            </w:r>
          </w:p>
        </w:tc>
        <w:tc>
          <w:tcPr>
            <w:tcW w:w="2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8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40" w:type="dxa"/>
            <w:vAlign w:val="bottom"/>
            <w:gridSpan w:val="20"/>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440" w:type="dxa"/>
            <w:vAlign w:val="bottom"/>
            <w:gridSpan w:val="3"/>
          </w:tcPr>
          <w:p>
            <w:pPr>
              <w:jc w:val="right"/>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2.</w:t>
            </w:r>
          </w:p>
        </w:tc>
        <w:tc>
          <w:tcPr>
            <w:tcW w:w="240" w:type="dxa"/>
            <w:vAlign w:val="bottom"/>
          </w:tcPr>
          <w:p>
            <w:pPr>
              <w:spacing w:after="0"/>
              <w:rPr>
                <w:sz w:val="18"/>
                <w:szCs w:val="18"/>
                <w:color w:val="auto"/>
              </w:rPr>
            </w:pPr>
          </w:p>
        </w:tc>
        <w:tc>
          <w:tcPr>
            <w:tcW w:w="706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480" w:type="dxa"/>
            <w:vAlign w:val="bottom"/>
            <w:gridSpan w:val="4"/>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20"/>
              <w:spacing w:after="0"/>
              <w:rPr>
                <w:sz w:val="20"/>
                <w:szCs w:val="20"/>
                <w:color w:val="auto"/>
              </w:rPr>
            </w:pPr>
            <w:r>
              <w:rPr>
                <w:rFonts w:ascii="Arial" w:cs="Arial" w:eastAsia="Arial" w:hAnsi="Arial"/>
                <w:sz w:val="18"/>
                <w:szCs w:val="18"/>
                <w:color w:val="auto"/>
              </w:rPr>
              <w:t>Item 3.</w:t>
            </w:r>
          </w:p>
        </w:tc>
        <w:tc>
          <w:tcPr>
            <w:tcW w:w="240" w:type="dxa"/>
            <w:vAlign w:val="bottom"/>
          </w:tcPr>
          <w:p>
            <w:pPr>
              <w:spacing w:after="0"/>
              <w:rPr>
                <w:sz w:val="19"/>
                <w:szCs w:val="19"/>
                <w:color w:val="auto"/>
              </w:rPr>
            </w:pPr>
          </w:p>
        </w:tc>
        <w:tc>
          <w:tcPr>
            <w:tcW w:w="47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3840" w:type="dxa"/>
            <w:vAlign w:val="bottom"/>
            <w:gridSpan w:val="7"/>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Item 4.</w:t>
            </w:r>
          </w:p>
        </w:tc>
        <w:tc>
          <w:tcPr>
            <w:tcW w:w="240" w:type="dxa"/>
            <w:vAlign w:val="bottom"/>
          </w:tcPr>
          <w:p>
            <w:pPr>
              <w:spacing w:after="0"/>
              <w:rPr>
                <w:sz w:val="18"/>
                <w:szCs w:val="18"/>
                <w:color w:val="auto"/>
              </w:rPr>
            </w:pPr>
          </w:p>
        </w:tc>
        <w:tc>
          <w:tcPr>
            <w:tcW w:w="854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1440" w:type="dxa"/>
            <w:vAlign w:val="bottom"/>
            <w:gridSpan w:val="3"/>
          </w:tcPr>
          <w:p>
            <w:pPr>
              <w:jc w:val="right"/>
              <w:spacing w:after="0"/>
              <w:rPr>
                <w:sz w:val="20"/>
                <w:szCs w:val="20"/>
                <w:color w:val="auto"/>
              </w:rPr>
            </w:pPr>
            <w:r>
              <w:rPr>
                <w:rFonts w:ascii="Arial" w:cs="Arial" w:eastAsia="Arial" w:hAnsi="Arial"/>
                <w:sz w:val="18"/>
                <w:szCs w:val="18"/>
                <w:color w:val="0000FF"/>
              </w:rPr>
              <w:t>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240" w:type="dxa"/>
            <w:vAlign w:val="bottom"/>
          </w:tcPr>
          <w:p>
            <w:pPr>
              <w:spacing w:after="0"/>
              <w:rPr>
                <w:sz w:val="18"/>
                <w:szCs w:val="18"/>
                <w:color w:val="auto"/>
              </w:rPr>
            </w:pPr>
          </w:p>
        </w:tc>
        <w:tc>
          <w:tcPr>
            <w:tcW w:w="192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7"/>
              </w:rPr>
              <w:t>OTHER INFORMATION</w:t>
            </w:r>
          </w:p>
        </w:tc>
        <w:tc>
          <w:tcPr>
            <w:tcW w:w="60" w:type="dxa"/>
            <w:vAlign w:val="bottom"/>
            <w:tcBorders>
              <w:top w:val="single" w:sz="8" w:color="0000FF"/>
            </w:tcBorders>
          </w:tcPr>
          <w:p>
            <w:pPr>
              <w:spacing w:after="0"/>
              <w:rPr>
                <w:sz w:val="18"/>
                <w:szCs w:val="18"/>
                <w:color w:val="auto"/>
              </w:rPr>
            </w:pPr>
          </w:p>
        </w:tc>
        <w:tc>
          <w:tcPr>
            <w:tcW w:w="6560" w:type="dxa"/>
            <w:vAlign w:val="bottom"/>
            <w:gridSpan w:val="12"/>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20"/>
              <w:spacing w:after="0"/>
              <w:rPr>
                <w:sz w:val="20"/>
                <w:szCs w:val="20"/>
                <w:color w:val="auto"/>
              </w:rPr>
            </w:pPr>
            <w:r>
              <w:rPr>
                <w:rFonts w:ascii="Arial" w:cs="Arial" w:eastAsia="Arial" w:hAnsi="Arial"/>
                <w:sz w:val="18"/>
                <w:szCs w:val="18"/>
                <w:color w:val="auto"/>
              </w:rPr>
              <w:t>Item 1.</w:t>
            </w:r>
          </w:p>
        </w:tc>
        <w:tc>
          <w:tcPr>
            <w:tcW w:w="240" w:type="dxa"/>
            <w:vAlign w:val="bottom"/>
          </w:tcPr>
          <w:p>
            <w:pPr>
              <w:spacing w:after="0"/>
              <w:rPr>
                <w:sz w:val="19"/>
                <w:szCs w:val="19"/>
                <w:color w:val="auto"/>
              </w:rPr>
            </w:pPr>
          </w:p>
        </w:tc>
        <w:tc>
          <w:tcPr>
            <w:tcW w:w="854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1440" w:type="dxa"/>
            <w:vAlign w:val="bottom"/>
            <w:gridSpan w:val="3"/>
          </w:tcPr>
          <w:p>
            <w:pPr>
              <w:jc w:val="right"/>
              <w:spacing w:after="0"/>
              <w:rPr>
                <w:sz w:val="20"/>
                <w:szCs w:val="20"/>
                <w:color w:val="auto"/>
              </w:rPr>
            </w:pPr>
            <w:r>
              <w:rPr>
                <w:rFonts w:ascii="Arial" w:cs="Arial" w:eastAsia="Arial" w:hAnsi="Arial"/>
                <w:sz w:val="18"/>
                <w:szCs w:val="18"/>
                <w:color w:val="0000FF"/>
              </w:rPr>
              <w:t>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Item 1A.</w:t>
            </w:r>
          </w:p>
        </w:tc>
        <w:tc>
          <w:tcPr>
            <w:tcW w:w="240" w:type="dxa"/>
            <w:vAlign w:val="bottom"/>
          </w:tcPr>
          <w:p>
            <w:pPr>
              <w:spacing w:after="0"/>
              <w:rPr>
                <w:sz w:val="18"/>
                <w:szCs w:val="18"/>
                <w:color w:val="auto"/>
              </w:rPr>
            </w:pPr>
          </w:p>
        </w:tc>
        <w:tc>
          <w:tcPr>
            <w:tcW w:w="10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tcBorders>
              <w:top w:val="single" w:sz="8" w:color="0000FF"/>
            </w:tcBorders>
            <w:gridSpan w:val="2"/>
          </w:tcPr>
          <w:p>
            <w:pPr>
              <w:spacing w:after="0"/>
              <w:rPr>
                <w:sz w:val="18"/>
                <w:szCs w:val="18"/>
                <w:color w:val="auto"/>
              </w:rPr>
            </w:pPr>
          </w:p>
        </w:tc>
        <w:tc>
          <w:tcPr>
            <w:tcW w:w="7060" w:type="dxa"/>
            <w:vAlign w:val="bottom"/>
            <w:gridSpan w:val="14"/>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2.</w:t>
            </w:r>
          </w:p>
        </w:tc>
        <w:tc>
          <w:tcPr>
            <w:tcW w:w="240" w:type="dxa"/>
            <w:vAlign w:val="bottom"/>
          </w:tcPr>
          <w:p>
            <w:pPr>
              <w:spacing w:after="0"/>
              <w:rPr>
                <w:sz w:val="18"/>
                <w:szCs w:val="18"/>
                <w:color w:val="auto"/>
              </w:rPr>
            </w:pPr>
          </w:p>
        </w:tc>
        <w:tc>
          <w:tcPr>
            <w:tcW w:w="854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440" w:type="dxa"/>
            <w:vAlign w:val="bottom"/>
            <w:gridSpan w:val="3"/>
          </w:tcPr>
          <w:p>
            <w:pPr>
              <w:jc w:val="right"/>
              <w:spacing w:after="0"/>
              <w:rPr>
                <w:sz w:val="20"/>
                <w:szCs w:val="20"/>
                <w:color w:val="auto"/>
              </w:rPr>
            </w:pPr>
            <w:r>
              <w:rPr>
                <w:rFonts w:ascii="Arial" w:cs="Arial" w:eastAsia="Arial" w:hAnsi="Arial"/>
                <w:sz w:val="18"/>
                <w:szCs w:val="18"/>
                <w:color w:val="0000FF"/>
              </w:rPr>
              <w:t>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20"/>
              <w:spacing w:after="0"/>
              <w:rPr>
                <w:sz w:val="20"/>
                <w:szCs w:val="20"/>
                <w:color w:val="auto"/>
              </w:rPr>
            </w:pPr>
            <w:r>
              <w:rPr>
                <w:rFonts w:ascii="Arial" w:cs="Arial" w:eastAsia="Arial" w:hAnsi="Arial"/>
                <w:sz w:val="18"/>
                <w:szCs w:val="18"/>
                <w:color w:val="auto"/>
              </w:rPr>
              <w:t>Item 3.</w:t>
            </w:r>
          </w:p>
        </w:tc>
        <w:tc>
          <w:tcPr>
            <w:tcW w:w="240" w:type="dxa"/>
            <w:vAlign w:val="bottom"/>
          </w:tcPr>
          <w:p>
            <w:pPr>
              <w:spacing w:after="0"/>
              <w:rPr>
                <w:sz w:val="19"/>
                <w:szCs w:val="19"/>
                <w:color w:val="auto"/>
              </w:rPr>
            </w:pPr>
          </w:p>
        </w:tc>
        <w:tc>
          <w:tcPr>
            <w:tcW w:w="484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Defaults Upon Senior Securities</w:t>
            </w:r>
          </w:p>
        </w:tc>
        <w:tc>
          <w:tcPr>
            <w:tcW w:w="3700" w:type="dxa"/>
            <w:vAlign w:val="bottom"/>
            <w:gridSpan w:val="6"/>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Item 4.</w:t>
            </w:r>
          </w:p>
        </w:tc>
        <w:tc>
          <w:tcPr>
            <w:tcW w:w="240" w:type="dxa"/>
            <w:vAlign w:val="bottom"/>
          </w:tcPr>
          <w:p>
            <w:pPr>
              <w:spacing w:after="0"/>
              <w:rPr>
                <w:sz w:val="18"/>
                <w:szCs w:val="18"/>
                <w:color w:val="auto"/>
              </w:rPr>
            </w:pPr>
          </w:p>
        </w:tc>
        <w:tc>
          <w:tcPr>
            <w:tcW w:w="254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Mine Safety Disclosures</w:t>
            </w:r>
          </w:p>
        </w:tc>
        <w:tc>
          <w:tcPr>
            <w:tcW w:w="6000" w:type="dxa"/>
            <w:vAlign w:val="bottom"/>
            <w:gridSpan w:val="10"/>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Item 5.</w:t>
            </w:r>
          </w:p>
        </w:tc>
        <w:tc>
          <w:tcPr>
            <w:tcW w:w="240" w:type="dxa"/>
            <w:vAlign w:val="bottom"/>
          </w:tcPr>
          <w:p>
            <w:pPr>
              <w:spacing w:after="0"/>
              <w:rPr>
                <w:sz w:val="18"/>
                <w:szCs w:val="18"/>
                <w:color w:val="auto"/>
              </w:rPr>
            </w:pPr>
          </w:p>
        </w:tc>
        <w:tc>
          <w:tcPr>
            <w:tcW w:w="14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tcBorders>
              <w:top w:val="single" w:sz="8" w:color="0000FF"/>
            </w:tcBorders>
            <w:gridSpan w:val="2"/>
          </w:tcPr>
          <w:p>
            <w:pPr>
              <w:spacing w:after="0"/>
              <w:rPr>
                <w:sz w:val="18"/>
                <w:szCs w:val="18"/>
                <w:color w:val="auto"/>
              </w:rPr>
            </w:pPr>
          </w:p>
        </w:tc>
        <w:tc>
          <w:tcPr>
            <w:tcW w:w="6620" w:type="dxa"/>
            <w:vAlign w:val="bottom"/>
            <w:gridSpan w:val="13"/>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20"/>
              <w:spacing w:after="0"/>
              <w:rPr>
                <w:sz w:val="20"/>
                <w:szCs w:val="20"/>
                <w:color w:val="auto"/>
              </w:rPr>
            </w:pPr>
            <w:r>
              <w:rPr>
                <w:rFonts w:ascii="Arial" w:cs="Arial" w:eastAsia="Arial" w:hAnsi="Arial"/>
                <w:sz w:val="18"/>
                <w:szCs w:val="18"/>
                <w:color w:val="auto"/>
              </w:rPr>
              <w:t>Item 6.</w:t>
            </w:r>
          </w:p>
        </w:tc>
        <w:tc>
          <w:tcPr>
            <w:tcW w:w="240" w:type="dxa"/>
            <w:vAlign w:val="bottom"/>
          </w:tcPr>
          <w:p>
            <w:pPr>
              <w:spacing w:after="0"/>
              <w:rPr>
                <w:sz w:val="19"/>
                <w:szCs w:val="19"/>
                <w:color w:val="auto"/>
              </w:rPr>
            </w:pPr>
          </w:p>
        </w:tc>
        <w:tc>
          <w:tcPr>
            <w:tcW w:w="8540" w:type="dxa"/>
            <w:vAlign w:val="bottom"/>
            <w:gridSpan w:val="20"/>
          </w:tcPr>
          <w:p>
            <w:pPr>
              <w:spacing w:after="0"/>
              <w:rPr>
                <w:sz w:val="20"/>
                <w:szCs w:val="20"/>
                <w:color w:val="auto"/>
              </w:rPr>
            </w:pPr>
            <w:r>
              <w:rPr>
                <w:rFonts w:ascii="Arial" w:cs="Arial" w:eastAsia="Arial" w:hAnsi="Arial"/>
                <w:sz w:val="18"/>
                <w:szCs w:val="18"/>
                <w:color w:val="0000FF"/>
              </w:rPr>
              <w:t>Exhibits</w:t>
            </w:r>
          </w:p>
        </w:tc>
        <w:tc>
          <w:tcPr>
            <w:tcW w:w="1440" w:type="dxa"/>
            <w:vAlign w:val="bottom"/>
            <w:gridSpan w:val="3"/>
          </w:tcPr>
          <w:p>
            <w:pPr>
              <w:jc w:val="right"/>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920" w:type="dxa"/>
            <w:vAlign w:val="bottom"/>
            <w:gridSpan w:val="18"/>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Signatures</w:t>
            </w:r>
          </w:p>
        </w:tc>
        <w:tc>
          <w:tcPr>
            <w:tcW w:w="1440" w:type="dxa"/>
            <w:vAlign w:val="bottom"/>
            <w:gridSpan w:val="3"/>
          </w:tcPr>
          <w:p>
            <w:pPr>
              <w:jc w:val="right"/>
              <w:spacing w:after="0"/>
              <w:rPr>
                <w:sz w:val="20"/>
                <w:szCs w:val="20"/>
                <w:color w:val="auto"/>
              </w:rPr>
            </w:pPr>
            <w:r>
              <w:rPr>
                <w:rFonts w:ascii="Arial" w:cs="Arial" w:eastAsia="Arial" w:hAnsi="Arial"/>
                <w:sz w:val="18"/>
                <w:szCs w:val="18"/>
                <w:color w:val="0000FF"/>
              </w:rPr>
              <w:t>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0"/>
        </w:trPr>
        <w:tc>
          <w:tcPr>
            <w:tcW w:w="980" w:type="dxa"/>
            <w:vAlign w:val="bottom"/>
            <w:tcBorders>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March 31, 2023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80,839</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61,615</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4,983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38,874</w:t>
            </w:r>
          </w:p>
        </w:tc>
        <w:tc>
          <w:tcPr>
            <w:tcW w:w="0" w:type="dxa"/>
            <w:vAlign w:val="bottom"/>
          </w:tcPr>
          <w:p>
            <w:pPr>
              <w:spacing w:after="0"/>
              <w:rPr>
                <w:sz w:val="1"/>
                <w:szCs w:val="1"/>
                <w:color w:val="auto"/>
              </w:rPr>
            </w:pPr>
          </w:p>
        </w:tc>
      </w:tr>
      <w:tr>
        <w:trPr>
          <w:trHeight w:val="219"/>
        </w:trPr>
        <w:tc>
          <w:tcPr>
            <w:tcW w:w="8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8,580</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10,351</w:t>
            </w:r>
          </w:p>
        </w:tc>
        <w:tc>
          <w:tcPr>
            <w:tcW w:w="0" w:type="dxa"/>
            <w:vAlign w:val="bottom"/>
          </w:tcPr>
          <w:p>
            <w:pPr>
              <w:spacing w:after="0"/>
              <w:rPr>
                <w:sz w:val="1"/>
                <w:szCs w:val="1"/>
                <w:color w:val="auto"/>
              </w:rPr>
            </w:pPr>
          </w:p>
        </w:tc>
      </w:tr>
      <w:tr>
        <w:trPr>
          <w:trHeight w:val="207"/>
        </w:trPr>
        <w:tc>
          <w:tcPr>
            <w:tcW w:w="806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94,402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110,840</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2,901</w:t>
            </w:r>
          </w:p>
        </w:tc>
        <w:tc>
          <w:tcPr>
            <w:tcW w:w="0" w:type="dxa"/>
            <w:vAlign w:val="bottom"/>
          </w:tcPr>
          <w:p>
            <w:pPr>
              <w:spacing w:after="0"/>
              <w:rPr>
                <w:sz w:val="1"/>
                <w:szCs w:val="1"/>
                <w:color w:val="auto"/>
              </w:rPr>
            </w:pPr>
          </w:p>
        </w:tc>
      </w:tr>
      <w:tr>
        <w:trPr>
          <w:trHeight w:val="219"/>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10"/>
        </w:trPr>
        <w:tc>
          <w:tcPr>
            <w:tcW w:w="8060" w:type="dxa"/>
            <w:vAlign w:val="bottom"/>
          </w:tcPr>
          <w:p>
            <w:pPr>
              <w:ind w:left="460"/>
              <w:spacing w:after="0"/>
              <w:rPr>
                <w:sz w:val="20"/>
                <w:szCs w:val="20"/>
                <w:color w:val="auto"/>
              </w:rPr>
            </w:pPr>
            <w:r>
              <w:rPr>
                <w:rFonts w:ascii="Arial" w:cs="Arial" w:eastAsia="Arial" w:hAnsi="Arial"/>
                <w:sz w:val="16"/>
                <w:szCs w:val="16"/>
                <w:color w:val="auto"/>
              </w:rPr>
              <w:t>Total assets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98,383</w:t>
            </w: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115,128</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16,986</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14,672</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Accrued expenses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9,352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15,850</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6"/>
        </w:trPr>
        <w:tc>
          <w:tcPr>
            <w:tcW w:w="8060" w:type="dxa"/>
            <w:vAlign w:val="bottom"/>
          </w:tcPr>
          <w:p>
            <w:pPr>
              <w:ind w:left="240"/>
              <w:spacing w:after="0"/>
              <w:rPr>
                <w:sz w:val="20"/>
                <w:szCs w:val="20"/>
                <w:color w:val="auto"/>
              </w:rPr>
            </w:pPr>
            <w:r>
              <w:rPr>
                <w:rFonts w:ascii="Arial" w:cs="Arial" w:eastAsia="Arial" w:hAnsi="Arial"/>
                <w:sz w:val="16"/>
                <w:szCs w:val="16"/>
                <w:color w:val="auto"/>
              </w:rPr>
              <w:t>Current portion of deferred revenue</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2,543</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34,345</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Non-current portion of operating lease liabilities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w:t>
            </w:r>
          </w:p>
        </w:tc>
        <w:tc>
          <w:tcPr>
            <w:tcW w:w="0" w:type="dxa"/>
            <w:vAlign w:val="bottom"/>
          </w:tcPr>
          <w:p>
            <w:pPr>
              <w:spacing w:after="0"/>
              <w:rPr>
                <w:sz w:val="1"/>
                <w:szCs w:val="1"/>
                <w:color w:val="auto"/>
              </w:rPr>
            </w:pPr>
          </w:p>
        </w:tc>
      </w:tr>
      <w:tr>
        <w:trPr>
          <w:trHeight w:val="216"/>
        </w:trPr>
        <w:tc>
          <w:tcPr>
            <w:tcW w:w="8060" w:type="dxa"/>
            <w:vAlign w:val="bottom"/>
          </w:tcPr>
          <w:p>
            <w:pPr>
              <w:ind w:left="240"/>
              <w:spacing w:after="0"/>
              <w:rPr>
                <w:sz w:val="20"/>
                <w:szCs w:val="20"/>
                <w:color w:val="auto"/>
              </w:rPr>
            </w:pPr>
            <w:r>
              <w:rPr>
                <w:rFonts w:ascii="Arial" w:cs="Arial" w:eastAsia="Arial" w:hAnsi="Arial"/>
                <w:sz w:val="16"/>
                <w:szCs w:val="16"/>
                <w:color w:val="auto"/>
              </w:rPr>
              <w:t>Non-current portion of deferred revenue</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33,915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39,022</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Commitments and contingencies (Note 6)</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8060" w:type="dxa"/>
            <w:vAlign w:val="bottom"/>
          </w:tcPr>
          <w:p>
            <w:pPr>
              <w:ind w:left="240"/>
              <w:spacing w:after="0" w:line="165" w:lineRule="exact"/>
              <w:rPr>
                <w:sz w:val="20"/>
                <w:szCs w:val="20"/>
                <w:color w:val="auto"/>
              </w:rPr>
            </w:pPr>
            <w:r>
              <w:rPr>
                <w:rFonts w:ascii="Arial" w:cs="Arial" w:eastAsia="Arial" w:hAnsi="Arial"/>
                <w:sz w:val="16"/>
                <w:szCs w:val="16"/>
                <w:color w:val="auto"/>
              </w:rPr>
              <w:t>Preferred stock, $0.0001 par value; 10,000,000 shares authorized and no shares issued or outstanding as of</w:t>
            </w:r>
          </w:p>
        </w:tc>
        <w:tc>
          <w:tcPr>
            <w:tcW w:w="1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060" w:type="dxa"/>
            <w:vAlign w:val="bottom"/>
          </w:tcPr>
          <w:p>
            <w:pPr>
              <w:ind w:left="240"/>
              <w:spacing w:after="0"/>
              <w:rPr>
                <w:sz w:val="20"/>
                <w:szCs w:val="20"/>
                <w:color w:val="auto"/>
              </w:rPr>
            </w:pPr>
            <w:r>
              <w:rPr>
                <w:rFonts w:ascii="Arial" w:cs="Arial" w:eastAsia="Arial" w:hAnsi="Arial"/>
                <w:sz w:val="16"/>
                <w:szCs w:val="16"/>
                <w:color w:val="auto"/>
              </w:rPr>
              <w:t>March 31, 2023 and December 31, 2022</w:t>
            </w:r>
          </w:p>
        </w:tc>
        <w:tc>
          <w:tcPr>
            <w:tcW w:w="1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060" w:type="dxa"/>
            <w:vAlign w:val="bottom"/>
            <w:shd w:val="clear" w:color="auto" w:fill="CCEEFF"/>
          </w:tcPr>
          <w:p>
            <w:pPr>
              <w:ind w:left="240"/>
              <w:spacing w:after="0" w:line="168" w:lineRule="exact"/>
              <w:rPr>
                <w:sz w:val="20"/>
                <w:szCs w:val="20"/>
                <w:color w:val="auto"/>
              </w:rPr>
            </w:pPr>
            <w:r>
              <w:rPr>
                <w:rFonts w:ascii="Arial" w:cs="Arial" w:eastAsia="Arial" w:hAnsi="Arial"/>
                <w:sz w:val="16"/>
                <w:szCs w:val="16"/>
                <w:color w:val="auto"/>
              </w:rPr>
              <w:t>Common stock, $0.0001 par value; 150,000,000 shares authorized; 57,960,387 shares issued and</w:t>
            </w:r>
          </w:p>
        </w:tc>
        <w:tc>
          <w:tcPr>
            <w:tcW w:w="16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outstanding as of March 31, 2023, and 49,382,453 shares issued and outstanding as of December 31, 2022</w:t>
            </w:r>
          </w:p>
        </w:tc>
        <w:tc>
          <w:tcPr>
            <w:tcW w:w="16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632,580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606,918</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6"/>
        </w:trPr>
        <w:tc>
          <w:tcPr>
            <w:tcW w:w="8060" w:type="dxa"/>
            <w:vAlign w:val="bottom"/>
          </w:tcPr>
          <w:p>
            <w:pPr>
              <w:ind w:left="24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(568,099)</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(530,644)</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64,468</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76,106</w:t>
            </w:r>
          </w:p>
        </w:tc>
        <w:tc>
          <w:tcPr>
            <w:tcW w:w="0" w:type="dxa"/>
            <w:vAlign w:val="bottom"/>
          </w:tcPr>
          <w:p>
            <w:pPr>
              <w:spacing w:after="0"/>
              <w:rPr>
                <w:sz w:val="1"/>
                <w:szCs w:val="1"/>
                <w:color w:val="auto"/>
              </w:rPr>
            </w:pPr>
          </w:p>
        </w:tc>
      </w:tr>
      <w:tr>
        <w:trPr>
          <w:trHeight w:val="210"/>
        </w:trPr>
        <w:tc>
          <w:tcPr>
            <w:tcW w:w="8060" w:type="dxa"/>
            <w:vAlign w:val="bottom"/>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98,383</w:t>
            </w: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115,128</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60" w:lineRule="exact"/>
        <w:rPr>
          <w:sz w:val="20"/>
          <w:szCs w:val="20"/>
          <w:color w:val="auto"/>
        </w:rPr>
      </w:pPr>
    </w:p>
    <w:p>
      <w:pPr>
        <w:jc w:val="center"/>
        <w:ind w:left="8020"/>
        <w:spacing w:after="0"/>
        <w:rPr>
          <w:sz w:val="20"/>
          <w:szCs w:val="20"/>
          <w:color w:val="auto"/>
        </w:rPr>
      </w:pPr>
      <w:r>
        <w:rPr>
          <w:rFonts w:ascii="Arial" w:cs="Arial" w:eastAsia="Arial" w:hAnsi="Arial"/>
          <w:sz w:val="16"/>
          <w:szCs w:val="16"/>
          <w:b w:val="1"/>
          <w:bCs w:val="1"/>
          <w:color w:val="auto"/>
        </w:rPr>
        <w:t>Three Months Ended</w:t>
      </w:r>
    </w:p>
    <w:p>
      <w:pPr>
        <w:jc w:val="center"/>
        <w:ind w:left="802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52,652</w:t>
            </w:r>
          </w:p>
        </w:tc>
      </w:tr>
      <w:tr>
        <w:trPr>
          <w:trHeight w:val="216"/>
        </w:trPr>
        <w:tc>
          <w:tcPr>
            <w:tcW w:w="804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13,270</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16,197</w:t>
            </w:r>
          </w:p>
        </w:tc>
      </w:tr>
      <w:tr>
        <w:trPr>
          <w:trHeight w:val="210"/>
        </w:trPr>
        <w:tc>
          <w:tcPr>
            <w:tcW w:w="8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38,774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68,849</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(38,091)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(68,849)</w:t>
            </w: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6"/>
        </w:trPr>
        <w:tc>
          <w:tcPr>
            <w:tcW w:w="8040" w:type="dxa"/>
            <w:vAlign w:val="bottom"/>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r>
      <w:tr>
        <w:trPr>
          <w:trHeight w:val="210"/>
        </w:trPr>
        <w:tc>
          <w:tcPr>
            <w:tcW w:w="8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09"/>
        </w:trPr>
        <w:tc>
          <w:tcPr>
            <w:tcW w:w="80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(37,455)</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(68,717)</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804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basic and diluted</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53,102,907</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45,455,179</w:t>
            </w:r>
          </w:p>
        </w:tc>
      </w:tr>
      <w:tr>
        <w:trPr>
          <w:trHeight w:val="21"/>
        </w:trPr>
        <w:tc>
          <w:tcPr>
            <w:tcW w:w="8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6"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(37,455)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(68,717)</w:t>
            </w:r>
          </w:p>
        </w:tc>
      </w:tr>
      <w:tr>
        <w:trPr>
          <w:trHeight w:val="216"/>
        </w:trPr>
        <w:tc>
          <w:tcPr>
            <w:tcW w:w="8040" w:type="dxa"/>
            <w:vAlign w:val="bottom"/>
          </w:tcPr>
          <w:p>
            <w:pPr>
              <w:ind w:left="240"/>
              <w:spacing w:after="0"/>
              <w:rPr>
                <w:sz w:val="20"/>
                <w:szCs w:val="20"/>
                <w:color w:val="auto"/>
              </w:rPr>
            </w:pPr>
            <w:r>
              <w:rPr>
                <w:rFonts w:ascii="Arial" w:cs="Arial" w:eastAsia="Arial" w:hAnsi="Arial"/>
                <w:sz w:val="16"/>
                <w:szCs w:val="16"/>
                <w:color w:val="auto"/>
              </w:rPr>
              <w:t>Change in unrealized losses on marketable securities, net of tax</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(69,147)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6"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center"/>
              <w:ind w:right="118"/>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ind w:right="38"/>
              <w:spacing w:after="0"/>
              <w:rPr>
                <w:sz w:val="20"/>
                <w:szCs w:val="20"/>
                <w:color w:val="auto"/>
              </w:rPr>
            </w:pPr>
            <w:r>
              <w:rPr>
                <w:rFonts w:ascii="Arial" w:cs="Arial" w:eastAsia="Arial" w:hAnsi="Arial"/>
                <w:sz w:val="13"/>
                <w:szCs w:val="13"/>
                <w:b w:val="1"/>
                <w:bCs w:val="1"/>
                <w:color w:val="auto"/>
                <w:w w:val="95"/>
              </w:rPr>
              <w:t>Accumulated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ind w:right="5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7"/>
        </w:trPr>
        <w:tc>
          <w:tcPr>
            <w:tcW w:w="4280" w:type="dxa"/>
            <w:vAlign w:val="bottom"/>
          </w:tcPr>
          <w:p>
            <w:pPr>
              <w:spacing w:after="0"/>
              <w:rPr>
                <w:sz w:val="11"/>
                <w:szCs w:val="11"/>
                <w:color w:val="auto"/>
              </w:rPr>
            </w:pPr>
          </w:p>
        </w:tc>
        <w:tc>
          <w:tcPr>
            <w:tcW w:w="1980" w:type="dxa"/>
            <w:vAlign w:val="bottom"/>
            <w:gridSpan w:val="3"/>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ind w:right="38"/>
              <w:spacing w:after="0" w:line="127" w:lineRule="exact"/>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280" w:type="dxa"/>
            <w:vAlign w:val="bottom"/>
          </w:tcPr>
          <w:p>
            <w:pPr>
              <w:spacing w:after="0"/>
              <w:rPr>
                <w:sz w:val="8"/>
                <w:szCs w:val="8"/>
                <w:color w:val="auto"/>
              </w:rPr>
            </w:pPr>
          </w:p>
        </w:tc>
        <w:tc>
          <w:tcPr>
            <w:tcW w:w="19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vMerge w:val="restart"/>
          </w:tcPr>
          <w:p>
            <w:pPr>
              <w:jc w:val="center"/>
              <w:ind w:right="118"/>
              <w:spacing w:after="0" w:line="110" w:lineRule="exact"/>
              <w:rPr>
                <w:sz w:val="20"/>
                <w:szCs w:val="20"/>
                <w:color w:val="auto"/>
              </w:rPr>
            </w:pPr>
            <w:r>
              <w:rPr>
                <w:rFonts w:ascii="Arial" w:cs="Arial" w:eastAsia="Arial" w:hAnsi="Arial"/>
                <w:sz w:val="12"/>
                <w:szCs w:val="12"/>
                <w:b w:val="1"/>
                <w:bCs w:val="1"/>
                <w:color w:val="auto"/>
              </w:rPr>
              <w:t>Paid-In</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vMerge w:val="restart"/>
          </w:tcPr>
          <w:p>
            <w:pPr>
              <w:jc w:val="center"/>
              <w:ind w:right="58"/>
              <w:spacing w:after="0" w:line="110" w:lineRule="exact"/>
              <w:rPr>
                <w:sz w:val="20"/>
                <w:szCs w:val="20"/>
                <w:color w:val="auto"/>
              </w:rPr>
            </w:pPr>
            <w:r>
              <w:rPr>
                <w:rFonts w:ascii="Arial" w:cs="Arial" w:eastAsia="Arial" w:hAnsi="Arial"/>
                <w:sz w:val="12"/>
                <w:szCs w:val="12"/>
                <w:b w:val="1"/>
                <w:bCs w:val="1"/>
                <w:color w:val="auto"/>
              </w:rPr>
              <w:t>Accumulated</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vMerge w:val="restart"/>
          </w:tcPr>
          <w:p>
            <w:pPr>
              <w:jc w:val="center"/>
              <w:ind w:right="38"/>
              <w:spacing w:after="0" w:line="110" w:lineRule="exact"/>
              <w:rPr>
                <w:sz w:val="20"/>
                <w:szCs w:val="20"/>
                <w:color w:val="auto"/>
              </w:rPr>
            </w:pPr>
            <w:r>
              <w:rPr>
                <w:rFonts w:ascii="Arial" w:cs="Arial" w:eastAsia="Arial" w:hAnsi="Arial"/>
                <w:sz w:val="12"/>
                <w:szCs w:val="12"/>
                <w:b w:val="1"/>
                <w:bCs w:val="1"/>
                <w:color w:val="auto"/>
              </w:rPr>
              <w:t>Comprehensive</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vMerge w:val="restart"/>
          </w:tcPr>
          <w:p>
            <w:pPr>
              <w:jc w:val="center"/>
              <w:ind w:right="58"/>
              <w:spacing w:after="0" w:line="110"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280" w:type="dxa"/>
            <w:vAlign w:val="bottom"/>
          </w:tcPr>
          <w:p>
            <w:pPr>
              <w:spacing w:after="0"/>
              <w:rPr>
                <w:sz w:val="14"/>
                <w:szCs w:val="14"/>
                <w:color w:val="auto"/>
              </w:rPr>
            </w:pPr>
          </w:p>
        </w:tc>
        <w:tc>
          <w:tcPr>
            <w:tcW w:w="10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18"/>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8"/>
              <w:spacing w:after="0"/>
              <w:rPr>
                <w:sz w:val="20"/>
                <w:szCs w:val="20"/>
                <w:color w:val="auto"/>
              </w:rPr>
            </w:pPr>
            <w:r>
              <w:rPr>
                <w:rFonts w:ascii="Arial" w:cs="Arial" w:eastAsia="Arial" w:hAnsi="Arial"/>
                <w:sz w:val="13"/>
                <w:szCs w:val="13"/>
                <w:b w:val="1"/>
                <w:bCs w:val="1"/>
                <w:color w:val="auto"/>
                <w:w w:val="95"/>
              </w:rPr>
              <w:t>Deficit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98"/>
              </w:rPr>
              <w:t>Loss</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69"/>
        </w:trPr>
        <w:tc>
          <w:tcPr>
            <w:tcW w:w="4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2022</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49,382,453</w:t>
            </w:r>
          </w:p>
        </w:tc>
        <w:tc>
          <w:tcPr>
            <w:tcW w:w="900" w:type="dxa"/>
            <w:vAlign w:val="bottom"/>
            <w:gridSpan w:val="2"/>
            <w:shd w:val="clear" w:color="auto" w:fill="CCEEFF"/>
          </w:tcPr>
          <w:p>
            <w:pPr>
              <w:jc w:val="right"/>
              <w:ind w:right="67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c>
          <w:tcPr>
            <w:tcW w:w="24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606,918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(530,644)</w:t>
            </w:r>
          </w:p>
        </w:tc>
        <w:tc>
          <w:tcPr>
            <w:tcW w:w="1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76,106</w:t>
            </w:r>
          </w:p>
        </w:tc>
        <w:tc>
          <w:tcPr>
            <w:tcW w:w="0" w:type="dxa"/>
            <w:vAlign w:val="bottom"/>
          </w:tcPr>
          <w:p>
            <w:pPr>
              <w:spacing w:after="0"/>
              <w:rPr>
                <w:sz w:val="1"/>
                <w:szCs w:val="1"/>
                <w:color w:val="auto"/>
              </w:rPr>
            </w:pPr>
          </w:p>
        </w:tc>
      </w:tr>
      <w:tr>
        <w:trPr>
          <w:trHeight w:val="160"/>
        </w:trPr>
        <w:tc>
          <w:tcPr>
            <w:tcW w:w="428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18"/>
              <w:spacing w:after="0"/>
              <w:rPr>
                <w:sz w:val="20"/>
                <w:szCs w:val="20"/>
                <w:color w:val="auto"/>
              </w:rPr>
            </w:pPr>
            <w:r>
              <w:rPr>
                <w:rFonts w:ascii="Arial" w:cs="Arial" w:eastAsia="Arial" w:hAnsi="Arial"/>
                <w:sz w:val="13"/>
                <w:szCs w:val="13"/>
                <w:color w:val="auto"/>
              </w:rPr>
              <w:t>7,593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7,593</w:t>
            </w:r>
          </w:p>
        </w:tc>
        <w:tc>
          <w:tcPr>
            <w:tcW w:w="0" w:type="dxa"/>
            <w:vAlign w:val="bottom"/>
          </w:tcPr>
          <w:p>
            <w:pPr>
              <w:spacing w:after="0"/>
              <w:rPr>
                <w:sz w:val="1"/>
                <w:szCs w:val="1"/>
                <w:color w:val="auto"/>
              </w:rPr>
            </w:pPr>
          </w:p>
        </w:tc>
      </w:tr>
      <w:tr>
        <w:trPr>
          <w:trHeight w:val="29"/>
        </w:trPr>
        <w:tc>
          <w:tcPr>
            <w:tcW w:w="4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42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8,403,809</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18,095</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18,096</w:t>
            </w:r>
          </w:p>
        </w:tc>
        <w:tc>
          <w:tcPr>
            <w:tcW w:w="0" w:type="dxa"/>
            <w:vAlign w:val="bottom"/>
          </w:tcPr>
          <w:p>
            <w:pPr>
              <w:spacing w:after="0"/>
              <w:rPr>
                <w:sz w:val="1"/>
                <w:szCs w:val="1"/>
                <w:color w:val="auto"/>
              </w:rPr>
            </w:pPr>
          </w:p>
        </w:tc>
      </w:tr>
      <w:tr>
        <w:trPr>
          <w:trHeight w:val="176"/>
        </w:trPr>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costs</w:t>
            </w:r>
          </w:p>
        </w:tc>
        <w:tc>
          <w:tcPr>
            <w:tcW w:w="10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28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172,798</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4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(43,317)</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68"/>
        </w:trPr>
        <w:tc>
          <w:tcPr>
            <w:tcW w:w="428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44,644</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8"/>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7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154</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69"/>
        </w:trPr>
        <w:tc>
          <w:tcPr>
            <w:tcW w:w="428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(37,455)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(37,455)</w:t>
            </w:r>
          </w:p>
        </w:tc>
        <w:tc>
          <w:tcPr>
            <w:tcW w:w="0" w:type="dxa"/>
            <w:vAlign w:val="bottom"/>
          </w:tcPr>
          <w:p>
            <w:pPr>
              <w:spacing w:after="0"/>
              <w:rPr>
                <w:sz w:val="1"/>
                <w:szCs w:val="1"/>
                <w:color w:val="auto"/>
              </w:rPr>
            </w:pPr>
          </w:p>
        </w:tc>
      </w:tr>
      <w:tr>
        <w:trPr>
          <w:trHeight w:val="195"/>
        </w:trPr>
        <w:tc>
          <w:tcPr>
            <w:tcW w:w="4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2023</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57,960,387</w:t>
            </w:r>
          </w:p>
        </w:tc>
        <w:tc>
          <w:tcPr>
            <w:tcW w:w="900" w:type="dxa"/>
            <w:vAlign w:val="bottom"/>
            <w:gridSpan w:val="2"/>
            <w:shd w:val="clear" w:color="auto" w:fill="CCEEFF"/>
          </w:tcPr>
          <w:p>
            <w:pPr>
              <w:jc w:val="right"/>
              <w:ind w:right="67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24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632,580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(568,099)</w:t>
            </w:r>
          </w:p>
        </w:tc>
        <w:tc>
          <w:tcPr>
            <w:tcW w:w="1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64,468</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2"/>
        </w:trPr>
        <w:tc>
          <w:tcPr>
            <w:tcW w:w="4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ind w:right="38"/>
              <w:spacing w:after="0"/>
              <w:rPr>
                <w:sz w:val="20"/>
                <w:szCs w:val="20"/>
                <w:color w:val="auto"/>
              </w:rPr>
            </w:pPr>
            <w:r>
              <w:rPr>
                <w:rFonts w:ascii="Arial" w:cs="Arial" w:eastAsia="Arial" w:hAnsi="Arial"/>
                <w:sz w:val="13"/>
                <w:szCs w:val="13"/>
                <w:b w:val="1"/>
                <w:bCs w:val="1"/>
                <w:color w:val="auto"/>
                <w:w w:val="95"/>
              </w:rPr>
              <w:t>Accumulated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13"/>
                <w:szCs w:val="13"/>
                <w:color w:val="auto"/>
              </w:rPr>
            </w:pPr>
          </w:p>
        </w:tc>
        <w:tc>
          <w:tcPr>
            <w:tcW w:w="1980" w:type="dxa"/>
            <w:vAlign w:val="bottom"/>
            <w:gridSpan w:val="3"/>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118"/>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ind w:right="38"/>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5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68"/>
        </w:trPr>
        <w:tc>
          <w:tcPr>
            <w:tcW w:w="428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jc w:val="center"/>
              <w:ind w:right="118"/>
              <w:spacing w:after="0" w:line="68" w:lineRule="exact"/>
              <w:rPr>
                <w:sz w:val="20"/>
                <w:szCs w:val="20"/>
                <w:color w:val="auto"/>
              </w:rPr>
            </w:pPr>
            <w:r>
              <w:rPr>
                <w:rFonts w:ascii="Arial" w:cs="Arial" w:eastAsia="Arial" w:hAnsi="Arial"/>
                <w:sz w:val="7"/>
                <w:szCs w:val="7"/>
                <w:b w:val="1"/>
                <w:bCs w:val="1"/>
                <w:color w:val="auto"/>
              </w:rPr>
              <w:t>Paid-In</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jc w:val="center"/>
              <w:ind w:right="58"/>
              <w:spacing w:after="0" w:line="68" w:lineRule="exact"/>
              <w:rPr>
                <w:sz w:val="20"/>
                <w:szCs w:val="20"/>
                <w:color w:val="auto"/>
              </w:rPr>
            </w:pPr>
            <w:r>
              <w:rPr>
                <w:rFonts w:ascii="Arial" w:cs="Arial" w:eastAsia="Arial" w:hAnsi="Arial"/>
                <w:sz w:val="7"/>
                <w:szCs w:val="7"/>
                <w:b w:val="1"/>
                <w:bCs w:val="1"/>
                <w:color w:val="auto"/>
              </w:rPr>
              <w:t>Accumulated</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jc w:val="center"/>
              <w:ind w:right="38"/>
              <w:spacing w:after="0" w:line="68" w:lineRule="exact"/>
              <w:rPr>
                <w:sz w:val="20"/>
                <w:szCs w:val="20"/>
                <w:color w:val="auto"/>
              </w:rPr>
            </w:pPr>
            <w:r>
              <w:rPr>
                <w:rFonts w:ascii="Arial" w:cs="Arial" w:eastAsia="Arial" w:hAnsi="Arial"/>
                <w:sz w:val="7"/>
                <w:szCs w:val="7"/>
                <w:b w:val="1"/>
                <w:bCs w:val="1"/>
                <w:color w:val="auto"/>
              </w:rPr>
              <w:t>Comprehensive</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jc w:val="center"/>
              <w:ind w:right="58"/>
              <w:spacing w:after="0" w:line="68"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89"/>
        </w:trPr>
        <w:tc>
          <w:tcPr>
            <w:tcW w:w="42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8"/>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rPr>
              <w:t>Deficit</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98"/>
              </w:rPr>
              <w:t>Loss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6"/>
        </w:trPr>
        <w:tc>
          <w:tcPr>
            <w:tcW w:w="4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45,300,514</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567,598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(316,615)</w:t>
            </w:r>
          </w:p>
        </w:tc>
        <w:tc>
          <w:tcPr>
            <w:tcW w:w="20" w:type="dxa"/>
            <w:vAlign w:val="bottom"/>
            <w:shd w:val="clear" w:color="auto" w:fill="CCEEFF"/>
          </w:tcPr>
          <w:p>
            <w:pPr>
              <w:spacing w:after="0"/>
              <w:rPr>
                <w:sz w:val="15"/>
                <w:szCs w:val="15"/>
                <w:color w:val="auto"/>
              </w:rPr>
            </w:pPr>
          </w:p>
        </w:tc>
        <w:tc>
          <w:tcPr>
            <w:tcW w:w="80" w:type="dxa"/>
            <w:vAlign w:val="bottom"/>
            <w:gridSpan w:val="2"/>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100" w:type="dxa"/>
            <w:vAlign w:val="bottom"/>
            <w:gridSpan w:val="2"/>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250,812</w:t>
            </w:r>
          </w:p>
        </w:tc>
        <w:tc>
          <w:tcPr>
            <w:tcW w:w="0" w:type="dxa"/>
            <w:vAlign w:val="bottom"/>
          </w:tcPr>
          <w:p>
            <w:pPr>
              <w:spacing w:after="0"/>
              <w:rPr>
                <w:sz w:val="1"/>
                <w:szCs w:val="1"/>
                <w:color w:val="auto"/>
              </w:rPr>
            </w:pPr>
          </w:p>
        </w:tc>
      </w:tr>
      <w:tr>
        <w:trPr>
          <w:trHeight w:val="168"/>
        </w:trPr>
        <w:tc>
          <w:tcPr>
            <w:tcW w:w="428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7,886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7,886</w:t>
            </w:r>
          </w:p>
        </w:tc>
        <w:tc>
          <w:tcPr>
            <w:tcW w:w="0" w:type="dxa"/>
            <w:vAlign w:val="bottom"/>
          </w:tcPr>
          <w:p>
            <w:pPr>
              <w:spacing w:after="0"/>
              <w:rPr>
                <w:sz w:val="1"/>
                <w:szCs w:val="1"/>
                <w:color w:val="auto"/>
              </w:rPr>
            </w:pPr>
          </w:p>
        </w:tc>
      </w:tr>
      <w:tr>
        <w:trPr>
          <w:trHeight w:val="142"/>
        </w:trPr>
        <w:tc>
          <w:tcPr>
            <w:tcW w:w="428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costs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70,410</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1,368</w:t>
            </w:r>
          </w:p>
        </w:tc>
        <w:tc>
          <w:tcPr>
            <w:tcW w:w="0" w:type="dxa"/>
            <w:vAlign w:val="bottom"/>
          </w:tcPr>
          <w:p>
            <w:pPr>
              <w:spacing w:after="0"/>
              <w:rPr>
                <w:sz w:val="1"/>
                <w:szCs w:val="1"/>
                <w:color w:val="auto"/>
              </w:rPr>
            </w:pPr>
          </w:p>
        </w:tc>
      </w:tr>
      <w:tr>
        <w:trPr>
          <w:trHeight w:val="168"/>
        </w:trPr>
        <w:tc>
          <w:tcPr>
            <w:tcW w:w="428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81,130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(17,850)</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68"/>
        </w:trPr>
        <w:tc>
          <w:tcPr>
            <w:tcW w:w="428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72,278</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333</w:t>
            </w:r>
          </w:p>
        </w:tc>
        <w:tc>
          <w:tcPr>
            <w:tcW w:w="0" w:type="dxa"/>
            <w:vAlign w:val="bottom"/>
          </w:tcPr>
          <w:p>
            <w:pPr>
              <w:spacing w:after="0"/>
              <w:rPr>
                <w:sz w:val="1"/>
                <w:szCs w:val="1"/>
                <w:color w:val="auto"/>
              </w:rPr>
            </w:pPr>
          </w:p>
        </w:tc>
      </w:tr>
      <w:tr>
        <w:trPr>
          <w:trHeight w:val="183"/>
        </w:trPr>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(68,717)</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(68,717)</w:t>
            </w:r>
          </w:p>
        </w:tc>
        <w:tc>
          <w:tcPr>
            <w:tcW w:w="0" w:type="dxa"/>
            <w:vAlign w:val="bottom"/>
          </w:tcPr>
          <w:p>
            <w:pPr>
              <w:spacing w:after="0"/>
              <w:rPr>
                <w:sz w:val="1"/>
                <w:szCs w:val="1"/>
                <w:color w:val="auto"/>
              </w:rPr>
            </w:pPr>
          </w:p>
        </w:tc>
      </w:tr>
      <w:tr>
        <w:trPr>
          <w:trHeight w:val="20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45,506,482</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576,955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(385,332)</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191,022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p>
      <w:pPr>
        <w:jc w:val="center"/>
        <w:ind w:left="8060"/>
        <w:spacing w:after="0"/>
        <w:rPr>
          <w:sz w:val="20"/>
          <w:szCs w:val="20"/>
          <w:color w:val="auto"/>
        </w:rPr>
      </w:pPr>
      <w:r>
        <w:rPr>
          <w:rFonts w:ascii="Arial" w:cs="Arial" w:eastAsia="Arial" w:hAnsi="Arial"/>
          <w:sz w:val="16"/>
          <w:szCs w:val="16"/>
          <w:b w:val="1"/>
          <w:bCs w:val="1"/>
          <w:color w:val="auto"/>
        </w:rPr>
        <w:t>Three Months Ended</w:t>
      </w:r>
    </w:p>
    <w:p>
      <w:pPr>
        <w:jc w:val="center"/>
        <w:ind w:left="806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6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(37,455)</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(68,717)</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Depreciation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7,886</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Non-cash operating lease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premiums and discounts on marketable securities,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2,489</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Accrued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4,616</w:t>
            </w:r>
          </w:p>
        </w:tc>
        <w:tc>
          <w:tcPr>
            <w:tcW w:w="0" w:type="dxa"/>
            <w:vAlign w:val="bottom"/>
          </w:tcPr>
          <w:p>
            <w:pPr>
              <w:spacing w:after="0"/>
              <w:rPr>
                <w:sz w:val="1"/>
                <w:szCs w:val="1"/>
                <w:color w:val="auto"/>
              </w:rPr>
            </w:pP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auto"/>
              </w:rPr>
              <w:t>Operating lease liabilities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revenue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3"/>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(54,109)</w:t>
            </w:r>
          </w:p>
        </w:tc>
        <w:tc>
          <w:tcPr>
            <w:tcW w:w="0" w:type="dxa"/>
            <w:vAlign w:val="bottom"/>
          </w:tcPr>
          <w:p>
            <w:pPr>
              <w:spacing w:after="0"/>
              <w:rPr>
                <w:sz w:val="1"/>
                <w:szCs w:val="1"/>
                <w:color w:val="auto"/>
              </w:rPr>
            </w:pPr>
          </w:p>
        </w:tc>
      </w:tr>
      <w:tr>
        <w:trPr>
          <w:trHeight w:val="216"/>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(83,022)</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Maturities of marketable securities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74,761</w:t>
            </w:r>
          </w:p>
        </w:tc>
        <w:tc>
          <w:tcPr>
            <w:tcW w:w="0" w:type="dxa"/>
            <w:vAlign w:val="bottom"/>
          </w:tcPr>
          <w:p>
            <w:pPr>
              <w:spacing w:after="0"/>
              <w:rPr>
                <w:sz w:val="1"/>
                <w:szCs w:val="1"/>
                <w:color w:val="auto"/>
              </w:rPr>
            </w:pPr>
          </w:p>
        </w:tc>
      </w:tr>
      <w:tr>
        <w:trPr>
          <w:trHeight w:val="206"/>
        </w:trPr>
        <w:tc>
          <w:tcPr>
            <w:tcW w:w="8060" w:type="dxa"/>
            <w:vAlign w:val="bottom"/>
          </w:tcPr>
          <w:p>
            <w:pPr>
              <w:ind w:left="680"/>
              <w:spacing w:after="0"/>
              <w:rPr>
                <w:sz w:val="20"/>
                <w:szCs w:val="20"/>
                <w:color w:val="auto"/>
              </w:rPr>
            </w:pPr>
            <w:r>
              <w:rPr>
                <w:rFonts w:ascii="Arial" w:cs="Arial" w:eastAsia="Arial" w:hAnsi="Arial"/>
                <w:sz w:val="16"/>
                <w:szCs w:val="16"/>
                <w:color w:val="auto"/>
              </w:rPr>
              <w:t>Net cash provided by (used in) investing activities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34,000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(8,550)</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Proceeds from at-the-market offerings, net of issuance costs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18,096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1,368</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issuance costs for at-the-market offerings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Payments of tax withholdings related to vesting of restricted stock units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07"/>
        </w:trPr>
        <w:tc>
          <w:tcPr>
            <w:tcW w:w="80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18,070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w:t>
            </w:r>
          </w:p>
        </w:tc>
        <w:tc>
          <w:tcPr>
            <w:tcW w:w="0" w:type="dxa"/>
            <w:vAlign w:val="bottom"/>
          </w:tcPr>
          <w:p>
            <w:pPr>
              <w:spacing w:after="0"/>
              <w:rPr>
                <w:sz w:val="1"/>
                <w:szCs w:val="1"/>
                <w:color w:val="auto"/>
              </w:rPr>
            </w:pPr>
          </w:p>
        </w:tc>
      </w:tr>
      <w:tr>
        <w:trPr>
          <w:trHeight w:val="21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(decrease) in cash, cash equivalents and restricted cash</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(61,450)</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62,031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139,720</w:t>
            </w:r>
          </w:p>
        </w:tc>
        <w:tc>
          <w:tcPr>
            <w:tcW w:w="0" w:type="dxa"/>
            <w:vAlign w:val="bottom"/>
          </w:tcPr>
          <w:p>
            <w:pPr>
              <w:spacing w:after="0"/>
              <w:rPr>
                <w:sz w:val="1"/>
                <w:szCs w:val="1"/>
                <w:color w:val="auto"/>
              </w:rPr>
            </w:pPr>
          </w:p>
        </w:tc>
      </w:tr>
      <w:tr>
        <w:trPr>
          <w:trHeight w:val="23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81,255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78,270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77,854</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33"/>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cash, cash equivalents and restricted cash</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81,255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78,270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9" w:name="page10"/>
    <w:bookmarkEnd w:id="9"/>
    <w:p>
      <w:pPr>
        <w:jc w:val="center"/>
        <w:ind w:left="360" w:right="2660"/>
        <w:spacing w:after="0" w:line="454" w:lineRule="auto"/>
        <w:rPr>
          <w:sz w:val="20"/>
          <w:szCs w:val="20"/>
          <w:color w:val="auto"/>
        </w:rPr>
      </w:pPr>
      <w:r>
        <w:rPr>
          <w:rFonts w:ascii="Arial" w:cs="Arial" w:eastAsia="Arial" w:hAnsi="Arial"/>
          <w:sz w:val="18"/>
          <w:szCs w:val="18"/>
          <w:b w:val="1"/>
          <w:bCs w:val="1"/>
          <w:color w:val="auto"/>
        </w:rPr>
        <w:t>PRAXIS PRECISION MEDICINES, INC. NOTES TO CONDENSED CONSOLIDATED FINANCIAL STATEMENTS (Unaudited)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27" w:lineRule="exact"/>
        <w:rPr>
          <w:sz w:val="20"/>
          <w:szCs w:val="20"/>
          <w:color w:val="auto"/>
        </w:rPr>
      </w:pPr>
    </w:p>
    <w:p>
      <w:pPr>
        <w:ind w:right="140" w:firstLine="446"/>
        <w:spacing w:after="0" w:line="254" w:lineRule="auto"/>
        <w:rPr>
          <w:sz w:val="20"/>
          <w:szCs w:val="20"/>
          <w:color w:val="auto"/>
        </w:rPr>
      </w:pPr>
      <w:r>
        <w:rPr>
          <w:rFonts w:ascii="Arial" w:cs="Arial" w:eastAsia="Arial" w:hAnsi="Arial"/>
          <w:sz w:val="18"/>
          <w:szCs w:val="18"/>
          <w:color w:val="auto"/>
        </w:rPr>
        <w:t>Praxis Precision Medicines, Inc. (“Praxis” or the “Company”) is a clinical-stage biopharmaceutical company translating insights from genetic epilepsies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The Company is applying genetic insights to the discovery and development of therapies for neurological disorders through two proprietary platforms, using its understanding of shared biological targets and circuits in the brain. Each platform has multiple programs currently, with significant potential for additional program and indication expansion:</w:t>
      </w:r>
    </w:p>
    <w:p>
      <w:pPr>
        <w:spacing w:after="0" w:line="171" w:lineRule="exact"/>
        <w:rPr>
          <w:sz w:val="20"/>
          <w:szCs w:val="20"/>
          <w:color w:val="auto"/>
        </w:rPr>
      </w:pPr>
    </w:p>
    <w:p>
      <w:pPr>
        <w:ind w:left="660" w:right="280" w:hanging="328"/>
        <w:spacing w:after="0" w:line="237"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b w:val="1"/>
          <w:bCs w:val="1"/>
          <w:i w:val="1"/>
          <w:iCs w:val="1"/>
          <w:color w:val="auto"/>
        </w:rPr>
        <w:t>Cerebrum</w:t>
      </w:r>
      <w:r>
        <w:rPr>
          <w:rFonts w:ascii="Arial" w:cs="Arial" w:eastAsia="Arial" w:hAnsi="Arial"/>
          <w:sz w:val="18"/>
          <w:szCs w:val="18"/>
          <w:color w:val="auto"/>
        </w:rPr>
        <w:t>™, the Company's small molecule platform, utilizes deep understanding of neuronal excitability and neuronal networks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applies a series of computational and experimental tools to develop orally available precision therapies</w:t>
      </w:r>
    </w:p>
    <w:p>
      <w:pPr>
        <w:spacing w:after="0" w:line="139" w:lineRule="exact"/>
        <w:rPr>
          <w:rFonts w:ascii="Arial" w:cs="Arial" w:eastAsia="Arial" w:hAnsi="Arial"/>
          <w:sz w:val="22"/>
          <w:szCs w:val="22"/>
          <w:color w:val="auto"/>
        </w:rPr>
      </w:pPr>
    </w:p>
    <w:p>
      <w:pPr>
        <w:ind w:left="660" w:right="320" w:hanging="328"/>
        <w:spacing w:after="0" w:line="28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Solidus</w:t>
      </w:r>
      <w:r>
        <w:rPr>
          <w:rFonts w:ascii="Arial" w:cs="Arial" w:eastAsia="Arial" w:hAnsi="Arial"/>
          <w:sz w:val="18"/>
          <w:szCs w:val="18"/>
          <w:color w:val="auto"/>
        </w:rPr>
        <w:t>™, the Company's antisense oligonucleotide, or ASO, platform, is an efficient, targeted precision medicine discovery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engine anchored on a proprietary, computational methodology</w:t>
      </w:r>
    </w:p>
    <w:p>
      <w:pPr>
        <w:spacing w:after="0" w:line="163"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The Company's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the Company has established a diversified, multimodal CNS portfolio with four clinical-stage product candidates across movement disorders and epilepsy. For the Company's most advanced product candidate under the Cerebrum™ platform, ulixacaltamide (also known as PRAX-944), topline results from the Phase 2b Essential1 clinical trial in essential tremor ("ET") were announced in the first quarter of 2023. An end-of-Phase 2 meeting is scheduled with the U.S. Food and Drug Administration in June 2023 and the Company intends to initiate a Phase 3 study in ET in the second half of 2023. The Company initiated its PRAX-562 Phase 2 EMBOLD study in the first quarter of 2023 and expects to announce topline results in the fourth quarter of 2023. The Company also announced positive results from its PRAX-628 Phase 1 study in May 2023 and expects to initiate a Phase 2 study in focal epilepsy in the fourth quarter of 2023. For the Company's most advanced product candidate under the Solidus™ platform, PRAX-222, it expects to announce topline results from the first dose cohort of its EMBRAVE study in the second half of 2023.</w:t>
      </w:r>
    </w:p>
    <w:p>
      <w:pPr>
        <w:spacing w:after="0" w:line="201" w:lineRule="exact"/>
        <w:rPr>
          <w:sz w:val="20"/>
          <w:szCs w:val="20"/>
          <w:color w:val="auto"/>
        </w:rPr>
      </w:pPr>
    </w:p>
    <w:p>
      <w:pPr>
        <w:ind w:firstLine="446"/>
        <w:spacing w:after="0" w:line="258" w:lineRule="auto"/>
        <w:rPr>
          <w:sz w:val="20"/>
          <w:szCs w:val="20"/>
          <w:color w:val="auto"/>
        </w:rPr>
      </w:pPr>
      <w:r>
        <w:rPr>
          <w:rFonts w:ascii="Arial" w:cs="Arial" w:eastAsia="Arial" w:hAnsi="Arial"/>
          <w:sz w:val="18"/>
          <w:szCs w:val="18"/>
          <w:color w:val="auto"/>
        </w:rPr>
        <w:t>Praxis was incorporated in 2015 and commenced operations in 2016. The Company has funded its operations primarily with proceeds from the issuance of redeemable convertible preferred stock, and from the sale of common stock through an initial public offering, a follow-on public offering and at-the-market offerings under its shelf registration statement. From inception through March 31, 2023, the Company raised $544.1 million in aggregate cash proceeds from these transactions, net of issuance costs.</w:t>
      </w:r>
    </w:p>
    <w:p>
      <w:pPr>
        <w:spacing w:after="0" w:line="190" w:lineRule="exact"/>
        <w:rPr>
          <w:sz w:val="20"/>
          <w:szCs w:val="20"/>
          <w:color w:val="auto"/>
        </w:rPr>
      </w:pPr>
    </w:p>
    <w:p>
      <w:pPr>
        <w:ind w:right="200" w:firstLine="446"/>
        <w:spacing w:after="0" w:line="254"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Programs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21" w:lineRule="exact"/>
        <w:rPr>
          <w:sz w:val="20"/>
          <w:szCs w:val="20"/>
          <w:color w:val="auto"/>
        </w:rPr>
      </w:pPr>
    </w:p>
    <w:p>
      <w:pPr>
        <w:ind w:right="140" w:firstLine="446"/>
        <w:spacing w:after="0" w:line="266" w:lineRule="auto"/>
        <w:rPr>
          <w:sz w:val="20"/>
          <w:szCs w:val="20"/>
          <w:color w:val="auto"/>
        </w:rPr>
      </w:pPr>
      <w:r>
        <w:rPr>
          <w:rFonts w:ascii="Arial" w:cs="Arial" w:eastAsia="Arial" w:hAnsi="Arial"/>
          <w:sz w:val="18"/>
          <w:szCs w:val="18"/>
          <w:color w:val="auto"/>
        </w:rPr>
        <w:t xml:space="preserve">In accordance with the Financial Accounting Standards Board ("FASB") Accounting Standards Update ("ASU") 2014-15,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Uncertainties about an Entity’s Ability to Continue as a Going Concern (Subtopic 205-40)</w:t>
      </w:r>
      <w:r>
        <w:rPr>
          <w:rFonts w:ascii="Arial" w:cs="Arial" w:eastAsia="Arial" w:hAnsi="Arial"/>
          <w:sz w:val="18"/>
          <w:szCs w:val="18"/>
          <w:color w:val="auto"/>
        </w:rPr>
        <w:t>, the Company has evaluated whether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events, considered in the aggregate, that raise</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10" w:name="page11"/>
    <w:bookmarkEnd w:id="10"/>
    <w:p>
      <w:pPr>
        <w:ind w:right="100"/>
        <w:spacing w:after="0" w:line="275" w:lineRule="auto"/>
        <w:rPr>
          <w:sz w:val="20"/>
          <w:szCs w:val="20"/>
          <w:color w:val="auto"/>
        </w:rPr>
      </w:pPr>
      <w:r>
        <w:rPr>
          <w:rFonts w:ascii="Arial" w:cs="Arial" w:eastAsia="Arial" w:hAnsi="Arial"/>
          <w:sz w:val="18"/>
          <w:szCs w:val="18"/>
          <w:color w:val="auto"/>
        </w:rPr>
        <w:t>substantial doubt about the Company’s ability to continue as a going concern within one year after the date that the condensed consolidated financial statements are issued.</w:t>
      </w:r>
    </w:p>
    <w:p>
      <w:pPr>
        <w:spacing w:after="0" w:line="174" w:lineRule="exact"/>
        <w:rPr>
          <w:sz w:val="20"/>
          <w:szCs w:val="20"/>
          <w:color w:val="auto"/>
        </w:rPr>
      </w:pPr>
    </w:p>
    <w:p>
      <w:pPr>
        <w:ind w:right="60" w:firstLine="446"/>
        <w:spacing w:after="0" w:line="263" w:lineRule="auto"/>
        <w:rPr>
          <w:sz w:val="20"/>
          <w:szCs w:val="20"/>
          <w:color w:val="auto"/>
        </w:rPr>
      </w:pPr>
      <w:r>
        <w:rPr>
          <w:rFonts w:ascii="Arial" w:cs="Arial" w:eastAsia="Arial" w:hAnsi="Arial"/>
          <w:sz w:val="18"/>
          <w:szCs w:val="18"/>
          <w:color w:val="auto"/>
        </w:rPr>
        <w:t>The Company has incurred recurring losses since its inception, including a net loss of $37.5 million for the three months ended March 31, 2023. In addition, as of March 31, 2023, the Company had an accumulated deficit of $568.1 million. The Company expects to continue to generate operating losses for the foreseeable future.</w:t>
      </w:r>
    </w:p>
    <w:p>
      <w:pPr>
        <w:spacing w:after="0" w:line="184" w:lineRule="exact"/>
        <w:rPr>
          <w:sz w:val="20"/>
          <w:szCs w:val="20"/>
          <w:color w:val="auto"/>
        </w:rPr>
      </w:pPr>
    </w:p>
    <w:p>
      <w:pPr>
        <w:ind w:right="60" w:firstLine="446"/>
        <w:spacing w:after="0" w:line="254" w:lineRule="auto"/>
        <w:rPr>
          <w:sz w:val="20"/>
          <w:szCs w:val="20"/>
          <w:color w:val="auto"/>
        </w:rPr>
      </w:pPr>
      <w:r>
        <w:rPr>
          <w:rFonts w:ascii="Arial" w:cs="Arial" w:eastAsia="Arial" w:hAnsi="Arial"/>
          <w:sz w:val="18"/>
          <w:szCs w:val="18"/>
          <w:color w:val="auto"/>
        </w:rPr>
        <w:t>The Company expects that its cash, cash equivalents and marketable securities as of March 31, 2023 may not be sufficient to fund operations for at least the next twelve months from the date of issuance of these condensed consolidated financial statements which raises substantial doubt about the Company's ability to continue as a going concern, and the Company will need to obtain additional funding. The Company expects to finance its operations through potential public or private equity financings, debt financings, collaboration agreements or other capital sources.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92" w:lineRule="exact"/>
        <w:rPr>
          <w:sz w:val="20"/>
          <w:szCs w:val="20"/>
          <w:color w:val="auto"/>
        </w:rPr>
      </w:pPr>
    </w:p>
    <w:p>
      <w:pPr>
        <w:ind w:right="80" w:firstLine="446"/>
        <w:spacing w:after="0" w:line="258" w:lineRule="auto"/>
        <w:rPr>
          <w:sz w:val="20"/>
          <w:szCs w:val="20"/>
          <w:color w:val="auto"/>
        </w:rPr>
      </w:pPr>
      <w:r>
        <w:rPr>
          <w:rFonts w:ascii="Arial" w:cs="Arial" w:eastAsia="Arial" w:hAnsi="Arial"/>
          <w:sz w:val="18"/>
          <w:szCs w:val="18"/>
          <w:color w:val="auto"/>
        </w:rPr>
        <w:t>The accompanying condensed consolidated financial statements have been prepared on a going concern basis, which contemplates the realization of assets and satisfaction of liabilities in the ordinary course of business. The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288" w:lineRule="exact"/>
        <w:rPr>
          <w:sz w:val="20"/>
          <w:szCs w:val="20"/>
          <w:color w:val="auto"/>
        </w:rPr>
      </w:pPr>
    </w:p>
    <w:p>
      <w:pPr>
        <w:ind w:right="7260" w:firstLine="8"/>
        <w:spacing w:after="0" w:line="381" w:lineRule="auto"/>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right="60" w:firstLine="446"/>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ASUs of the FASB.</w:t>
      </w:r>
    </w:p>
    <w:p>
      <w:pPr>
        <w:spacing w:after="0" w:line="184" w:lineRule="exact"/>
        <w:rPr>
          <w:sz w:val="20"/>
          <w:szCs w:val="20"/>
          <w:color w:val="auto"/>
        </w:rPr>
      </w:pPr>
    </w:p>
    <w:p>
      <w:pPr>
        <w:jc w:val="both"/>
        <w:ind w:right="420" w:firstLine="446"/>
        <w:spacing w:after="0" w:line="263"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months ended March 31, 2023 are consistent with those discussed in Note 2 to the consolidated financial statements included in the Company's 2022 Annual Report on Form 10-K, other than as noted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127"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The accompanying condensed consolidated balance sheet as of March 31, 2023, the condensed consolidated statements of operations for the three months ended March 31, 2023 and 2022, the condensed consolidated statements of comprehensive loss for the three months ended March 31, 2023 and 2022, the condensed consolidated statements of cash flows for the three months ended March 31, 2023 and 2022 and the condensed consolidated statements of stockholders’ equity for the three months ended March 31, 2023 and 2022 are unaudited. The unaudited interim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March 31, 2023, the results of its operations for the three months ended March 31, 2023 and 2022 and its cash flows for the three months ended March 31, 2023 and 2022. Financial statement disclosures for the three months ended March 31, 2023 and 2022 are condensed and do not include all disclosures required for an annual set of financial statements in accordance with GAAP.</w:t>
      </w:r>
    </w:p>
    <w:p>
      <w:pPr>
        <w:spacing w:after="0" w:line="194" w:lineRule="exact"/>
        <w:rPr>
          <w:sz w:val="20"/>
          <w:szCs w:val="20"/>
          <w:color w:val="auto"/>
        </w:rPr>
      </w:pPr>
    </w:p>
    <w:p>
      <w:pPr>
        <w:ind w:right="500" w:firstLine="446"/>
        <w:spacing w:after="0" w:line="275" w:lineRule="auto"/>
        <w:rPr>
          <w:sz w:val="20"/>
          <w:szCs w:val="20"/>
          <w:color w:val="auto"/>
        </w:rPr>
      </w:pPr>
      <w:r>
        <w:rPr>
          <w:rFonts w:ascii="Arial" w:cs="Arial" w:eastAsia="Arial" w:hAnsi="Arial"/>
          <w:sz w:val="18"/>
          <w:szCs w:val="18"/>
          <w:color w:val="auto"/>
        </w:rPr>
        <w:t>The results for the three months ended March 31, 2023 are not necessarily indicative of results to be expected for the year ended December 31, 2023, any other interim periods, or any future year or period.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7" w:lineRule="exact"/>
        <w:rPr>
          <w:sz w:val="20"/>
          <w:szCs w:val="20"/>
          <w:color w:val="auto"/>
        </w:rPr>
      </w:pPr>
    </w:p>
    <w:p>
      <w:pPr>
        <w:ind w:right="40" w:firstLine="446"/>
        <w:spacing w:after="0" w:line="263"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1" w:name="page12"/>
    <w:bookmarkEnd w:id="11"/>
    <w:p>
      <w:pPr>
        <w:ind w:right="460"/>
        <w:spacing w:after="0" w:line="256" w:lineRule="auto"/>
        <w:rPr>
          <w:sz w:val="20"/>
          <w:szCs w:val="20"/>
          <w:color w:val="auto"/>
        </w:rPr>
      </w:pPr>
      <w:r>
        <w:rPr>
          <w:rFonts w:ascii="Arial" w:cs="Arial" w:eastAsia="Arial" w:hAnsi="Arial"/>
          <w:sz w:val="18"/>
          <w:szCs w:val="18"/>
          <w:color w:val="auto"/>
        </w:rPr>
        <w:t>reported amounts of expenses during the reporting periods. Significant estimates and assumptions reflected in these condensed consolidated financial statements include, but are not limited to, accrued and prepaid research and development expense, collaboration revenue, stock-based compensation expense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expect any recently issued accounting pronouncements to have a material impact on its financial statements.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Company's investment portfolio as of March 31, 2023 and December 31, 2022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6"/>
                <w:szCs w:val="16"/>
                <w:b w:val="1"/>
                <w:bCs w:val="1"/>
                <w:color w:val="auto"/>
              </w:rPr>
              <w:t>As of March 31, 2023</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05"/>
        </w:trPr>
        <w:tc>
          <w:tcPr>
            <w:tcW w:w="6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rPr>
              <w:t>Gross Unrealized</w:t>
            </w:r>
          </w:p>
        </w:tc>
        <w:tc>
          <w:tcPr>
            <w:tcW w:w="240" w:type="dxa"/>
            <w:vAlign w:val="bottom"/>
          </w:tcPr>
          <w:p>
            <w:pPr>
              <w:spacing w:after="0"/>
              <w:rPr>
                <w:sz w:val="17"/>
                <w:szCs w:val="17"/>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Estimated</w:t>
            </w:r>
          </w:p>
        </w:tc>
      </w:tr>
      <w:tr>
        <w:trPr>
          <w:trHeight w:val="221"/>
        </w:trPr>
        <w:tc>
          <w:tcPr>
            <w:tcW w:w="60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Cost</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ind w:left="80"/>
              <w:spacing w:after="0"/>
              <w:rPr>
                <w:sz w:val="20"/>
                <w:szCs w:val="20"/>
                <w:color w:val="auto"/>
              </w:rPr>
            </w:pPr>
            <w:r>
              <w:rPr>
                <w:rFonts w:ascii="Arial" w:cs="Arial" w:eastAsia="Arial" w:hAnsi="Arial"/>
                <w:sz w:val="16"/>
                <w:szCs w:val="16"/>
                <w:b w:val="1"/>
                <w:bCs w:val="1"/>
                <w:color w:val="auto"/>
              </w:rPr>
              <w:t>Gains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Losses</w:t>
            </w:r>
          </w:p>
        </w:tc>
        <w:tc>
          <w:tcPr>
            <w:tcW w:w="240" w:type="dxa"/>
            <w:vAlign w:val="bottom"/>
          </w:tcPr>
          <w:p>
            <w:pPr>
              <w:spacing w:after="0"/>
              <w:rPr>
                <w:sz w:val="19"/>
                <w:szCs w:val="19"/>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Fair Value</w:t>
            </w:r>
          </w:p>
        </w:tc>
      </w:tr>
      <w:tr>
        <w:trPr>
          <w:trHeight w:val="210"/>
        </w:trPr>
        <w:tc>
          <w:tcPr>
            <w:tcW w:w="6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Available-for-sale securities:</w:t>
            </w:r>
          </w:p>
        </w:tc>
        <w:tc>
          <w:tcPr>
            <w:tcW w:w="9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6"/>
                <w:szCs w:val="16"/>
                <w:color w:val="auto"/>
              </w:rPr>
              <w:t>Corporate debt securities</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5,002</w:t>
            </w:r>
          </w:p>
        </w:tc>
        <w:tc>
          <w:tcPr>
            <w:tcW w:w="100" w:type="dxa"/>
            <w:vAlign w:val="bottom"/>
            <w:gridSpan w:val="2"/>
          </w:tcPr>
          <w:p>
            <w:pPr>
              <w:spacing w:after="0"/>
              <w:rPr>
                <w:sz w:val="18"/>
                <w:szCs w:val="18"/>
                <w:color w:val="auto"/>
              </w:rPr>
            </w:pPr>
          </w:p>
        </w:tc>
        <w:tc>
          <w:tcPr>
            <w:tcW w:w="1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4,983</w:t>
            </w:r>
          </w:p>
        </w:tc>
      </w:tr>
      <w:tr>
        <w:trPr>
          <w:trHeight w:val="20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securities with a maturity of one year or less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5,002</w:t>
            </w:r>
          </w:p>
        </w:tc>
        <w:tc>
          <w:tcPr>
            <w:tcW w:w="26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4,983</w:t>
            </w:r>
          </w:p>
        </w:tc>
      </w:tr>
      <w:tr>
        <w:trPr>
          <w:trHeight w:val="250"/>
        </w:trPr>
        <w:tc>
          <w:tcPr>
            <w:tcW w:w="6060" w:type="dxa"/>
            <w:vAlign w:val="bottom"/>
            <w:tcBorders>
              <w:top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spacing w:after="0"/>
              <w:rPr>
                <w:sz w:val="21"/>
                <w:szCs w:val="21"/>
                <w:color w:val="auto"/>
              </w:rPr>
            </w:pPr>
          </w:p>
        </w:tc>
      </w:tr>
      <w:tr>
        <w:trPr>
          <w:trHeight w:val="23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available-for-sale securities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5,002</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4,983</w:t>
            </w:r>
          </w:p>
        </w:tc>
      </w:tr>
      <w:tr>
        <w:trPr>
          <w:trHeight w:val="20"/>
        </w:trPr>
        <w:tc>
          <w:tcPr>
            <w:tcW w:w="6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19"/>
        </w:trPr>
        <w:tc>
          <w:tcPr>
            <w:tcW w:w="60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05"/>
        </w:trPr>
        <w:tc>
          <w:tcPr>
            <w:tcW w:w="6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rPr>
              <w:t>Gross Unrealized</w:t>
            </w:r>
          </w:p>
        </w:tc>
        <w:tc>
          <w:tcPr>
            <w:tcW w:w="240" w:type="dxa"/>
            <w:vAlign w:val="bottom"/>
          </w:tcPr>
          <w:p>
            <w:pPr>
              <w:spacing w:after="0"/>
              <w:rPr>
                <w:sz w:val="17"/>
                <w:szCs w:val="17"/>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Estimated</w:t>
            </w:r>
          </w:p>
        </w:tc>
      </w:tr>
      <w:tr>
        <w:trPr>
          <w:trHeight w:val="221"/>
        </w:trPr>
        <w:tc>
          <w:tcPr>
            <w:tcW w:w="60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Cost</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ind w:left="100"/>
              <w:spacing w:after="0"/>
              <w:rPr>
                <w:sz w:val="20"/>
                <w:szCs w:val="20"/>
                <w:color w:val="auto"/>
              </w:rPr>
            </w:pPr>
            <w:r>
              <w:rPr>
                <w:rFonts w:ascii="Arial" w:cs="Arial" w:eastAsia="Arial" w:hAnsi="Arial"/>
                <w:sz w:val="16"/>
                <w:szCs w:val="16"/>
                <w:b w:val="1"/>
                <w:bCs w:val="1"/>
                <w:color w:val="auto"/>
              </w:rPr>
              <w:t>Gains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Losses</w:t>
            </w:r>
          </w:p>
        </w:tc>
        <w:tc>
          <w:tcPr>
            <w:tcW w:w="240" w:type="dxa"/>
            <w:vAlign w:val="bottom"/>
          </w:tcPr>
          <w:p>
            <w:pPr>
              <w:spacing w:after="0"/>
              <w:rPr>
                <w:sz w:val="19"/>
                <w:szCs w:val="19"/>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Fair Value</w:t>
            </w:r>
          </w:p>
        </w:tc>
      </w:tr>
      <w:tr>
        <w:trPr>
          <w:trHeight w:val="209"/>
        </w:trPr>
        <w:tc>
          <w:tcPr>
            <w:tcW w:w="6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Available-for-sale securities:</w:t>
            </w:r>
          </w:p>
        </w:tc>
        <w:tc>
          <w:tcPr>
            <w:tcW w:w="9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Corporate debt securities</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8"/>
              </w:rPr>
              <w:t>35,042</w:t>
            </w:r>
          </w:p>
        </w:tc>
        <w:tc>
          <w:tcPr>
            <w:tcW w:w="260" w:type="dxa"/>
            <w:vAlign w:val="bottom"/>
            <w:gridSpan w:val="4"/>
          </w:tcPr>
          <w:p>
            <w:pPr>
              <w:ind w:left="140"/>
              <w:spacing w:after="0"/>
              <w:rPr>
                <w:sz w:val="20"/>
                <w:szCs w:val="20"/>
                <w:color w:val="auto"/>
              </w:rPr>
            </w:pPr>
            <w:r>
              <w:rPr>
                <w:rFonts w:ascii="Arial" w:cs="Arial" w:eastAsia="Arial" w:hAnsi="Arial"/>
                <w:sz w:val="16"/>
                <w:szCs w:val="16"/>
                <w:color w:val="auto"/>
              </w:rPr>
              <w:t>$</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34,879</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securities issued by U.S. government agencies</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3,995</w:t>
            </w:r>
          </w:p>
        </w:tc>
      </w:tr>
      <w:tr>
        <w:trPr>
          <w:trHeight w:val="206"/>
        </w:trPr>
        <w:tc>
          <w:tcPr>
            <w:tcW w:w="6060" w:type="dxa"/>
            <w:vAlign w:val="bottom"/>
          </w:tcPr>
          <w:p>
            <w:pPr>
              <w:ind w:left="20"/>
              <w:spacing w:after="0"/>
              <w:rPr>
                <w:sz w:val="20"/>
                <w:szCs w:val="20"/>
                <w:color w:val="auto"/>
              </w:rPr>
            </w:pPr>
            <w:r>
              <w:rPr>
                <w:rFonts w:ascii="Arial" w:cs="Arial" w:eastAsia="Arial" w:hAnsi="Arial"/>
                <w:sz w:val="16"/>
                <w:szCs w:val="16"/>
                <w:color w:val="auto"/>
              </w:rPr>
              <w:t>Total securities with a maturity of one year or less</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8"/>
              </w:rPr>
              <w:t>39,047</w:t>
            </w:r>
          </w:p>
        </w:tc>
        <w:tc>
          <w:tcPr>
            <w:tcW w:w="260" w:type="dxa"/>
            <w:vAlign w:val="bottom"/>
            <w:gridSpan w:val="4"/>
          </w:tcPr>
          <w:p>
            <w:pPr>
              <w:ind w:left="140"/>
              <w:spacing w:after="0"/>
              <w:rPr>
                <w:sz w:val="20"/>
                <w:szCs w:val="20"/>
                <w:color w:val="auto"/>
              </w:rPr>
            </w:pPr>
            <w:r>
              <w:rPr>
                <w:rFonts w:ascii="Arial" w:cs="Arial" w:eastAsia="Arial" w:hAnsi="Arial"/>
                <w:sz w:val="16"/>
                <w:szCs w:val="16"/>
                <w:color w:val="auto"/>
              </w:rPr>
              <w:t>$</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38,874</w:t>
            </w:r>
          </w:p>
        </w:tc>
      </w:tr>
      <w:tr>
        <w:trPr>
          <w:trHeight w:val="253"/>
        </w:trPr>
        <w:tc>
          <w:tcPr>
            <w:tcW w:w="606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300" w:type="dxa"/>
            <w:vAlign w:val="bottom"/>
            <w:tcBorders>
              <w:top w:val="single" w:sz="8" w:color="auto"/>
              <w:bottom w:val="single" w:sz="8" w:color="auto"/>
            </w:tcBorders>
            <w:shd w:val="clear" w:color="auto" w:fill="CCEEFF"/>
          </w:tcPr>
          <w:p>
            <w:pPr>
              <w:spacing w:after="0"/>
              <w:rPr>
                <w:sz w:val="22"/>
                <w:szCs w:val="22"/>
                <w:color w:val="auto"/>
              </w:rPr>
            </w:pPr>
          </w:p>
        </w:tc>
      </w:tr>
      <w:tr>
        <w:trPr>
          <w:trHeight w:val="209"/>
        </w:trPr>
        <w:tc>
          <w:tcPr>
            <w:tcW w:w="6060" w:type="dxa"/>
            <w:vAlign w:val="bottom"/>
          </w:tcPr>
          <w:p>
            <w:pPr>
              <w:ind w:left="20"/>
              <w:spacing w:after="0"/>
              <w:rPr>
                <w:sz w:val="20"/>
                <w:szCs w:val="20"/>
                <w:color w:val="auto"/>
              </w:rPr>
            </w:pPr>
            <w:r>
              <w:rPr>
                <w:rFonts w:ascii="Arial" w:cs="Arial" w:eastAsia="Arial" w:hAnsi="Arial"/>
                <w:sz w:val="16"/>
                <w:szCs w:val="16"/>
                <w:color w:val="auto"/>
              </w:rPr>
              <w:t>Total available-for-sale securities</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8"/>
              </w:rPr>
              <w:t>39,047</w:t>
            </w:r>
          </w:p>
        </w:tc>
        <w:tc>
          <w:tcPr>
            <w:tcW w:w="260" w:type="dxa"/>
            <w:vAlign w:val="bottom"/>
            <w:gridSpan w:val="4"/>
          </w:tcPr>
          <w:p>
            <w:pPr>
              <w:ind w:left="140"/>
              <w:spacing w:after="0"/>
              <w:rPr>
                <w:sz w:val="20"/>
                <w:szCs w:val="20"/>
                <w:color w:val="auto"/>
              </w:rPr>
            </w:pPr>
            <w:r>
              <w:rPr>
                <w:rFonts w:ascii="Arial" w:cs="Arial" w:eastAsia="Arial" w:hAnsi="Arial"/>
                <w:sz w:val="16"/>
                <w:szCs w:val="16"/>
                <w:color w:val="auto"/>
              </w:rPr>
              <w:t>$</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38,874</w:t>
            </w:r>
          </w:p>
        </w:tc>
      </w:tr>
      <w:tr>
        <w:trPr>
          <w:trHeight w:val="21"/>
        </w:trPr>
        <w:tc>
          <w:tcPr>
            <w:tcW w:w="60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right="300" w:firstLine="446"/>
        <w:spacing w:after="0" w:line="256" w:lineRule="auto"/>
        <w:rPr>
          <w:sz w:val="20"/>
          <w:szCs w:val="20"/>
          <w:color w:val="auto"/>
        </w:rPr>
      </w:pPr>
      <w:r>
        <w:rPr>
          <w:rFonts w:ascii="Arial" w:cs="Arial" w:eastAsia="Arial" w:hAnsi="Arial"/>
          <w:sz w:val="18"/>
          <w:szCs w:val="18"/>
          <w:color w:val="auto"/>
        </w:rPr>
        <w:t>As of March 31, 2023, the Company had 1 security with a total fair market value of $5.0 million in an unrealized loss position. The Company believes that any unrealized losses associated with the decline in value of its securities is temporary and primarily related to the change in market interest rates since purchase, and believes that it is more likely than not that it will be able to hold its debt securities to maturity. Therefore, the Company anticipates a full recovery of the amortized cost basis of its debt securities at maturity and an allowance was not recognized.</w:t>
      </w:r>
    </w:p>
    <w:p>
      <w:pPr>
        <w:spacing w:after="0" w:line="192" w:lineRule="exact"/>
        <w:rPr>
          <w:sz w:val="20"/>
          <w:szCs w:val="20"/>
          <w:color w:val="auto"/>
        </w:rPr>
      </w:pPr>
    </w:p>
    <w:p>
      <w:pPr>
        <w:ind w:right="160" w:firstLine="446"/>
        <w:spacing w:after="0" w:line="275" w:lineRule="auto"/>
        <w:rPr>
          <w:sz w:val="20"/>
          <w:szCs w:val="20"/>
          <w:color w:val="auto"/>
        </w:rPr>
      </w:pPr>
      <w:r>
        <w:rPr>
          <w:rFonts w:ascii="Arial" w:cs="Arial" w:eastAsia="Arial" w:hAnsi="Arial"/>
          <w:sz w:val="18"/>
          <w:szCs w:val="18"/>
          <w:color w:val="auto"/>
        </w:rPr>
        <w:t>Securities are evaluated for impairment at the end of each reporting period. The Company did not record any impairment related to its available-for-sale securities during the three months ended March 31, 2023 and 2022.</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7" w:lineRule="exact"/>
        <w:rPr>
          <w:sz w:val="20"/>
          <w:szCs w:val="20"/>
          <w:color w:val="auto"/>
        </w:rPr>
      </w:pPr>
    </w:p>
    <w:p>
      <w:pPr>
        <w:ind w:right="260" w:firstLine="446"/>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in an orderly transaction between market participants at the measurement date. The Company categorizes financial assets measured at fair value based on a fair value hierarchy. The following fair value hierarchy is used to classify financial assets based on observable inputs and unobservable inputs used to value the financial assets:</w:t>
      </w:r>
    </w:p>
    <w:p>
      <w:pPr>
        <w:spacing w:after="0" w:line="76" w:lineRule="exact"/>
        <w:rPr>
          <w:sz w:val="20"/>
          <w:szCs w:val="20"/>
          <w:color w:val="auto"/>
        </w:rPr>
      </w:pPr>
    </w:p>
    <w:p>
      <w:pPr>
        <w:ind w:left="5580" w:right="1280" w:hanging="5248"/>
        <w:spacing w:after="0" w:line="917" w:lineRule="auto"/>
        <w:tabs>
          <w:tab w:leader="none" w:pos="662"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Unadjusted quoted prices in active markets that are accessible at the measurement date for identical assets;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2" w:name="page13"/>
    <w:bookmarkEnd w:id="12"/>
    <w:p>
      <w:pPr>
        <w:ind w:left="660" w:right="840" w:hanging="328"/>
        <w:spacing w:after="0" w:line="27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Quoted prices for similar assets in active markets, quoted prices in markets that are not active, or inputs which are unobservable, either directly or indirectly, for substantially the full term of the asset; or</w:t>
      </w:r>
    </w:p>
    <w:p>
      <w:pPr>
        <w:spacing w:after="0" w:line="6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valuation of the asset and unobservable.</w:t>
      </w:r>
    </w:p>
    <w:p>
      <w:pPr>
        <w:spacing w:after="0" w:line="225" w:lineRule="exact"/>
        <w:rPr>
          <w:sz w:val="20"/>
          <w:szCs w:val="20"/>
          <w:color w:val="auto"/>
        </w:rPr>
      </w:pPr>
    </w:p>
    <w:p>
      <w:pPr>
        <w:ind w:right="100" w:firstLine="446"/>
        <w:spacing w:after="0" w:line="306" w:lineRule="auto"/>
        <w:rPr>
          <w:sz w:val="20"/>
          <w:szCs w:val="20"/>
          <w:color w:val="auto"/>
        </w:rPr>
      </w:pPr>
      <w:r>
        <w:rPr>
          <w:rFonts w:ascii="Arial" w:cs="Arial" w:eastAsia="Arial" w:hAnsi="Arial"/>
          <w:sz w:val="17"/>
          <w:szCs w:val="17"/>
          <w:color w:val="auto"/>
        </w:rPr>
        <w:t>The following tables present information about the Company’s financial assets measured at fair value on a recurring basis and indicate the level of the fair value hierarchy utilized to determine such fair values as of March 31, 2023 and December 31, 2022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As of March 31, 2023</w:t>
            </w: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09"/>
        </w:trPr>
        <w:tc>
          <w:tcPr>
            <w:tcW w:w="5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Level 2</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19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62,976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62,976</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4,983</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4,983</w:t>
            </w:r>
          </w:p>
        </w:tc>
      </w:tr>
      <w:tr>
        <w:trPr>
          <w:trHeight w:val="207"/>
        </w:trPr>
        <w:tc>
          <w:tcPr>
            <w:tcW w:w="524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62,976</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4,983</w:t>
            </w:r>
          </w:p>
        </w:tc>
        <w:tc>
          <w:tcPr>
            <w:tcW w:w="1200" w:type="dxa"/>
            <w:vAlign w:val="bottom"/>
            <w:gridSpan w:val="2"/>
          </w:tcPr>
          <w:p>
            <w:pPr>
              <w:jc w:val="right"/>
              <w:ind w:right="919"/>
              <w:spacing w:after="0"/>
              <w:rPr>
                <w:sz w:val="20"/>
                <w:szCs w:val="20"/>
                <w:color w:val="auto"/>
              </w:rPr>
            </w:pPr>
            <w:r>
              <w:rPr>
                <w:rFonts w:ascii="Arial" w:cs="Arial" w:eastAsia="Arial" w:hAnsi="Arial"/>
                <w:sz w:val="16"/>
                <w:szCs w:val="16"/>
                <w:color w:val="auto"/>
              </w:rPr>
              <w:t>$</w:t>
            </w: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67,959</w:t>
            </w:r>
          </w:p>
        </w:tc>
      </w:tr>
      <w:tr>
        <w:trPr>
          <w:trHeight w:val="23"/>
        </w:trPr>
        <w:tc>
          <w:tcPr>
            <w:tcW w:w="524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As of December 31, 2022</w:t>
            </w: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10"/>
        </w:trPr>
        <w:tc>
          <w:tcPr>
            <w:tcW w:w="5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0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34,181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34,181</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34,879</w:t>
            </w:r>
          </w:p>
        </w:tc>
      </w:tr>
      <w:tr>
        <w:trPr>
          <w:trHeight w:val="213"/>
        </w:trPr>
        <w:tc>
          <w:tcPr>
            <w:tcW w:w="52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3,995</w:t>
            </w:r>
          </w:p>
        </w:tc>
      </w:tr>
      <w:tr>
        <w:trPr>
          <w:trHeight w:val="230"/>
        </w:trPr>
        <w:tc>
          <w:tcPr>
            <w:tcW w:w="5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38,176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34,879</w:t>
            </w:r>
          </w:p>
        </w:tc>
        <w:tc>
          <w:tcPr>
            <w:tcW w:w="1200" w:type="dxa"/>
            <w:vAlign w:val="bottom"/>
            <w:gridSpan w:val="2"/>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73,055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March 31, 2023</w:t>
            </w:r>
          </w:p>
        </w:tc>
        <w:tc>
          <w:tcPr>
            <w:tcW w:w="100" w:type="dxa"/>
            <w:vAlign w:val="bottom"/>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external research and development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6,355</w:t>
            </w:r>
          </w:p>
        </w:tc>
        <w:tc>
          <w:tcPr>
            <w:tcW w:w="64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10,734</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Accrued personnel-related expenses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1,748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2,803</w:t>
            </w:r>
          </w:p>
        </w:tc>
      </w:tr>
      <w:tr>
        <w:trPr>
          <w:trHeight w:val="219"/>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other expenses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2,313</w:t>
            </w:r>
          </w:p>
        </w:tc>
      </w:tr>
      <w:tr>
        <w:trPr>
          <w:trHeight w:val="210"/>
        </w:trPr>
        <w:tc>
          <w:tcPr>
            <w:tcW w:w="8060" w:type="dxa"/>
            <w:vAlign w:val="bottom"/>
          </w:tcPr>
          <w:p>
            <w:pPr>
              <w:ind w:left="460"/>
              <w:spacing w:after="0"/>
              <w:rPr>
                <w:sz w:val="20"/>
                <w:szCs w:val="20"/>
                <w:color w:val="auto"/>
              </w:rPr>
            </w:pPr>
            <w:r>
              <w:rPr>
                <w:rFonts w:ascii="Arial" w:cs="Arial" w:eastAsia="Arial" w:hAnsi="Arial"/>
                <w:sz w:val="16"/>
                <w:szCs w:val="16"/>
                <w:color w:val="auto"/>
              </w:rPr>
              <w:t>Total accrued expenses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9,352</w:t>
            </w:r>
          </w:p>
        </w:tc>
        <w:tc>
          <w:tcPr>
            <w:tcW w:w="64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15,850</w:t>
            </w:r>
          </w:p>
        </w:tc>
      </w:tr>
      <w:tr>
        <w:trPr>
          <w:trHeight w:val="20"/>
        </w:trPr>
        <w:tc>
          <w:tcPr>
            <w:tcW w:w="8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7" w:lineRule="exact"/>
        <w:rPr>
          <w:sz w:val="20"/>
          <w:szCs w:val="20"/>
          <w:color w:val="auto"/>
        </w:rPr>
      </w:pPr>
    </w:p>
    <w:p>
      <w:pPr>
        <w:ind w:right="60" w:firstLine="446"/>
        <w:spacing w:after="0" w:line="256" w:lineRule="auto"/>
        <w:rPr>
          <w:sz w:val="20"/>
          <w:szCs w:val="20"/>
          <w:color w:val="auto"/>
        </w:rPr>
      </w:pPr>
      <w:r>
        <w:rPr>
          <w:rFonts w:ascii="Arial" w:cs="Arial" w:eastAsia="Arial" w:hAnsi="Arial"/>
          <w:sz w:val="18"/>
          <w:szCs w:val="18"/>
          <w:color w:val="auto"/>
        </w:rPr>
        <w:t>In May 2021, the Company entered into a sublease agreement for office space located in Boston, Massachusetts that expires on January 31, 2026, with no option to renew or terminate early. The base rent increases by approximately 2% annually. The Company issued a letter of credit to the landlord related to the security deposit, secured by restricted cash, which is reflected within other non-current assets on the accompanying condensed consolidated balance sheets as of March 31, 2023 and December 31, 2022. This lease qualifies as an operating lease.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7. UCB Option and License Agreement</w:t>
      </w:r>
    </w:p>
    <w:p>
      <w:pPr>
        <w:spacing w:after="0" w:line="127"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In December 2022, the Company entered into an Option and License Agreement (“the Collaboration Agreement”) with UCB Biopharma SRL ("UCB") for the discovery of small molecule therapeutics as potential treatments of KCNT1-related epilepsies. Under the terms of the Collaboration Agreement, the Company has agreed to perform general biology-related research services as part of a mutually agreed upon research plan in exchange for a $5.0 million upfront payment. In addition, the Company provided UCB an exclusive option to in-license global development and commercialization rights to any resulting KCNT1 small molecule development candidate identified as part of the research plan. If UCB exercises its option to in-license global development and commercialization rights, the Collaboration Agreement stipulates that UCB will assume research, development, manufacturing and commercialization responsibilities and costs. Under the terms of the Collaboration Agreement, the Company will be eligible to receive an option fee and future success-based development and commercialization milestone payments, totaling up to $98.5 million, in addition to tiered royalties on net sales of any resulting products from the Collaboration Agreement.</w:t>
      </w:r>
    </w:p>
    <w:p>
      <w:pPr>
        <w:spacing w:after="0" w:line="194" w:lineRule="exact"/>
        <w:rPr>
          <w:sz w:val="20"/>
          <w:szCs w:val="20"/>
          <w:color w:val="auto"/>
        </w:rPr>
      </w:pPr>
    </w:p>
    <w:p>
      <w:pPr>
        <w:ind w:right="20" w:firstLine="446"/>
        <w:spacing w:after="0" w:line="258" w:lineRule="auto"/>
        <w:rPr>
          <w:sz w:val="20"/>
          <w:szCs w:val="20"/>
          <w:color w:val="auto"/>
        </w:rPr>
      </w:pPr>
      <w:r>
        <w:rPr>
          <w:rFonts w:ascii="Arial" w:cs="Arial" w:eastAsia="Arial" w:hAnsi="Arial"/>
          <w:sz w:val="18"/>
          <w:szCs w:val="18"/>
          <w:color w:val="auto"/>
        </w:rPr>
        <w:t>The Company concluded that UCB is a customer, and as such, the arrangement falls within the scope of Topic 606. At the commencement of the Collaboration Agreement, the Company identified one performance obligation, which was to perform the research services for UCB. The Company determined the transaction price to be $5.0 million, comprised of the upfront payment it received. The option provided to UCB was determined not to be a material right.</w:t>
      </w:r>
    </w:p>
    <w:p>
      <w:pPr>
        <w:spacing w:after="0" w:line="190" w:lineRule="exact"/>
        <w:rPr>
          <w:sz w:val="20"/>
          <w:szCs w:val="20"/>
          <w:color w:val="auto"/>
        </w:rPr>
      </w:pPr>
    </w:p>
    <w:p>
      <w:pPr>
        <w:ind w:right="200" w:firstLine="446"/>
        <w:spacing w:after="0" w:line="258" w:lineRule="auto"/>
        <w:rPr>
          <w:sz w:val="20"/>
          <w:szCs w:val="20"/>
          <w:color w:val="auto"/>
        </w:rPr>
      </w:pPr>
      <w:r>
        <w:rPr>
          <w:rFonts w:ascii="Arial" w:cs="Arial" w:eastAsia="Arial" w:hAnsi="Arial"/>
          <w:sz w:val="18"/>
          <w:szCs w:val="18"/>
          <w:color w:val="auto"/>
        </w:rPr>
        <w:t>The Company recognizes revenue for its research services performance obligation over time using an input method over the duration of the research services. During the three months ended March 31, 2023, the Company recognized $ 0.7 million in collaboration revenue related to the Collaboration Agreement in the condensed consolidated statement of operations. As of March 31, 2023, $4.3 million was included in deferred revenue in the condensed consolidated balance sheet, of which $2.5 million was classified as current.</w:t>
      </w:r>
    </w:p>
    <w:p>
      <w:pPr>
        <w:spacing w:after="0" w:line="288" w:lineRule="exact"/>
        <w:rPr>
          <w:sz w:val="20"/>
          <w:szCs w:val="20"/>
          <w:color w:val="auto"/>
        </w:rPr>
      </w:pPr>
    </w:p>
    <w:p>
      <w:pPr>
        <w:ind w:right="7960" w:firstLine="8"/>
        <w:spacing w:after="0" w:line="381" w:lineRule="auto"/>
        <w:tabs>
          <w:tab w:leader="none" w:pos="2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Common Stock and Preferred Stock </w:t>
      </w:r>
      <w:r>
        <w:rPr>
          <w:rFonts w:ascii="Arial" w:cs="Arial" w:eastAsia="Arial" w:hAnsi="Arial"/>
          <w:sz w:val="18"/>
          <w:szCs w:val="18"/>
          <w:b w:val="1"/>
          <w:bCs w:val="1"/>
          <w:i w:val="1"/>
          <w:iCs w:val="1"/>
          <w:color w:val="auto"/>
        </w:rPr>
        <w:t>Common Stock</w:t>
      </w:r>
    </w:p>
    <w:p>
      <w:pPr>
        <w:spacing w:after="0" w:line="1" w:lineRule="exact"/>
        <w:rPr>
          <w:sz w:val="20"/>
          <w:szCs w:val="20"/>
          <w:color w:val="auto"/>
        </w:rPr>
      </w:pPr>
    </w:p>
    <w:p>
      <w:pPr>
        <w:ind w:right="200" w:firstLine="446"/>
        <w:spacing w:after="0" w:line="275" w:lineRule="auto"/>
        <w:rPr>
          <w:sz w:val="20"/>
          <w:szCs w:val="20"/>
          <w:color w:val="auto"/>
        </w:rPr>
      </w:pPr>
      <w:r>
        <w:rPr>
          <w:rFonts w:ascii="Arial" w:cs="Arial" w:eastAsia="Arial" w:hAnsi="Arial"/>
          <w:sz w:val="18"/>
          <w:szCs w:val="18"/>
          <w:color w:val="auto"/>
        </w:rPr>
        <w:t>As of March 31, 2023 and December 31, 2022, the authorized capital stock of the Company included 150,000,000 shares of common stock, $0.0001 par value.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2023 and December 31, 2022, the Company did not hold any treasury shares.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the following shares of common stock for future issuance: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54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6"/>
                <w:szCs w:val="16"/>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3640" w:type="dxa"/>
            <w:vAlign w:val="bottom"/>
            <w:tcBorders>
              <w:bottom w:val="single" w:sz="8" w:color="CCEEFF"/>
            </w:tcBorders>
          </w:tcPr>
          <w:p>
            <w:pPr>
              <w:spacing w:after="0"/>
              <w:rPr>
                <w:sz w:val="18"/>
                <w:szCs w:val="18"/>
                <w:color w:val="auto"/>
              </w:rPr>
            </w:pPr>
          </w:p>
        </w:tc>
        <w:tc>
          <w:tcPr>
            <w:tcW w:w="44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10"/>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outstanding stock options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10,691,062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8,838,028</w:t>
            </w:r>
          </w:p>
        </w:tc>
      </w:tr>
      <w:tr>
        <w:trPr>
          <w:trHeight w:val="213"/>
        </w:trPr>
        <w:tc>
          <w:tcPr>
            <w:tcW w:w="3640" w:type="dxa"/>
            <w:vAlign w:val="bottom"/>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20" w:type="dxa"/>
            <w:vAlign w:val="bottom"/>
          </w:tcPr>
          <w:p>
            <w:pPr>
              <w:ind w:left="20"/>
              <w:spacing w:after="0"/>
              <w:rPr>
                <w:sz w:val="20"/>
                <w:szCs w:val="20"/>
                <w:color w:val="auto"/>
              </w:rPr>
            </w:pPr>
            <w:r>
              <w:rPr>
                <w:rFonts w:ascii="Arial" w:cs="Arial" w:eastAsia="Arial" w:hAnsi="Arial"/>
                <w:sz w:val="16"/>
                <w:szCs w:val="16"/>
                <w:color w:val="auto"/>
              </w:rPr>
              <w:t>Stock Option and Incentive Plan</w:t>
            </w:r>
          </w:p>
        </w:tc>
        <w:tc>
          <w:tcPr>
            <w:tcW w:w="1540" w:type="dxa"/>
            <w:vAlign w:val="bottom"/>
          </w:tcPr>
          <w:p>
            <w:pPr>
              <w:jc w:val="right"/>
              <w:spacing w:after="0"/>
              <w:rPr>
                <w:sz w:val="20"/>
                <w:szCs w:val="20"/>
                <w:color w:val="auto"/>
              </w:rPr>
            </w:pPr>
            <w:r>
              <w:rPr>
                <w:rFonts w:ascii="Arial" w:cs="Arial" w:eastAsia="Arial" w:hAnsi="Arial"/>
                <w:sz w:val="16"/>
                <w:szCs w:val="16"/>
                <w:color w:val="auto"/>
              </w:rPr>
              <w:t>2,113,892</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1,650,955</w:t>
            </w:r>
          </w:p>
        </w:tc>
      </w:tr>
      <w:tr>
        <w:trPr>
          <w:trHeight w:val="219"/>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1,167,024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839,922</w:t>
            </w:r>
          </w:p>
        </w:tc>
      </w:tr>
      <w:tr>
        <w:trPr>
          <w:trHeight w:val="213"/>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Shares reserved for vesting of restricted stock units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754,756</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743,950</w:t>
            </w:r>
          </w:p>
        </w:tc>
      </w:tr>
      <w:tr>
        <w:trPr>
          <w:trHeight w:val="232"/>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shares of authorized common stock reserved for future issuance</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14,726,734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12,072,855</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27" w:lineRule="exact"/>
        <w:rPr>
          <w:sz w:val="20"/>
          <w:szCs w:val="20"/>
          <w:color w:val="auto"/>
        </w:rPr>
      </w:pPr>
    </w:p>
    <w:p>
      <w:pPr>
        <w:ind w:right="1040" w:firstLine="446"/>
        <w:spacing w:after="0" w:line="275" w:lineRule="auto"/>
        <w:rPr>
          <w:sz w:val="20"/>
          <w:szCs w:val="20"/>
          <w:color w:val="auto"/>
        </w:rPr>
      </w:pPr>
      <w:r>
        <w:rPr>
          <w:rFonts w:ascii="Arial" w:cs="Arial" w:eastAsia="Arial" w:hAnsi="Arial"/>
          <w:sz w:val="18"/>
          <w:szCs w:val="18"/>
          <w:color w:val="auto"/>
        </w:rPr>
        <w:t>As of March 31, 2023 and December 31, 2022, the authorized capital stock of the Company included 10,000,000 shares of undesignated preferred stock, $0.0001 par value.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Option and Incentive Plan</w:t>
      </w:r>
    </w:p>
    <w:p>
      <w:pPr>
        <w:spacing w:after="0" w:line="127" w:lineRule="exact"/>
        <w:rPr>
          <w:sz w:val="20"/>
          <w:szCs w:val="20"/>
          <w:color w:val="auto"/>
        </w:rPr>
      </w:pPr>
    </w:p>
    <w:p>
      <w:pPr>
        <w:ind w:right="40" w:firstLine="446"/>
        <w:spacing w:after="0" w:line="275" w:lineRule="auto"/>
        <w:rPr>
          <w:sz w:val="20"/>
          <w:szCs w:val="20"/>
          <w:color w:val="auto"/>
        </w:rPr>
      </w:pPr>
      <w:r>
        <w:rPr>
          <w:rFonts w:ascii="Arial" w:cs="Arial" w:eastAsia="Arial" w:hAnsi="Arial"/>
          <w:sz w:val="18"/>
          <w:szCs w:val="18"/>
          <w:color w:val="auto"/>
        </w:rPr>
        <w:t>The total number of shares of common stock authorized for issuance under the 2020 Stock Option and Incentive Plan (the "2020 Plan”) as of March 31, 2023 and December 31, 2022 was 9,918,602 shares and 7,449,480 shares, respectively.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27" w:lineRule="exact"/>
        <w:rPr>
          <w:sz w:val="20"/>
          <w:szCs w:val="20"/>
          <w:color w:val="auto"/>
        </w:rPr>
      </w:pPr>
    </w:p>
    <w:p>
      <w:pPr>
        <w:ind w:right="180" w:firstLine="446"/>
        <w:spacing w:after="0" w:line="263" w:lineRule="auto"/>
        <w:rPr>
          <w:sz w:val="20"/>
          <w:szCs w:val="20"/>
          <w:color w:val="auto"/>
        </w:rPr>
      </w:pPr>
      <w:r>
        <w:rPr>
          <w:rFonts w:ascii="Arial" w:cs="Arial" w:eastAsia="Arial" w:hAnsi="Arial"/>
          <w:sz w:val="18"/>
          <w:szCs w:val="18"/>
          <w:color w:val="auto"/>
        </w:rPr>
        <w:t>The total number of shares of common stock authorized for issuance under the 2017 Stock Incentive Plan (the "2017 Plan") as of March 31, 2023 and December 31, 2022 was 5,937,763 shares. Any authorization to issue new options under the 2017 Plan was cancelled upon the effectiveness of the 2020 Plan and no further awards will be granted under the 2017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27" w:lineRule="exact"/>
        <w:rPr>
          <w:sz w:val="20"/>
          <w:szCs w:val="20"/>
          <w:color w:val="auto"/>
        </w:rPr>
      </w:pPr>
    </w:p>
    <w:p>
      <w:pPr>
        <w:ind w:right="620" w:firstLine="446"/>
        <w:spacing w:after="0" w:line="275" w:lineRule="auto"/>
        <w:rPr>
          <w:sz w:val="20"/>
          <w:szCs w:val="20"/>
          <w:color w:val="auto"/>
        </w:rPr>
      </w:pPr>
      <w:r>
        <w:rPr>
          <w:rFonts w:ascii="Arial" w:cs="Arial" w:eastAsia="Arial" w:hAnsi="Arial"/>
          <w:sz w:val="18"/>
          <w:szCs w:val="18"/>
          <w:color w:val="auto"/>
        </w:rPr>
        <w:t>The total number of shares of common stock authorized for issuance under the 2020 Employee Stock Purchase Plan (the "2020 ESPP”) as of March 31, 2023 and December 31, 2022 was 1,308,408 shares and 981,306 shares,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restricted stock unit activity:</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2"/>
        </w:trPr>
        <w:tc>
          <w:tcPr>
            <w:tcW w:w="8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020" w:type="dxa"/>
            <w:vAlign w:val="bottom"/>
          </w:tcPr>
          <w:p>
            <w:pPr>
              <w:spacing w:after="0"/>
              <w:rPr>
                <w:sz w:val="14"/>
                <w:szCs w:val="14"/>
                <w:color w:val="auto"/>
              </w:rPr>
            </w:pPr>
          </w:p>
        </w:tc>
        <w:tc>
          <w:tcPr>
            <w:tcW w:w="154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16"/>
        </w:trPr>
        <w:tc>
          <w:tcPr>
            <w:tcW w:w="80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as of December 31, 2022</w:t>
            </w:r>
          </w:p>
        </w:tc>
        <w:tc>
          <w:tcPr>
            <w:tcW w:w="154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743,950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23.07</w:t>
            </w:r>
          </w:p>
        </w:tc>
        <w:tc>
          <w:tcPr>
            <w:tcW w:w="0" w:type="dxa"/>
            <w:vAlign w:val="bottom"/>
          </w:tcPr>
          <w:p>
            <w:pPr>
              <w:spacing w:after="0"/>
              <w:rPr>
                <w:sz w:val="1"/>
                <w:szCs w:val="1"/>
                <w:color w:val="auto"/>
              </w:rPr>
            </w:pPr>
          </w:p>
        </w:tc>
      </w:tr>
      <w:tr>
        <w:trPr>
          <w:trHeight w:val="213"/>
        </w:trPr>
        <w:tc>
          <w:tcPr>
            <w:tcW w:w="8020" w:type="dxa"/>
            <w:vAlign w:val="bottom"/>
          </w:tcPr>
          <w:p>
            <w:pPr>
              <w:ind w:left="240"/>
              <w:spacing w:after="0"/>
              <w:rPr>
                <w:sz w:val="20"/>
                <w:szCs w:val="20"/>
                <w:color w:val="auto"/>
              </w:rPr>
            </w:pPr>
            <w:r>
              <w:rPr>
                <w:rFonts w:ascii="Arial" w:cs="Arial" w:eastAsia="Arial" w:hAnsi="Arial"/>
                <w:sz w:val="16"/>
                <w:szCs w:val="16"/>
                <w:color w:val="auto"/>
              </w:rPr>
              <w:t>Issued</w:t>
            </w:r>
          </w:p>
        </w:tc>
        <w:tc>
          <w:tcPr>
            <w:tcW w:w="1540" w:type="dxa"/>
            <w:vAlign w:val="bottom"/>
          </w:tcPr>
          <w:p>
            <w:pPr>
              <w:jc w:val="center"/>
              <w:ind w:left="719"/>
              <w:spacing w:after="0"/>
              <w:rPr>
                <w:sz w:val="20"/>
                <w:szCs w:val="20"/>
                <w:color w:val="auto"/>
              </w:rPr>
            </w:pPr>
            <w:r>
              <w:rPr>
                <w:rFonts w:ascii="Arial" w:cs="Arial" w:eastAsia="Arial" w:hAnsi="Arial"/>
                <w:sz w:val="16"/>
                <w:szCs w:val="16"/>
                <w:color w:val="auto"/>
              </w:rPr>
              <w:t>301,550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27.89</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center"/>
              <w:ind w:left="739"/>
              <w:spacing w:after="0"/>
              <w:rPr>
                <w:sz w:val="20"/>
                <w:szCs w:val="20"/>
                <w:color w:val="auto"/>
              </w:rPr>
            </w:pPr>
            <w:r>
              <w:rPr>
                <w:rFonts w:ascii="Arial" w:cs="Arial" w:eastAsia="Arial" w:hAnsi="Arial"/>
                <w:sz w:val="16"/>
                <w:szCs w:val="16"/>
                <w:color w:val="auto"/>
                <w:w w:val="99"/>
              </w:rPr>
              <w:t>(117,946)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as of March 31, 2023</w:t>
            </w:r>
          </w:p>
        </w:tc>
        <w:tc>
          <w:tcPr>
            <w:tcW w:w="154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754,756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520" w:firstLine="446"/>
        <w:spacing w:after="0" w:line="275" w:lineRule="auto"/>
        <w:rPr>
          <w:sz w:val="20"/>
          <w:szCs w:val="20"/>
          <w:color w:val="auto"/>
        </w:rPr>
      </w:pPr>
      <w:r>
        <w:rPr>
          <w:rFonts w:ascii="Arial" w:cs="Arial" w:eastAsia="Arial" w:hAnsi="Arial"/>
          <w:sz w:val="18"/>
          <w:szCs w:val="18"/>
          <w:color w:val="auto"/>
        </w:rPr>
        <w:t>As of March 31, 2023, total unrecognized compensation cost related to unvested restricted stock units was $10.5 million, which is expected to be recognized over a weighted-average period of 2.50 years.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9"/>
              </w:rPr>
              <w:t>Weighted</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Average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0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Average</w:t>
            </w:r>
          </w:p>
        </w:tc>
        <w:tc>
          <w:tcPr>
            <w:tcW w:w="100" w:type="dxa"/>
            <w:vAlign w:val="bottom"/>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Exercise Price</w:t>
            </w:r>
          </w:p>
        </w:tc>
        <w:tc>
          <w:tcPr>
            <w:tcW w:w="100" w:type="dxa"/>
            <w:vAlign w:val="bottom"/>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Contractual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5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per Share</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Term</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(In years)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(In thousands)</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2022</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8,838,028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2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spacing w:after="0"/>
              <w:rPr>
                <w:sz w:val="20"/>
                <w:szCs w:val="20"/>
                <w:color w:val="auto"/>
              </w:rPr>
            </w:pPr>
            <w:r>
              <w:rPr>
                <w:rFonts w:ascii="Arial" w:cs="Arial" w:eastAsia="Arial" w:hAnsi="Arial"/>
                <w:sz w:val="16"/>
                <w:szCs w:val="16"/>
                <w:color w:val="auto"/>
              </w:rPr>
              <w:t>2,629,255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3"/>
        </w:trPr>
        <w:tc>
          <w:tcPr>
            <w:tcW w:w="47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Cancelled or 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(731,577)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March 31,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10,691,062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20"/>
              <w:spacing w:after="0"/>
              <w:rPr>
                <w:sz w:val="20"/>
                <w:szCs w:val="20"/>
                <w:color w:val="auto"/>
              </w:rPr>
            </w:pPr>
            <w:r>
              <w:rPr>
                <w:rFonts w:ascii="Arial" w:cs="Arial" w:eastAsia="Arial" w:hAnsi="Arial"/>
                <w:sz w:val="16"/>
                <w:szCs w:val="16"/>
                <w:color w:val="auto"/>
              </w:rPr>
              <w:t>Exercisable as of March 31, 2023</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6"/>
                <w:szCs w:val="16"/>
                <w:color w:val="auto"/>
              </w:rPr>
              <w:t>7.33</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line="20" w:lineRule="exact"/>
              <w:rPr>
                <w:sz w:val="1"/>
                <w:szCs w:val="1"/>
                <w:color w:val="auto"/>
              </w:rPr>
            </w:pPr>
          </w:p>
        </w:tc>
      </w:tr>
      <w:tr>
        <w:trPr>
          <w:trHeight w:val="187"/>
        </w:trPr>
        <w:tc>
          <w:tcPr>
            <w:tcW w:w="4780" w:type="dxa"/>
            <w:vAlign w:val="bottom"/>
            <w:vMerge w:val="continue"/>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4,517,923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13.74</w:t>
            </w:r>
          </w:p>
        </w:tc>
        <w:tc>
          <w:tcPr>
            <w:tcW w:w="1620" w:type="dxa"/>
            <w:vAlign w:val="bottom"/>
            <w:gridSpan w:val="2"/>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March 31, 2023</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10,488,056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Stock Options</w:t>
      </w:r>
    </w:p>
    <w:p>
      <w:pPr>
        <w:spacing w:after="0" w:line="127" w:lineRule="exact"/>
        <w:rPr>
          <w:sz w:val="20"/>
          <w:szCs w:val="20"/>
          <w:color w:val="auto"/>
        </w:rPr>
      </w:pPr>
    </w:p>
    <w:p>
      <w:pPr>
        <w:jc w:val="both"/>
        <w:ind w:right="140" w:firstLine="446"/>
        <w:spacing w:after="0" w:line="263" w:lineRule="auto"/>
        <w:rPr>
          <w:sz w:val="20"/>
          <w:szCs w:val="20"/>
          <w:color w:val="auto"/>
        </w:rPr>
      </w:pPr>
      <w:r>
        <w:rPr>
          <w:rFonts w:ascii="Arial" w:cs="Arial" w:eastAsia="Arial" w:hAnsi="Arial"/>
          <w:sz w:val="18"/>
          <w:szCs w:val="18"/>
          <w:color w:val="auto"/>
        </w:rPr>
        <w:t>The weighted-average assumptions that the Company used in the Black-Scholes option pricing model to determine the grant-date fair value of stock options granted to employees and non-employees on the date of grant were as follows for the three months ended March 31, 2023: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15" w:name="page16"/>
    <w:bookmarkEnd w:id="15"/>
    <w:tbl>
      <w:tblPr>
        <w:tblLayout w:type="fixed"/>
        <w:tblInd w:w="60" w:type="dxa"/>
        <w:tblCellMar>
          <w:top w:w="0" w:type="dxa"/>
          <w:left w:w="0" w:type="dxa"/>
          <w:bottom w:w="0" w:type="dxa"/>
          <w:right w:w="0" w:type="dxa"/>
        </w:tblCellMar>
      </w:tblPr>
      <w:tr>
        <w:trPr>
          <w:trHeight w:val="184"/>
        </w:trPr>
        <w:tc>
          <w:tcPr>
            <w:tcW w:w="8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tcPr>
          <w:p>
            <w:pPr>
              <w:jc w:val="center"/>
              <w:ind w:right="13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2023</w:t>
            </w:r>
          </w:p>
        </w:tc>
      </w:tr>
      <w:tr>
        <w:trPr>
          <w:trHeight w:val="20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22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3.51 %</w:t>
            </w: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2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2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88.22 %</w:t>
            </w: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2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grant-date fair value per share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2.22</w:t>
            </w:r>
          </w:p>
        </w:tc>
      </w:tr>
    </w:tbl>
    <w:p>
      <w:pPr>
        <w:spacing w:after="0" w:line="298" w:lineRule="exact"/>
        <w:rPr>
          <w:sz w:val="20"/>
          <w:szCs w:val="20"/>
          <w:color w:val="auto"/>
        </w:rPr>
      </w:pPr>
    </w:p>
    <w:p>
      <w:pPr>
        <w:ind w:right="100" w:firstLine="446"/>
        <w:spacing w:after="0" w:line="275" w:lineRule="auto"/>
        <w:rPr>
          <w:sz w:val="20"/>
          <w:szCs w:val="20"/>
          <w:color w:val="auto"/>
        </w:rPr>
      </w:pPr>
      <w:r>
        <w:rPr>
          <w:rFonts w:ascii="Arial" w:cs="Arial" w:eastAsia="Arial" w:hAnsi="Arial"/>
          <w:sz w:val="18"/>
          <w:szCs w:val="18"/>
          <w:color w:val="auto"/>
        </w:rPr>
        <w:t>As of March 31, 2023, total unrecognized compensation cost related to unvested stock options was $40.8 million, which is expected to be recognized over a weighted-average period of 2.05 years.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Stock-based compensation expense was allocated as follows (in thousands):</w:t>
      </w:r>
    </w:p>
    <w:p>
      <w:pPr>
        <w:spacing w:after="0" w:line="123"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0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3,214</w:t>
            </w:r>
          </w:p>
        </w:tc>
      </w:tr>
      <w:tr>
        <w:trPr>
          <w:trHeight w:val="213"/>
        </w:trPr>
        <w:tc>
          <w:tcPr>
            <w:tcW w:w="804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4,672</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stock-based compensation expense</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27" w:lineRule="exact"/>
        <w:rPr>
          <w:sz w:val="20"/>
          <w:szCs w:val="20"/>
          <w:color w:val="auto"/>
        </w:rPr>
      </w:pPr>
    </w:p>
    <w:p>
      <w:pPr>
        <w:ind w:right="280" w:firstLine="446"/>
        <w:spacing w:after="0" w:line="263" w:lineRule="auto"/>
        <w:rPr>
          <w:sz w:val="20"/>
          <w:szCs w:val="20"/>
          <w:color w:val="auto"/>
        </w:rPr>
      </w:pPr>
      <w:r>
        <w:rPr>
          <w:rFonts w:ascii="Arial" w:cs="Arial" w:eastAsia="Arial" w:hAnsi="Arial"/>
          <w:sz w:val="18"/>
          <w:szCs w:val="18"/>
          <w:color w:val="auto"/>
        </w:rPr>
        <w:t>The following potential common shares, presented based on amounts outstanding at each period end, were excluded from the calculation of diluted net loss per share attributable to common stockholders for the periods indicated because including them would have been anti-dilutive:</w:t>
      </w:r>
    </w:p>
    <w:p>
      <w:pPr>
        <w:spacing w:after="0" w:line="95"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040" w:type="dxa"/>
            <w:vAlign w:val="bottom"/>
            <w:tcBorders>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stock options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10,691,062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7,862,576</w:t>
            </w:r>
          </w:p>
        </w:tc>
      </w:tr>
      <w:tr>
        <w:trPr>
          <w:trHeight w:val="213"/>
        </w:trPr>
        <w:tc>
          <w:tcPr>
            <w:tcW w:w="8040" w:type="dxa"/>
            <w:vAlign w:val="bottom"/>
          </w:tcPr>
          <w:p>
            <w:pPr>
              <w:ind w:left="20"/>
              <w:spacing w:after="0"/>
              <w:rPr>
                <w:sz w:val="20"/>
                <w:szCs w:val="20"/>
                <w:color w:val="auto"/>
              </w:rPr>
            </w:pPr>
            <w:r>
              <w:rPr>
                <w:rFonts w:ascii="Arial" w:cs="Arial" w:eastAsia="Arial" w:hAnsi="Arial"/>
                <w:sz w:val="16"/>
                <w:szCs w:val="16"/>
                <w:color w:val="auto"/>
              </w:rPr>
              <w:t>Unvested restricted stock units</w:t>
            </w:r>
          </w:p>
        </w:tc>
        <w:tc>
          <w:tcPr>
            <w:tcW w:w="1540" w:type="dxa"/>
            <w:vAlign w:val="bottom"/>
          </w:tcPr>
          <w:p>
            <w:pPr>
              <w:jc w:val="right"/>
              <w:spacing w:after="0"/>
              <w:rPr>
                <w:sz w:val="20"/>
                <w:szCs w:val="20"/>
                <w:color w:val="auto"/>
              </w:rPr>
            </w:pPr>
            <w:r>
              <w:rPr>
                <w:rFonts w:ascii="Arial" w:cs="Arial" w:eastAsia="Arial" w:hAnsi="Arial"/>
                <w:sz w:val="16"/>
                <w:szCs w:val="16"/>
                <w:color w:val="auto"/>
              </w:rPr>
              <w:t>754,756</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840,277</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issuable under the 2020 ESPP</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179,768</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30,341</w:t>
            </w:r>
          </w:p>
        </w:tc>
      </w:tr>
      <w:tr>
        <w:trPr>
          <w:trHeight w:val="209"/>
        </w:trPr>
        <w:tc>
          <w:tcPr>
            <w:tcW w:w="80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11,625,586</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8,733,194</w:t>
            </w:r>
          </w:p>
        </w:tc>
      </w:tr>
      <w:tr>
        <w:trPr>
          <w:trHeight w:val="24"/>
        </w:trPr>
        <w:tc>
          <w:tcPr>
            <w:tcW w:w="8040" w:type="dxa"/>
            <w:vAlign w:val="bottom"/>
          </w:tcPr>
          <w:p>
            <w:pPr>
              <w:spacing w:after="0"/>
              <w:rPr>
                <w:sz w:val="2"/>
                <w:szCs w:val="2"/>
                <w:color w:val="auto"/>
              </w:rPr>
            </w:pPr>
          </w:p>
        </w:tc>
        <w:tc>
          <w:tcPr>
            <w:tcW w:w="15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top w:val="single" w:sz="8" w:color="auto"/>
              <w:bottom w:val="single" w:sz="8" w:color="auto"/>
            </w:tcBorders>
          </w:tcPr>
          <w:p>
            <w:pPr>
              <w:spacing w:after="0"/>
              <w:rPr>
                <w:sz w:val="2"/>
                <w:szCs w:val="2"/>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27" w:lineRule="exact"/>
        <w:rPr>
          <w:sz w:val="20"/>
          <w:szCs w:val="20"/>
          <w:color w:val="auto"/>
        </w:rPr>
      </w:pPr>
    </w:p>
    <w:p>
      <w:pPr>
        <w:ind w:right="20" w:firstLine="446"/>
        <w:spacing w:after="0" w:line="253" w:lineRule="auto"/>
        <w:rPr>
          <w:sz w:val="20"/>
          <w:szCs w:val="20"/>
          <w:color w:val="auto"/>
        </w:rPr>
      </w:pPr>
      <w:r>
        <w:rPr>
          <w:rFonts w:ascii="Arial" w:cs="Arial" w:eastAsia="Arial" w:hAnsi="Arial"/>
          <w:sz w:val="18"/>
          <w:szCs w:val="18"/>
          <w:color w:val="auto"/>
        </w:rPr>
        <w:t>On September 11, 2019, the Company entered into a Cooperation and License Agreement (the “License Agreement”) with RogCon Inc. (“RogCon”). Under the License Agreement, RogCon granted to the Company an exclusive, worldwide license under RogCon's intellectual property to research, develop and commercialize products for the treatment of all forms of epilepsy and/or neurodevelopmental disorders in each case caused by any mutation of the SCN2A gene. Pursuant to the terms of the License Agreement, the Company will conduct, at its own cost and expense, the research and development activities assigned to it under the associated research plan. In addition, the Company is responsible for reimbursing RogCon for any costs associated with research and development activities RogCon performs at the request of the Company. One of the founders of RogCon became the Company's General Counsel in June 2020. The Company continues to reimburse RogCon for its out-of-pocket costs incurred for activities performed under the License Agreement. Expenses incurred during all periods presented were not material.</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27" w:lineRule="exact"/>
        <w:rPr>
          <w:sz w:val="20"/>
          <w:szCs w:val="20"/>
          <w:color w:val="auto"/>
        </w:rPr>
      </w:pPr>
    </w:p>
    <w:p>
      <w:pPr>
        <w:ind w:right="100" w:firstLine="446"/>
        <w:spacing w:after="0" w:line="263"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condensed consolidated financial statements to provide additional evidence for certain estimates or to identify matters that require additional disclosure. The Company has concluded that no subsequent events have occurred that require disclosure.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the audited financial information and the notes thereto included in our Annual Report on Form 10-K, which was filed with the Securities and Exchange Commission (the "SEC") on February 7, 2023.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our Annual Report on Form 10-K for the year ended December 31, 2022 and set forth in the "Risk Factors" section of this Quarterly Report on Form 10-Q for the three months ended March 31, 2023, our actual results could differ materially from the results described in or implied by the forward-looking statements contained in the following discussion and analysis.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7" w:lineRule="exact"/>
        <w:rPr>
          <w:sz w:val="20"/>
          <w:szCs w:val="20"/>
          <w:color w:val="auto"/>
        </w:rPr>
      </w:pPr>
    </w:p>
    <w:p>
      <w:pPr>
        <w:ind w:right="160" w:firstLine="446"/>
        <w:spacing w:after="0" w:line="255" w:lineRule="auto"/>
        <w:rPr>
          <w:sz w:val="20"/>
          <w:szCs w:val="20"/>
          <w:color w:val="auto"/>
        </w:rPr>
      </w:pPr>
      <w:r>
        <w:rPr>
          <w:rFonts w:ascii="Arial" w:cs="Arial" w:eastAsia="Arial" w:hAnsi="Arial"/>
          <w:sz w:val="18"/>
          <w:szCs w:val="18"/>
          <w:color w:val="auto"/>
        </w:rPr>
        <w:t>We are a clinical-stage biopharmaceutical company translating insights from genetic epilepsies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We are applying genetic insights to the discovery and development of therapies for neurological disorders through two proprietary platforms, using our understanding of shared biological targets and circuits in the brain. Each platform currently has multiple programs, with significant potential for additional program and indication expansion:</w:t>
      </w:r>
    </w:p>
    <w:p>
      <w:pPr>
        <w:spacing w:after="0" w:line="169" w:lineRule="exact"/>
        <w:rPr>
          <w:sz w:val="20"/>
          <w:szCs w:val="20"/>
          <w:color w:val="auto"/>
        </w:rPr>
      </w:pPr>
    </w:p>
    <w:p>
      <w:pPr>
        <w:ind w:left="660" w:right="140" w:hanging="328"/>
        <w:spacing w:after="0" w:line="237"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b w:val="1"/>
          <w:bCs w:val="1"/>
          <w:i w:val="1"/>
          <w:iCs w:val="1"/>
          <w:color w:val="auto"/>
        </w:rPr>
        <w:t>Cerebrum</w:t>
      </w:r>
      <w:r>
        <w:rPr>
          <w:rFonts w:ascii="Arial" w:cs="Arial" w:eastAsia="Arial" w:hAnsi="Arial"/>
          <w:sz w:val="18"/>
          <w:szCs w:val="18"/>
          <w:color w:val="auto"/>
        </w:rPr>
        <w:t>™, our small molecule platform, utilizes deep understanding of neuronal excitability and neuronal networks and applies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of computational and experimental tools to develop orally available precision therapies</w:t>
      </w:r>
    </w:p>
    <w:p>
      <w:pPr>
        <w:spacing w:after="0" w:line="139" w:lineRule="exact"/>
        <w:rPr>
          <w:rFonts w:ascii="Arial" w:cs="Arial" w:eastAsia="Arial" w:hAnsi="Arial"/>
          <w:sz w:val="22"/>
          <w:szCs w:val="22"/>
          <w:color w:val="auto"/>
        </w:rPr>
      </w:pPr>
    </w:p>
    <w:p>
      <w:pPr>
        <w:ind w:left="660" w:right="200" w:hanging="328"/>
        <w:spacing w:after="0" w:line="28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Solidus</w:t>
      </w:r>
      <w:r>
        <w:rPr>
          <w:rFonts w:ascii="Arial" w:cs="Arial" w:eastAsia="Arial" w:hAnsi="Arial"/>
          <w:sz w:val="18"/>
          <w:szCs w:val="18"/>
          <w:color w:val="auto"/>
        </w:rPr>
        <w:t>™, our antisense oligonucleotide, or ASO, platform, is an efficient, targeted precision medicine discovery and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 anchored on a proprietary, computational methodology</w:t>
      </w:r>
    </w:p>
    <w:p>
      <w:pPr>
        <w:spacing w:after="0" w:line="163" w:lineRule="exact"/>
        <w:rPr>
          <w:sz w:val="20"/>
          <w:szCs w:val="20"/>
          <w:color w:val="auto"/>
        </w:rPr>
      </w:pPr>
    </w:p>
    <w:p>
      <w:pPr>
        <w:ind w:right="40" w:firstLine="446"/>
        <w:spacing w:after="0" w:line="252" w:lineRule="auto"/>
        <w:rPr>
          <w:sz w:val="20"/>
          <w:szCs w:val="20"/>
          <w:color w:val="auto"/>
        </w:rPr>
      </w:pPr>
      <w:r>
        <w:rPr>
          <w:rFonts w:ascii="Arial" w:cs="Arial" w:eastAsia="Arial" w:hAnsi="Arial"/>
          <w:sz w:val="18"/>
          <w:szCs w:val="18"/>
          <w:color w:val="auto"/>
        </w:rPr>
        <w:t>Our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we have established a diversified, multimodal CNS portfolio with four clinical-stage product candidates across movement disorders and epilepsy. For our most advanced product candidate under the Cerebrum™ platform, ulixacaltamide (also known as PRAX-944), topline results from the Phase 2b Essential1 clinical trial in essential tremor, or ET, were announced in the first quarter of 2023. An end-of-Phase 2 meeting is scheduled with the U.S. Food and Drug Administration, or FDA, in June 2023 and we intend to initiate a Phase 3 study in ET in the second half of 2023. We initiated the PRAX-562 Phase 2 EMBOLD study in the first quarter of 2023 and expect to announce topline results in the fourth quarter of 2023. We also announced positive results from our PRAX-628 Phase 1 study in May 2023 and expect to initiate a Phase 2 study in focal epilepsy in the fourth quarter of 2023. For our most advanced product candidate under the Solidus™ platform, PRAX-222, we expect to announce topline results from the first dose cohort of our EMBRAVE study in the second half of 2023.</w:t>
      </w:r>
    </w:p>
    <w:p>
      <w:pPr>
        <w:spacing w:after="0" w:line="201" w:lineRule="exact"/>
        <w:rPr>
          <w:sz w:val="20"/>
          <w:szCs w:val="20"/>
          <w:color w:val="auto"/>
        </w:rPr>
      </w:pPr>
    </w:p>
    <w:p>
      <w:pPr>
        <w:ind w:right="80" w:firstLine="446"/>
        <w:spacing w:after="0" w:line="255" w:lineRule="auto"/>
        <w:rPr>
          <w:sz w:val="20"/>
          <w:szCs w:val="20"/>
          <w:color w:val="auto"/>
        </w:rPr>
      </w:pPr>
      <w:r>
        <w:rPr>
          <w:rFonts w:ascii="Arial" w:cs="Arial" w:eastAsia="Arial" w:hAnsi="Arial"/>
          <w:sz w:val="18"/>
          <w:szCs w:val="18"/>
          <w:color w:val="auto"/>
        </w:rPr>
        <w:t>We were incorporated in 2015 and commenced operations in 2016. Since inception, we have devoted substantially all of our resources to developing our preclinical and clinical product candidates, building our intellectual property, or IP, portfolio, business planning, raising capital and providing general and administrative support for these operations. We employ a “virtual” research and development model, relying heavily upon external consultants, collaborators, contract development and manufacturing organizations and contract research organizations, or CROs, to conduct our preclinical and clinical activities. Since inception, we have financed our operations primarily with proceeds from the sale and issuance of equity securities.</w:t>
      </w:r>
    </w:p>
    <w:p>
      <w:pPr>
        <w:spacing w:after="0" w:line="192" w:lineRule="exact"/>
        <w:rPr>
          <w:sz w:val="20"/>
          <w:szCs w:val="20"/>
          <w:color w:val="auto"/>
        </w:rPr>
      </w:pPr>
    </w:p>
    <w:p>
      <w:pPr>
        <w:ind w:right="280" w:firstLine="446"/>
        <w:spacing w:after="0" w:line="256" w:lineRule="auto"/>
        <w:rPr>
          <w:sz w:val="20"/>
          <w:szCs w:val="20"/>
          <w:color w:val="auto"/>
        </w:rPr>
      </w:pPr>
      <w:r>
        <w:rPr>
          <w:rFonts w:ascii="Arial" w:cs="Arial" w:eastAsia="Arial" w:hAnsi="Arial"/>
          <w:sz w:val="18"/>
          <w:szCs w:val="18"/>
          <w:color w:val="auto"/>
        </w:rPr>
        <w:t>We are a development stage company and we have not generated any revenue from product sales, and do not expect to do so for several years, if at all. All of our product candidates are still in preclinical and clinical development. Our ability to generate product revenue sufficient to achieve profitability will depend heavily on the successful development and eventual commercialization of one or more of our product candidates, if approved. We have incurred recurring operating losses since inception, including a net loss of $37.5 million for the three months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7" w:name="page18"/>
    <w:bookmarkEnd w:id="17"/>
    <w:p>
      <w:pPr>
        <w:ind w:right="140"/>
        <w:spacing w:after="0" w:line="256" w:lineRule="auto"/>
        <w:rPr>
          <w:sz w:val="20"/>
          <w:szCs w:val="20"/>
          <w:color w:val="auto"/>
        </w:rPr>
      </w:pPr>
      <w:r>
        <w:rPr>
          <w:rFonts w:ascii="Arial" w:cs="Arial" w:eastAsia="Arial" w:hAnsi="Arial"/>
          <w:sz w:val="18"/>
          <w:szCs w:val="18"/>
          <w:color w:val="auto"/>
        </w:rPr>
        <w:t>ended March 31, 2023. As of March 31, 2023, we had an accumulated deficit of $568.1 million. We expect to incur significant expenses and operating losses for the foreseeable future as we expand our research and development activities. In addition, our losses from operations may fluctuate significantly from quarter-to-quarter and year-to-year, depending on the timing of our clinical trials and our expenditures on other research and development activities. We anticipate that our expenses will be maintained or increased in connection with our ongoing activities, as we:</w:t>
      </w:r>
    </w:p>
    <w:p>
      <w:pPr>
        <w:spacing w:after="0" w:line="13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our lead product candidate, ulixacaltamide, to a late stage clinical trial for the treatment of 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our PRAX-562 product candidate in the EMBOLD clinical trial;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our PRAX-222 product candidate in the EMBRAVE clinical trial;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our PRAX-628 product candidate;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our preclinical candidates to clinical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further invest in our pipeline;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further invest in our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expand, protect and defend our IP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acquire or in-license technology;</w:t>
      </w:r>
    </w:p>
    <w:p>
      <w:pPr>
        <w:spacing w:after="0" w:line="171" w:lineRule="exact"/>
        <w:rPr>
          <w:rFonts w:ascii="Arial" w:cs="Arial" w:eastAsia="Arial" w:hAnsi="Arial"/>
          <w:sz w:val="18"/>
          <w:szCs w:val="18"/>
          <w:color w:val="auto"/>
        </w:rPr>
      </w:pPr>
    </w:p>
    <w:p>
      <w:pPr>
        <w:ind w:left="660" w:right="700" w:hanging="328"/>
        <w:spacing w:after="0" w:line="27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 and</w:t>
      </w:r>
    </w:p>
    <w:p>
      <w:pPr>
        <w:spacing w:after="0" w:line="11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 needed, increase our headcount to support our development efforts and any future commercialization efforts.</w:t>
      </w:r>
    </w:p>
    <w:p>
      <w:pPr>
        <w:spacing w:after="0" w:line="225"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92" w:lineRule="exact"/>
        <w:rPr>
          <w:sz w:val="20"/>
          <w:szCs w:val="20"/>
          <w:color w:val="auto"/>
        </w:rPr>
      </w:pPr>
    </w:p>
    <w:p>
      <w:pPr>
        <w:ind w:right="40" w:firstLine="446"/>
        <w:spacing w:after="0" w:line="258"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90"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As of March 31, 2023, we had cash, cash equivalents and marketable securities of $85.8 million, which we expect will enable us to fund our operating expenses and capital expenditures into the second quarter of 2024. We have based this analysis on our current cash needs, ongoing research and development plans which are limited to advancing product candidates through, but not beyond their current clinical trial phases and continued operational efficiency. Since our cash, cash equivalents and marketable securities as of March 31, 2023 may not be sufficient to fund our operations for at least the next twelve months from the date of issuance of the condensed consolidated financial statements included elsewhere in this Quarterly Report on Form 10-Q, there is substantial doubt about our ability to continue as a going concern. Our future viability is dependent on our ability to raise additional capital to finance our operations. We expect to finance our operations through potential public or private equity financings, debt financings, collaboration agreements or other capital sources. Our inability to raise capital as and when needed could have a negative impact on our financial condition and ability to pursue our business strategies. There can be no assurance that the current operating plan will be achieved or that additional funding will be available on terms acceptable to us, or at all. We have based our assessment on assumptions that may prove to be wrong, and we could use our capital resources sooner than we currently expect. See “—Liquidity and Capital Resources.”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7" w:lineRule="exact"/>
        <w:rPr>
          <w:sz w:val="20"/>
          <w:szCs w:val="20"/>
          <w:color w:val="auto"/>
        </w:rPr>
      </w:pPr>
    </w:p>
    <w:p>
      <w:pPr>
        <w:ind w:right="20" w:firstLine="446"/>
        <w:spacing w:after="0" w:line="258" w:lineRule="auto"/>
        <w:rPr>
          <w:sz w:val="20"/>
          <w:szCs w:val="20"/>
          <w:color w:val="auto"/>
        </w:rPr>
      </w:pPr>
      <w:r>
        <w:rPr>
          <w:rFonts w:ascii="Arial" w:cs="Arial" w:eastAsia="Arial" w:hAnsi="Arial"/>
          <w:sz w:val="18"/>
          <w:szCs w:val="18"/>
          <w:color w:val="auto"/>
        </w:rPr>
        <w:t>We have not generated any revenue from the sale of products since inception and do not expect to generate any revenue from the sale of products for several years, if at all. As discussed in Note 7 to our condensed consolidated financial statements, we entered into an Option and License Agreement, or the Collaboration Agreement, with UCB Biopharma SRL, or UCB, in December 2022. During the three months ended March 31, 2023, we recognized $0.7 million of collaboration revenue from the Collaboration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nature of our business and primary focus of our activities generate a significant amount of research and development costs.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represent costs incurred by us for the following:</w:t>
      </w:r>
    </w:p>
    <w:p>
      <w:pPr>
        <w:spacing w:after="0" w:line="15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to develop our IP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discovery efforts leading to development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clinical development costs for our product candidates; and</w:t>
      </w:r>
    </w:p>
    <w:p>
      <w:pPr>
        <w:spacing w:after="0" w:line="171" w:lineRule="exact"/>
        <w:rPr>
          <w:rFonts w:ascii="Arial" w:cs="Arial" w:eastAsia="Arial" w:hAnsi="Arial"/>
          <w:sz w:val="18"/>
          <w:szCs w:val="18"/>
          <w:color w:val="auto"/>
        </w:rPr>
      </w:pPr>
    </w:p>
    <w:p>
      <w:pPr>
        <w:ind w:left="460" w:right="5340" w:hanging="128"/>
        <w:spacing w:after="0" w:line="438" w:lineRule="auto"/>
        <w:tabs>
          <w:tab w:leader="none" w:pos="6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to develop our manufacturing technology and infrastructure. The costs above comprise the following categories: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and stock-based compensation expense;</w:t>
      </w:r>
    </w:p>
    <w:p>
      <w:pPr>
        <w:spacing w:after="0" w:line="171" w:lineRule="exact"/>
        <w:rPr>
          <w:rFonts w:ascii="Arial" w:cs="Arial" w:eastAsia="Arial" w:hAnsi="Arial"/>
          <w:sz w:val="18"/>
          <w:szCs w:val="18"/>
          <w:color w:val="auto"/>
        </w:rPr>
      </w:pPr>
    </w:p>
    <w:p>
      <w:pPr>
        <w:ind w:left="660" w:right="760" w:hanging="328"/>
        <w:spacing w:after="0" w:line="27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consultants, investigative sites and CROs, that conduct our preclinical and clinical studies and in-licensing arrangements;</w:t>
      </w:r>
    </w:p>
    <w:p>
      <w:pPr>
        <w:spacing w:after="0" w:line="11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incurred to maintain compliance with regulatory requirements;</w:t>
      </w:r>
    </w:p>
    <w:p>
      <w:pPr>
        <w:spacing w:after="0" w:line="171" w:lineRule="exact"/>
        <w:rPr>
          <w:rFonts w:ascii="Arial" w:cs="Arial" w:eastAsia="Arial" w:hAnsi="Arial"/>
          <w:sz w:val="18"/>
          <w:szCs w:val="18"/>
          <w:color w:val="auto"/>
        </w:rPr>
      </w:pPr>
    </w:p>
    <w:p>
      <w:pPr>
        <w:ind w:left="660" w:right="40" w:hanging="328"/>
        <w:spacing w:after="0" w:line="27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incurred with third-party contract development and manufacturing organizations to acquire, develop and manufacture materials for preclinical and clinical studies; and</w:t>
      </w:r>
    </w:p>
    <w:p>
      <w:pPr>
        <w:spacing w:after="0" w:line="119" w:lineRule="exact"/>
        <w:rPr>
          <w:rFonts w:ascii="Arial" w:cs="Arial" w:eastAsia="Arial" w:hAnsi="Arial"/>
          <w:sz w:val="18"/>
          <w:szCs w:val="18"/>
          <w:color w:val="auto"/>
        </w:rPr>
      </w:pPr>
    </w:p>
    <w:p>
      <w:pPr>
        <w:ind w:left="660" w:right="360" w:hanging="328"/>
        <w:spacing w:after="0" w:line="27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depreciation, amortization and other direct and allocated expenses, including rent and other operating costs, such as information technology, incurred as a result of our research and development activities.</w:t>
      </w:r>
    </w:p>
    <w:p>
      <w:pPr>
        <w:spacing w:after="0" w:line="174" w:lineRule="exact"/>
        <w:rPr>
          <w:sz w:val="20"/>
          <w:szCs w:val="20"/>
          <w:color w:val="auto"/>
        </w:rPr>
      </w:pPr>
    </w:p>
    <w:p>
      <w:pPr>
        <w:ind w:right="100" w:firstLine="446"/>
        <w:spacing w:after="0" w:line="254" w:lineRule="auto"/>
        <w:rPr>
          <w:sz w:val="20"/>
          <w:szCs w:val="20"/>
          <w:color w:val="auto"/>
        </w:rPr>
      </w:pPr>
      <w:r>
        <w:rPr>
          <w:rFonts w:ascii="Arial" w:cs="Arial" w:eastAsia="Arial" w:hAnsi="Arial"/>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condensed consolidated balance sheets as prepaid expenses or accrued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195" w:lineRule="exact"/>
        <w:rPr>
          <w:sz w:val="20"/>
          <w:szCs w:val="20"/>
          <w:color w:val="auto"/>
        </w:rPr>
      </w:pPr>
    </w:p>
    <w:p>
      <w:pPr>
        <w:ind w:firstLine="446"/>
        <w:spacing w:after="0" w:line="256" w:lineRule="auto"/>
        <w:rPr>
          <w:sz w:val="20"/>
          <w:szCs w:val="20"/>
          <w:color w:val="auto"/>
        </w:rPr>
      </w:pPr>
      <w:r>
        <w:rPr>
          <w:rFonts w:ascii="Arial" w:cs="Arial" w:eastAsia="Arial" w:hAnsi="Arial"/>
          <w:sz w:val="18"/>
          <w:szCs w:val="18"/>
          <w:color w:val="auto"/>
        </w:rPr>
        <w:t>As a company operating in a virtual environment, a significant portion of our research and development costs have been external costs. We track direct external research and development expenses to specific platforms and product candidates upon commencement. Due to the number of ongoing studies and our ability to use resources across platforms, indirect or shared operating costs incurred for our research and development platforms, such as personnel, facility costs and certain consulting costs, are not recorded or maintained on a platform-specific basis.</w:t>
      </w:r>
    </w:p>
    <w:p>
      <w:pPr>
        <w:spacing w:after="0" w:line="192" w:lineRule="exact"/>
        <w:rPr>
          <w:sz w:val="20"/>
          <w:szCs w:val="20"/>
          <w:color w:val="auto"/>
        </w:rPr>
      </w:pPr>
    </w:p>
    <w:p>
      <w:pPr>
        <w:ind w:right="40" w:firstLine="446"/>
        <w:spacing w:after="0" w:line="275" w:lineRule="auto"/>
        <w:rPr>
          <w:sz w:val="20"/>
          <w:szCs w:val="20"/>
          <w:color w:val="auto"/>
        </w:rPr>
      </w:pPr>
      <w:r>
        <w:rPr>
          <w:rFonts w:ascii="Arial" w:cs="Arial" w:eastAsia="Arial" w:hAnsi="Arial"/>
          <w:sz w:val="18"/>
          <w:szCs w:val="18"/>
          <w:color w:val="auto"/>
        </w:rPr>
        <w:t>The following table reflects our research and development expenses, including direct expenses summarized by platform and indirect or shared operating costs recognized as research and development expenses during each period presented (in thousands):</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0" w:right="359" w:bottom="1440" w:gutter="0" w:footer="0" w:header="0"/>
        </w:sectPr>
      </w:pPr>
    </w:p>
    <w:bookmarkStart w:id="19" w:name="page20"/>
    <w:bookmarkEnd w:id="19"/>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0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11,135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33,955</w:t>
            </w:r>
          </w:p>
        </w:tc>
      </w:tr>
      <w:tr>
        <w:trPr>
          <w:trHeight w:val="213"/>
        </w:trPr>
        <w:tc>
          <w:tcPr>
            <w:tcW w:w="8040" w:type="dxa"/>
            <w:vAlign w:val="bottom"/>
          </w:tcPr>
          <w:p>
            <w:pPr>
              <w:ind w:left="20"/>
              <w:spacing w:after="0"/>
              <w:rPr>
                <w:sz w:val="20"/>
                <w:szCs w:val="20"/>
                <w:color w:val="auto"/>
              </w:rPr>
            </w:pPr>
            <w:r>
              <w:rPr>
                <w:rFonts w:ascii="Arial" w:cs="Arial" w:eastAsia="Arial" w:hAnsi="Arial"/>
                <w:sz w:val="16"/>
                <w:szCs w:val="16"/>
                <w:color w:val="auto"/>
              </w:rPr>
              <w:t>Solidus™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6,042</w:t>
            </w: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11,141</w:t>
            </w:r>
          </w:p>
        </w:tc>
      </w:tr>
      <w:tr>
        <w:trPr>
          <w:trHeight w:val="213"/>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r>
      <w:tr>
        <w:trPr>
          <w:trHeight w:val="233"/>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25,504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52,652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firstLine="446"/>
        <w:spacing w:after="0" w:line="256"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be maintained or increase in the foreseeable future as we advance our product candidates through the development phase, and as we continue to discover and develop additional product candidates, build manufacturing capabilities and expand into additional therapeutic areas.</w:t>
      </w:r>
    </w:p>
    <w:p>
      <w:pPr>
        <w:spacing w:after="0" w:line="192" w:lineRule="exact"/>
        <w:rPr>
          <w:sz w:val="20"/>
          <w:szCs w:val="20"/>
          <w:color w:val="auto"/>
        </w:rPr>
      </w:pPr>
    </w:p>
    <w:p>
      <w:pPr>
        <w:ind w:right="120" w:firstLine="446"/>
        <w:spacing w:after="0" w:line="258"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and obtain regulatory approval for,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13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add and retain key research and development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71" w:lineRule="exact"/>
        <w:rPr>
          <w:rFonts w:ascii="Arial" w:cs="Arial" w:eastAsia="Arial" w:hAnsi="Arial"/>
          <w:sz w:val="18"/>
          <w:szCs w:val="18"/>
          <w:color w:val="auto"/>
        </w:rPr>
      </w:pPr>
    </w:p>
    <w:p>
      <w:pPr>
        <w:ind w:left="660" w:right="300" w:hanging="328"/>
        <w:spacing w:after="0" w:line="27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complete clinical trials with safety, tolerability and efficacy profiles that are satisfactory to the FDA or any comparable foreign regulatory authority;</w:t>
      </w:r>
    </w:p>
    <w:p>
      <w:pPr>
        <w:spacing w:after="0" w:line="11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develop, obtain regulatory approval for, and then successfully commercialize,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successful enrollment in and completion of clinical trials;</w:t>
      </w:r>
    </w:p>
    <w:p>
      <w:pPr>
        <w:spacing w:after="0" w:line="171" w:lineRule="exact"/>
        <w:rPr>
          <w:rFonts w:ascii="Arial" w:cs="Arial" w:eastAsia="Arial" w:hAnsi="Arial"/>
          <w:sz w:val="18"/>
          <w:szCs w:val="18"/>
          <w:color w:val="auto"/>
        </w:rPr>
      </w:pPr>
    </w:p>
    <w:p>
      <w:pPr>
        <w:ind w:left="660" w:right="1120" w:hanging="328"/>
        <w:spacing w:after="0" w:line="27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product candidates we identify in-house or acquire through collaborations;</w:t>
      </w:r>
    </w:p>
    <w:p>
      <w:pPr>
        <w:spacing w:after="0" w:line="119" w:lineRule="exact"/>
        <w:rPr>
          <w:rFonts w:ascii="Arial" w:cs="Arial" w:eastAsia="Arial" w:hAnsi="Arial"/>
          <w:sz w:val="18"/>
          <w:szCs w:val="18"/>
          <w:color w:val="auto"/>
        </w:rPr>
      </w:pPr>
    </w:p>
    <w:p>
      <w:pPr>
        <w:ind w:left="660" w:right="260" w:hanging="328"/>
        <w:spacing w:after="0" w:line="27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discover, develop and utilize biomarkers to demonstrate target engagement, pathway engagement and the impact on disease progression of our product candidates;</w:t>
      </w:r>
    </w:p>
    <w:p>
      <w:pPr>
        <w:spacing w:after="0" w:line="119" w:lineRule="exact"/>
        <w:rPr>
          <w:rFonts w:ascii="Arial" w:cs="Arial" w:eastAsia="Arial" w:hAnsi="Arial"/>
          <w:sz w:val="18"/>
          <w:szCs w:val="18"/>
          <w:color w:val="auto"/>
        </w:rPr>
      </w:pPr>
    </w:p>
    <w:p>
      <w:pPr>
        <w:ind w:left="660" w:right="20" w:hanging="328"/>
        <w:spacing w:after="0" w:line="27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commercial manufacturing, if our product candidates are approved;</w:t>
      </w:r>
    </w:p>
    <w:p>
      <w:pPr>
        <w:spacing w:after="0" w:line="119" w:lineRule="exact"/>
        <w:rPr>
          <w:rFonts w:ascii="Arial" w:cs="Arial" w:eastAsia="Arial" w:hAnsi="Arial"/>
          <w:sz w:val="18"/>
          <w:szCs w:val="18"/>
          <w:color w:val="auto"/>
        </w:rPr>
      </w:pPr>
    </w:p>
    <w:p>
      <w:pPr>
        <w:ind w:left="660" w:right="260" w:hanging="328"/>
        <w:spacing w:after="0" w:line="27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119" w:lineRule="exact"/>
        <w:rPr>
          <w:rFonts w:ascii="Arial" w:cs="Arial" w:eastAsia="Arial" w:hAnsi="Arial"/>
          <w:sz w:val="18"/>
          <w:szCs w:val="18"/>
          <w:color w:val="auto"/>
        </w:rPr>
      </w:pPr>
    </w:p>
    <w:p>
      <w:pPr>
        <w:ind w:left="660" w:right="120" w:hanging="328"/>
        <w:spacing w:after="0" w:line="27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and maintain patent, trade secret and other IP protection and regulatory exclusivity for our product candidates, if approved;</w:t>
      </w:r>
    </w:p>
    <w:p>
      <w:pPr>
        <w:spacing w:after="0" w:line="11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receipt of marketing approvals from applicable regulatory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commercialize products, if approved, whether alone or in collaboration with others;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acceptable safety profiles of our product candidates.</w:t>
      </w:r>
    </w:p>
    <w:p>
      <w:pPr>
        <w:spacing w:after="0" w:line="225" w:lineRule="exact"/>
        <w:rPr>
          <w:sz w:val="20"/>
          <w:szCs w:val="20"/>
          <w:color w:val="auto"/>
        </w:rPr>
      </w:pPr>
    </w:p>
    <w:p>
      <w:pPr>
        <w:ind w:right="100" w:firstLine="446"/>
        <w:spacing w:after="0" w:line="258" w:lineRule="auto"/>
        <w:rPr>
          <w:sz w:val="20"/>
          <w:szCs w:val="20"/>
          <w:color w:val="auto"/>
        </w:rPr>
      </w:pPr>
      <w:r>
        <w:rPr>
          <w:rFonts w:ascii="Arial" w:cs="Arial" w:eastAsia="Arial" w:hAnsi="Arial"/>
          <w:sz w:val="18"/>
          <w:szCs w:val="18"/>
          <w:color w:val="auto"/>
        </w:rPr>
        <w:t>A change in any of these variables with respect to the development of any of our product candidates would significantly change the costs, timing and viability associated with the development of that product candidate. For example, if the FDA or another regulatory authority were to delay our planned start of clinical trials or require us to conduct clinical trials or other testing beyond those that we currently expect, or if we experience significant delays in</w:t>
      </w:r>
    </w:p>
    <w:p>
      <w:pPr>
        <w:sectPr>
          <w:pgSz w:w="11900" w:h="16838" w:orient="portrait"/>
          <w:cols w:equalWidth="0" w:num="1">
            <w:col w:w="11240"/>
          </w:cols>
          <w:pgMar w:left="320" w:top="1024"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20" w:name="page21"/>
    <w:bookmarkEnd w:id="20"/>
    <w:p>
      <w:pPr>
        <w:ind w:right="80"/>
        <w:spacing w:after="0" w:line="263" w:lineRule="auto"/>
        <w:rPr>
          <w:sz w:val="20"/>
          <w:szCs w:val="20"/>
          <w:color w:val="auto"/>
        </w:rPr>
      </w:pPr>
      <w:r>
        <w:rPr>
          <w:rFonts w:ascii="Arial" w:cs="Arial" w:eastAsia="Arial" w:hAnsi="Arial"/>
          <w:sz w:val="18"/>
          <w:szCs w:val="18"/>
          <w:color w:val="auto"/>
        </w:rPr>
        <w:t>enrollment in any of our planned clinical trials, we could be required to expend significant additional financial resources and time to complete our clinical development activities. We may never obtain regulatory approval for any of our product candidates. Drug commercialization will take several years and require significant development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23" w:lineRule="exact"/>
        <w:rPr>
          <w:sz w:val="20"/>
          <w:szCs w:val="20"/>
          <w:color w:val="auto"/>
        </w:rPr>
      </w:pPr>
    </w:p>
    <w:p>
      <w:pPr>
        <w:ind w:right="120" w:firstLine="446"/>
        <w:spacing w:after="0" w:line="254"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benefits and stock-based compensation, for personnel in our executive, finance, legal, commercial and administrative functions. General and administrative expenses also include legal fees relating to corporate matters; professional fees for accounting, auditing, tax and administrative consulting services; commercial-related costs to support market assessments and scenario planning; insurance costs; administrative travel expenses; and facility-related expenses, which include direct depreciation costs and allocated expenses for office rent and other operating costs, such as information technology. Costs to secure and defend our IP are expensed as incurred and are classified as general and administrative expenses. These costs relate to the operation of the business and are unrelated to the research and development function or any individual platform or product candidate.</w:t>
      </w:r>
    </w:p>
    <w:p>
      <w:pPr>
        <w:spacing w:after="0" w:line="192" w:lineRule="exact"/>
        <w:rPr>
          <w:sz w:val="20"/>
          <w:szCs w:val="20"/>
          <w:color w:val="auto"/>
        </w:rPr>
      </w:pPr>
    </w:p>
    <w:p>
      <w:pPr>
        <w:ind w:right="60" w:firstLine="446"/>
        <w:spacing w:after="0" w:line="258" w:lineRule="auto"/>
        <w:rPr>
          <w:sz w:val="20"/>
          <w:szCs w:val="20"/>
          <w:color w:val="auto"/>
        </w:rPr>
      </w:pPr>
      <w:r>
        <w:rPr>
          <w:rFonts w:ascii="Arial" w:cs="Arial" w:eastAsia="Arial" w:hAnsi="Arial"/>
          <w:sz w:val="18"/>
          <w:szCs w:val="18"/>
          <w:color w:val="auto"/>
        </w:rPr>
        <w:t>We anticipate that our general and administrative expenses may increase in the future as we increase our headcount, when needed, to support the expected growth in our research and development activities and the potential commercialization of our product candidates. We also expect to incur additional IP-related expenses as we file patent applications to protect innovations arising from our research and development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23" w:lineRule="exact"/>
        <w:rPr>
          <w:sz w:val="20"/>
          <w:szCs w:val="20"/>
          <w:color w:val="auto"/>
        </w:rPr>
      </w:pPr>
    </w:p>
    <w:p>
      <w:pPr>
        <w:ind w:right="920" w:firstLine="446"/>
        <w:spacing w:after="0" w:line="275" w:lineRule="auto"/>
        <w:rPr>
          <w:sz w:val="20"/>
          <w:szCs w:val="20"/>
          <w:color w:val="auto"/>
        </w:rPr>
      </w:pPr>
      <w:r>
        <w:rPr>
          <w:rFonts w:ascii="Arial" w:cs="Arial" w:eastAsia="Arial" w:hAnsi="Arial"/>
          <w:sz w:val="18"/>
          <w:szCs w:val="18"/>
          <w:color w:val="auto"/>
        </w:rPr>
        <w:t>Other income, net consists of interest income from our cash, cash equivalents and marketable securities and amortization of investment premiums and discounts.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7" w:lineRule="exact"/>
        <w:rPr>
          <w:sz w:val="20"/>
          <w:szCs w:val="20"/>
          <w:color w:val="auto"/>
        </w:rPr>
      </w:pPr>
    </w:p>
    <w:p>
      <w:pPr>
        <w:ind w:right="140" w:firstLine="446"/>
        <w:spacing w:after="0" w:line="256" w:lineRule="auto"/>
        <w:rPr>
          <w:sz w:val="20"/>
          <w:szCs w:val="20"/>
          <w:color w:val="auto"/>
        </w:rPr>
      </w:pPr>
      <w:r>
        <w:rPr>
          <w:rFonts w:ascii="Arial" w:cs="Arial" w:eastAsia="Arial" w:hAnsi="Arial"/>
          <w:sz w:val="18"/>
          <w:szCs w:val="18"/>
          <w:color w:val="auto"/>
        </w:rPr>
        <w:t>Since our inception, we have not recorded any U.S. federal or state income tax benefits for the net losses we have incurred in each year or for our earned research and development tax credits due to our uncertainty of realizing a benefit from those items. Income taxes are determined at the applicable tax rates adjusted for non-deductible expenses, research and development tax credits and other permanent differences. Our income tax provision may be significantly affected by changes to our estimates. There was no income tax provision recognized for the three months ended March 31, 2023 and 2022.</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2023 and 2022</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condensed consolidated statements of operations for each period presented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March 31,</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0" w:type="dxa"/>
            <w:vAlign w:val="bottom"/>
          </w:tcPr>
          <w:p>
            <w:pPr>
              <w:spacing w:after="0"/>
              <w:rPr>
                <w:sz w:val="1"/>
                <w:szCs w:val="1"/>
                <w:color w:val="auto"/>
              </w:rPr>
            </w:pP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(27,148)</w:t>
            </w:r>
          </w:p>
        </w:tc>
        <w:tc>
          <w:tcPr>
            <w:tcW w:w="0" w:type="dxa"/>
            <w:vAlign w:val="bottom"/>
          </w:tcPr>
          <w:p>
            <w:pPr>
              <w:spacing w:after="0"/>
              <w:rPr>
                <w:sz w:val="1"/>
                <w:szCs w:val="1"/>
                <w:color w:val="auto"/>
              </w:rPr>
            </w:pPr>
          </w:p>
        </w:tc>
      </w:tr>
      <w:tr>
        <w:trPr>
          <w:trHeight w:val="213"/>
        </w:trPr>
        <w:tc>
          <w:tcPr>
            <w:tcW w:w="64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16,197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(2,927)</w:t>
            </w:r>
          </w:p>
        </w:tc>
        <w:tc>
          <w:tcPr>
            <w:tcW w:w="0" w:type="dxa"/>
            <w:vAlign w:val="bottom"/>
          </w:tcPr>
          <w:p>
            <w:pPr>
              <w:spacing w:after="0"/>
              <w:rPr>
                <w:sz w:val="1"/>
                <w:szCs w:val="1"/>
                <w:color w:val="auto"/>
              </w:rPr>
            </w:pPr>
          </w:p>
        </w:tc>
      </w:tr>
      <w:tr>
        <w:trPr>
          <w:trHeight w:val="213"/>
        </w:trPr>
        <w:tc>
          <w:tcPr>
            <w:tcW w:w="6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38,774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68,849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(30,075)</w:t>
            </w:r>
          </w:p>
        </w:tc>
        <w:tc>
          <w:tcPr>
            <w:tcW w:w="0" w:type="dxa"/>
            <w:vAlign w:val="bottom"/>
          </w:tcPr>
          <w:p>
            <w:pPr>
              <w:spacing w:after="0"/>
              <w:rPr>
                <w:sz w:val="1"/>
                <w:szCs w:val="1"/>
                <w:color w:val="auto"/>
              </w:rPr>
            </w:pPr>
          </w:p>
        </w:tc>
      </w:tr>
      <w:tr>
        <w:trPr>
          <w:trHeight w:val="207"/>
        </w:trPr>
        <w:tc>
          <w:tcPr>
            <w:tcW w:w="646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(38,091)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(68,849)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30,758</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(37,455)</w:t>
            </w:r>
          </w:p>
        </w:tc>
        <w:tc>
          <w:tcPr>
            <w:tcW w:w="5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(68,717)</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31,262</w:t>
            </w:r>
          </w:p>
        </w:tc>
        <w:tc>
          <w:tcPr>
            <w:tcW w:w="0" w:type="dxa"/>
            <w:vAlign w:val="bottom"/>
          </w:tcPr>
          <w:p>
            <w:pPr>
              <w:spacing w:after="0"/>
              <w:rPr>
                <w:sz w:val="1"/>
                <w:szCs w:val="1"/>
                <w:color w:val="auto"/>
              </w:rPr>
            </w:pPr>
          </w:p>
        </w:tc>
      </w:tr>
      <w:tr>
        <w:trPr>
          <w:trHeight w:val="21"/>
        </w:trPr>
        <w:tc>
          <w:tcPr>
            <w:tcW w:w="6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1" w:name="page22"/>
    <w:bookmarkEnd w:id="21"/>
    <w:p>
      <w:pPr>
        <w:ind w:right="40" w:firstLine="446"/>
        <w:spacing w:after="0" w:line="275" w:lineRule="auto"/>
        <w:rPr>
          <w:sz w:val="20"/>
          <w:szCs w:val="20"/>
          <w:color w:val="auto"/>
        </w:rPr>
      </w:pPr>
      <w:r>
        <w:rPr>
          <w:rFonts w:ascii="Arial" w:cs="Arial" w:eastAsia="Arial" w:hAnsi="Arial"/>
          <w:sz w:val="18"/>
          <w:szCs w:val="18"/>
          <w:color w:val="auto"/>
        </w:rPr>
        <w:t>The $0.7 million increase in collaboration revenue is associated with the revenue recorded as research services are provided and costs are incurred under the Collaboration Agreement with UCB that was executed in December 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23" w:lineRule="exact"/>
        <w:rPr>
          <w:sz w:val="20"/>
          <w:szCs w:val="20"/>
          <w:color w:val="auto"/>
        </w:rPr>
      </w:pPr>
    </w:p>
    <w:p>
      <w:pPr>
        <w:ind w:right="240" w:firstLine="446"/>
        <w:spacing w:after="0" w:line="275" w:lineRule="auto"/>
        <w:rPr>
          <w:sz w:val="20"/>
          <w:szCs w:val="20"/>
          <w:color w:val="auto"/>
        </w:rPr>
      </w:pPr>
      <w:r>
        <w:rPr>
          <w:rFonts w:ascii="Arial" w:cs="Arial" w:eastAsia="Arial" w:hAnsi="Arial"/>
          <w:sz w:val="18"/>
          <w:szCs w:val="18"/>
          <w:color w:val="auto"/>
        </w:rPr>
        <w:t>The following table summarizes our research and development expenses for each period presented, along with the changes in those items (in thousands):</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11,135</w:t>
            </w:r>
          </w:p>
        </w:tc>
        <w:tc>
          <w:tcPr>
            <w:tcW w:w="54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33,955</w:t>
            </w:r>
          </w:p>
        </w:tc>
        <w:tc>
          <w:tcPr>
            <w:tcW w:w="3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(22,820)</w:t>
            </w:r>
          </w:p>
        </w:tc>
        <w:tc>
          <w:tcPr>
            <w:tcW w:w="0" w:type="dxa"/>
            <w:vAlign w:val="bottom"/>
          </w:tcPr>
          <w:p>
            <w:pPr>
              <w:spacing w:after="0"/>
              <w:rPr>
                <w:sz w:val="1"/>
                <w:szCs w:val="1"/>
                <w:color w:val="auto"/>
              </w:rPr>
            </w:pP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color w:val="auto"/>
              </w:rPr>
              <w:t>Solidus™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3,602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(2,440)</w:t>
            </w: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w:t>
            </w:r>
          </w:p>
        </w:tc>
        <w:tc>
          <w:tcPr>
            <w:tcW w:w="0" w:type="dxa"/>
            <w:vAlign w:val="bottom"/>
          </w:tcPr>
          <w:p>
            <w:pPr>
              <w:spacing w:after="0"/>
              <w:rPr>
                <w:sz w:val="1"/>
                <w:szCs w:val="1"/>
                <w:color w:val="auto"/>
              </w:rPr>
            </w:pPr>
          </w:p>
        </w:tc>
      </w:tr>
      <w:tr>
        <w:trPr>
          <w:trHeight w:val="213"/>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25,504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52,652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(27,148)</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$27.1 million decrease in research and development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$22.8 million decrease in expense related to our Cerebrum™ platform, driven primarily by:</w:t>
      </w:r>
    </w:p>
    <w:p>
      <w:pPr>
        <w:spacing w:after="0" w:line="171" w:lineRule="exact"/>
        <w:rPr>
          <w:rFonts w:ascii="Arial" w:cs="Arial" w:eastAsia="Arial" w:hAnsi="Arial"/>
          <w:sz w:val="18"/>
          <w:szCs w:val="18"/>
          <w:color w:val="auto"/>
        </w:rPr>
      </w:pPr>
    </w:p>
    <w:p>
      <w:pPr>
        <w:ind w:left="1300" w:right="180" w:hanging="320"/>
        <w:spacing w:after="0" w:line="275"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$14.6 million decrease in clinical-related spend for our PRAX-114 program due to our strategic realignment in the second quarter of 2022;</w:t>
      </w:r>
    </w:p>
    <w:p>
      <w:pPr>
        <w:spacing w:after="0" w:line="119" w:lineRule="exact"/>
        <w:rPr>
          <w:rFonts w:ascii="Arial" w:cs="Arial" w:eastAsia="Arial" w:hAnsi="Arial"/>
          <w:sz w:val="18"/>
          <w:szCs w:val="18"/>
          <w:color w:val="auto"/>
        </w:rPr>
      </w:pPr>
    </w:p>
    <w:p>
      <w:pPr>
        <w:ind w:left="130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$6.7 million decrease in spend for our PRAX-562 program, primarily related to the prior year completion of our Phase 1 clinical trial and prior year manufacturing campaign purchases, partially offset by startup costs related to the EMBOLD Phase 2 clinical trial in the first quarter of 2023;</w:t>
      </w:r>
    </w:p>
    <w:p>
      <w:pPr>
        <w:spacing w:after="0" w:line="12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$2.3 million decrease in activities for our earlier stage assets;</w:t>
      </w:r>
    </w:p>
    <w:p>
      <w:pPr>
        <w:spacing w:after="0" w:line="171" w:lineRule="exact"/>
        <w:rPr>
          <w:rFonts w:ascii="Arial" w:cs="Arial" w:eastAsia="Arial" w:hAnsi="Arial"/>
          <w:sz w:val="18"/>
          <w:szCs w:val="18"/>
          <w:color w:val="auto"/>
        </w:rPr>
      </w:pPr>
    </w:p>
    <w:p>
      <w:pPr>
        <w:ind w:left="1300" w:right="780" w:hanging="320"/>
        <w:spacing w:after="0" w:line="275"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$1.3 million decrease in spend for our ulixacaltamide program, primarily due to the completion of a manufacturing campaign in the prior year; and</w:t>
      </w:r>
    </w:p>
    <w:p>
      <w:pPr>
        <w:spacing w:after="0" w:line="11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 $2.0 million increase in clinical-related spend for our PRAX-628 Phase 1 clinical trial.</w:t>
      </w:r>
    </w:p>
    <w:p>
      <w:pPr>
        <w:spacing w:after="0" w:line="171" w:lineRule="exact"/>
        <w:rPr>
          <w:rFonts w:ascii="Arial" w:cs="Arial" w:eastAsia="Arial" w:hAnsi="Arial"/>
          <w:sz w:val="18"/>
          <w:szCs w:val="18"/>
          <w:color w:val="auto"/>
        </w:rPr>
      </w:pPr>
    </w:p>
    <w:p>
      <w:pPr>
        <w:ind w:left="660" w:right="32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$2.4 million decrease in expense related to our Solidus™ platform, driven primarily by the payment of a $2.0 million license fee to Ionis Pharmaceuticals, Inc. in January of 2022 upon exercise of our exclusive option to obtain the rights and license to further develop and commercialize PRAX-222;</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$3.0 million decrease in personnel-related costs due to decreased headcount;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$1.1 million increase in indirect expenses, none of which were individually significant.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$2.9 million decrease in general and administrative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$1.2 million decrease in consulting expenses;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$1.7 million decrease in other general and administrative expenses, including decreased personnel costs.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23" w:lineRule="exact"/>
        <w:rPr>
          <w:sz w:val="20"/>
          <w:szCs w:val="20"/>
          <w:color w:val="auto"/>
        </w:rPr>
      </w:pPr>
    </w:p>
    <w:p>
      <w:pPr>
        <w:ind w:right="240" w:firstLine="446"/>
        <w:spacing w:after="0" w:line="275" w:lineRule="auto"/>
        <w:rPr>
          <w:sz w:val="20"/>
          <w:szCs w:val="20"/>
          <w:color w:val="auto"/>
        </w:rPr>
      </w:pPr>
      <w:r>
        <w:rPr>
          <w:rFonts w:ascii="Arial" w:cs="Arial" w:eastAsia="Arial" w:hAnsi="Arial"/>
          <w:sz w:val="18"/>
          <w:szCs w:val="18"/>
          <w:color w:val="auto"/>
        </w:rPr>
        <w:t>Other income for the three months ended March 31, 2023 and 2022 was comprised of interest income on our cash, cash equivalents and marketable securities and investment premium and discount amortization.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ectPr>
          <w:pgSz w:w="11900" w:h="16838" w:orient="portrait"/>
          <w:cols w:equalWidth="0" w:num="1">
            <w:col w:w="11240"/>
          </w:cols>
          <w:pgMar w:left="320" w:top="1004"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type w:val="continuous"/>
        </w:sectPr>
      </w:pPr>
    </w:p>
    <w:bookmarkStart w:id="22" w:name="page23"/>
    <w:bookmarkEnd w:id="22"/>
    <w:p>
      <w:pPr>
        <w:jc w:val="both"/>
        <w:ind w:right="20" w:firstLine="446"/>
        <w:spacing w:after="0" w:line="263" w:lineRule="auto"/>
        <w:rPr>
          <w:sz w:val="20"/>
          <w:szCs w:val="20"/>
          <w:color w:val="auto"/>
        </w:rPr>
      </w:pPr>
      <w:r>
        <w:rPr>
          <w:rFonts w:ascii="Arial" w:cs="Arial" w:eastAsia="Arial" w:hAnsi="Arial"/>
          <w:sz w:val="18"/>
          <w:szCs w:val="18"/>
          <w:color w:val="auto"/>
        </w:rPr>
        <w:t>Since our inception, we have incurred significant losses in each period. We have not yet commercialized any of our product candidates, which are in various phases of preclinical and clinical development, and we do not expect to generate revenue from sales of any products for several years, if at all.</w:t>
      </w:r>
    </w:p>
    <w:p>
      <w:pPr>
        <w:spacing w:after="0" w:line="184" w:lineRule="exact"/>
        <w:rPr>
          <w:sz w:val="20"/>
          <w:szCs w:val="20"/>
          <w:color w:val="auto"/>
        </w:rPr>
      </w:pPr>
    </w:p>
    <w:p>
      <w:pPr>
        <w:ind w:firstLine="446"/>
        <w:spacing w:after="0" w:line="258" w:lineRule="auto"/>
        <w:rPr>
          <w:sz w:val="20"/>
          <w:szCs w:val="20"/>
          <w:color w:val="auto"/>
        </w:rPr>
      </w:pPr>
      <w:r>
        <w:rPr>
          <w:rFonts w:ascii="Arial" w:cs="Arial" w:eastAsia="Arial" w:hAnsi="Arial"/>
          <w:sz w:val="18"/>
          <w:szCs w:val="18"/>
          <w:color w:val="auto"/>
        </w:rPr>
        <w:t>To date, we have financed our operations primarily with proceeds from the issuance of redeemable convertible preferred stock and from the sale of common stock through an initial public offering, a follow-on public offering and at-the-market offerings under our shelf registration statement. From inception through March 31, 2023, we have raised $544.1 million in aggregate cash proceeds from such transactions, net of issuance costs. As of March 31, 2023, we had cash, cash equivalents and marketable securities of $85.8 million.</w:t>
      </w:r>
    </w:p>
    <w:p>
      <w:pPr>
        <w:spacing w:after="0" w:line="190"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On November 3, 2021, we entered into an Open Market Sale Agreement, or the Sales Agreement, with Jefferies LLC, or Jefferies, to provide for the offering, issuance and sale of up to an aggregate amount of $125.0 million of common stock from time to time in at-the-market offerings for which Jefferies acts as sales agent. During the three months ended March 31, 2023, we issued and sold 8,403,809 shares under the Sales Agreement for aggregate net proceeds of $18.1 million after deducting commissions and offering expenses payable by us. As of March 31, 2023, we have issued and sold a total of 12,391,079 shares under the Sales Agreement for aggregate net proceeds of $34.7 million after deducting commissions and offering expenses payable by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cash flows for each period presented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center"/>
              <w:ind w:left="559"/>
              <w:spacing w:after="0"/>
              <w:rPr>
                <w:sz w:val="20"/>
                <w:szCs w:val="20"/>
                <w:color w:val="auto"/>
              </w:rPr>
            </w:pPr>
            <w:r>
              <w:rPr>
                <w:rFonts w:ascii="Arial" w:cs="Arial" w:eastAsia="Arial" w:hAnsi="Arial"/>
                <w:sz w:val="16"/>
                <w:szCs w:val="16"/>
                <w:color w:val="auto"/>
              </w:rPr>
              <w:t>(32,846)</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(54,109)</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34,000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(8,550)</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left="579"/>
              <w:spacing w:after="0"/>
              <w:rPr>
                <w:sz w:val="20"/>
                <w:szCs w:val="20"/>
                <w:color w:val="auto"/>
              </w:rPr>
            </w:pPr>
            <w:r>
              <w:rPr>
                <w:rFonts w:ascii="Arial" w:cs="Arial" w:eastAsia="Arial" w:hAnsi="Arial"/>
                <w:sz w:val="16"/>
                <w:szCs w:val="16"/>
                <w:color w:val="auto"/>
              </w:rPr>
              <w:t>18,070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19,224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(61,450)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23" w:lineRule="exact"/>
        <w:rPr>
          <w:sz w:val="20"/>
          <w:szCs w:val="20"/>
          <w:color w:val="auto"/>
        </w:rPr>
      </w:pPr>
    </w:p>
    <w:p>
      <w:pPr>
        <w:ind w:right="40" w:firstLine="446"/>
        <w:spacing w:after="0" w:line="256" w:lineRule="auto"/>
        <w:rPr>
          <w:sz w:val="20"/>
          <w:szCs w:val="20"/>
          <w:color w:val="auto"/>
        </w:rPr>
      </w:pPr>
      <w:r>
        <w:rPr>
          <w:rFonts w:ascii="Arial" w:cs="Arial" w:eastAsia="Arial" w:hAnsi="Arial"/>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 have invested in developing our portfolio, drug discovery efforts and related infrastructure. The cash used in operating activities resulted primarily from our net losses adjusted for non-cash charges and changes in operating assets and liabilities, which are primarily the result of increased expenses and timing of vendor payments.</w:t>
      </w:r>
    </w:p>
    <w:p>
      <w:pPr>
        <w:spacing w:after="0" w:line="192" w:lineRule="exact"/>
        <w:rPr>
          <w:sz w:val="20"/>
          <w:szCs w:val="20"/>
          <w:color w:val="auto"/>
        </w:rPr>
      </w:pPr>
    </w:p>
    <w:p>
      <w:pPr>
        <w:jc w:val="both"/>
        <w:ind w:right="300" w:firstLine="446"/>
        <w:spacing w:after="0" w:line="263" w:lineRule="auto"/>
        <w:rPr>
          <w:sz w:val="20"/>
          <w:szCs w:val="20"/>
          <w:color w:val="auto"/>
        </w:rPr>
      </w:pPr>
      <w:r>
        <w:rPr>
          <w:rFonts w:ascii="Arial" w:cs="Arial" w:eastAsia="Arial" w:hAnsi="Arial"/>
          <w:sz w:val="18"/>
          <w:szCs w:val="18"/>
          <w:color w:val="auto"/>
        </w:rPr>
        <w:t>During the three months ended March 31, 2023, net cash used in operating activities of $32.8 million was primarily due to our $37.5 million net loss and $ 3.3 million in changes in operating assets and liabilities primarily related to a decrease in accrued expenses, partially offset by $7.9 million of non-cash charges primarily related to stock-based compensation.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three months ended March 31, 2022, net cash used in operating activities of $54.1 million was primarily due to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$68.7 million net loss, partially offset by $8.5 million of non-cash charges primarily related to stock-based compensation, and $6.1 million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assets and liabilities primarily related to increases in accounts payable and accrued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23" w:lineRule="exact"/>
        <w:rPr>
          <w:sz w:val="20"/>
          <w:szCs w:val="20"/>
          <w:color w:val="auto"/>
        </w:rPr>
      </w:pPr>
    </w:p>
    <w:p>
      <w:pPr>
        <w:ind w:right="280" w:firstLine="446"/>
        <w:spacing w:after="0" w:line="275" w:lineRule="auto"/>
        <w:rPr>
          <w:sz w:val="20"/>
          <w:szCs w:val="20"/>
          <w:color w:val="auto"/>
        </w:rPr>
      </w:pPr>
      <w:r>
        <w:rPr>
          <w:rFonts w:ascii="Arial" w:cs="Arial" w:eastAsia="Arial" w:hAnsi="Arial"/>
          <w:sz w:val="18"/>
          <w:szCs w:val="18"/>
          <w:color w:val="auto"/>
        </w:rPr>
        <w:t>During the three months ended March 31, 2023, net cash provided by investing activities of $34.0 million was related to maturities of marketable securities.</w:t>
      </w:r>
    </w:p>
    <w:p>
      <w:pPr>
        <w:spacing w:after="0" w:line="174" w:lineRule="exact"/>
        <w:rPr>
          <w:sz w:val="20"/>
          <w:szCs w:val="20"/>
          <w:color w:val="auto"/>
        </w:rPr>
      </w:pPr>
    </w:p>
    <w:p>
      <w:pPr>
        <w:ind w:right="740" w:firstLine="446"/>
        <w:spacing w:after="0" w:line="275" w:lineRule="auto"/>
        <w:rPr>
          <w:sz w:val="20"/>
          <w:szCs w:val="20"/>
          <w:color w:val="auto"/>
        </w:rPr>
      </w:pPr>
      <w:r>
        <w:rPr>
          <w:rFonts w:ascii="Arial" w:cs="Arial" w:eastAsia="Arial" w:hAnsi="Arial"/>
          <w:sz w:val="18"/>
          <w:szCs w:val="18"/>
          <w:color w:val="auto"/>
        </w:rPr>
        <w:t>During the three months ended March 31, 2022, net cash used in investing activities of $8.6 million was primarily related to the purchase of marketable securities, partially offset by the maturity of marketable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23" w:name="page24"/>
    <w:bookmarkEnd w:id="23"/>
    <w:p>
      <w:pPr>
        <w:ind w:right="360" w:firstLine="446"/>
        <w:spacing w:after="0" w:line="275" w:lineRule="auto"/>
        <w:rPr>
          <w:sz w:val="20"/>
          <w:szCs w:val="20"/>
          <w:color w:val="auto"/>
        </w:rPr>
      </w:pPr>
      <w:r>
        <w:rPr>
          <w:rFonts w:ascii="Arial" w:cs="Arial" w:eastAsia="Arial" w:hAnsi="Arial"/>
          <w:sz w:val="18"/>
          <w:szCs w:val="18"/>
          <w:color w:val="auto"/>
        </w:rPr>
        <w:t>During the three months ended March 31, 2023, net cash provided by financing activities of $18.1 million consisted of net proceeds from at-the-market offerings.</w:t>
      </w:r>
    </w:p>
    <w:p>
      <w:pPr>
        <w:spacing w:after="0" w:line="174" w:lineRule="exact"/>
        <w:rPr>
          <w:sz w:val="20"/>
          <w:szCs w:val="20"/>
          <w:color w:val="auto"/>
        </w:rPr>
      </w:pPr>
    </w:p>
    <w:p>
      <w:pPr>
        <w:ind w:right="40" w:firstLine="446"/>
        <w:spacing w:after="0" w:line="263" w:lineRule="auto"/>
        <w:rPr>
          <w:sz w:val="20"/>
          <w:szCs w:val="20"/>
          <w:color w:val="auto"/>
        </w:rPr>
      </w:pPr>
      <w:r>
        <w:rPr>
          <w:rFonts w:ascii="Arial" w:cs="Arial" w:eastAsia="Arial" w:hAnsi="Arial"/>
          <w:sz w:val="18"/>
          <w:szCs w:val="18"/>
          <w:color w:val="auto"/>
        </w:rPr>
        <w:t>During the three months ended March 31, 2022, net cash provided by financing activities of $1.2 million consisted of net proceeds from at-the-market offerings of $ 1.4 million and proceeds from the exercise of stock options, partially offset by the payment of issuance costs for our at-the-market offerings and the payment of taxes related to the vesting of restricted stock units.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27" w:lineRule="exact"/>
        <w:rPr>
          <w:sz w:val="20"/>
          <w:szCs w:val="20"/>
          <w:color w:val="auto"/>
        </w:rPr>
      </w:pPr>
    </w:p>
    <w:p>
      <w:pPr>
        <w:jc w:val="both"/>
        <w:ind w:right="160" w:firstLine="446"/>
        <w:spacing w:after="0" w:line="285" w:lineRule="auto"/>
        <w:rPr>
          <w:sz w:val="20"/>
          <w:szCs w:val="20"/>
          <w:color w:val="auto"/>
        </w:rPr>
      </w:pPr>
      <w:r>
        <w:rPr>
          <w:rFonts w:ascii="Arial" w:cs="Arial" w:eastAsia="Arial" w:hAnsi="Arial"/>
          <w:sz w:val="17"/>
          <w:szCs w:val="17"/>
          <w:color w:val="auto"/>
        </w:rPr>
        <w:t>We expect our expenses to increase substantially in connection with our ongoing research and development activities, particularly as we advance the preclinical activities and clinical trials of our product candidates. As a result, we expect to incur substantial operating losses and negative operating cash flows for the foreseeable future. We anticipate that our expenses will increase substantially if and as we:</w:t>
      </w:r>
    </w:p>
    <w:p>
      <w:pPr>
        <w:spacing w:after="0" w:line="11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 the clinical development of our clinical-stage product candidates within our Cerebrum™ and Solidus™ platforms;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 the development of any additional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research and continue preclinical development of potential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our IP portfolio and opportunistically acquire complementary IP;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71" w:lineRule="exact"/>
        <w:rPr>
          <w:rFonts w:ascii="Arial" w:cs="Arial" w:eastAsia="Arial" w:hAnsi="Arial"/>
          <w:sz w:val="18"/>
          <w:szCs w:val="18"/>
          <w:color w:val="auto"/>
        </w:rPr>
      </w:pPr>
    </w:p>
    <w:p>
      <w:pPr>
        <w:ind w:left="660" w:right="160" w:hanging="328"/>
        <w:spacing w:after="0" w:line="27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scale-up manufacturing capabilities to commercialize any products for which we may obtain regulatory approval;</w:t>
      </w:r>
    </w:p>
    <w:p>
      <w:pPr>
        <w:spacing w:after="0" w:line="65"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needed, 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75" w:lineRule="exact"/>
        <w:rPr>
          <w:rFonts w:ascii="Arial" w:cs="Arial" w:eastAsia="Arial" w:hAnsi="Arial"/>
          <w:sz w:val="18"/>
          <w:szCs w:val="18"/>
          <w:color w:val="auto"/>
        </w:rPr>
      </w:pPr>
    </w:p>
    <w:p>
      <w:pPr>
        <w:ind w:left="660" w:right="380" w:hanging="328"/>
        <w:spacing w:after="0" w:line="27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74" w:lineRule="exact"/>
        <w:rPr>
          <w:sz w:val="20"/>
          <w:szCs w:val="20"/>
          <w:color w:val="auto"/>
        </w:rPr>
      </w:pPr>
    </w:p>
    <w:p>
      <w:pPr>
        <w:ind w:right="80" w:firstLine="446"/>
        <w:spacing w:after="0" w:line="252" w:lineRule="auto"/>
        <w:rPr>
          <w:sz w:val="20"/>
          <w:szCs w:val="20"/>
          <w:color w:val="auto"/>
        </w:rPr>
      </w:pPr>
      <w:r>
        <w:rPr>
          <w:rFonts w:ascii="Arial" w:cs="Arial" w:eastAsia="Arial" w:hAnsi="Arial"/>
          <w:sz w:val="18"/>
          <w:szCs w:val="18"/>
          <w:color w:val="auto"/>
        </w:rPr>
        <w:t>As of March 31, 2023, we had cash, cash equivalents and marketable securities of $85.8 million. We are unable to estimate the exact amount of our working capital requirements, but based on our current operating plan, we believe that our cash, cash equivalents and marketable securities as of March 31, 2023 will enable us to fund our operating expenses and capital expenditure requirements into the second quarter of 2024. We have incurred recurring losses since our inception, including a net loss of $37.5 million for the three months ended March 31, 2023. In addition, as of March 31, 2023, we had an accumulated deficit of $568.1 million. We expect to continue to generate operating losses for the foreseeable future. We have evaluated whether there are conditions and events, considered in the aggregate, that raise substantial doubt about our ability to continue as a going concern within one year of the issuance of the condensed consolidated financial statements included elsewhere in this Quarterly Report on Form 10-Q. Since we expect that our cash, cash equivalents and marketable securities as of March 31, 2023 may not be sufficient to fund operations for at least the next twelve months from the date of issuance of the condensed consolidated financial statements included elsewhere in this Quarterly Report on Form 10-Q, there is substantial doubt about our ability to continue as a going concern. Our future viability is dependent on our ability to raise additional capital to finance our operations. We expect to finance our operations through potential public or private equity financings, debt financings, collaboration agreements or other capital sources. Our inability to raise capital as and when needed could have a negative impact on our financial condition and ability to pursue our business strategies. There can be no assurance that the current operating plan will be achieved or that additional funding will be available on terms acceptable to us, or at all. We have based our assessment on assumptions that may prove to be wrong, and we could use our capital resources sooner than we currently expect.</w:t>
      </w:r>
    </w:p>
    <w:p>
      <w:pPr>
        <w:spacing w:after="0" w:line="195" w:lineRule="exact"/>
        <w:rPr>
          <w:sz w:val="20"/>
          <w:szCs w:val="20"/>
          <w:color w:val="auto"/>
        </w:rPr>
      </w:pPr>
    </w:p>
    <w:p>
      <w:pPr>
        <w:ind w:firstLine="446"/>
        <w:spacing w:after="0" w:line="263" w:lineRule="auto"/>
        <w:rPr>
          <w:sz w:val="20"/>
          <w:szCs w:val="20"/>
          <w:color w:val="auto"/>
        </w:rPr>
      </w:pPr>
      <w:r>
        <w:rPr>
          <w:rFonts w:ascii="Arial" w:cs="Arial" w:eastAsia="Arial" w:hAnsi="Arial"/>
          <w:sz w:val="18"/>
          <w:szCs w:val="18"/>
          <w:color w:val="auto"/>
        </w:rPr>
        <w:t>Because of the numerous risks and uncertainties associated with product development and potential collaborations with third parties for the development of our product candidates, we may incorrectly estimate the timing and amounts of increased capital outlays and operating expenses associated with completing the research</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4" w:right="359" w:bottom="1440" w:gutter="0" w:footer="0" w:header="0"/>
        </w:sectPr>
      </w:pPr>
    </w:p>
    <w:bookmarkStart w:id="24" w:name="page25"/>
    <w:bookmarkEnd w:id="24"/>
    <w:p>
      <w:pPr>
        <w:ind w:right="120"/>
        <w:spacing w:after="0" w:line="275" w:lineRule="auto"/>
        <w:rPr>
          <w:sz w:val="20"/>
          <w:szCs w:val="20"/>
          <w:color w:val="auto"/>
        </w:rPr>
      </w:pPr>
      <w:r>
        <w:rPr>
          <w:rFonts w:ascii="Arial" w:cs="Arial" w:eastAsia="Arial" w:hAnsi="Arial"/>
          <w:sz w:val="18"/>
          <w:szCs w:val="18"/>
          <w:color w:val="auto"/>
        </w:rPr>
        <w:t>and development of our product candidates. Our funding requirements and timing and amount of our operating expenditures will depend on many factors, including, but not limited to:</w:t>
      </w:r>
    </w:p>
    <w:p>
      <w:pPr>
        <w:spacing w:after="0" w:line="120"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studies and clinical trials for our platforms and product candidates;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and technologies that we develop or may in-license;</w:t>
      </w:r>
    </w:p>
    <w:p>
      <w:pPr>
        <w:spacing w:after="0" w:line="117" w:lineRule="exact"/>
        <w:rPr>
          <w:rFonts w:ascii="Arial" w:cs="Arial" w:eastAsia="Arial" w:hAnsi="Arial"/>
          <w:sz w:val="18"/>
          <w:szCs w:val="18"/>
          <w:color w:val="auto"/>
        </w:rPr>
      </w:pPr>
    </w:p>
    <w:p>
      <w:pPr>
        <w:ind w:left="820" w:hanging="326"/>
        <w:spacing w:after="0" w:line="275"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65" w:lineRule="exact"/>
        <w:rPr>
          <w:rFonts w:ascii="Arial" w:cs="Arial" w:eastAsia="Arial" w:hAnsi="Arial"/>
          <w:sz w:val="18"/>
          <w:szCs w:val="18"/>
          <w:color w:val="auto"/>
        </w:rPr>
      </w:pPr>
    </w:p>
    <w:p>
      <w:pPr>
        <w:ind w:left="820" w:right="20" w:hanging="326"/>
        <w:spacing w:after="0" w:line="275"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65" w:lineRule="exact"/>
        <w:rPr>
          <w:rFonts w:ascii="Arial" w:cs="Arial" w:eastAsia="Arial" w:hAnsi="Arial"/>
          <w:sz w:val="18"/>
          <w:szCs w:val="18"/>
          <w:color w:val="auto"/>
        </w:rPr>
      </w:pPr>
    </w:p>
    <w:p>
      <w:pPr>
        <w:ind w:left="820" w:right="60" w:hanging="326"/>
        <w:spacing w:after="0" w:line="275"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IP rights and defending any IP-related claims;</w:t>
      </w:r>
    </w:p>
    <w:p>
      <w:pPr>
        <w:spacing w:after="0" w:line="65"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continuation of our existing licensing arrangements and entry into new collaborations and licensing arrangements;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any product candidates for which we receive marketing approval;</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820" w:hanging="326"/>
        <w:spacing w:after="0" w:line="263"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 although we currently have no commitments or agreements to complete any such acquisitions or investments in businesses.</w:t>
      </w:r>
    </w:p>
    <w:p>
      <w:pPr>
        <w:spacing w:after="0" w:line="184" w:lineRule="exact"/>
        <w:rPr>
          <w:sz w:val="20"/>
          <w:szCs w:val="20"/>
          <w:color w:val="auto"/>
        </w:rPr>
      </w:pPr>
    </w:p>
    <w:p>
      <w:pPr>
        <w:ind w:right="60" w:firstLine="446"/>
        <w:spacing w:after="0" w:line="256"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92"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Adequate additional funds may not be available to us on acceptable terms, or at all. We do not currently have any committed external source of funds. Market volatility could also adversely impact our ability to access capital as and when needed. To the extent that we raise additional capital through the sale of equity or convertible debt securities, the ownership interest of our existing stockholders will be diluted, and the terms of these securities may include liquidation or other preferences that adversely affect the rights of holders of our common stock.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result in dilution to the holders of our common stock.</w:t>
      </w:r>
    </w:p>
    <w:p>
      <w:pPr>
        <w:spacing w:after="0" w:line="195" w:lineRule="exact"/>
        <w:rPr>
          <w:sz w:val="20"/>
          <w:szCs w:val="20"/>
          <w:color w:val="auto"/>
        </w:rPr>
      </w:pPr>
    </w:p>
    <w:p>
      <w:pPr>
        <w:ind w:right="100" w:firstLine="446"/>
        <w:spacing w:after="0" w:line="256"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or terminate our product development programs or any future commercialization efforts or grant rights to develop and market product candidates to third parties that we would otherwise prefer to develop and market ourselves.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7" w:lineRule="exact"/>
        <w:rPr>
          <w:sz w:val="20"/>
          <w:szCs w:val="20"/>
          <w:color w:val="auto"/>
        </w:rPr>
      </w:pPr>
    </w:p>
    <w:p>
      <w:pPr>
        <w:ind w:firstLine="446"/>
        <w:spacing w:after="0" w:line="258"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and liabilities and the</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2" w:right="379" w:bottom="1440" w:gutter="0" w:footer="0" w:header="0"/>
        </w:sectPr>
      </w:pPr>
    </w:p>
    <w:bookmarkStart w:id="25" w:name="page26"/>
    <w:bookmarkEnd w:id="25"/>
    <w:p>
      <w:pPr>
        <w:ind w:right="60"/>
        <w:spacing w:after="0" w:line="256" w:lineRule="auto"/>
        <w:rPr>
          <w:sz w:val="20"/>
          <w:szCs w:val="20"/>
          <w:color w:val="auto"/>
        </w:rPr>
      </w:pPr>
      <w:r>
        <w:rPr>
          <w:rFonts w:ascii="Arial" w:cs="Arial" w:eastAsia="Arial" w:hAnsi="Arial"/>
          <w:sz w:val="18"/>
          <w:szCs w:val="18"/>
          <w:color w:val="auto"/>
        </w:rPr>
        <w:t>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ind w:firstLine="446"/>
        <w:spacing w:after="0" w:line="263" w:lineRule="auto"/>
        <w:rPr>
          <w:sz w:val="20"/>
          <w:szCs w:val="20"/>
          <w:color w:val="auto"/>
        </w:rPr>
      </w:pPr>
      <w:r>
        <w:rPr>
          <w:rFonts w:ascii="Arial" w:cs="Arial" w:eastAsia="Arial" w:hAnsi="Arial"/>
          <w:sz w:val="18"/>
          <w:szCs w:val="18"/>
          <w:color w:val="auto"/>
        </w:rPr>
        <w:t>There have been no changes to our critical accounting policies from those described under the heading “Management’s Discussion and Analysis of Financial Condition and Results of Operations – Critical Accounting Policies and Significant Judgments and Estimates” included in our Annual Report on Form 10-K filed with the SEC on February 7, 2023.</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7" w:lineRule="exact"/>
        <w:rPr>
          <w:sz w:val="20"/>
          <w:szCs w:val="20"/>
          <w:color w:val="auto"/>
        </w:rPr>
      </w:pPr>
    </w:p>
    <w:p>
      <w:pPr>
        <w:ind w:firstLine="446"/>
        <w:spacing w:after="0" w:line="263" w:lineRule="auto"/>
        <w:rPr>
          <w:sz w:val="20"/>
          <w:szCs w:val="20"/>
          <w:color w:val="auto"/>
        </w:rPr>
      </w:pPr>
      <w:r>
        <w:rPr>
          <w:rFonts w:ascii="Arial" w:cs="Arial" w:eastAsia="Arial" w:hAnsi="Arial"/>
          <w:sz w:val="18"/>
          <w:szCs w:val="18"/>
          <w:color w:val="auto"/>
        </w:rPr>
        <w:t>We have reviewed all recently issued standards and have determined that, other than as disclosed in Note 2 to our condensed consolidated financial statements appearing elsewhere in this Quarterly Report on Form 10-Q, such standards will not have a material impact on our condensed consolidated financial statements or do not otherwise apply to our current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7"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are exposed to market risk related to changes in interest rates. Our primary exposure to market risk is interest rate sensitivity, which is affected by changes in the general level of U.S. interest rates, particularly because our cash, cash equivalents and marketable securities are or may be in the form of money market funds or marketable debt securities and are or may be invested in U.S. Treasury and U.S. government agency obligations. However, because of the short-term nature and low risk profile of the instruments in our portfolio, an immediate change in market interest rates of 100 basis points would not have a material impact on the fair market value of our investment portfolio or on our financial position or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27"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as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94" w:lineRule="exact"/>
        <w:rPr>
          <w:sz w:val="20"/>
          <w:szCs w:val="20"/>
          <w:color w:val="auto"/>
        </w:rPr>
      </w:pPr>
    </w:p>
    <w:p>
      <w:pPr>
        <w:ind w:right="220" w:firstLine="446"/>
        <w:spacing w:after="0" w:line="258"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2023. Based on the evaluation of our disclosure controls and procedures as of March 31, 2023, our Chief Executive Officer and Chief Financial Officer concluded that, as of such date, our disclosure controls and procedures were effective at the reasonable assurance level.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27" w:lineRule="exact"/>
        <w:rPr>
          <w:sz w:val="20"/>
          <w:szCs w:val="20"/>
          <w:color w:val="auto"/>
        </w:rPr>
      </w:pPr>
    </w:p>
    <w:p>
      <w:pPr>
        <w:ind w:right="140" w:firstLine="446"/>
        <w:spacing w:after="0" w:line="275"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4" w:right="3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7" w:lineRule="exact"/>
        <w:rPr>
          <w:sz w:val="20"/>
          <w:szCs w:val="20"/>
          <w:color w:val="auto"/>
        </w:rPr>
      </w:pPr>
    </w:p>
    <w:p>
      <w:pPr>
        <w:ind w:right="20" w:firstLine="446"/>
        <w:spacing w:after="0" w:line="258" w:lineRule="auto"/>
        <w:rPr>
          <w:sz w:val="20"/>
          <w:szCs w:val="20"/>
          <w:color w:val="auto"/>
        </w:rPr>
      </w:pPr>
      <w:r>
        <w:rPr>
          <w:rFonts w:ascii="Arial" w:cs="Arial" w:eastAsia="Arial" w:hAnsi="Arial"/>
          <w:sz w:val="18"/>
          <w:szCs w:val="18"/>
          <w:color w:val="auto"/>
        </w:rPr>
        <w:t>As of the date of this Quarterly Report on Form 10-Q,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7" w:lineRule="exact"/>
        <w:rPr>
          <w:sz w:val="20"/>
          <w:szCs w:val="20"/>
          <w:color w:val="auto"/>
        </w:rPr>
      </w:pPr>
    </w:p>
    <w:p>
      <w:pPr>
        <w:ind w:right="300" w:firstLine="405"/>
        <w:spacing w:after="0" w:line="306" w:lineRule="auto"/>
        <w:rPr>
          <w:sz w:val="20"/>
          <w:szCs w:val="20"/>
          <w:color w:val="auto"/>
        </w:rPr>
      </w:pPr>
      <w:r>
        <w:rPr>
          <w:rFonts w:ascii="Arial" w:cs="Arial" w:eastAsia="Arial" w:hAnsi="Arial"/>
          <w:sz w:val="17"/>
          <w:szCs w:val="17"/>
          <w:color w:val="auto"/>
        </w:rPr>
        <w:t>The risk factors set forth below update, and should be read in conjunction with, the risk factors previously disclosed in the section entitled "Risk Factors" of our Annual Report on Form 10-K for the year ended December 31, 2022 filed with the SEC on February 7, 2023.</w:t>
      </w:r>
    </w:p>
    <w:p>
      <w:pPr>
        <w:spacing w:after="0" w:line="383" w:lineRule="exact"/>
        <w:rPr>
          <w:sz w:val="20"/>
          <w:szCs w:val="20"/>
          <w:color w:val="auto"/>
        </w:rPr>
      </w:pPr>
    </w:p>
    <w:p>
      <w:pPr>
        <w:ind w:right="4320"/>
        <w:spacing w:after="0" w:line="375" w:lineRule="auto"/>
        <w:rPr>
          <w:sz w:val="20"/>
          <w:szCs w:val="20"/>
          <w:color w:val="auto"/>
        </w:rPr>
      </w:pPr>
      <w:r>
        <w:rPr>
          <w:rFonts w:ascii="Arial" w:cs="Arial" w:eastAsia="Arial" w:hAnsi="Arial"/>
          <w:sz w:val="18"/>
          <w:szCs w:val="18"/>
          <w:b w:val="1"/>
          <w:bCs w:val="1"/>
          <w:color w:val="auto"/>
        </w:rPr>
        <w:t xml:space="preserve">Risks Related to Research and Development and the Biopharmaceutical Industry </w:t>
      </w:r>
      <w:r>
        <w:rPr>
          <w:rFonts w:ascii="Arial" w:cs="Arial" w:eastAsia="Arial" w:hAnsi="Arial"/>
          <w:sz w:val="18"/>
          <w:szCs w:val="18"/>
          <w:u w:val="single" w:color="auto"/>
          <w:color w:val="auto"/>
        </w:rPr>
        <w:t>Risks Related to Preclinical and Clinical Development</w:t>
      </w:r>
    </w:p>
    <w:p>
      <w:pPr>
        <w:spacing w:after="0" w:line="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i w:val="1"/>
          <w:iCs w:val="1"/>
          <w:color w:val="auto"/>
        </w:rPr>
        <w:t>Preclinical and clinical drug development involves a lengthy, complex and expensive process, with an uncertain outcome. The outcome of preclinical testing and early clinical trials may not be predictive of the success of later clinical trials, and the results of our clinical trials may not satisfy the requirements of the FDA or comparable foreign regulatory authorities.</w:t>
      </w:r>
    </w:p>
    <w:p>
      <w:pPr>
        <w:spacing w:after="0" w:line="5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pivotal clinical trials typically involve hundreds of patients, have significant costs and take years to complete. A product candidate can fail at any stage of testing, even after observing promising signs of activity in earlier preclinical studies or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w:t>
      </w:r>
    </w:p>
    <w:p>
      <w:pPr>
        <w:spacing w:after="0" w:line="8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There is typically an extremely high rate of attrition from the failure of product candidates proceeding through clinical trials. Certain of our product candidates failed to meet the primary endpoint in later stage clinical trials and we may in the future have product candidates that fail to show the desired safety and efficacy results in later stage clinical trials despite having progressed through preclinical studies and initial clinical trials. There can be no assurance that any of our future clinical trials will ultimately be successful or support further clinical development of our product candidates. The commencement and rate of completion of preclinical studies and clinical trials for a product candidate may be delayed by many factors, including, for example:</w:t>
      </w:r>
    </w:p>
    <w:p>
      <w:pPr>
        <w:spacing w:after="0" w:line="10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inability to generate sufficient preclinical or other in vivo or in vitro data to support the initiation of clinical studies;</w:t>
      </w:r>
    </w:p>
    <w:p>
      <w:pPr>
        <w:spacing w:after="0" w:line="95" w:lineRule="exact"/>
        <w:rPr>
          <w:rFonts w:ascii="Arial" w:cs="Arial" w:eastAsia="Arial" w:hAnsi="Arial"/>
          <w:sz w:val="22"/>
          <w:szCs w:val="22"/>
          <w:color w:val="auto"/>
        </w:rPr>
      </w:pPr>
    </w:p>
    <w:p>
      <w:pPr>
        <w:ind w:left="660" w:right="460" w:hanging="328"/>
        <w:spacing w:after="0" w:line="27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timely completion of preclinical laboratory tests, animal studies and formulation studies in accordance with the Good Laboratory Practice requirements and other applicable regulations of the U.S. Food and Drug Administration, or the FDA;</w:t>
      </w:r>
    </w:p>
    <w:p>
      <w:pPr>
        <w:spacing w:after="0" w:line="65" w:lineRule="exact"/>
        <w:rPr>
          <w:rFonts w:ascii="Arial" w:cs="Arial" w:eastAsia="Arial" w:hAnsi="Arial"/>
          <w:sz w:val="18"/>
          <w:szCs w:val="18"/>
          <w:color w:val="auto"/>
        </w:rPr>
      </w:pPr>
    </w:p>
    <w:p>
      <w:pPr>
        <w:ind w:left="660" w:right="420" w:hanging="328"/>
        <w:spacing w:after="0" w:line="27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each trial may be initiated;</w:t>
      </w:r>
    </w:p>
    <w:p>
      <w:pPr>
        <w:spacing w:after="0" w:line="65" w:lineRule="exact"/>
        <w:rPr>
          <w:rFonts w:ascii="Arial" w:cs="Arial" w:eastAsia="Arial" w:hAnsi="Arial"/>
          <w:sz w:val="18"/>
          <w:szCs w:val="18"/>
          <w:color w:val="auto"/>
        </w:rPr>
      </w:pPr>
    </w:p>
    <w:p>
      <w:pPr>
        <w:ind w:left="660" w:right="28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and obtaining regulatory authorization to commence clinical trials; delays in reaching agreement on acceptable terms with prospective contract research organizations, or CROs, and clinical trial sites, the terms of which can be subject to extensive negotiation and may vary significantly among different CROs and clinical trial sites;</w:t>
      </w:r>
    </w:p>
    <w:p>
      <w:pPr>
        <w:spacing w:after="0" w:line="8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trials;</w:t>
      </w:r>
    </w:p>
    <w:p>
      <w:pPr>
        <w:spacing w:after="0" w:line="117" w:lineRule="exact"/>
        <w:rPr>
          <w:rFonts w:ascii="Arial" w:cs="Arial" w:eastAsia="Arial" w:hAnsi="Arial"/>
          <w:sz w:val="18"/>
          <w:szCs w:val="18"/>
          <w:color w:val="auto"/>
        </w:rPr>
      </w:pPr>
    </w:p>
    <w:p>
      <w:pPr>
        <w:ind w:left="660" w:right="120" w:hanging="328"/>
        <w:spacing w:after="0" w:line="27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27" w:name="page28"/>
    <w:bookmarkEnd w:id="27"/>
    <w:p>
      <w:pPr>
        <w:ind w:left="660" w:right="300" w:hanging="328"/>
        <w:spacing w:after="0" w:line="27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6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authorities;</w:t>
      </w:r>
    </w:p>
    <w:p>
      <w:pPr>
        <w:spacing w:after="0" w:line="117"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on trials conducted by competitors for related technology that raises FDA or foreign regulatory authority concerns about risk to patients of the technology broadly, or if the FDA or a foreign regulatory authority finds that the investigational protocol or plan is clearly deficient to meet its stated objectives;</w:t>
      </w:r>
    </w:p>
    <w:p>
      <w:pPr>
        <w:spacing w:after="0" w:line="75" w:lineRule="exact"/>
        <w:rPr>
          <w:rFonts w:ascii="Arial" w:cs="Arial" w:eastAsia="Arial" w:hAnsi="Arial"/>
          <w:sz w:val="18"/>
          <w:szCs w:val="18"/>
          <w:color w:val="auto"/>
        </w:rPr>
      </w:pPr>
    </w:p>
    <w:p>
      <w:pPr>
        <w:ind w:left="660" w:right="80" w:hanging="328"/>
        <w:spacing w:after="0" w:line="27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recruiting, screening and enrolling patients and delays caused by patients withdrawing from clinical trials or failing to return for post-treatment follow-up;</w:t>
      </w:r>
    </w:p>
    <w:p>
      <w:pPr>
        <w:spacing w:after="0" w:line="6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caused by operational issues at clinical sites;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17" w:lineRule="exact"/>
        <w:rPr>
          <w:rFonts w:ascii="Arial" w:cs="Arial" w:eastAsia="Arial" w:hAnsi="Arial"/>
          <w:sz w:val="18"/>
          <w:szCs w:val="18"/>
          <w:color w:val="auto"/>
        </w:rPr>
      </w:pPr>
    </w:p>
    <w:p>
      <w:pPr>
        <w:ind w:left="660" w:right="280" w:hanging="328"/>
        <w:spacing w:after="0" w:line="27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protocols; failure to perform in accordance with the FDA’s or any other regulatory authority’s Good Clinical Practice requirements, or applicable regulatory guidelines in other countries;</w:t>
      </w:r>
    </w:p>
    <w:p>
      <w:pPr>
        <w:spacing w:after="0" w:line="65" w:lineRule="exact"/>
        <w:rPr>
          <w:rFonts w:ascii="Arial" w:cs="Arial" w:eastAsia="Arial" w:hAnsi="Arial"/>
          <w:sz w:val="18"/>
          <w:szCs w:val="18"/>
          <w:color w:val="auto"/>
        </w:rPr>
      </w:pPr>
    </w:p>
    <w:p>
      <w:pPr>
        <w:ind w:left="660" w:right="60" w:hanging="328"/>
        <w:spacing w:after="0" w:line="27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 or occurrence of adverse events in trials of the same class of agents conducted by other companies;</w:t>
      </w:r>
    </w:p>
    <w:p>
      <w:pPr>
        <w:spacing w:after="0" w:line="6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to the clinical trial protocols;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observation or analyses of resulting data;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anticipated;</w:t>
      </w:r>
    </w:p>
    <w:p>
      <w:pPr>
        <w:spacing w:after="0" w:line="117" w:lineRule="exact"/>
        <w:rPr>
          <w:rFonts w:ascii="Arial" w:cs="Arial" w:eastAsia="Arial" w:hAnsi="Arial"/>
          <w:sz w:val="18"/>
          <w:szCs w:val="18"/>
          <w:color w:val="auto"/>
        </w:rPr>
      </w:pPr>
    </w:p>
    <w:p>
      <w:pPr>
        <w:ind w:left="660" w:right="360" w:hanging="328"/>
        <w:spacing w:after="0" w:line="27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65" w:lineRule="exact"/>
        <w:rPr>
          <w:rFonts w:ascii="Arial" w:cs="Arial" w:eastAsia="Arial" w:hAnsi="Arial"/>
          <w:sz w:val="18"/>
          <w:szCs w:val="18"/>
          <w:color w:val="auto"/>
        </w:rPr>
      </w:pPr>
    </w:p>
    <w:p>
      <w:pPr>
        <w:ind w:left="660" w:right="60" w:hanging="328"/>
        <w:spacing w:after="0" w:line="27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a contract development and manufacturing organization, or CDMO, and delays or failure by our CDMOs or us to make any necessary changes to such manufacturing process; and</w:t>
      </w:r>
    </w:p>
    <w:p>
      <w:pPr>
        <w:spacing w:after="0" w:line="6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 parties being unwilling or unable to satisfy their contractual obligations to us.</w:t>
      </w:r>
    </w:p>
    <w:p>
      <w:pPr>
        <w:spacing w:after="0" w:line="117"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Clinical trials must be conducted in accordance with the FDA and other applicable regulatory authorities’ legal requirements, regulations or guidelines, and are subject to oversight by these governmental agencies and ethics committees or IRBs at the medical institutions where the clinical trials are conducted. Before commencing a clinical trial, the FDA or comparable foreign regulatory authorities could raise questions about or concerns with our proposed clinical protocol. For example, the FDA has previously issued clinical holds on certain of our product candidates, and we could not commence the respective clinical trial until such questions or concerns were resolved.</w:t>
      </w:r>
    </w:p>
    <w:p>
      <w:pPr>
        <w:spacing w:after="0" w:line="8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we may need to amend clinical trial protocols that could require us to resubmit our clinical trial protocols to IRBs or ethics committees for reexamination, which may impact the costs, timing or successful completion of a clinical trial.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4" w:right="359" w:bottom="1440" w:gutter="0" w:footer="0" w:header="0"/>
        </w:sectPr>
      </w:pPr>
    </w:p>
    <w:bookmarkStart w:id="28" w:name="page29"/>
    <w:bookmarkEnd w:id="28"/>
    <w:p>
      <w:pPr>
        <w:ind w:right="20" w:firstLine="405"/>
        <w:spacing w:after="0" w:line="252" w:lineRule="auto"/>
        <w:rPr>
          <w:sz w:val="20"/>
          <w:szCs w:val="20"/>
          <w:color w:val="auto"/>
        </w:rPr>
      </w:pPr>
      <w:r>
        <w:rPr>
          <w:rFonts w:ascii="Arial" w:cs="Arial" w:eastAsia="Arial" w:hAnsi="Arial"/>
          <w:sz w:val="18"/>
          <w:szCs w:val="18"/>
          <w:color w:val="auto"/>
        </w:rPr>
        <w:t>Some of our trials are, have been, and may in the future be open-label studies, where both the patient and investigator know whether the patient is receiving the investigational product candidate or either an existing approved drug or placebo.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 Additionally, the trial design differences and placebo effects that may be possible in clinical research for the indications we are studying may make it difficult to extrapolate the results of earlier clinical trials to later clinical trials or to interpret the clinical data in any of our trials. In addition, we plan to conduct clinical trials of certain of our product candidates, including ulixacaltamide, utilizing novel primary endpoints for which the FDA and other regulatory authorities may have limited experience in interpreting and reviewing. Although we plan to seek consensus with FDA and other regulatory authorities in connection with the design and implementation of our clinical studies, utilizing novel trial endpoints may increase the risk that the FDA and other regulatory authorities will consider the results from such trials, even if successful, insufficient to establish the safety or efficacy of our product candidates, which could require us to conduct additional studies beyond those we currently contemplate for our product candidates.</w:t>
      </w:r>
    </w:p>
    <w:p>
      <w:pPr>
        <w:spacing w:after="0" w:line="88" w:lineRule="exact"/>
        <w:rPr>
          <w:sz w:val="20"/>
          <w:szCs w:val="20"/>
          <w:color w:val="auto"/>
        </w:rPr>
      </w:pPr>
    </w:p>
    <w:p>
      <w:pPr>
        <w:ind w:right="120" w:firstLine="405"/>
        <w:spacing w:after="0" w:line="258" w:lineRule="auto"/>
        <w:rPr>
          <w:sz w:val="20"/>
          <w:szCs w:val="20"/>
          <w:color w:val="auto"/>
        </w:rPr>
      </w:pPr>
      <w:r>
        <w:rPr>
          <w:rFonts w:ascii="Arial" w:cs="Arial" w:eastAsia="Arial" w:hAnsi="Arial"/>
          <w:sz w:val="18"/>
          <w:szCs w:val="18"/>
          <w:color w:val="auto"/>
        </w:rPr>
        <w:t>Further, conducting clinical trials in foreign countries, such as the European Union,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82"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8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Delays in the completion of any preclinical studies or clinical trials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preclinical studies or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87" w:lineRule="exact"/>
        <w:rPr>
          <w:sz w:val="20"/>
          <w:szCs w:val="20"/>
          <w:color w:val="auto"/>
        </w:rPr>
      </w:pPr>
    </w:p>
    <w:p>
      <w:pPr>
        <w:ind w:right="260" w:firstLine="405"/>
        <w:spacing w:after="0" w:line="263" w:lineRule="auto"/>
        <w:rPr>
          <w:sz w:val="20"/>
          <w:szCs w:val="20"/>
          <w:color w:val="auto"/>
        </w:rPr>
      </w:pPr>
      <w:r>
        <w:rPr>
          <w:rFonts w:ascii="Arial" w:cs="Arial" w:eastAsia="Arial" w:hAnsi="Arial"/>
          <w:sz w:val="18"/>
          <w:szCs w:val="18"/>
          <w:color w:val="auto"/>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development plans may be impacted.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make any sales of unregistered securities during the three months ended March 31, 2023.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make any repurchases of shares of common stock during the three months ended March 31, 2023.</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4" w:right="379"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04" w:right="1440"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40" w:type="dxa"/>
            <w:vAlign w:val="bottom"/>
            <w:gridSpan w:val="4"/>
          </w:tcPr>
          <w:p>
            <w:pPr>
              <w:spacing w:after="0"/>
              <w:rPr>
                <w:sz w:val="20"/>
                <w:szCs w:val="20"/>
                <w:color w:val="auto"/>
              </w:rPr>
            </w:pPr>
            <w:r>
              <w:rPr>
                <w:rFonts w:ascii="Arial" w:cs="Arial" w:eastAsia="Arial" w:hAnsi="Arial"/>
                <w:sz w:val="16"/>
                <w:szCs w:val="16"/>
                <w:b w:val="1"/>
                <w:bCs w:val="1"/>
                <w:color w:val="auto"/>
              </w:rPr>
              <w:t>Exhibit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300" w:type="dxa"/>
            <w:vAlign w:val="bottom"/>
            <w:gridSpan w:val="13"/>
            <w:vMerge w:val="restart"/>
          </w:tcPr>
          <w:p>
            <w:pPr>
              <w:ind w:left="6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5300" w:type="dxa"/>
            <w:vAlign w:val="bottom"/>
            <w:tcBorders>
              <w:bottom w:val="single" w:sz="8" w:color="auto"/>
            </w:tcBorders>
            <w:gridSpan w:val="1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gridSpan w:val="2"/>
          </w:tcPr>
          <w:p>
            <w:pPr>
              <w:ind w:left="20"/>
              <w:spacing w:after="0"/>
              <w:rPr>
                <w:rFonts w:ascii="Arial" w:cs="Arial" w:eastAsia="Arial" w:hAnsi="Arial"/>
                <w:sz w:val="18"/>
                <w:szCs w:val="18"/>
                <w:color w:val="0000FF"/>
                <w:w w:val="95"/>
              </w:rPr>
            </w:pPr>
            <w:hyperlink r:id="rId48">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hyperlink>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40" w:type="dxa"/>
            <w:vAlign w:val="bottom"/>
            <w:gridSpan w:val="15"/>
          </w:tcPr>
          <w:p>
            <w:pPr>
              <w:spacing w:after="0"/>
              <w:rPr>
                <w:rFonts w:ascii="Arial" w:cs="Arial" w:eastAsia="Arial" w:hAnsi="Arial"/>
                <w:sz w:val="18"/>
                <w:szCs w:val="18"/>
                <w:color w:val="0000FF"/>
              </w:rPr>
            </w:pPr>
            <w:hyperlink r:id="rId48">
              <w:r>
                <w:rPr>
                  <w:rFonts w:ascii="Arial" w:cs="Arial" w:eastAsia="Arial" w:hAnsi="Arial"/>
                  <w:sz w:val="18"/>
                  <w:szCs w:val="18"/>
                  <w:color w:val="0000FF"/>
                </w:rPr>
                <w:t>Amended and Restated Certificate of Incorporation of Praxis Precision Medicines, Inc. (incorporated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48">
              <w:r>
                <w:rPr>
                  <w:rFonts w:ascii="Arial" w:cs="Arial" w:eastAsia="Arial" w:hAnsi="Arial"/>
                  <w:sz w:val="18"/>
                  <w:szCs w:val="18"/>
                  <w:color w:val="0000FF"/>
                </w:rPr>
                <w:t>reference to Exhibit 3.1 to the Registrant's Current Report on Form 8-K (File No. 001-39620)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80" w:type="dxa"/>
            <w:vAlign w:val="bottom"/>
            <w:tcBorders>
              <w:top w:val="single" w:sz="8" w:color="0000FF"/>
            </w:tcBorders>
            <w:gridSpan w:val="8"/>
          </w:tcPr>
          <w:p>
            <w:pPr>
              <w:spacing w:after="0" w:line="169" w:lineRule="exact"/>
              <w:rPr>
                <w:rFonts w:ascii="Arial" w:cs="Arial" w:eastAsia="Arial" w:hAnsi="Arial"/>
                <w:sz w:val="18"/>
                <w:szCs w:val="18"/>
                <w:color w:val="0000FF"/>
              </w:rPr>
            </w:pPr>
            <w:hyperlink r:id="rId48">
              <w:r>
                <w:rPr>
                  <w:rFonts w:ascii="Arial" w:cs="Arial" w:eastAsia="Arial" w:hAnsi="Arial"/>
                  <w:sz w:val="18"/>
                  <w:szCs w:val="18"/>
                  <w:color w:val="0000FF"/>
                </w:rPr>
                <w:t>October 20, 2020).</w:t>
              </w:r>
            </w:hyperlink>
          </w:p>
        </w:tc>
        <w:tc>
          <w:tcPr>
            <w:tcW w:w="2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80" w:type="dxa"/>
            <w:vAlign w:val="bottom"/>
            <w:gridSpan w:val="2"/>
          </w:tcPr>
          <w:p>
            <w:pPr>
              <w:ind w:left="20"/>
              <w:spacing w:after="0"/>
              <w:rPr>
                <w:rFonts w:ascii="Arial" w:cs="Arial" w:eastAsia="Arial" w:hAnsi="Arial"/>
                <w:sz w:val="18"/>
                <w:szCs w:val="18"/>
                <w:color w:val="0000FF"/>
                <w:w w:val="95"/>
              </w:rPr>
            </w:pPr>
            <w:hyperlink r:id="rId49">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hyperlink>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40" w:type="dxa"/>
            <w:vAlign w:val="bottom"/>
            <w:gridSpan w:val="15"/>
          </w:tcPr>
          <w:p>
            <w:pPr>
              <w:spacing w:after="0"/>
              <w:rPr>
                <w:rFonts w:ascii="Arial" w:cs="Arial" w:eastAsia="Arial" w:hAnsi="Arial"/>
                <w:sz w:val="18"/>
                <w:szCs w:val="18"/>
                <w:color w:val="0000FF"/>
              </w:rPr>
            </w:pPr>
            <w:hyperlink r:id="rId49">
              <w:r>
                <w:rPr>
                  <w:rFonts w:ascii="Arial" w:cs="Arial" w:eastAsia="Arial" w:hAnsi="Arial"/>
                  <w:sz w:val="18"/>
                  <w:szCs w:val="18"/>
                  <w:color w:val="0000FF"/>
                </w:rPr>
                <w:t>Amended and Restated Bylaws of Praxis Precision Medicines, Inc. (incorporated by reference to Exhibit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49">
              <w:r>
                <w:rPr>
                  <w:rFonts w:ascii="Arial" w:cs="Arial" w:eastAsia="Arial" w:hAnsi="Arial"/>
                  <w:sz w:val="18"/>
                  <w:szCs w:val="18"/>
                  <w:color w:val="0000FF"/>
                </w:rPr>
                <w:t>3.</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Registrant's Current Report on Form 8-K (File No. 001-39620) filed on January 7, 2022).</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0" w:type="dxa"/>
            <w:vAlign w:val="bottom"/>
            <w:gridSpan w:val="3"/>
          </w:tcPr>
          <w:p>
            <w:pPr>
              <w:ind w:left="20"/>
              <w:spacing w:after="0"/>
              <w:rPr>
                <w:rFonts w:ascii="Arial" w:cs="Arial" w:eastAsia="Arial" w:hAnsi="Arial"/>
                <w:sz w:val="18"/>
                <w:szCs w:val="18"/>
                <w:color w:val="0000FF"/>
              </w:rPr>
            </w:pPr>
            <w:hyperlink r:id="rId50">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40" w:type="dxa"/>
            <w:vAlign w:val="bottom"/>
            <w:gridSpan w:val="15"/>
          </w:tcPr>
          <w:p>
            <w:pPr>
              <w:spacing w:after="0"/>
              <w:rPr>
                <w:rFonts w:ascii="Arial" w:cs="Arial" w:eastAsia="Arial" w:hAnsi="Arial"/>
                <w:sz w:val="18"/>
                <w:szCs w:val="18"/>
                <w:color w:val="0000FF"/>
              </w:rPr>
            </w:pPr>
            <w:hyperlink r:id="rId51">
              <w:r>
                <w:rPr>
                  <w:rFonts w:ascii="Arial" w:cs="Arial" w:eastAsia="Arial" w:hAnsi="Arial"/>
                  <w:sz w:val="18"/>
                  <w:szCs w:val="18"/>
                  <w:color w:val="0000FF"/>
                </w:rPr>
                <w:t>Separation Letter Agreement, dated as of March 21, 2023, by and between Praxis Precision Medicines,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r:id="rId51">
              <w:r>
                <w:rPr>
                  <w:rFonts w:ascii="Arial" w:cs="Arial" w:eastAsia="Arial" w:hAnsi="Arial"/>
                  <w:sz w:val="18"/>
                  <w:szCs w:val="18"/>
                  <w:color w:val="0000FF"/>
                  <w:w w:val="99"/>
                </w:rPr>
                <w:t>Inc. and Nicole Sweeny (incorporated by reference to Exhibit 10.1 to the Registrant's Current Report on</w:t>
              </w:r>
            </w:hyperlink>
          </w:p>
        </w:tc>
        <w:tc>
          <w:tcPr>
            <w:tcW w:w="20" w:type="dxa"/>
            <w:vAlign w:val="bottom"/>
            <w:tcBorders>
              <w:bottom w:val="single" w:sz="8" w:color="0000FF"/>
            </w:tcBorders>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bottom w:val="single" w:sz="8" w:color="0000FF"/>
            </w:tcBorders>
            <w:gridSpan w:val="3"/>
          </w:tcPr>
          <w:p>
            <w:pPr>
              <w:spacing w:after="0" w:line="156" w:lineRule="exact"/>
              <w:rPr>
                <w:rFonts w:ascii="Arial" w:cs="Arial" w:eastAsia="Arial" w:hAnsi="Arial"/>
                <w:sz w:val="18"/>
                <w:szCs w:val="18"/>
                <w:color w:val="0000FF"/>
                <w:w w:val="99"/>
              </w:rPr>
            </w:pPr>
            <w:hyperlink r:id="rId51">
              <w:r>
                <w:rPr>
                  <w:rFonts w:ascii="Arial" w:cs="Arial" w:eastAsia="Arial" w:hAnsi="Arial"/>
                  <w:sz w:val="18"/>
                  <w:szCs w:val="18"/>
                  <w:color w:val="0000FF"/>
                  <w:w w:val="99"/>
                </w:rPr>
                <w:t>Form 8-K (File No. 001-39620) filed on March 21, 2023).</w:t>
              </w:r>
            </w:hyperlink>
          </w:p>
        </w:tc>
        <w:tc>
          <w:tcPr>
            <w:tcW w:w="3740" w:type="dxa"/>
            <w:vAlign w:val="bottom"/>
            <w:gridSpan w:val="8"/>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0000FF"/>
                <w:w w:val="90"/>
              </w:rPr>
              <w:t>31.</w:t>
            </w:r>
            <w:r>
              <w:rPr>
                <w:rFonts w:ascii="Arial" w:cs="Arial" w:eastAsia="Arial" w:hAnsi="Arial"/>
                <w:sz w:val="18"/>
                <w:szCs w:val="18"/>
                <w:u w:val="single" w:color="auto"/>
                <w:color w:val="0000FF"/>
                <w:w w:val="90"/>
              </w:rPr>
              <w:t>1*</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40" w:type="dxa"/>
            <w:vAlign w:val="bottom"/>
            <w:gridSpan w:val="15"/>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6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gridSpan w:val="15"/>
          </w:tcPr>
          <w:p>
            <w:pPr>
              <w:spacing w:after="0" w:line="156" w:lineRule="exact"/>
              <w:rPr>
                <w:sz w:val="20"/>
                <w:szCs w:val="20"/>
                <w:color w:val="auto"/>
              </w:rPr>
            </w:pPr>
            <w:r>
              <w:rPr>
                <w:rFonts w:ascii="Arial" w:cs="Arial" w:eastAsia="Arial" w:hAnsi="Arial"/>
                <w:sz w:val="18"/>
                <w:szCs w:val="18"/>
                <w:color w:val="0000FF"/>
                <w:w w:val="99"/>
              </w:rPr>
              <w:t>Securities Exchange Act of 1934, as Adopted Pursuant to Section 302 of the Sarbanes-Oxley Act of 2002.</w:t>
            </w:r>
          </w:p>
        </w:tc>
        <w:tc>
          <w:tcPr>
            <w:tcW w:w="0" w:type="dxa"/>
            <w:vAlign w:val="bottom"/>
          </w:tcPr>
          <w:p>
            <w:pPr>
              <w:spacing w:after="0"/>
              <w:rPr>
                <w:sz w:val="1"/>
                <w:szCs w:val="1"/>
                <w:color w:val="auto"/>
              </w:rPr>
            </w:pPr>
          </w:p>
        </w:tc>
      </w:tr>
      <w:tr>
        <w:trPr>
          <w:trHeight w:val="263"/>
        </w:trPr>
        <w:tc>
          <w:tcPr>
            <w:tcW w:w="440" w:type="dxa"/>
            <w:vAlign w:val="bottom"/>
            <w:gridSpan w:val="3"/>
          </w:tcPr>
          <w:p>
            <w:pPr>
              <w:ind w:left="20"/>
              <w:spacing w:after="0"/>
              <w:rPr>
                <w:sz w:val="20"/>
                <w:szCs w:val="20"/>
                <w:color w:val="auto"/>
              </w:rPr>
            </w:pPr>
            <w:r>
              <w:rPr>
                <w:rFonts w:ascii="Arial" w:cs="Arial" w:eastAsia="Arial" w:hAnsi="Arial"/>
                <w:sz w:val="18"/>
                <w:szCs w:val="18"/>
                <w:color w:val="0000FF"/>
                <w:w w:val="90"/>
              </w:rPr>
              <w:t>31.</w:t>
            </w:r>
            <w:r>
              <w:rPr>
                <w:rFonts w:ascii="Arial" w:cs="Arial" w:eastAsia="Arial" w:hAnsi="Arial"/>
                <w:sz w:val="18"/>
                <w:szCs w:val="18"/>
                <w:u w:val="single" w:color="auto"/>
                <w:color w:val="0000FF"/>
                <w:w w:val="90"/>
              </w:rPr>
              <w:t>2*</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w w:val="99"/>
              </w:rPr>
              <w:t>Certification of Principal Financial Officer Pursuant to Rules 13a-14(a) and 15d-14(a) under the Securities</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8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8"/>
                <w:szCs w:val="18"/>
                <w:color w:val="0000FF"/>
              </w:rPr>
              <w:t>Exchange Act of 1934, as Adopted Pursuant to Section 302 of the Sarbanes-Oxley Act of 2002.</w:t>
            </w: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20" w:type="dxa"/>
            <w:vAlign w:val="bottom"/>
            <w:gridSpan w:val="4"/>
          </w:tcPr>
          <w:p>
            <w:pPr>
              <w:ind w:left="20"/>
              <w:spacing w:after="0"/>
              <w:rPr>
                <w:sz w:val="20"/>
                <w:szCs w:val="20"/>
                <w:color w:val="auto"/>
              </w:rPr>
            </w:pPr>
            <w:r>
              <w:rPr>
                <w:rFonts w:ascii="Arial" w:cs="Arial" w:eastAsia="Arial" w:hAnsi="Arial"/>
                <w:sz w:val="18"/>
                <w:szCs w:val="18"/>
                <w:color w:val="0000FF"/>
                <w:w w:val="97"/>
              </w:rPr>
              <w:t>32.</w:t>
            </w:r>
            <w:r>
              <w:rPr>
                <w:rFonts w:ascii="Arial" w:cs="Arial" w:eastAsia="Arial" w:hAnsi="Arial"/>
                <w:sz w:val="18"/>
                <w:szCs w:val="18"/>
                <w:u w:val="single" w:color="auto"/>
                <w:color w:val="0000FF"/>
                <w:w w:val="97"/>
              </w:rPr>
              <w:t>1**</w:t>
            </w: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Certification of Principal Executive Officer and Principal Financial Officer Pursuant to 18 U.S.C.</w:t>
            </w:r>
          </w:p>
        </w:tc>
        <w:tc>
          <w:tcPr>
            <w:tcW w:w="84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4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rPr>
              <w:t>Section 1350, as Adopted Pursuant to Section 906 of the Sarbanes-Oxley Act of 2002.</w:t>
            </w:r>
          </w:p>
        </w:tc>
        <w:tc>
          <w:tcPr>
            <w:tcW w:w="9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Inline XBRL Instance Document</w:t>
            </w:r>
          </w:p>
        </w:tc>
        <w:tc>
          <w:tcPr>
            <w:tcW w:w="15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auto"/>
              </w:rPr>
              <w:t>101.SCH*</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4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auto"/>
              </w:rPr>
              <w:t>101.CAL*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4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4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4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auto"/>
              </w:rPr>
              <w:t>101.PRE*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4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right="3580" w:firstLine="26"/>
        <w:spacing w:after="0" w:line="312" w:lineRule="auto"/>
        <w:tabs>
          <w:tab w:leader="none" w:pos="1357"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ind w:left="340" w:hanging="332"/>
        <w:spacing w:after="0" w:line="254" w:lineRule="auto"/>
        <w:tabs>
          <w:tab w:leader="none" w:pos="3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31" w:name="page32"/>
    <w:bookmarkEnd w:id="31"/>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35" w:lineRule="exact"/>
        <w:rPr>
          <w:sz w:val="20"/>
          <w:szCs w:val="20"/>
          <w:color w:val="auto"/>
        </w:rPr>
      </w:pPr>
    </w:p>
    <w:p>
      <w:pPr>
        <w:ind w:right="380" w:firstLine="446"/>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3"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PRAXIS PRECISION MEDICINES, INC.</w:t>
      </w:r>
    </w:p>
    <w:p>
      <w:pPr>
        <w:spacing w:after="0" w:line="303" w:lineRule="exact"/>
        <w:rPr>
          <w:sz w:val="20"/>
          <w:szCs w:val="20"/>
          <w:color w:val="auto"/>
        </w:rPr>
      </w:pPr>
    </w:p>
    <w:p>
      <w:pPr>
        <w:ind w:left="20"/>
        <w:spacing w:after="0"/>
        <w:tabs>
          <w:tab w:leader="none" w:pos="740" w:val="left"/>
          <w:tab w:leader="none" w:pos="5460" w:val="left"/>
          <w:tab w:leader="none" w:pos="80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13970</wp:posOffset>
            </wp:positionV>
            <wp:extent cx="31807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3180715" cy="8255"/>
                    </a:xfrm>
                    <a:prstGeom prst="rect">
                      <a:avLst/>
                    </a:prstGeom>
                    <a:noFill/>
                  </pic:spPr>
                </pic:pic>
              </a:graphicData>
            </a:graphic>
          </wp:anchor>
        </w:drawing>
      </w:r>
    </w:p>
    <w:p>
      <w:pPr>
        <w:spacing w:after="0" w:line="6"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Marcio Souza</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Chief Executive Officer and Director (Principal Executive</w:t>
      </w:r>
    </w:p>
    <w:p>
      <w:pPr>
        <w:ind w:left="8420"/>
        <w:spacing w:after="0"/>
        <w:rPr>
          <w:sz w:val="20"/>
          <w:szCs w:val="20"/>
          <w:color w:val="auto"/>
        </w:rPr>
      </w:pPr>
      <w:r>
        <w:rPr>
          <w:rFonts w:ascii="Arial" w:cs="Arial" w:eastAsia="Arial" w:hAnsi="Arial"/>
          <w:sz w:val="18"/>
          <w:szCs w:val="18"/>
          <w:b w:val="1"/>
          <w:bCs w:val="1"/>
          <w:color w:val="auto"/>
        </w:rPr>
        <w:t>Officer)</w:t>
      </w:r>
    </w:p>
    <w:p>
      <w:pPr>
        <w:spacing w:after="0" w:line="281" w:lineRule="exact"/>
        <w:rPr>
          <w:sz w:val="20"/>
          <w:szCs w:val="20"/>
          <w:color w:val="auto"/>
        </w:rPr>
      </w:pPr>
    </w:p>
    <w:p>
      <w:pPr>
        <w:ind w:left="20"/>
        <w:spacing w:after="0"/>
        <w:tabs>
          <w:tab w:leader="none" w:pos="740" w:val="left"/>
          <w:tab w:leader="none" w:pos="5460" w:val="left"/>
          <w:tab w:leader="none" w:pos="8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22225</wp:posOffset>
            </wp:positionV>
            <wp:extent cx="31807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3180715" cy="8255"/>
                    </a:xfrm>
                    <a:prstGeom prst="rect">
                      <a:avLst/>
                    </a:prstGeom>
                    <a:noFill/>
                  </pic:spPr>
                </pic:pic>
              </a:graphicData>
            </a:graphic>
          </wp:anchor>
        </w:drawing>
      </w:r>
    </w:p>
    <w:p>
      <w:pPr>
        <w:spacing w:after="0" w:line="20"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Timothy Kelly</w:t>
      </w:r>
    </w:p>
    <w:p>
      <w:pPr>
        <w:spacing w:after="0" w:line="44"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60"/>
          </w:cols>
          <w:pgMar w:left="320" w:top="886" w:right="4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340" w:right="204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Marcio Souza, certify that:</w:t>
      </w:r>
    </w:p>
    <w:p>
      <w:pPr>
        <w:spacing w:after="0" w:line="25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Praxis Precision Medicines,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340" w:right="40" w:hanging="332"/>
        <w:spacing w:after="0" w:line="248"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2"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60" w:right="60" w:hanging="328"/>
        <w:spacing w:after="0" w:line="248"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2"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320" w:hanging="328"/>
        <w:spacing w:after="0" w:line="308" w:lineRule="auto"/>
        <w:tabs>
          <w:tab w:leader="none" w:pos="6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20"/>
        <w:spacing w:after="0"/>
        <w:tabs>
          <w:tab w:leader="none" w:pos="640" w:val="left"/>
          <w:tab w:leader="none" w:pos="6440" w:val="left"/>
          <w:tab w:leader="none" w:pos="8400" w:val="left"/>
        </w:tabs>
        <w:rPr>
          <w:sz w:val="20"/>
          <w:szCs w:val="20"/>
          <w:color w:val="auto"/>
        </w:rPr>
      </w:pPr>
      <w:r>
        <w:rPr>
          <w:rFonts w:ascii="Arial" w:cs="Arial" w:eastAsia="Arial" w:hAnsi="Arial"/>
          <w:sz w:val="18"/>
          <w:szCs w:val="18"/>
          <w:color w:val="auto"/>
        </w:rPr>
        <w:t>Date:</w:t>
        <w:tab/>
        <w:t>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457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0"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Marcio Souza</w:t>
      </w:r>
    </w:p>
    <w:p>
      <w:pPr>
        <w:spacing w:after="0" w:line="23"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340" w:right="204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 Timothy Kelly, certify that:</w:t>
      </w:r>
    </w:p>
    <w:p>
      <w:pPr>
        <w:spacing w:after="0" w:line="252"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Praxis Precision Medicines,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340" w:right="40" w:hanging="332"/>
        <w:spacing w:after="0" w:line="248"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2"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60" w:right="60" w:hanging="328"/>
        <w:spacing w:after="0" w:line="248"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2"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320" w:hanging="328"/>
        <w:spacing w:after="0" w:line="308" w:lineRule="auto"/>
        <w:tabs>
          <w:tab w:leader="none" w:pos="6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20"/>
        <w:spacing w:after="0"/>
        <w:tabs>
          <w:tab w:leader="none" w:pos="640" w:val="left"/>
          <w:tab w:leader="none" w:pos="6480" w:val="left"/>
          <w:tab w:leader="none" w:pos="8380" w:val="left"/>
        </w:tabs>
        <w:rPr>
          <w:sz w:val="20"/>
          <w:szCs w:val="20"/>
          <w:color w:val="auto"/>
        </w:rPr>
      </w:pPr>
      <w:r>
        <w:rPr>
          <w:rFonts w:ascii="Arial" w:cs="Arial" w:eastAsia="Arial" w:hAnsi="Arial"/>
          <w:sz w:val="18"/>
          <w:szCs w:val="18"/>
          <w:color w:val="auto"/>
        </w:rPr>
        <w:t>Date:</w:t>
        <w:tab/>
        <w:t>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23495</wp:posOffset>
            </wp:positionV>
            <wp:extent cx="25374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0"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Timothy Kelly</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34" w:name="page35"/>
    <w:bookmarkEnd w:id="34"/>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 w:firstLine="446"/>
        <w:spacing w:after="0" w:line="263" w:lineRule="auto"/>
        <w:rPr>
          <w:sz w:val="20"/>
          <w:szCs w:val="20"/>
          <w:color w:val="auto"/>
        </w:rPr>
      </w:pPr>
      <w:r>
        <w:rPr>
          <w:rFonts w:ascii="Arial" w:cs="Arial" w:eastAsia="Arial" w:hAnsi="Arial"/>
          <w:sz w:val="18"/>
          <w:szCs w:val="18"/>
          <w:color w:val="auto"/>
        </w:rPr>
        <w:t>In connection with the Quarterly Report on Form 10-Q of Praxis Precision Medicines, Inc. (the “Company”) for the quarter ended March 31, 2023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103" w:lineRule="exact"/>
        <w:rPr>
          <w:sz w:val="20"/>
          <w:szCs w:val="20"/>
          <w:color w:val="auto"/>
        </w:rPr>
      </w:pPr>
    </w:p>
    <w:p>
      <w:pPr>
        <w:ind w:left="740" w:hanging="327"/>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540" w:type="dxa"/>
            <w:vAlign w:val="bottom"/>
          </w:tcPr>
          <w:p>
            <w:pPr>
              <w:ind w:left="120"/>
              <w:spacing w:after="0"/>
              <w:rPr>
                <w:sz w:val="20"/>
                <w:szCs w:val="20"/>
                <w:color w:val="auto"/>
              </w:rPr>
            </w:pPr>
            <w:r>
              <w:rPr>
                <w:rFonts w:ascii="Arial" w:cs="Arial" w:eastAsia="Arial" w:hAnsi="Arial"/>
                <w:sz w:val="18"/>
                <w:szCs w:val="18"/>
                <w:color w:val="auto"/>
              </w:rPr>
              <w:t>May 11, 2023</w:t>
            </w:r>
          </w:p>
        </w:tc>
        <w:tc>
          <w:tcPr>
            <w:tcW w:w="3160" w:type="dxa"/>
            <w:vAlign w:val="bottom"/>
          </w:tcPr>
          <w:p>
            <w:pPr>
              <w:ind w:left="24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MARCIO SOUZA</w:t>
            </w:r>
          </w:p>
        </w:tc>
      </w:tr>
      <w:tr>
        <w:trPr>
          <w:trHeight w:val="222"/>
        </w:trPr>
        <w:tc>
          <w:tcPr>
            <w:tcW w:w="5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0"/>
              </w:rPr>
              <w:t>Marcio Souza</w:t>
            </w:r>
          </w:p>
        </w:tc>
      </w:tr>
      <w:tr>
        <w:trPr>
          <w:trHeight w:val="229"/>
        </w:trPr>
        <w:tc>
          <w:tcPr>
            <w:tcW w:w="5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5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513"/>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540" w:type="dxa"/>
            <w:vAlign w:val="bottom"/>
          </w:tcPr>
          <w:p>
            <w:pPr>
              <w:ind w:left="120"/>
              <w:spacing w:after="0"/>
              <w:rPr>
                <w:sz w:val="20"/>
                <w:szCs w:val="20"/>
                <w:color w:val="auto"/>
              </w:rPr>
            </w:pPr>
            <w:r>
              <w:rPr>
                <w:rFonts w:ascii="Arial" w:cs="Arial" w:eastAsia="Arial" w:hAnsi="Arial"/>
                <w:sz w:val="18"/>
                <w:szCs w:val="18"/>
                <w:color w:val="auto"/>
              </w:rPr>
              <w:t>May 11, 2023</w:t>
            </w:r>
          </w:p>
        </w:tc>
        <w:tc>
          <w:tcPr>
            <w:tcW w:w="3160" w:type="dxa"/>
            <w:vAlign w:val="bottom"/>
          </w:tcPr>
          <w:p>
            <w:pPr>
              <w:ind w:left="24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KELLY</w:t>
            </w:r>
          </w:p>
        </w:tc>
      </w:tr>
      <w:tr>
        <w:trPr>
          <w:trHeight w:val="222"/>
        </w:trPr>
        <w:tc>
          <w:tcPr>
            <w:tcW w:w="5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8"/>
              </w:rPr>
              <w:t>Timothy Kelly</w:t>
            </w:r>
          </w:p>
        </w:tc>
      </w:tr>
      <w:tr>
        <w:trPr>
          <w:trHeight w:val="230"/>
        </w:trPr>
        <w:tc>
          <w:tcPr>
            <w:tcW w:w="5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43"/>
        </w:trPr>
        <w:tc>
          <w:tcPr>
            <w:tcW w:w="5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8"/>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lvl w:ilvl="1">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lvl w:ilvl="1">
      <w:lvlJc w:val="left"/>
      <w:lvlText w:val="%2"/>
      <w:numFmt w:val="decimal"/>
      <w:start w:val="104"/>
    </w:lvl>
  </w:abstractNum>
  <w:abstractNum w:abstractNumId="19">
    <w:nsid w:val="333AB105"/>
    <w:multiLevelType w:val="hybridMultilevel"/>
    <w:lvl w:ilvl="0">
      <w:lvlJc w:val="left"/>
      <w:lvlText w:val="**"/>
      <w:numFmt w:val="bullet"/>
      <w:start w:val="1"/>
    </w:lvl>
    <w:lvl w:ilvl="1">
      <w:lvlJc w:val="left"/>
      <w:lvlText w:val="%2"/>
      <w:numFmt w:val="decimal"/>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48" Type="http://schemas.openxmlformats.org/officeDocument/2006/relationships/hyperlink" Target="https://www.sec.gov/Archives/edgar/data/1689548/000119312520272877/d94620dex31.htm" TargetMode="External"/><Relationship Id="rId49" Type="http://schemas.openxmlformats.org/officeDocument/2006/relationships/hyperlink" Target="https://www.sec.gov/Archives/edgar/data/1689548/000110465922002260/tm222120d1_ex3-1.htm" TargetMode="External"/><Relationship Id="rId50" Type="http://schemas.openxmlformats.org/officeDocument/2006/relationships/hyperlink" Target="https://www.sec.gov/Archives/edgar/data/1689548/000168954822000099/exhibit101.htm" TargetMode="External"/><Relationship Id="rId51" Type="http://schemas.openxmlformats.org/officeDocument/2006/relationships/hyperlink" Target="https://www.sec.gov/Archives/edgar/data/1689548/000110465923035170/tm239181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2023-05-11T06:42:21Z</dcterms:created>
  <dcterms:modified xsi:type="dcterms:W3CDTF">2023-05-11T06:42:21Z</dcterms:modified>
</cp:coreProperties>
</file>