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70485</wp:posOffset>
            </wp:positionV>
            <wp:extent cx="600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139700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06"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15"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-5080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97155</wp:posOffset>
            </wp:positionV>
            <wp:extent cx="600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w w:val="99"/>
              </w:rPr>
              <w:t>Delaware</w:t>
            </w:r>
          </w:p>
        </w:tc>
        <w:tc>
          <w:tcPr>
            <w:tcW w:w="940" w:type="dxa"/>
            <w:vAlign w:val="bottom"/>
          </w:tcPr>
          <w:p>
            <w:pPr>
              <w:spacing w:after="0"/>
              <w:rPr>
                <w:sz w:val="18"/>
                <w:szCs w:val="18"/>
                <w:color w:val="auto"/>
              </w:rPr>
            </w:pPr>
          </w:p>
        </w:tc>
        <w:tc>
          <w:tcPr>
            <w:tcW w:w="5100" w:type="dxa"/>
            <w:vAlign w:val="bottom"/>
            <w:gridSpan w:val="3"/>
          </w:tcPr>
          <w:p>
            <w:pPr>
              <w:jc w:val="right"/>
              <w:ind w:right="2186"/>
              <w:spacing w:after="0"/>
              <w:rPr>
                <w:sz w:val="20"/>
                <w:szCs w:val="20"/>
                <w:color w:val="auto"/>
              </w:rPr>
            </w:pPr>
            <w:r>
              <w:rPr>
                <w:rFonts w:ascii="Arial" w:cs="Arial" w:eastAsia="Arial" w:hAnsi="Arial"/>
                <w:sz w:val="16"/>
                <w:szCs w:val="16"/>
                <w:b w:val="1"/>
                <w:bCs w:val="1"/>
                <w:color w:val="auto"/>
              </w:rPr>
              <w:t>47-5195942</w:t>
            </w:r>
          </w:p>
        </w:tc>
        <w:tc>
          <w:tcPr>
            <w:tcW w:w="0" w:type="dxa"/>
            <w:vAlign w:val="bottom"/>
          </w:tcPr>
          <w:p>
            <w:pPr>
              <w:spacing w:after="0"/>
              <w:rPr>
                <w:sz w:val="1"/>
                <w:szCs w:val="1"/>
                <w:color w:val="auto"/>
              </w:rPr>
            </w:pPr>
          </w:p>
        </w:tc>
      </w:tr>
      <w:tr>
        <w:trPr>
          <w:trHeight w:val="237"/>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940" w:type="dxa"/>
            <w:vAlign w:val="bottom"/>
          </w:tcPr>
          <w:p>
            <w:pPr>
              <w:spacing w:after="0"/>
              <w:rPr>
                <w:sz w:val="20"/>
                <w:szCs w:val="20"/>
                <w:color w:val="auto"/>
              </w:rPr>
            </w:pPr>
          </w:p>
        </w:tc>
        <w:tc>
          <w:tcPr>
            <w:tcW w:w="5100" w:type="dxa"/>
            <w:vAlign w:val="bottom"/>
            <w:gridSpan w:val="3"/>
          </w:tcPr>
          <w:p>
            <w:pPr>
              <w:jc w:val="center"/>
              <w:ind w:right="206"/>
              <w:spacing w:after="0"/>
              <w:rPr>
                <w:sz w:val="20"/>
                <w:szCs w:val="20"/>
                <w:color w:val="auto"/>
              </w:rPr>
            </w:pPr>
            <w:r>
              <w:rPr>
                <w:rFonts w:ascii="Arial" w:cs="Arial" w:eastAsia="Arial" w:hAnsi="Arial"/>
                <w:sz w:val="16"/>
                <w:szCs w:val="16"/>
                <w:b w:val="1"/>
                <w:bCs w:val="1"/>
                <w:color w:val="auto"/>
              </w:rPr>
              <w:t>(I.R.S. Employer Identification No.)</w:t>
            </w:r>
          </w:p>
        </w:tc>
        <w:tc>
          <w:tcPr>
            <w:tcW w:w="0" w:type="dxa"/>
            <w:vAlign w:val="bottom"/>
          </w:tcPr>
          <w:p>
            <w:pPr>
              <w:spacing w:after="0"/>
              <w:rPr>
                <w:sz w:val="1"/>
                <w:szCs w:val="1"/>
                <w:color w:val="auto"/>
              </w:rPr>
            </w:pPr>
          </w:p>
        </w:tc>
      </w:tr>
      <w:tr>
        <w:trPr>
          <w:trHeight w:val="316"/>
        </w:trPr>
        <w:tc>
          <w:tcPr>
            <w:tcW w:w="5160" w:type="dxa"/>
            <w:vAlign w:val="bottom"/>
            <w:gridSpan w:val="3"/>
          </w:tcPr>
          <w:p>
            <w:pPr>
              <w:jc w:val="center"/>
              <w:ind w:left="200"/>
              <w:spacing w:after="0"/>
              <w:rPr>
                <w:sz w:val="20"/>
                <w:szCs w:val="20"/>
                <w:color w:val="auto"/>
              </w:rPr>
            </w:pPr>
            <w:r>
              <w:rPr>
                <w:rFonts w:ascii="Arial" w:cs="Arial" w:eastAsia="Arial" w:hAnsi="Arial"/>
                <w:sz w:val="16"/>
                <w:szCs w:val="16"/>
                <w:b w:val="1"/>
                <w:bCs w:val="1"/>
                <w:color w:val="auto"/>
              </w:rPr>
              <w:t>99 High Street, 30th Floor</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rPr>
              <w:t>Boston, MA</w:t>
            </w:r>
          </w:p>
        </w:tc>
        <w:tc>
          <w:tcPr>
            <w:tcW w:w="940" w:type="dxa"/>
            <w:vAlign w:val="bottom"/>
          </w:tcPr>
          <w:p>
            <w:pPr>
              <w:spacing w:after="0"/>
              <w:rPr>
                <w:sz w:val="18"/>
                <w:szCs w:val="18"/>
                <w:color w:val="auto"/>
              </w:rPr>
            </w:pPr>
          </w:p>
        </w:tc>
        <w:tc>
          <w:tcPr>
            <w:tcW w:w="5100" w:type="dxa"/>
            <w:vAlign w:val="bottom"/>
            <w:gridSpan w:val="3"/>
          </w:tcPr>
          <w:p>
            <w:pPr>
              <w:jc w:val="right"/>
              <w:ind w:right="2386"/>
              <w:spacing w:after="0"/>
              <w:rPr>
                <w:sz w:val="20"/>
                <w:szCs w:val="20"/>
                <w:color w:val="auto"/>
              </w:rPr>
            </w:pPr>
            <w:r>
              <w:rPr>
                <w:rFonts w:ascii="Arial" w:cs="Arial" w:eastAsia="Arial" w:hAnsi="Arial"/>
                <w:sz w:val="16"/>
                <w:szCs w:val="16"/>
                <w:b w:val="1"/>
                <w:bCs w:val="1"/>
                <w:color w:val="auto"/>
              </w:rPr>
              <w:t>02110</w:t>
            </w:r>
          </w:p>
        </w:tc>
        <w:tc>
          <w:tcPr>
            <w:tcW w:w="0" w:type="dxa"/>
            <w:vAlign w:val="bottom"/>
          </w:tcPr>
          <w:p>
            <w:pPr>
              <w:spacing w:after="0"/>
              <w:rPr>
                <w:sz w:val="1"/>
                <w:szCs w:val="1"/>
                <w:color w:val="auto"/>
              </w:rPr>
            </w:pPr>
          </w:p>
        </w:tc>
      </w:tr>
      <w:tr>
        <w:trPr>
          <w:trHeight w:val="196"/>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(Address of principal executive offices)</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ind w:right="1626"/>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404"/>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Registrant’s telephone number, including area code: 617-300-8460</w:t>
            </w: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70"/>
        </w:trPr>
        <w:tc>
          <w:tcPr>
            <w:tcW w:w="5160" w:type="dxa"/>
            <w:vAlign w:val="bottom"/>
            <w:gridSpan w:val="3"/>
            <w:vMerge w:val="restart"/>
          </w:tcPr>
          <w:p>
            <w:pPr>
              <w:jc w:val="center"/>
              <w:ind w:right="150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6"/>
        </w:trPr>
        <w:tc>
          <w:tcPr>
            <w:tcW w:w="5160" w:type="dxa"/>
            <w:vAlign w:val="bottom"/>
            <w:gridSpan w:val="3"/>
            <w:vMerge w:val="continue"/>
          </w:tcPr>
          <w:p>
            <w:pPr>
              <w:spacing w:after="0"/>
              <w:rPr>
                <w:sz w:val="15"/>
                <w:szCs w:val="15"/>
                <w:color w:val="auto"/>
              </w:rPr>
            </w:pPr>
          </w:p>
        </w:tc>
        <w:tc>
          <w:tcPr>
            <w:tcW w:w="940" w:type="dxa"/>
            <w:vAlign w:val="bottom"/>
          </w:tcPr>
          <w:p>
            <w:pPr>
              <w:jc w:val="center"/>
              <w:ind w:right="5"/>
              <w:spacing w:after="0"/>
              <w:rPr>
                <w:sz w:val="20"/>
                <w:szCs w:val="20"/>
                <w:color w:val="auto"/>
              </w:rPr>
            </w:pPr>
            <w:r>
              <w:rPr>
                <w:rFonts w:ascii="Arial" w:cs="Arial" w:eastAsia="Arial" w:hAnsi="Arial"/>
                <w:sz w:val="14"/>
                <w:szCs w:val="14"/>
                <w:b w:val="1"/>
                <w:bCs w:val="1"/>
                <w:color w:val="auto"/>
              </w:rPr>
              <w:t>Symbol(s)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08"/>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PRAX</w:t>
            </w: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206" w:lineRule="exact"/>
        <w:rPr>
          <w:sz w:val="24"/>
          <w:szCs w:val="24"/>
          <w:color w:val="auto"/>
        </w:rPr>
      </w:pPr>
    </w:p>
    <w:p>
      <w:pPr>
        <w:ind w:firstLine="445"/>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ind w:right="40" w:firstLine="445"/>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7" w:lineRule="exact"/>
        <w:rPr>
          <w:sz w:val="24"/>
          <w:szCs w:val="24"/>
          <w:color w:val="auto"/>
        </w:rPr>
      </w:pPr>
    </w:p>
    <w:p>
      <w:pPr>
        <w:jc w:val="both"/>
        <w:ind w:right="20" w:firstLine="445"/>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4" w:lineRule="exact"/>
        <w:rPr>
          <w:sz w:val="24"/>
          <w:szCs w:val="24"/>
          <w:color w:val="auto"/>
        </w:rPr>
      </w:pPr>
    </w:p>
    <w:p>
      <w:pPr>
        <w:ind w:right="220" w:firstLine="445"/>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460" w:right="138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May 6, 2022, the registrant had 45,511,773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54"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20" w:hanging="324"/>
        <w:spacing w:after="0" w:line="261"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143" w:lineRule="exact"/>
        <w:rPr>
          <w:rFonts w:ascii="Arial" w:cs="Arial" w:eastAsia="Arial" w:hAnsi="Arial"/>
          <w:sz w:val="18"/>
          <w:szCs w:val="18"/>
          <w:color w:val="auto"/>
        </w:rPr>
      </w:pPr>
    </w:p>
    <w:p>
      <w:pPr>
        <w:ind w:left="980" w:right="300" w:hanging="324"/>
        <w:spacing w:after="0" w:line="261"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240" w:hanging="324"/>
        <w:spacing w:after="0" w:line="261"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61"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 and</w:t>
      </w:r>
    </w:p>
    <w:p>
      <w:pPr>
        <w:spacing w:after="0" w:line="171" w:lineRule="exact"/>
        <w:rPr>
          <w:rFonts w:ascii="Arial" w:cs="Arial" w:eastAsia="Arial" w:hAnsi="Arial"/>
          <w:sz w:val="18"/>
          <w:szCs w:val="18"/>
          <w:color w:val="auto"/>
        </w:rPr>
      </w:pPr>
    </w:p>
    <w:p>
      <w:pPr>
        <w:ind w:left="980" w:right="20" w:hanging="324"/>
        <w:spacing w:after="0" w:line="256" w:lineRule="auto"/>
        <w:tabs>
          <w:tab w:leader="none" w:pos="97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effect of the COVID-19 pandemic, including mitigation efforts and economic effects, and the ongoing conflict in Ukraine on any of the foregoing or other aspects of our business operations, including but not limited to our ongoing and planned preclinical studies and clinical trials.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2" w:name="page3"/>
    <w:bookmarkEnd w:id="2"/>
    <w:p>
      <w:pPr>
        <w:ind w:right="20"/>
        <w:spacing w:after="0" w:line="269" w:lineRule="auto"/>
        <w:rPr>
          <w:sz w:val="20"/>
          <w:szCs w:val="20"/>
          <w:color w:val="auto"/>
        </w:rPr>
      </w:pPr>
      <w:r>
        <w:rPr>
          <w:rFonts w:ascii="Arial" w:cs="Arial" w:eastAsia="Arial" w:hAnsi="Arial"/>
          <w:sz w:val="17"/>
          <w:szCs w:val="17"/>
          <w:color w:val="auto"/>
        </w:rPr>
        <w:t>actual results to differ materially from current expectations include, among other things, those listed under the section titled “Risk Factors” in our Annual Report on Form 10-K for the year ended December 31, 2021 and under the section titled "Risk Factors"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2021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560" w:type="dxa"/>
            <w:vAlign w:val="bottom"/>
            <w:gridSpan w:val="19"/>
          </w:tcPr>
          <w:p>
            <w:pPr>
              <w:spacing w:after="0" w:line="169" w:lineRule="exact"/>
              <w:rPr>
                <w:rFonts w:ascii="Arial" w:cs="Arial" w:eastAsia="Arial" w:hAnsi="Arial"/>
                <w:sz w:val="18"/>
                <w:szCs w:val="18"/>
                <w:color w:val="0000FF"/>
              </w:rPr>
            </w:pPr>
            <w:hyperlink w:anchor="page4">
              <w:r>
                <w:rPr>
                  <w:rFonts w:ascii="Arial" w:cs="Arial" w:eastAsia="Arial" w:hAnsi="Arial"/>
                  <w:sz w:val="18"/>
                  <w:szCs w:val="18"/>
                  <w:color w:val="0000FF"/>
                </w:rPr>
                <w:t>FINANCIAL INFORMATION</w:t>
              </w:r>
            </w:hyperlink>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18"/>
                <w:szCs w:val="18"/>
                <w:color w:val="auto"/>
              </w:rPr>
            </w:pPr>
          </w:p>
        </w:tc>
        <w:tc>
          <w:tcPr>
            <w:tcW w:w="2680" w:type="dxa"/>
            <w:vAlign w:val="bottom"/>
            <w:tcBorders>
              <w:bottom w:val="single" w:sz="8" w:color="0000FF"/>
            </w:tcBorders>
            <w:gridSpan w:val="11"/>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Statements (Unaudited)</w:t>
              </w:r>
            </w:hyperlink>
          </w:p>
        </w:tc>
        <w:tc>
          <w:tcPr>
            <w:tcW w:w="5880" w:type="dxa"/>
            <w:vAlign w:val="bottom"/>
            <w:gridSpan w:val="8"/>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60" w:type="dxa"/>
            <w:vAlign w:val="bottom"/>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 xml:space="preserve">Condensed Consolidated Balance Sheets as of March 31, 2022 and December </w:t>
              </w:r>
            </w:hyperlink>
            <w:r>
              <w:rPr>
                <w:rFonts w:ascii="Arial" w:cs="Arial" w:eastAsia="Arial" w:hAnsi="Arial"/>
                <w:sz w:val="18"/>
                <w:szCs w:val="18"/>
                <w:color w:val="0000FF"/>
                <w:w w:val="99"/>
              </w:rPr>
              <w:t xml:space="preserve">31, </w:t>
            </w:r>
            <w:hyperlink w:anchor="page5">
              <w:r>
                <w:rPr>
                  <w:rFonts w:ascii="Arial" w:cs="Arial" w:eastAsia="Arial" w:hAnsi="Arial"/>
                  <w:sz w:val="18"/>
                  <w:szCs w:val="18"/>
                  <w:color w:val="0000FF"/>
                  <w:w w:val="99"/>
                </w:rPr>
                <w:t>2021</w:t>
              </w:r>
            </w:hyperlink>
          </w:p>
        </w:tc>
        <w:tc>
          <w:tcPr>
            <w:tcW w:w="1500" w:type="dxa"/>
            <w:vAlign w:val="bottom"/>
            <w:gridSpan w:val="4"/>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Operations for the Three Months Ended March 31, 2022 and 2021</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5">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9"/>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Condensed Consolidated Statements of Comprehensive Loss for the Three Months Ended March 31, 2022</w:t>
              </w:r>
            </w:hyperlink>
          </w:p>
        </w:tc>
        <w:tc>
          <w:tcPr>
            <w:tcW w:w="148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0000FF"/>
            </w:tcBorders>
            <w:gridSpan w:val="4"/>
          </w:tcPr>
          <w:p>
            <w:pPr>
              <w:spacing w:after="0" w:line="156" w:lineRule="exact"/>
              <w:rPr>
                <w:rFonts w:ascii="Arial" w:cs="Arial" w:eastAsia="Arial" w:hAnsi="Arial"/>
                <w:sz w:val="18"/>
                <w:szCs w:val="18"/>
                <w:color w:val="0000FF"/>
                <w:w w:val="98"/>
              </w:rPr>
            </w:pPr>
            <w:hyperlink w:anchor="page5">
              <w:r>
                <w:rPr>
                  <w:rFonts w:ascii="Arial" w:cs="Arial" w:eastAsia="Arial" w:hAnsi="Arial"/>
                  <w:sz w:val="18"/>
                  <w:szCs w:val="18"/>
                  <w:color w:val="0000FF"/>
                  <w:w w:val="98"/>
                </w:rPr>
                <w:t>and 2021</w:t>
              </w:r>
            </w:hyperlink>
          </w:p>
        </w:tc>
        <w:tc>
          <w:tcPr>
            <w:tcW w:w="7760" w:type="dxa"/>
            <w:vAlign w:val="bottom"/>
            <w:tcBorders>
              <w:top w:val="single" w:sz="8" w:color="0000FF"/>
            </w:tcBorders>
            <w:gridSpan w:val="14"/>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9"/>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Stockholders’ Equity for the Three Months Ended March 31, 2022</w:t>
              </w:r>
            </w:hyperlink>
          </w:p>
        </w:tc>
        <w:tc>
          <w:tcPr>
            <w:tcW w:w="1480" w:type="dxa"/>
            <w:vAlign w:val="bottom"/>
            <w:gridSpan w:val="4"/>
            <w:vMerge w:val="restart"/>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0000FF"/>
            </w:tcBorders>
            <w:gridSpan w:val="4"/>
          </w:tcPr>
          <w:p>
            <w:pPr>
              <w:spacing w:after="0" w:line="156" w:lineRule="exact"/>
              <w:rPr>
                <w:rFonts w:ascii="Arial" w:cs="Arial" w:eastAsia="Arial" w:hAnsi="Arial"/>
                <w:sz w:val="18"/>
                <w:szCs w:val="18"/>
                <w:color w:val="0000FF"/>
                <w:w w:val="98"/>
              </w:rPr>
            </w:pPr>
            <w:hyperlink w:anchor="page7">
              <w:r>
                <w:rPr>
                  <w:rFonts w:ascii="Arial" w:cs="Arial" w:eastAsia="Arial" w:hAnsi="Arial"/>
                  <w:sz w:val="18"/>
                  <w:szCs w:val="18"/>
                  <w:color w:val="0000FF"/>
                  <w:w w:val="98"/>
                </w:rPr>
                <w:t>and 2021</w:t>
              </w:r>
            </w:hyperlink>
          </w:p>
        </w:tc>
        <w:tc>
          <w:tcPr>
            <w:tcW w:w="7740" w:type="dxa"/>
            <w:vAlign w:val="bottom"/>
            <w:tcBorders>
              <w:top w:val="single" w:sz="8" w:color="0000FF"/>
            </w:tcBorders>
            <w:gridSpan w:val="13"/>
          </w:tcPr>
          <w:p>
            <w:pPr>
              <w:spacing w:after="0"/>
              <w:rPr>
                <w:sz w:val="13"/>
                <w:szCs w:val="13"/>
                <w:color w:val="auto"/>
              </w:rPr>
            </w:pPr>
          </w:p>
        </w:tc>
        <w:tc>
          <w:tcPr>
            <w:tcW w:w="60" w:type="dxa"/>
            <w:vAlign w:val="bottom"/>
            <w:gridSpan w:val="2"/>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9"/>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Condensed Consolidated Statements of Cash Flows for the Three Months Ended March 31, 2022 and</w:t>
              </w:r>
            </w:hyperlink>
          </w:p>
        </w:tc>
        <w:tc>
          <w:tcPr>
            <w:tcW w:w="1480" w:type="dxa"/>
            <w:vAlign w:val="bottom"/>
            <w:gridSpan w:val="4"/>
            <w:vMerge w:val="restart"/>
          </w:tcPr>
          <w:p>
            <w:pPr>
              <w:jc w:val="right"/>
              <w:ind w:right="20"/>
              <w:spacing w:after="0"/>
              <w:rPr>
                <w:rFonts w:ascii="Arial" w:cs="Arial" w:eastAsia="Arial" w:hAnsi="Arial"/>
                <w:sz w:val="18"/>
                <w:szCs w:val="18"/>
                <w:color w:val="0000FF"/>
              </w:rPr>
            </w:pPr>
            <w:hyperlink w:anchor="page9">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Borders>
              <w:top w:val="single" w:sz="8" w:color="0000FF"/>
            </w:tcBorders>
          </w:tcPr>
          <w:p>
            <w:pPr>
              <w:spacing w:after="0" w:line="156" w:lineRule="exact"/>
              <w:rPr>
                <w:rFonts w:ascii="Arial" w:cs="Arial" w:eastAsia="Arial" w:hAnsi="Arial"/>
                <w:sz w:val="18"/>
                <w:szCs w:val="18"/>
                <w:color w:val="0000FF"/>
                <w:w w:val="94"/>
              </w:rPr>
            </w:pPr>
            <w:hyperlink w:anchor="page9">
              <w:r>
                <w:rPr>
                  <w:rFonts w:ascii="Arial" w:cs="Arial" w:eastAsia="Arial" w:hAnsi="Arial"/>
                  <w:sz w:val="18"/>
                  <w:szCs w:val="18"/>
                  <w:color w:val="0000FF"/>
                  <w:w w:val="94"/>
                </w:rPr>
                <w:t>2021</w:t>
              </w:r>
            </w:hyperlink>
          </w:p>
        </w:tc>
        <w:tc>
          <w:tcPr>
            <w:tcW w:w="2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180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200" w:type="dxa"/>
            <w:vAlign w:val="bottom"/>
            <w:tcBorders>
              <w:top w:val="single" w:sz="8" w:color="0000FF"/>
            </w:tcBorders>
          </w:tcPr>
          <w:p>
            <w:pPr>
              <w:spacing w:after="0"/>
              <w:rPr>
                <w:sz w:val="13"/>
                <w:szCs w:val="13"/>
                <w:color w:val="auto"/>
              </w:rPr>
            </w:pPr>
          </w:p>
        </w:tc>
        <w:tc>
          <w:tcPr>
            <w:tcW w:w="1060" w:type="dxa"/>
            <w:vAlign w:val="bottom"/>
            <w:tcBorders>
              <w:top w:val="single" w:sz="8" w:color="0000FF"/>
            </w:tcBorders>
          </w:tcPr>
          <w:p>
            <w:pPr>
              <w:spacing w:after="0"/>
              <w:rPr>
                <w:sz w:val="13"/>
                <w:szCs w:val="13"/>
                <w:color w:val="auto"/>
              </w:rPr>
            </w:pPr>
          </w:p>
        </w:tc>
        <w:tc>
          <w:tcPr>
            <w:tcW w:w="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2"/>
          </w:tcPr>
          <w:p>
            <w:pP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Notes to Condensed Consolidated Financial Statements</w:t>
              </w:r>
            </w:hyperlink>
          </w:p>
        </w:tc>
        <w:tc>
          <w:tcPr>
            <w:tcW w:w="4080" w:type="dxa"/>
            <w:vAlign w:val="bottom"/>
            <w:gridSpan w:val="7"/>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8"/>
                <w:szCs w:val="18"/>
                <w:color w:val="auto"/>
              </w:rPr>
            </w:pPr>
          </w:p>
        </w:tc>
        <w:tc>
          <w:tcPr>
            <w:tcW w:w="8560" w:type="dxa"/>
            <w:vAlign w:val="bottom"/>
            <w:gridSpan w:val="19"/>
          </w:tcPr>
          <w:p>
            <w:pPr>
              <w:spacing w:after="0"/>
              <w:rPr>
                <w:rFonts w:ascii="Arial" w:cs="Arial" w:eastAsia="Arial" w:hAnsi="Arial"/>
                <w:sz w:val="18"/>
                <w:szCs w:val="18"/>
                <w:color w:val="0000FF"/>
              </w:rPr>
            </w:pPr>
            <w:hyperlink w:anchor="page17">
              <w:r>
                <w:rPr>
                  <w:rFonts w:ascii="Arial" w:cs="Arial" w:eastAsia="Arial" w:hAnsi="Arial"/>
                  <w:sz w:val="18"/>
                  <w:szCs w:val="18"/>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7">
              <w:r>
                <w:rPr>
                  <w:rFonts w:ascii="Arial" w:cs="Arial" w:eastAsia="Arial" w:hAnsi="Arial"/>
                  <w:sz w:val="18"/>
                  <w:szCs w:val="18"/>
                  <w:color w:val="0000FF"/>
                </w:rPr>
                <w:t>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060" w:type="dxa"/>
            <w:vAlign w:val="bottom"/>
            <w:tcBorders>
              <w:left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18"/>
                <w:szCs w:val="18"/>
                <w:color w:val="auto"/>
              </w:rPr>
            </w:pPr>
          </w:p>
        </w:tc>
        <w:tc>
          <w:tcPr>
            <w:tcW w:w="4720" w:type="dxa"/>
            <w:vAlign w:val="bottom"/>
            <w:gridSpan w:val="13"/>
          </w:tcPr>
          <w:p>
            <w:pPr>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Quantitative and Qualitative Disclosures About Market Risk</w:t>
              </w:r>
            </w:hyperlink>
          </w:p>
        </w:tc>
        <w:tc>
          <w:tcPr>
            <w:tcW w:w="2340" w:type="dxa"/>
            <w:vAlign w:val="bottom"/>
            <w:gridSpan w:val="2"/>
          </w:tcPr>
          <w:p>
            <w:pPr>
              <w:spacing w:after="0"/>
              <w:rPr>
                <w:sz w:val="18"/>
                <w:szCs w:val="18"/>
                <w:color w:val="auto"/>
              </w:rPr>
            </w:pPr>
          </w:p>
        </w:tc>
        <w:tc>
          <w:tcPr>
            <w:tcW w:w="1500" w:type="dxa"/>
            <w:vAlign w:val="bottom"/>
            <w:gridSpan w:val="4"/>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8"/>
                <w:szCs w:val="18"/>
                <w:color w:val="auto"/>
              </w:rPr>
            </w:pPr>
          </w:p>
        </w:tc>
        <w:tc>
          <w:tcPr>
            <w:tcW w:w="1940" w:type="dxa"/>
            <w:vAlign w:val="bottom"/>
            <w:gridSpan w:val="8"/>
          </w:tcPr>
          <w:p>
            <w:pPr>
              <w:spacing w:after="0"/>
              <w:rPr>
                <w:rFonts w:ascii="Arial" w:cs="Arial" w:eastAsia="Arial" w:hAnsi="Arial"/>
                <w:sz w:val="18"/>
                <w:szCs w:val="18"/>
                <w:color w:val="0000FF"/>
                <w:w w:val="95"/>
              </w:rPr>
            </w:pPr>
            <w:hyperlink w:anchor="page27">
              <w:r>
                <w:rPr>
                  <w:rFonts w:ascii="Arial" w:cs="Arial" w:eastAsia="Arial" w:hAnsi="Arial"/>
                  <w:sz w:val="18"/>
                  <w:szCs w:val="18"/>
                  <w:color w:val="0000FF"/>
                  <w:w w:val="95"/>
                </w:rPr>
                <w:t>Controls and Procedures</w:t>
              </w:r>
            </w:hyperlink>
          </w:p>
        </w:tc>
        <w:tc>
          <w:tcPr>
            <w:tcW w:w="2780" w:type="dxa"/>
            <w:vAlign w:val="bottom"/>
            <w:gridSpan w:val="5"/>
          </w:tcPr>
          <w:p>
            <w:pPr>
              <w:spacing w:after="0"/>
              <w:rPr>
                <w:sz w:val="18"/>
                <w:szCs w:val="18"/>
                <w:color w:val="auto"/>
              </w:rPr>
            </w:pPr>
          </w:p>
        </w:tc>
        <w:tc>
          <w:tcPr>
            <w:tcW w:w="3840" w:type="dxa"/>
            <w:vAlign w:val="bottom"/>
            <w:gridSpan w:val="6"/>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7">
              <w:r>
                <w:rPr>
                  <w:rFonts w:ascii="Arial" w:cs="Arial" w:eastAsia="Arial" w:hAnsi="Arial"/>
                  <w:sz w:val="18"/>
                  <w:szCs w:val="18"/>
                  <w:color w:val="0000FF"/>
                </w:rPr>
                <w:t>23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8"/>
          </w:tcPr>
          <w:p>
            <w:pPr>
              <w:spacing w:after="0"/>
              <w:rPr>
                <w:rFonts w:ascii="Arial" w:cs="Arial" w:eastAsia="Arial" w:hAnsi="Arial"/>
                <w:sz w:val="18"/>
                <w:szCs w:val="18"/>
                <w:color w:val="0000FF"/>
                <w:w w:val="97"/>
              </w:rPr>
            </w:pPr>
            <w:hyperlink w:anchor="page28">
              <w:r>
                <w:rPr>
                  <w:rFonts w:ascii="Arial" w:cs="Arial" w:eastAsia="Arial" w:hAnsi="Arial"/>
                  <w:sz w:val="18"/>
                  <w:szCs w:val="18"/>
                  <w:color w:val="0000FF"/>
                  <w:w w:val="97"/>
                </w:rPr>
                <w:t>OTHER INFORMATION</w:t>
              </w:r>
            </w:hyperlink>
          </w:p>
        </w:tc>
        <w:tc>
          <w:tcPr>
            <w:tcW w:w="6620" w:type="dxa"/>
            <w:vAlign w:val="bottom"/>
            <w:gridSpan w:val="11"/>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18"/>
                <w:szCs w:val="18"/>
                <w:color w:val="auto"/>
              </w:rPr>
            </w:pPr>
          </w:p>
        </w:tc>
        <w:tc>
          <w:tcPr>
            <w:tcW w:w="1500" w:type="dxa"/>
            <w:vAlign w:val="bottom"/>
            <w:gridSpan w:val="7"/>
          </w:tcPr>
          <w:p>
            <w:pPr>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Legal Proceedings</w:t>
              </w:r>
            </w:hyperlink>
          </w:p>
        </w:tc>
        <w:tc>
          <w:tcPr>
            <w:tcW w:w="440" w:type="dxa"/>
            <w:vAlign w:val="bottom"/>
          </w:tcPr>
          <w:p>
            <w:pPr>
              <w:spacing w:after="0"/>
              <w:rPr>
                <w:sz w:val="18"/>
                <w:szCs w:val="18"/>
                <w:color w:val="auto"/>
              </w:rPr>
            </w:pPr>
          </w:p>
        </w:tc>
        <w:tc>
          <w:tcPr>
            <w:tcW w:w="6620" w:type="dxa"/>
            <w:vAlign w:val="bottom"/>
            <w:gridSpan w:val="11"/>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1A.</w:t>
            </w:r>
          </w:p>
        </w:tc>
        <w:tc>
          <w:tcPr>
            <w:tcW w:w="200" w:type="dxa"/>
            <w:vAlign w:val="bottom"/>
          </w:tcPr>
          <w:p>
            <w:pPr>
              <w:spacing w:after="0"/>
              <w:rPr>
                <w:sz w:val="18"/>
                <w:szCs w:val="18"/>
                <w:color w:val="auto"/>
              </w:rPr>
            </w:pPr>
          </w:p>
        </w:tc>
        <w:tc>
          <w:tcPr>
            <w:tcW w:w="1500" w:type="dxa"/>
            <w:vAlign w:val="bottom"/>
            <w:gridSpan w:val="7"/>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Risk Factors</w:t>
              </w:r>
            </w:hyperlink>
          </w:p>
        </w:tc>
        <w:tc>
          <w:tcPr>
            <w:tcW w:w="7060" w:type="dxa"/>
            <w:vAlign w:val="bottom"/>
            <w:gridSpan w:val="12"/>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8"/>
                <w:szCs w:val="18"/>
                <w:color w:val="auto"/>
              </w:rPr>
            </w:pPr>
          </w:p>
        </w:tc>
        <w:tc>
          <w:tcPr>
            <w:tcW w:w="4860" w:type="dxa"/>
            <w:vAlign w:val="bottom"/>
            <w:gridSpan w:val="14"/>
          </w:tcPr>
          <w:p>
            <w:pP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Unregistered Sales of Equity Securities and Use of Proceeds</w:t>
              </w:r>
            </w:hyperlink>
          </w:p>
        </w:tc>
        <w:tc>
          <w:tcPr>
            <w:tcW w:w="3700" w:type="dxa"/>
            <w:vAlign w:val="bottom"/>
            <w:gridSpan w:val="5"/>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18"/>
                <w:szCs w:val="18"/>
                <w:color w:val="auto"/>
              </w:rPr>
            </w:pPr>
          </w:p>
        </w:tc>
        <w:tc>
          <w:tcPr>
            <w:tcW w:w="2560" w:type="dxa"/>
            <w:vAlign w:val="bottom"/>
            <w:gridSpan w:val="10"/>
          </w:tcPr>
          <w:p>
            <w:pPr>
              <w:spacing w:after="0"/>
              <w:rPr>
                <w:rFonts w:ascii="Arial" w:cs="Arial" w:eastAsia="Arial" w:hAnsi="Arial"/>
                <w:sz w:val="18"/>
                <w:szCs w:val="18"/>
                <w:color w:val="0000FF"/>
                <w:w w:val="99"/>
              </w:rPr>
            </w:pPr>
            <w:hyperlink w:anchor="page32">
              <w:r>
                <w:rPr>
                  <w:rFonts w:ascii="Arial" w:cs="Arial" w:eastAsia="Arial" w:hAnsi="Arial"/>
                  <w:sz w:val="18"/>
                  <w:szCs w:val="18"/>
                  <w:color w:val="0000FF"/>
                  <w:w w:val="99"/>
                </w:rPr>
                <w:t>Defaults Upon Senior Securities</w:t>
              </w:r>
            </w:hyperlink>
          </w:p>
        </w:tc>
        <w:tc>
          <w:tcPr>
            <w:tcW w:w="2300" w:type="dxa"/>
            <w:vAlign w:val="bottom"/>
            <w:gridSpan w:val="4"/>
          </w:tcPr>
          <w:p>
            <w:pPr>
              <w:spacing w:after="0"/>
              <w:rPr>
                <w:sz w:val="18"/>
                <w:szCs w:val="18"/>
                <w:color w:val="auto"/>
              </w:rPr>
            </w:pPr>
          </w:p>
        </w:tc>
        <w:tc>
          <w:tcPr>
            <w:tcW w:w="3700" w:type="dxa"/>
            <w:vAlign w:val="bottom"/>
            <w:gridSpan w:val="5"/>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8"/>
                <w:szCs w:val="18"/>
                <w:color w:val="auto"/>
              </w:rPr>
            </w:pPr>
          </w:p>
        </w:tc>
        <w:tc>
          <w:tcPr>
            <w:tcW w:w="1940" w:type="dxa"/>
            <w:vAlign w:val="bottom"/>
            <w:gridSpan w:val="8"/>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Mine Safety Disclosures</w:t>
              </w:r>
            </w:hyperlink>
          </w:p>
        </w:tc>
        <w:tc>
          <w:tcPr>
            <w:tcW w:w="620" w:type="dxa"/>
            <w:vAlign w:val="bottom"/>
            <w:gridSpan w:val="2"/>
          </w:tcPr>
          <w:p>
            <w:pPr>
              <w:spacing w:after="0"/>
              <w:rPr>
                <w:sz w:val="18"/>
                <w:szCs w:val="18"/>
                <w:color w:val="auto"/>
              </w:rPr>
            </w:pPr>
          </w:p>
        </w:tc>
        <w:tc>
          <w:tcPr>
            <w:tcW w:w="6000" w:type="dxa"/>
            <w:vAlign w:val="bottom"/>
            <w:gridSpan w:val="9"/>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5.</w:t>
            </w:r>
          </w:p>
        </w:tc>
        <w:tc>
          <w:tcPr>
            <w:tcW w:w="200" w:type="dxa"/>
            <w:vAlign w:val="bottom"/>
          </w:tcPr>
          <w:p>
            <w:pPr>
              <w:spacing w:after="0"/>
              <w:rPr>
                <w:sz w:val="18"/>
                <w:szCs w:val="18"/>
                <w:color w:val="auto"/>
              </w:rPr>
            </w:pPr>
          </w:p>
        </w:tc>
        <w:tc>
          <w:tcPr>
            <w:tcW w:w="1940" w:type="dxa"/>
            <w:vAlign w:val="bottom"/>
            <w:gridSpan w:val="8"/>
          </w:tcPr>
          <w:p>
            <w:pPr>
              <w:spacing w:after="0"/>
              <w:rPr>
                <w:rFonts w:ascii="Arial" w:cs="Arial" w:eastAsia="Arial" w:hAnsi="Arial"/>
                <w:sz w:val="18"/>
                <w:szCs w:val="18"/>
                <w:color w:val="0000FF"/>
              </w:rPr>
            </w:pPr>
            <w:hyperlink w:anchor="page32">
              <w:r>
                <w:rPr>
                  <w:rFonts w:ascii="Arial" w:cs="Arial" w:eastAsia="Arial" w:hAnsi="Arial"/>
                  <w:sz w:val="18"/>
                  <w:szCs w:val="18"/>
                  <w:color w:val="0000FF"/>
                </w:rPr>
                <w:t>Other Information</w:t>
              </w:r>
            </w:hyperlink>
          </w:p>
        </w:tc>
        <w:tc>
          <w:tcPr>
            <w:tcW w:w="6620" w:type="dxa"/>
            <w:vAlign w:val="bottom"/>
            <w:gridSpan w:val="11"/>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16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6.</w:t>
            </w:r>
          </w:p>
        </w:tc>
        <w:tc>
          <w:tcPr>
            <w:tcW w:w="200" w:type="dxa"/>
            <w:vAlign w:val="bottom"/>
          </w:tcPr>
          <w:p>
            <w:pPr>
              <w:spacing w:after="0"/>
              <w:rPr>
                <w:sz w:val="18"/>
                <w:szCs w:val="18"/>
                <w:color w:val="auto"/>
              </w:rPr>
            </w:pPr>
          </w:p>
        </w:tc>
        <w:tc>
          <w:tcPr>
            <w:tcW w:w="640" w:type="dxa"/>
            <w:vAlign w:val="bottom"/>
            <w:gridSpan w:val="2"/>
          </w:tcPr>
          <w:p>
            <w:pPr>
              <w:spacing w:after="0"/>
              <w:rPr>
                <w:rFonts w:ascii="Arial" w:cs="Arial" w:eastAsia="Arial" w:hAnsi="Arial"/>
                <w:sz w:val="18"/>
                <w:szCs w:val="18"/>
                <w:color w:val="0000FF"/>
                <w:w w:val="98"/>
              </w:rPr>
            </w:pPr>
            <w:hyperlink w:anchor="page32">
              <w:r>
                <w:rPr>
                  <w:rFonts w:ascii="Arial" w:cs="Arial" w:eastAsia="Arial" w:hAnsi="Arial"/>
                  <w:sz w:val="18"/>
                  <w:szCs w:val="18"/>
                  <w:color w:val="0000FF"/>
                  <w:w w:val="98"/>
                </w:rPr>
                <w:t>Exhibits</w:t>
              </w:r>
            </w:hyperlink>
          </w:p>
        </w:tc>
        <w:tc>
          <w:tcPr>
            <w:tcW w:w="760" w:type="dxa"/>
            <w:vAlign w:val="bottom"/>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2">
              <w:r>
                <w:rPr>
                  <w:rFonts w:ascii="Arial" w:cs="Arial" w:eastAsia="Arial" w:hAnsi="Arial"/>
                  <w:sz w:val="18"/>
                  <w:szCs w:val="18"/>
                  <w:color w:val="0000FF"/>
                </w:rPr>
                <w:t>29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8760" w:type="dxa"/>
            <w:vAlign w:val="bottom"/>
            <w:gridSpan w:val="20"/>
          </w:tcPr>
          <w:p>
            <w:pPr>
              <w:spacing w:after="0"/>
              <w:rPr>
                <w:rFonts w:ascii="Arial" w:cs="Arial" w:eastAsia="Arial" w:hAnsi="Arial"/>
                <w:sz w:val="18"/>
                <w:szCs w:val="18"/>
                <w:color w:val="0000FF"/>
              </w:rPr>
            </w:pPr>
            <w:hyperlink w:anchor="page33">
              <w:r>
                <w:rPr>
                  <w:rFonts w:ascii="Arial" w:cs="Arial" w:eastAsia="Arial" w:hAnsi="Arial"/>
                  <w:sz w:val="18"/>
                  <w:szCs w:val="18"/>
                  <w:color w:val="0000FF"/>
                </w:rPr>
                <w:t>Signatures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33">
              <w:r>
                <w:rPr>
                  <w:rFonts w:ascii="Arial" w:cs="Arial" w:eastAsia="Arial" w:hAnsi="Arial"/>
                  <w:sz w:val="18"/>
                  <w:szCs w:val="18"/>
                  <w:color w:val="0000FF"/>
                </w:rPr>
                <w:t>30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98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2021</w:t>
            </w:r>
          </w:p>
        </w:tc>
      </w:tr>
      <w:tr>
        <w:trPr>
          <w:trHeight w:val="19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77,854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138,704</w:t>
            </w: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144,662</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137,207</w:t>
            </w: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11,957</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w:t>
            </w: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234,473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287,409</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3,473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3,653</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239,504</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292,747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13,269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10,780</w:t>
            </w: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30,929</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26,844</w:t>
            </w: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45,223</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38,434</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3,259</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w:t>
            </w:r>
          </w:p>
        </w:tc>
      </w:tr>
      <w:tr>
        <w:trPr>
          <w:trHeight w:val="213"/>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48,482</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41,935</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7"/>
        </w:trPr>
        <w:tc>
          <w:tcPr>
            <w:tcW w:w="8060" w:type="dxa"/>
            <w:vAlign w:val="bottom"/>
          </w:tcPr>
          <w:p>
            <w:pPr>
              <w:ind w:left="240"/>
              <w:spacing w:after="0" w:line="178"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6"/>
                <w:szCs w:val="16"/>
                <w:color w:val="auto"/>
              </w:rPr>
              <w:t>March 31, 2022 and December 31, 2021</w:t>
            </w:r>
          </w:p>
        </w:tc>
        <w:tc>
          <w:tcPr>
            <w:tcW w:w="140" w:type="dxa"/>
            <w:vAlign w:val="bottom"/>
          </w:tcPr>
          <w:p>
            <w:pPr>
              <w:spacing w:after="0"/>
              <w:rPr>
                <w:sz w:val="17"/>
                <w:szCs w:val="17"/>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806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Common stock, $0.0001 par value; 150,000,000 shares authorized; 45,506,482 shares issued and</w:t>
            </w:r>
          </w:p>
        </w:tc>
        <w:tc>
          <w:tcPr>
            <w:tcW w:w="1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outstanding as of March 31, 2022, and 45,300,514 shares issued and outstanding as of December 31, 2021</w:t>
            </w: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576,955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567,598</w:t>
            </w: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(385,332)</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(316,615)</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191,022</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250,812</w:t>
            </w: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239,504</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292,747</w:t>
            </w:r>
          </w:p>
        </w:tc>
      </w:tr>
      <w:tr>
        <w:trPr>
          <w:trHeight w:val="20"/>
        </w:trPr>
        <w:tc>
          <w:tcPr>
            <w:tcW w:w="8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6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52,652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17,929</w:t>
            </w: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9,490</w:t>
            </w:r>
          </w:p>
        </w:tc>
      </w:tr>
      <w:tr>
        <w:trPr>
          <w:trHeight w:val="20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27,419</w:t>
            </w: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(27,419)</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r>
      <w:tr>
        <w:trPr>
          <w:trHeight w:val="209"/>
        </w:trPr>
        <w:tc>
          <w:tcPr>
            <w:tcW w:w="806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income</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06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 basic and diluted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w:t>
            </w:r>
          </w:p>
        </w:tc>
        <w:tc>
          <w:tcPr>
            <w:tcW w:w="100" w:type="dxa"/>
            <w:vAlign w:val="bottom"/>
          </w:tcPr>
          <w:p>
            <w:pPr>
              <w:spacing w:after="0"/>
              <w:rPr>
                <w:sz w:val="16"/>
                <w:szCs w:val="16"/>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(0.71)</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6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45,455,179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38,470,710</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p>
      <w:pPr>
        <w:jc w:val="center"/>
        <w:ind w:left="7800"/>
        <w:spacing w:after="0"/>
        <w:rPr>
          <w:sz w:val="20"/>
          <w:szCs w:val="20"/>
          <w:color w:val="auto"/>
        </w:rPr>
      </w:pPr>
      <w:r>
        <w:rPr>
          <w:rFonts w:ascii="Arial" w:cs="Arial" w:eastAsia="Arial" w:hAnsi="Arial"/>
          <w:sz w:val="16"/>
          <w:szCs w:val="16"/>
          <w:b w:val="1"/>
          <w:bCs w:val="1"/>
          <w:color w:val="auto"/>
        </w:rPr>
        <w:t>Three Months Ended</w:t>
      </w:r>
    </w:p>
    <w:p>
      <w:pPr>
        <w:jc w:val="center"/>
        <w:ind w:left="780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82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6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2021</w:t>
            </w:r>
          </w:p>
        </w:tc>
      </w:tr>
      <w:tr>
        <w:trPr>
          <w:trHeight w:val="210"/>
        </w:trPr>
        <w:tc>
          <w:tcPr>
            <w:tcW w:w="7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(68,717)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(27,373)</w:t>
            </w:r>
          </w:p>
        </w:tc>
      </w:tr>
      <w:tr>
        <w:trPr>
          <w:trHeight w:val="213"/>
        </w:trPr>
        <w:tc>
          <w:tcPr>
            <w:tcW w:w="7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Net unrealized losses on marketable securities, net of tax</w:t>
            </w:r>
          </w:p>
        </w:tc>
        <w:tc>
          <w:tcPr>
            <w:tcW w:w="10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(430)</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38"/>
        </w:trPr>
        <w:tc>
          <w:tcPr>
            <w:tcW w:w="7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(69,147)</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(27,459)</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0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5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45,300,514</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567,598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(316,615)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w w:val="98"/>
              </w:rPr>
              <w:t>(176)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250,812</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7,886</w:t>
            </w:r>
          </w:p>
        </w:tc>
        <w:tc>
          <w:tcPr>
            <w:tcW w:w="0" w:type="dxa"/>
            <w:vAlign w:val="bottom"/>
          </w:tcPr>
          <w:p>
            <w:pPr>
              <w:spacing w:after="0"/>
              <w:rPr>
                <w:sz w:val="1"/>
                <w:szCs w:val="1"/>
                <w:color w:val="auto"/>
              </w:rPr>
            </w:pPr>
          </w:p>
        </w:tc>
      </w:tr>
      <w:tr>
        <w:trPr>
          <w:trHeight w:val="153"/>
        </w:trPr>
        <w:tc>
          <w:tcPr>
            <w:tcW w:w="432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Issuance of common stock from at-the-market public offerings, net</w:t>
            </w:r>
          </w:p>
        </w:tc>
        <w:tc>
          <w:tcPr>
            <w:tcW w:w="10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 issuance costs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70,410</w:t>
            </w: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81,130</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(17,850)</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72,278</w:t>
            </w: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89"/>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ind w:left="640"/>
              <w:spacing w:after="0"/>
              <w:rPr>
                <w:sz w:val="20"/>
                <w:szCs w:val="20"/>
                <w:color w:val="auto"/>
              </w:rPr>
            </w:pPr>
            <w:r>
              <w:rPr>
                <w:rFonts w:ascii="Arial" w:cs="Arial" w:eastAsia="Arial" w:hAnsi="Arial"/>
                <w:sz w:val="13"/>
                <w:szCs w:val="13"/>
                <w:color w:val="auto"/>
                <w:w w:val="98"/>
              </w:rPr>
              <w:t>(430)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89"/>
        </w:trPr>
        <w:tc>
          <w:tcPr>
            <w:tcW w:w="43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(68,717)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(68,717)</w:t>
            </w:r>
          </w:p>
        </w:tc>
        <w:tc>
          <w:tcPr>
            <w:tcW w:w="0" w:type="dxa"/>
            <w:vAlign w:val="bottom"/>
          </w:tcPr>
          <w:p>
            <w:pPr>
              <w:spacing w:after="0"/>
              <w:rPr>
                <w:sz w:val="1"/>
                <w:szCs w:val="1"/>
                <w:color w:val="auto"/>
              </w:rPr>
            </w:pPr>
          </w:p>
        </w:tc>
      </w:tr>
      <w:tr>
        <w:trPr>
          <w:trHeight w:val="194"/>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45,506,482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576,955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(385,332)</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Arial" w:cs="Arial" w:eastAsia="Arial" w:hAnsi="Arial"/>
                <w:sz w:val="13"/>
                <w:szCs w:val="13"/>
                <w:color w:val="auto"/>
                <w:w w:val="98"/>
              </w:rPr>
              <w:t>(606)</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88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4280" w:type="dxa"/>
            <w:vAlign w:val="bottom"/>
          </w:tcPr>
          <w:p>
            <w:pPr>
              <w:spacing w:after="0"/>
              <w:rPr>
                <w:sz w:val="11"/>
                <w:szCs w:val="11"/>
                <w:color w:val="auto"/>
              </w:rPr>
            </w:pPr>
          </w:p>
        </w:tc>
        <w:tc>
          <w:tcPr>
            <w:tcW w:w="2000" w:type="dxa"/>
            <w:vAlign w:val="bottom"/>
            <w:gridSpan w:val="3"/>
            <w:vMerge w:val="restart"/>
          </w:tcPr>
          <w:p>
            <w:pPr>
              <w:jc w:val="right"/>
              <w:ind w:right="268"/>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rPr>
              <w:t>Other</w:t>
            </w:r>
          </w:p>
        </w:tc>
        <w:tc>
          <w:tcPr>
            <w:tcW w:w="220" w:type="dxa"/>
            <w:vAlign w:val="bottom"/>
          </w:tcPr>
          <w:p>
            <w:pPr>
              <w:spacing w:after="0"/>
              <w:rPr>
                <w:sz w:val="11"/>
                <w:szCs w:val="11"/>
                <w:color w:val="auto"/>
              </w:rPr>
            </w:pPr>
          </w:p>
        </w:tc>
        <w:tc>
          <w:tcPr>
            <w:tcW w:w="8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280" w:type="dxa"/>
            <w:vAlign w:val="bottom"/>
          </w:tcPr>
          <w:p>
            <w:pPr>
              <w:spacing w:after="0"/>
              <w:rPr>
                <w:sz w:val="8"/>
                <w:szCs w:val="8"/>
                <w:color w:val="auto"/>
              </w:rPr>
            </w:pPr>
          </w:p>
        </w:tc>
        <w:tc>
          <w:tcPr>
            <w:tcW w:w="20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gridSpan w:val="2"/>
            <w:vMerge w:val="restart"/>
          </w:tcPr>
          <w:p>
            <w:pPr>
              <w:jc w:val="center"/>
              <w:ind w:right="260"/>
              <w:spacing w:after="0" w:line="135" w:lineRule="exact"/>
              <w:rPr>
                <w:sz w:val="20"/>
                <w:szCs w:val="20"/>
                <w:color w:val="auto"/>
              </w:rPr>
            </w:pPr>
            <w:r>
              <w:rPr>
                <w:rFonts w:ascii="Arial" w:cs="Arial" w:eastAsia="Arial" w:hAnsi="Arial"/>
                <w:sz w:val="14"/>
                <w:szCs w:val="14"/>
                <w:b w:val="1"/>
                <w:bCs w:val="1"/>
                <w:color w:val="auto"/>
              </w:rPr>
              <w:t>Paid-In</w:t>
            </w:r>
          </w:p>
        </w:tc>
        <w:tc>
          <w:tcPr>
            <w:tcW w:w="116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rPr>
              <w:t>Accumulated</w:t>
            </w:r>
          </w:p>
        </w:tc>
        <w:tc>
          <w:tcPr>
            <w:tcW w:w="1200" w:type="dxa"/>
            <w:vAlign w:val="bottom"/>
            <w:gridSpan w:val="3"/>
            <w:vMerge w:val="restart"/>
          </w:tcPr>
          <w:p>
            <w:pPr>
              <w:jc w:val="center"/>
              <w:ind w:right="80"/>
              <w:spacing w:after="0" w:line="135" w:lineRule="exact"/>
              <w:rPr>
                <w:sz w:val="20"/>
                <w:szCs w:val="20"/>
                <w:color w:val="auto"/>
              </w:rPr>
            </w:pPr>
            <w:r>
              <w:rPr>
                <w:rFonts w:ascii="Arial" w:cs="Arial" w:eastAsia="Arial" w:hAnsi="Arial"/>
                <w:sz w:val="14"/>
                <w:szCs w:val="14"/>
                <w:b w:val="1"/>
                <w:bCs w:val="1"/>
                <w:color w:val="auto"/>
              </w:rPr>
              <w:t>Comprehensive</w:t>
            </w:r>
          </w:p>
        </w:tc>
        <w:tc>
          <w:tcPr>
            <w:tcW w:w="110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21"/>
        </w:trPr>
        <w:tc>
          <w:tcPr>
            <w:tcW w:w="4280" w:type="dxa"/>
            <w:vAlign w:val="bottom"/>
          </w:tcPr>
          <w:p>
            <w:pPr>
              <w:spacing w:after="0" w:line="20" w:lineRule="exact"/>
              <w:rPr>
                <w:sz w:val="1"/>
                <w:szCs w:val="1"/>
                <w:color w:val="auto"/>
              </w:rPr>
            </w:pPr>
          </w:p>
        </w:tc>
        <w:tc>
          <w:tcPr>
            <w:tcW w:w="108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Shares</w:t>
            </w:r>
          </w:p>
        </w:tc>
        <w:tc>
          <w:tcPr>
            <w:tcW w:w="80" w:type="dxa"/>
            <w:vAlign w:val="bottom"/>
            <w:vMerge w:val="restart"/>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0" w:type="dxa"/>
            <w:vAlign w:val="bottom"/>
            <w:gridSpan w:val="3"/>
            <w:vMerge w:val="continue"/>
          </w:tcPr>
          <w:p>
            <w:pPr>
              <w:spacing w:after="0" w:line="20" w:lineRule="exact"/>
              <w:rPr>
                <w:sz w:val="1"/>
                <w:szCs w:val="1"/>
                <w:color w:val="auto"/>
              </w:rPr>
            </w:pPr>
          </w:p>
        </w:tc>
        <w:tc>
          <w:tcPr>
            <w:tcW w:w="110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28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Capital</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8"/>
              <w:spacing w:after="0"/>
              <w:rPr>
                <w:sz w:val="20"/>
                <w:szCs w:val="20"/>
                <w:color w:val="auto"/>
              </w:rPr>
            </w:pPr>
            <w:r>
              <w:rPr>
                <w:rFonts w:ascii="Arial" w:cs="Arial" w:eastAsia="Arial" w:hAnsi="Arial"/>
                <w:sz w:val="14"/>
                <w:szCs w:val="14"/>
                <w:b w:val="1"/>
                <w:bCs w:val="1"/>
                <w:color w:val="auto"/>
              </w:rPr>
              <w:t>Loss</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82"/>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38,268,543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68"/>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437,007</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(149,554)</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center"/>
              <w:ind w:left="60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287,457</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4,666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center"/>
              <w:ind w:left="608"/>
              <w:spacing w:after="0"/>
              <w:rPr>
                <w:sz w:val="20"/>
                <w:szCs w:val="20"/>
                <w:color w:val="auto"/>
              </w:rPr>
            </w:pPr>
            <w:r>
              <w:rPr>
                <w:rFonts w:ascii="Arial" w:cs="Arial" w:eastAsia="Arial" w:hAnsi="Arial"/>
                <w:sz w:val="14"/>
                <w:szCs w:val="14"/>
                <w:color w:val="auto"/>
                <w:w w:val="99"/>
              </w:rPr>
              <w:t>—</w:t>
            </w: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4,666</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352,506</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left="60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851</w:t>
            </w:r>
          </w:p>
        </w:tc>
        <w:tc>
          <w:tcPr>
            <w:tcW w:w="0" w:type="dxa"/>
            <w:vAlign w:val="bottom"/>
          </w:tcPr>
          <w:p>
            <w:pPr>
              <w:spacing w:after="0"/>
              <w:rPr>
                <w:sz w:val="1"/>
                <w:szCs w:val="1"/>
                <w:color w:val="auto"/>
              </w:rPr>
            </w:pPr>
          </w:p>
        </w:tc>
      </w:tr>
      <w:tr>
        <w:trPr>
          <w:trHeight w:val="189"/>
        </w:trPr>
        <w:tc>
          <w:tcPr>
            <w:tcW w:w="4280" w:type="dxa"/>
            <w:vAlign w:val="bottom"/>
          </w:tcPr>
          <w:p>
            <w:pPr>
              <w:ind w:left="20"/>
              <w:spacing w:after="0"/>
              <w:rPr>
                <w:sz w:val="20"/>
                <w:szCs w:val="20"/>
                <w:color w:val="auto"/>
              </w:rPr>
            </w:pPr>
            <w:r>
              <w:rPr>
                <w:rFonts w:ascii="Arial" w:cs="Arial" w:eastAsia="Arial" w:hAnsi="Arial"/>
                <w:sz w:val="14"/>
                <w:szCs w:val="14"/>
                <w:color w:val="auto"/>
              </w:rPr>
              <w:t>Change in unrealized loss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6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20" w:type="dxa"/>
            <w:vAlign w:val="bottom"/>
          </w:tcPr>
          <w:p>
            <w:pPr>
              <w:jc w:val="center"/>
              <w:ind w:left="64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89"/>
        </w:trPr>
        <w:tc>
          <w:tcPr>
            <w:tcW w:w="4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center"/>
              <w:ind w:left="608"/>
              <w:spacing w:after="0"/>
              <w:rPr>
                <w:sz w:val="20"/>
                <w:szCs w:val="20"/>
                <w:color w:val="auto"/>
              </w:rPr>
            </w:pPr>
            <w:r>
              <w:rPr>
                <w:rFonts w:ascii="Arial" w:cs="Arial" w:eastAsia="Arial" w:hAnsi="Arial"/>
                <w:sz w:val="14"/>
                <w:szCs w:val="14"/>
                <w:color w:val="auto"/>
                <w:w w:val="99"/>
              </w:rPr>
              <w:t>—</w:t>
            </w: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(27,373)</w:t>
            </w:r>
          </w:p>
        </w:tc>
        <w:tc>
          <w:tcPr>
            <w:tcW w:w="0" w:type="dxa"/>
            <w:vAlign w:val="bottom"/>
          </w:tcPr>
          <w:p>
            <w:pPr>
              <w:spacing w:after="0"/>
              <w:rPr>
                <w:sz w:val="1"/>
                <w:szCs w:val="1"/>
                <w:color w:val="auto"/>
              </w:rPr>
            </w:pPr>
          </w:p>
        </w:tc>
      </w:tr>
      <w:tr>
        <w:trPr>
          <w:trHeight w:val="183"/>
        </w:trPr>
        <w:tc>
          <w:tcPr>
            <w:tcW w:w="428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38,621,049</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442,524</w:t>
            </w:r>
          </w:p>
        </w:tc>
        <w:tc>
          <w:tcPr>
            <w:tcW w:w="10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(176,927)</w:t>
            </w:r>
          </w:p>
        </w:tc>
        <w:tc>
          <w:tcPr>
            <w:tcW w:w="8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center"/>
              <w:ind w:left="648"/>
              <w:spacing w:after="0"/>
              <w:rPr>
                <w:sz w:val="20"/>
                <w:szCs w:val="20"/>
                <w:color w:val="auto"/>
              </w:rPr>
            </w:pPr>
            <w:r>
              <w:rPr>
                <w:rFonts w:ascii="Arial" w:cs="Arial" w:eastAsia="Arial" w:hAnsi="Arial"/>
                <w:sz w:val="14"/>
                <w:szCs w:val="14"/>
                <w:color w:val="auto"/>
              </w:rPr>
              <w:t>(86)</w:t>
            </w:r>
          </w:p>
        </w:tc>
        <w:tc>
          <w:tcPr>
            <w:tcW w:w="8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265,515</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(68,717)</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(27,373)</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4,666</w:t>
            </w: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183</w:t>
            </w: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(2,035)</w:t>
            </w: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2,208</w:t>
            </w: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(3,477)</w:t>
            </w: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(185)</w:t>
            </w:r>
          </w:p>
        </w:tc>
      </w:tr>
      <w:tr>
        <w:trPr>
          <w:trHeight w:val="216"/>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(54,109)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(25,722)</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(289)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(140,006)</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74,761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used in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(140,010)</w:t>
            </w: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at-the-market offerings, net of issuance costs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Payment of issuance costs for at-the-market offerings and initial public offering</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(575)</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Proceeds from exercise of options to purchase common stock</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851</w:t>
            </w:r>
          </w:p>
        </w:tc>
      </w:tr>
      <w:tr>
        <w:trPr>
          <w:trHeight w:val="210"/>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1,209</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276</w:t>
            </w:r>
          </w:p>
        </w:tc>
      </w:tr>
      <w:tr>
        <w:trPr>
          <w:trHeight w:val="209"/>
        </w:trPr>
        <w:tc>
          <w:tcPr>
            <w:tcW w:w="8060" w:type="dxa"/>
            <w:vAlign w:val="bottom"/>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(61,450)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(165,456)</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139,720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297,208</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131,752</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bl>
    <w:p>
      <w:pPr>
        <w:spacing w:after="0" w:line="15" w:lineRule="exact"/>
        <w:rPr>
          <w:sz w:val="20"/>
          <w:szCs w:val="20"/>
          <w:color w:val="auto"/>
        </w:rPr>
      </w:pPr>
    </w:p>
    <w:p>
      <w:pPr>
        <w:sectPr>
          <w:pgSz w:w="11900" w:h="16838" w:orient="portrait"/>
          <w:cols w:equalWidth="0" w:num="1">
            <w:col w:w="11240"/>
          </w:cols>
          <w:pgMar w:left="320" w:top="886" w:right="339" w:bottom="1440" w:gutter="0" w:footer="0" w:header="0"/>
        </w:sectPr>
      </w:pPr>
    </w:p>
    <w:p>
      <w:pPr>
        <w:ind w:left="20"/>
        <w:spacing w:after="0"/>
        <w:rPr>
          <w:sz w:val="20"/>
          <w:szCs w:val="20"/>
          <w:color w:val="auto"/>
        </w:rPr>
      </w:pPr>
      <w:r>
        <w:rPr>
          <w:rFonts w:ascii="Arial" w:cs="Arial" w:eastAsia="Arial" w:hAnsi="Arial"/>
          <w:sz w:val="16"/>
          <w:szCs w:val="16"/>
          <w:color w:val="auto"/>
        </w:rPr>
        <w:t>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color w:val="auto"/>
        </w:rPr>
        <w:t>Restricted cash</w:t>
      </w:r>
    </w:p>
    <w:p>
      <w:pPr>
        <w:spacing w:after="0" w:line="73" w:lineRule="exact"/>
        <w:rPr>
          <w:sz w:val="20"/>
          <w:szCs w:val="20"/>
          <w:color w:val="auto"/>
        </w:rPr>
      </w:pPr>
    </w:p>
    <w:p>
      <w:pPr>
        <w:ind w:left="680"/>
        <w:spacing w:after="0"/>
        <w:rPr>
          <w:sz w:val="20"/>
          <w:szCs w:val="20"/>
          <w:color w:val="auto"/>
        </w:rPr>
      </w:pPr>
      <w:r>
        <w:rPr>
          <w:rFonts w:ascii="Arial" w:cs="Arial" w:eastAsia="Arial" w:hAnsi="Arial"/>
          <w:sz w:val="16"/>
          <w:szCs w:val="16"/>
          <w:color w:val="auto"/>
        </w:rPr>
        <w:t>Total cash, cash equivalents and restricted cash</w:t>
      </w:r>
    </w:p>
    <w:p>
      <w:pPr>
        <w:spacing w:after="0" w:line="1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-113030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5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77,854</w:t>
            </w: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131,152</w:t>
            </w:r>
          </w:p>
        </w:tc>
      </w:tr>
      <w:tr>
        <w:trPr>
          <w:trHeight w:val="219"/>
        </w:trPr>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600</w:t>
            </w:r>
          </w:p>
        </w:tc>
      </w:tr>
      <w:tr>
        <w:trPr>
          <w:trHeight w:val="209"/>
        </w:trPr>
        <w:tc>
          <w:tcPr>
            <w:tcW w:w="54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78,270</w:t>
            </w:r>
          </w:p>
        </w:tc>
        <w:tc>
          <w:tcPr>
            <w:tcW w:w="100" w:type="dxa"/>
            <w:vAlign w:val="bottom"/>
          </w:tcPr>
          <w:p>
            <w:pPr>
              <w:spacing w:after="0"/>
              <w:rPr>
                <w:sz w:val="18"/>
                <w:szCs w:val="18"/>
                <w:color w:val="auto"/>
              </w:rPr>
            </w:pPr>
          </w:p>
        </w:tc>
        <w:tc>
          <w:tcPr>
            <w:tcW w:w="5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131,752</w:t>
            </w:r>
          </w:p>
        </w:tc>
      </w:tr>
      <w:tr>
        <w:trPr>
          <w:trHeight w:val="24"/>
        </w:trPr>
        <w:tc>
          <w:tcPr>
            <w:tcW w:w="5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bl>
    <w:p>
      <w:pPr>
        <w:spacing w:after="0" w:line="204" w:lineRule="exact"/>
        <w:rPr>
          <w:sz w:val="20"/>
          <w:szCs w:val="20"/>
          <w:color w:val="auto"/>
        </w:rPr>
      </w:pPr>
    </w:p>
    <w:p>
      <w:pPr>
        <w:sectPr>
          <w:pgSz w:w="11900" w:h="16838" w:orient="portrait"/>
          <w:cols w:equalWidth="0" w:num="2">
            <w:col w:w="7340" w:space="720"/>
            <w:col w:w="3180"/>
          </w:cols>
          <w:pgMar w:left="320" w:top="886" w:right="339" w:bottom="1440" w:gutter="0" w:footer="0" w:header="0"/>
          <w:type w:val="continuous"/>
        </w:sectPr>
      </w:pPr>
    </w:p>
    <w:p>
      <w:pPr>
        <w:ind w:left="20"/>
        <w:spacing w:after="0"/>
        <w:tabs>
          <w:tab w:leader="none" w:pos="8060" w:val="left"/>
          <w:tab w:leader="none" w:pos="9360" w:val="left"/>
          <w:tab w:leader="none" w:pos="9700" w:val="left"/>
          <w:tab w:leader="none" w:pos="10960" w:val="left"/>
        </w:tabs>
        <w:rPr>
          <w:sz w:val="20"/>
          <w:szCs w:val="20"/>
          <w:color w:val="auto"/>
        </w:rPr>
      </w:pPr>
      <w:r>
        <w:rPr>
          <w:rFonts w:ascii="Arial" w:cs="Arial" w:eastAsia="Arial" w:hAnsi="Arial"/>
          <w:sz w:val="16"/>
          <w:szCs w:val="16"/>
          <w:color w:val="auto"/>
        </w:rPr>
        <w:t>Purchases of property and equipment included in accrued expenses and accounts payable</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tab/>
        <w:t>$</w:t>
      </w:r>
      <w:r>
        <w:rPr>
          <w:sz w:val="20"/>
          <w:szCs w:val="20"/>
          <w:color w:val="auto"/>
        </w:rPr>
        <w:tab/>
      </w: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10795</wp:posOffset>
            </wp:positionV>
            <wp:extent cx="2014855"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014855" cy="34290"/>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type w:val="continuous"/>
        </w:sectPr>
      </w:pPr>
    </w:p>
    <w:bookmarkStart w:id="10" w:name="page11"/>
    <w:bookmarkEnd w:id="10"/>
    <w:p>
      <w:pPr>
        <w:jc w:val="center"/>
        <w:ind w:left="360" w:right="2660"/>
        <w:spacing w:after="0" w:line="445"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99"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genetic insights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disease. The Company is applying insights from genetic epilepsies to both rare and more prevalent neurological and psychiatric disorders, using its understanding of shared biological targets and circuits in the brain. The Company applies a deliberate and pragmatic precision approach, leveraging a suite of translational tools including novel transgenic and predictive translational animal models and electrophysiology markers, to enable an efficient path to proof-of-concept in patients. Through this approach, the Company has established a broad CNS portfolio with multiple programs, including product candidates across psychiatric disorders, movement disorders and epilepsy, with three clinical-stage product candidates. Each of the Company's clinical-stage product candidates is advancing in more than one indication and the Company anticipates expansion into additional indications. The Company expects multiple topline readouts from its clinical-stage programs and anticipates the launch of two additional clinical development programs in 2022. In addition, the Company has established a robust pipeline of preclinical stage programs through internal research and in-licensing.</w:t>
      </w:r>
    </w:p>
    <w:p>
      <w:pPr>
        <w:spacing w:after="0" w:line="210"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and from the sale of common stock through an initial public offering, a follow-on public offering and at-the-market offerings under its shelf registration statement. From inception through March 31, 2022, the Company raised $517.8 million in aggregate cash proceeds from these transactions, net of issuance costs.</w:t>
      </w:r>
    </w:p>
    <w:p>
      <w:pPr>
        <w:spacing w:after="0" w:line="204" w:lineRule="exact"/>
        <w:rPr>
          <w:sz w:val="20"/>
          <w:szCs w:val="20"/>
          <w:color w:val="auto"/>
        </w:rPr>
      </w:pPr>
    </w:p>
    <w:p>
      <w:pPr>
        <w:ind w:right="220" w:firstLine="445"/>
        <w:spacing w:after="0" w:line="252"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21"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98"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The Company has incurred recurring losses since its inception, including a net loss of $68.7 million for the three months ended March 31, 2022. In addition, as of March 31, 2022, the Company had an accumulated deficit of $385.3 million. The Company expects to continue to generate operating losses for the foreseeable future.</w:t>
      </w:r>
    </w:p>
    <w:p>
      <w:pPr>
        <w:spacing w:after="0" w:line="202"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The Company expects that its cash, cash equivalents and marketable securities as of March 31, 2022 of $222.5 million will be sufficient to fund the operating expenditures and capital expenditure requirements necessary to advance its research efforts and clinical trials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6" w:right="35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t>current operating plan will be achieved or that additional funding will be available on terms acceptable to the Company, or at all.</w:t>
      </w:r>
    </w:p>
    <w:p>
      <w:pPr>
        <w:spacing w:after="0" w:line="311" w:lineRule="exact"/>
        <w:rPr>
          <w:sz w:val="20"/>
          <w:szCs w:val="20"/>
          <w:color w:val="auto"/>
        </w:rPr>
      </w:pPr>
    </w:p>
    <w:p>
      <w:pPr>
        <w:ind w:right="7260" w:firstLine="8"/>
        <w:spacing w:after="0" w:line="388" w:lineRule="auto"/>
        <w:tabs>
          <w:tab w:leader="none" w:pos="2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40" w:firstLine="445"/>
        <w:spacing w:after="0" w:line="256"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202" w:lineRule="exact"/>
        <w:rPr>
          <w:sz w:val="20"/>
          <w:szCs w:val="20"/>
          <w:color w:val="auto"/>
        </w:rPr>
      </w:pPr>
    </w:p>
    <w:p>
      <w:pPr>
        <w:jc w:val="both"/>
        <w:ind w:right="420" w:firstLine="445"/>
        <w:spacing w:after="0" w:line="256"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months ended March 31, 2022 are consistent with those discussed in Note 2 to the consolidated financial statements included in the Company's 2021 Annual Report on Form 10-K, other than as noted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accompanying condensed consolidated balance sheet as of March 31, 2022, the condensed consolidated statements of operations for the three months ended March 31, 2022 and 2021, the condensed consolidated statements of comprehensive loss for the three months ended March 31, 2022 and 2021, the condensed consolidated statements of cash flows for the three months ended March 31, 2022 and 2021 and the condensed consolidated statements of stockholders’ equity for the three months ended March 31, 2022 and 2021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March 31, 2022, the results of its operations for the three months ended March 31, 2022 and 2021 and its cash flows for the three months ended March 31, 2022 and 2021. Financial statement disclosures for the three months ended March 31, 2022 and 2021 are condensed and do not include all disclosures required for an annual set of financial statements in accordance with GAAP.</w:t>
      </w:r>
    </w:p>
    <w:p>
      <w:pPr>
        <w:spacing w:after="0" w:line="211" w:lineRule="exact"/>
        <w:rPr>
          <w:sz w:val="20"/>
          <w:szCs w:val="20"/>
          <w:color w:val="auto"/>
        </w:rPr>
      </w:pPr>
    </w:p>
    <w:p>
      <w:pPr>
        <w:ind w:right="500" w:firstLine="445"/>
        <w:spacing w:after="0" w:line="261" w:lineRule="auto"/>
        <w:rPr>
          <w:sz w:val="20"/>
          <w:szCs w:val="20"/>
          <w:color w:val="auto"/>
        </w:rPr>
      </w:pPr>
      <w:r>
        <w:rPr>
          <w:rFonts w:ascii="Arial" w:cs="Arial" w:eastAsia="Arial" w:hAnsi="Arial"/>
          <w:sz w:val="18"/>
          <w:szCs w:val="18"/>
          <w:color w:val="auto"/>
        </w:rPr>
        <w:t>The results for the three months ended March 31, 2022 are not necessarily indicative of results to be expected for the year ended December 31, 2022, any other interim periods, or any future year or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right="20" w:firstLine="486"/>
        <w:spacing w:after="0" w:line="252"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expenses,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does not expect any recently issued accounting pronouncements to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3. Marketable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investment portfolio as of March 31, 2022 and December 31, 2021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11"/>
          </w:tcPr>
          <w:p>
            <w:pPr>
              <w:ind w:left="260"/>
              <w:spacing w:after="0"/>
              <w:rPr>
                <w:sz w:val="20"/>
                <w:szCs w:val="20"/>
                <w:color w:val="auto"/>
              </w:rPr>
            </w:pPr>
            <w:r>
              <w:rPr>
                <w:rFonts w:ascii="Arial" w:cs="Arial" w:eastAsia="Arial" w:hAnsi="Arial"/>
                <w:sz w:val="16"/>
                <w:szCs w:val="16"/>
                <w:b w:val="1"/>
                <w:bCs w:val="1"/>
                <w:color w:val="auto"/>
              </w:rPr>
              <w:t>As of March 31, 2022</w:t>
            </w: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8"/>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0" w:type="dxa"/>
            <w:vAlign w:val="bottom"/>
            <w:gridSpan w:val="7"/>
          </w:tcPr>
          <w:p>
            <w:pPr>
              <w:jc w:val="right"/>
              <w:spacing w:after="0"/>
              <w:rPr>
                <w:sz w:val="20"/>
                <w:szCs w:val="20"/>
                <w:color w:val="auto"/>
              </w:rPr>
            </w:pPr>
            <w:r>
              <w:rPr>
                <w:rFonts w:ascii="Arial" w:cs="Arial" w:eastAsia="Arial" w:hAnsi="Arial"/>
                <w:sz w:val="16"/>
                <w:szCs w:val="16"/>
                <w:b w:val="1"/>
                <w:bCs w:val="1"/>
                <w:color w:val="auto"/>
              </w:rPr>
              <w:t>Gross Unrealized</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Estimated</w:t>
            </w:r>
          </w:p>
        </w:tc>
      </w:tr>
      <w:tr>
        <w:trPr>
          <w:trHeight w:val="218"/>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Cost</w:t>
            </w:r>
          </w:p>
        </w:tc>
        <w:tc>
          <w:tcPr>
            <w:tcW w:w="6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rPr>
              <w:t>Gains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7"/>
          </w:tcPr>
          <w:p>
            <w:pPr>
              <w:ind w:left="620"/>
              <w:spacing w:after="0"/>
              <w:rPr>
                <w:sz w:val="20"/>
                <w:szCs w:val="20"/>
                <w:color w:val="auto"/>
              </w:rPr>
            </w:pPr>
            <w:r>
              <w:rPr>
                <w:rFonts w:ascii="Arial" w:cs="Arial" w:eastAsia="Arial" w:hAnsi="Arial"/>
                <w:sz w:val="16"/>
                <w:szCs w:val="16"/>
                <w:b w:val="1"/>
                <w:bCs w:val="1"/>
                <w:color w:val="auto"/>
              </w:rPr>
              <w:t>Losses</w:t>
            </w:r>
          </w:p>
        </w:tc>
        <w:tc>
          <w:tcPr>
            <w:tcW w:w="30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44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Available-for-sale securities:</w:t>
            </w:r>
          </w:p>
        </w:tc>
        <w:tc>
          <w:tcPr>
            <w:tcW w:w="7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3"/>
        </w:trPr>
        <w:tc>
          <w:tcPr>
            <w:tcW w:w="4420" w:type="dxa"/>
            <w:vAlign w:val="bottom"/>
          </w:tcPr>
          <w:p>
            <w:pPr>
              <w:ind w:left="480"/>
              <w:spacing w:after="0"/>
              <w:rPr>
                <w:sz w:val="20"/>
                <w:szCs w:val="20"/>
                <w:color w:val="auto"/>
              </w:rPr>
            </w:pPr>
            <w:r>
              <w:rPr>
                <w:rFonts w:ascii="Arial" w:cs="Arial" w:eastAsia="Arial" w:hAnsi="Arial"/>
                <w:sz w:val="16"/>
                <w:szCs w:val="16"/>
                <w:color w:val="auto"/>
              </w:rPr>
              <w:t>Corporate debt securities</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54,259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6"/>
                <w:szCs w:val="16"/>
                <w:color w:val="auto"/>
              </w:rPr>
              <w:t>(438)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53,821</w:t>
            </w:r>
          </w:p>
        </w:tc>
      </w:tr>
      <w:tr>
        <w:trPr>
          <w:trHeight w:val="219"/>
        </w:trPr>
        <w:tc>
          <w:tcPr>
            <w:tcW w:w="4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Debt securities issued by U.S. government agencies</w:t>
            </w:r>
          </w:p>
        </w:tc>
        <w:tc>
          <w:tcPr>
            <w:tcW w:w="7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46,073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46,005</w:t>
            </w:r>
          </w:p>
        </w:tc>
      </w:tr>
      <w:tr>
        <w:trPr>
          <w:trHeight w:val="213"/>
        </w:trPr>
        <w:tc>
          <w:tcPr>
            <w:tcW w:w="4420" w:type="dxa"/>
            <w:vAlign w:val="bottom"/>
          </w:tcPr>
          <w:p>
            <w:pPr>
              <w:ind w:left="480"/>
              <w:spacing w:after="0"/>
              <w:rPr>
                <w:sz w:val="20"/>
                <w:szCs w:val="20"/>
                <w:color w:val="auto"/>
              </w:rPr>
            </w:pPr>
            <w:r>
              <w:rPr>
                <w:rFonts w:ascii="Arial" w:cs="Arial" w:eastAsia="Arial" w:hAnsi="Arial"/>
                <w:sz w:val="16"/>
                <w:szCs w:val="16"/>
                <w:color w:val="auto"/>
              </w:rPr>
              <w:t>Commercial paper</w:t>
            </w:r>
          </w:p>
        </w:tc>
        <w:tc>
          <w:tcPr>
            <w:tcW w:w="7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32,907</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6"/>
                <w:szCs w:val="16"/>
                <w:color w:val="auto"/>
                <w:w w:val="99"/>
              </w:rPr>
              <w:t>—</w:t>
            </w: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32,907</w:t>
            </w:r>
          </w:p>
        </w:tc>
      </w:tr>
      <w:tr>
        <w:trPr>
          <w:trHeight w:val="209"/>
        </w:trPr>
        <w:tc>
          <w:tcPr>
            <w:tcW w:w="442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securities with a maturity of one year or less</w:t>
            </w:r>
          </w:p>
        </w:tc>
        <w:tc>
          <w:tcPr>
            <w:tcW w:w="760" w:type="dxa"/>
            <w:vAlign w:val="bottom"/>
            <w:tcBorders>
              <w:top w:val="single" w:sz="8" w:color="auto"/>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133,239</w:t>
            </w: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(508)</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132,733</w:t>
            </w:r>
          </w:p>
        </w:tc>
      </w:tr>
      <w:tr>
        <w:trPr>
          <w:trHeight w:val="253"/>
        </w:trPr>
        <w:tc>
          <w:tcPr>
            <w:tcW w:w="44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13"/>
        </w:trPr>
        <w:tc>
          <w:tcPr>
            <w:tcW w:w="4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Corporate debt securities</w:t>
            </w:r>
          </w:p>
        </w:tc>
        <w:tc>
          <w:tcPr>
            <w:tcW w:w="7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12,029</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11,929</w:t>
            </w:r>
          </w:p>
        </w:tc>
      </w:tr>
      <w:tr>
        <w:trPr>
          <w:trHeight w:val="210"/>
        </w:trPr>
        <w:tc>
          <w:tcPr>
            <w:tcW w:w="44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Total securities with a maturity of one to two years</w:t>
            </w:r>
          </w:p>
        </w:tc>
        <w:tc>
          <w:tcPr>
            <w:tcW w:w="76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12,029</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11,929</w:t>
            </w:r>
          </w:p>
        </w:tc>
      </w:tr>
      <w:tr>
        <w:trPr>
          <w:trHeight w:val="238"/>
        </w:trPr>
        <w:tc>
          <w:tcPr>
            <w:tcW w:w="4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available-for-sale securities</w:t>
            </w: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145,268</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(608)</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144,662</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4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8"/>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7"/>
          </w:tcPr>
          <w:p>
            <w:pPr>
              <w:ind w:left="160"/>
              <w:spacing w:after="0"/>
              <w:rPr>
                <w:sz w:val="20"/>
                <w:szCs w:val="20"/>
                <w:color w:val="auto"/>
              </w:rPr>
            </w:pPr>
            <w:r>
              <w:rPr>
                <w:rFonts w:ascii="Arial" w:cs="Arial" w:eastAsia="Arial" w:hAnsi="Arial"/>
                <w:sz w:val="16"/>
                <w:szCs w:val="16"/>
                <w:b w:val="1"/>
                <w:bCs w:val="1"/>
                <w:color w:val="auto"/>
              </w:rPr>
              <w:t>Gross Unrealized</w:t>
            </w:r>
          </w:p>
        </w:tc>
        <w:tc>
          <w:tcPr>
            <w:tcW w:w="30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8"/>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Cost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120" w:type="dxa"/>
            <w:vAlign w:val="bottom"/>
          </w:tcPr>
          <w:p>
            <w:pPr>
              <w:spacing w:after="0"/>
              <w:rPr>
                <w:sz w:val="18"/>
                <w:szCs w:val="18"/>
                <w:color w:val="auto"/>
              </w:rPr>
            </w:pPr>
          </w:p>
        </w:tc>
        <w:tc>
          <w:tcPr>
            <w:tcW w:w="900" w:type="dxa"/>
            <w:vAlign w:val="bottom"/>
            <w:gridSpan w:val="4"/>
          </w:tcPr>
          <w:p>
            <w:pPr>
              <w:jc w:val="center"/>
              <w:ind w:right="300"/>
              <w:spacing w:after="0"/>
              <w:rPr>
                <w:sz w:val="20"/>
                <w:szCs w:val="20"/>
                <w:color w:val="auto"/>
              </w:rPr>
            </w:pPr>
            <w:r>
              <w:rPr>
                <w:rFonts w:ascii="Arial" w:cs="Arial" w:eastAsia="Arial" w:hAnsi="Arial"/>
                <w:sz w:val="16"/>
                <w:szCs w:val="16"/>
                <w:b w:val="1"/>
                <w:bCs w:val="1"/>
                <w:color w:val="auto"/>
              </w:rPr>
              <w:t>Losses</w:t>
            </w:r>
          </w:p>
        </w:tc>
        <w:tc>
          <w:tcPr>
            <w:tcW w:w="30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12"/>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7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760" w:type="dxa"/>
            <w:vAlign w:val="bottom"/>
          </w:tcPr>
          <w:p>
            <w:pPr>
              <w:spacing w:after="0"/>
              <w:rPr>
                <w:sz w:val="18"/>
                <w:szCs w:val="18"/>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52,214</w:t>
            </w:r>
          </w:p>
        </w:tc>
        <w:tc>
          <w:tcPr>
            <w:tcW w:w="1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52,183</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34,993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34,993</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12,111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12,103</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 securities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6,398</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6,399</w:t>
            </w:r>
          </w:p>
        </w:tc>
      </w:tr>
      <w:tr>
        <w:trPr>
          <w:trHeight w:val="210"/>
        </w:trPr>
        <w:tc>
          <w:tcPr>
            <w:tcW w:w="4420" w:type="dxa"/>
            <w:vAlign w:val="bottom"/>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760" w:type="dxa"/>
            <w:vAlign w:val="bottom"/>
          </w:tcPr>
          <w:p>
            <w:pPr>
              <w:spacing w:after="0"/>
              <w:rPr>
                <w:sz w:val="18"/>
                <w:szCs w:val="18"/>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105,716</w:t>
            </w:r>
          </w:p>
        </w:tc>
        <w:tc>
          <w:tcPr>
            <w:tcW w:w="1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105,678</w:t>
            </w:r>
          </w:p>
        </w:tc>
      </w:tr>
      <w:tr>
        <w:trPr>
          <w:trHeight w:val="253"/>
        </w:trPr>
        <w:tc>
          <w:tcPr>
            <w:tcW w:w="44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46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debt securities</w:t>
            </w:r>
          </w:p>
        </w:tc>
        <w:tc>
          <w:tcPr>
            <w:tcW w:w="7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31,667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31,529</w:t>
            </w:r>
          </w:p>
        </w:tc>
      </w:tr>
      <w:tr>
        <w:trPr>
          <w:trHeight w:val="20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securities with a maturity of one to two years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31,667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31,529</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Total available-for-sale securities</w:t>
            </w:r>
          </w:p>
        </w:tc>
        <w:tc>
          <w:tcPr>
            <w:tcW w:w="760" w:type="dxa"/>
            <w:vAlign w:val="bottom"/>
          </w:tcPr>
          <w:p>
            <w:pPr>
              <w:spacing w:after="0"/>
              <w:rPr>
                <w:sz w:val="18"/>
                <w:szCs w:val="18"/>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137,383</w:t>
            </w:r>
          </w:p>
        </w:tc>
        <w:tc>
          <w:tcPr>
            <w:tcW w:w="1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3"/>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137,207</w:t>
            </w:r>
          </w:p>
        </w:tc>
      </w:tr>
      <w:tr>
        <w:trPr>
          <w:trHeight w:val="20"/>
        </w:trPr>
        <w:tc>
          <w:tcPr>
            <w:tcW w:w="4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As of March 31, 2022, the Company had 15 securities with a total fair market value of $90.8 million in an unrealized loss position. As of December 31, 2021, the Company had 14 securities with a total fair market value of $95.8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 and an allowance was not recognized.</w:t>
      </w:r>
    </w:p>
    <w:p>
      <w:pPr>
        <w:spacing w:after="0" w:line="100"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months ended March 31, 2022 and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39"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94"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200" w:lineRule="exact"/>
        <w:rPr>
          <w:rFonts w:ascii="Arial" w:cs="Arial" w:eastAsia="Arial" w:hAnsi="Arial"/>
          <w:sz w:val="18"/>
          <w:szCs w:val="18"/>
          <w:color w:val="auto"/>
        </w:rPr>
      </w:pPr>
    </w:p>
    <w:p>
      <w:pPr>
        <w:spacing w:after="0" w:line="362"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3" w:name="page14"/>
    <w:bookmarkEnd w:id="13"/>
    <w:p>
      <w:pPr>
        <w:ind w:left="660" w:right="8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117" w:lineRule="exact"/>
        <w:rPr>
          <w:sz w:val="20"/>
          <w:szCs w:val="20"/>
          <w:color w:val="auto"/>
        </w:rPr>
      </w:pPr>
    </w:p>
    <w:p>
      <w:pPr>
        <w:ind w:right="100" w:firstLine="445"/>
        <w:spacing w:after="0" w:line="291"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 the level of the fair value hierarchy utilized to determine such fair values as of March 31, 2022 and December 31, 2021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259"/>
              <w:spacing w:after="0"/>
              <w:rPr>
                <w:sz w:val="20"/>
                <w:szCs w:val="20"/>
                <w:color w:val="auto"/>
              </w:rPr>
            </w:pPr>
            <w:r>
              <w:rPr>
                <w:rFonts w:ascii="Arial" w:cs="Arial" w:eastAsia="Arial" w:hAnsi="Arial"/>
                <w:sz w:val="16"/>
                <w:szCs w:val="16"/>
                <w:b w:val="1"/>
                <w:bCs w:val="1"/>
                <w:color w:val="auto"/>
              </w:rPr>
              <w:t>As of March 31, 2022</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44,165</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65,750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65,750</w:t>
            </w:r>
          </w:p>
        </w:tc>
      </w:tr>
      <w:tr>
        <w:trPr>
          <w:trHeight w:val="213"/>
        </w:trPr>
        <w:tc>
          <w:tcPr>
            <w:tcW w:w="5240" w:type="dxa"/>
            <w:vAlign w:val="bottom"/>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46,005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46,005</w:t>
            </w:r>
          </w:p>
        </w:tc>
      </w:tr>
      <w:tr>
        <w:trPr>
          <w:trHeight w:val="216"/>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32,907</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32,907</w:t>
            </w:r>
          </w:p>
        </w:tc>
      </w:tr>
      <w:tr>
        <w:trPr>
          <w:trHeight w:val="209"/>
        </w:trPr>
        <w:tc>
          <w:tcPr>
            <w:tcW w:w="5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90,170</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98,657</w:t>
            </w:r>
          </w:p>
        </w:tc>
        <w:tc>
          <w:tcPr>
            <w:tcW w:w="100" w:type="dxa"/>
            <w:vAlign w:val="bottom"/>
          </w:tcPr>
          <w:p>
            <w:pPr>
              <w:spacing w:after="0"/>
              <w:rPr>
                <w:sz w:val="18"/>
                <w:szCs w:val="18"/>
                <w:color w:val="auto"/>
              </w:rPr>
            </w:pP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188,827</w:t>
            </w:r>
          </w:p>
        </w:tc>
      </w:tr>
      <w:tr>
        <w:trPr>
          <w:trHeight w:val="23"/>
        </w:trPr>
        <w:tc>
          <w:tcPr>
            <w:tcW w:w="5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2021</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r>
      <w:tr>
        <w:trPr>
          <w:trHeight w:val="213"/>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34,993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34,993</w:t>
            </w: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r>
      <w:tr>
        <w:trPr>
          <w:trHeight w:val="213"/>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r>
      <w:tr>
        <w:trPr>
          <w:trHeight w:val="230"/>
        </w:trPr>
        <w:tc>
          <w:tcPr>
            <w:tcW w:w="5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268,579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ind w:left="40"/>
              <w:spacing w:after="0"/>
              <w:rPr>
                <w:sz w:val="20"/>
                <w:szCs w:val="20"/>
                <w:color w:val="auto"/>
              </w:rPr>
            </w:pPr>
            <w:r>
              <w:rPr>
                <w:rFonts w:ascii="Arial" w:cs="Arial" w:eastAsia="Arial" w:hAnsi="Arial"/>
                <w:sz w:val="16"/>
                <w:szCs w:val="16"/>
                <w:b w:val="1"/>
                <w:bCs w:val="1"/>
                <w:color w:val="auto"/>
              </w:rPr>
              <w:t>March 31, 2022</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26,092</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17,763</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2,341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7,180</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w:t>
            </w:r>
          </w:p>
        </w:tc>
        <w:tc>
          <w:tcPr>
            <w:tcW w:w="16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2,496</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30,929</w:t>
            </w:r>
          </w:p>
        </w:tc>
        <w:tc>
          <w:tcPr>
            <w:tcW w:w="10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26,844</w:t>
            </w:r>
          </w:p>
        </w:tc>
      </w:tr>
      <w:tr>
        <w:trPr>
          <w:trHeight w:val="20"/>
        </w:trPr>
        <w:tc>
          <w:tcPr>
            <w:tcW w:w="8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39"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other non-current assets on the accompanying condensed consolidated balance sheets as of March 31, 2022 and December 31, 2021. This lease qualifies as an operating lease.</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4" w:name="page15"/>
    <w:bookmarkEnd w:id="14"/>
    <w:p>
      <w:pPr>
        <w:ind w:right="7960" w:firstLine="8"/>
        <w:spacing w:after="0" w:line="388" w:lineRule="auto"/>
        <w:tabs>
          <w:tab w:leader="none" w:pos="2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As of March 31, 2022 and December 31, 2021, the authorized capital stock of the Company included 150,000,000 shares of common stock, $0.0001 par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2022 and December 31, 2021, the Company did not hold any treasury shares.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380"/>
              <w:spacing w:after="0"/>
              <w:rPr>
                <w:sz w:val="20"/>
                <w:szCs w:val="20"/>
                <w:color w:val="auto"/>
              </w:rPr>
            </w:pPr>
            <w:r>
              <w:rPr>
                <w:rFonts w:ascii="Arial" w:cs="Arial" w:eastAsia="Arial" w:hAnsi="Arial"/>
                <w:sz w:val="16"/>
                <w:szCs w:val="16"/>
                <w:b w:val="1"/>
                <w:bCs w:val="1"/>
                <w:color w:val="auto"/>
              </w:rPr>
              <w:t>March 31,</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7,862,576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3,014,484</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2,667,780</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981,306</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654,204</w:t>
            </w:r>
          </w:p>
        </w:tc>
      </w:tr>
      <w:tr>
        <w:trPr>
          <w:trHeight w:val="213"/>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840,277</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440,079</w:t>
            </w:r>
          </w:p>
        </w:tc>
      </w:tr>
      <w:tr>
        <w:trPr>
          <w:trHeight w:val="23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12,698,643</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10,230,564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9" w:lineRule="exact"/>
        <w:rPr>
          <w:sz w:val="20"/>
          <w:szCs w:val="20"/>
          <w:color w:val="auto"/>
        </w:rPr>
      </w:pPr>
    </w:p>
    <w:p>
      <w:pPr>
        <w:ind w:right="1040" w:firstLine="445"/>
        <w:spacing w:after="0" w:line="261" w:lineRule="auto"/>
        <w:rPr>
          <w:sz w:val="20"/>
          <w:szCs w:val="20"/>
          <w:color w:val="auto"/>
        </w:rPr>
      </w:pPr>
      <w:r>
        <w:rPr>
          <w:rFonts w:ascii="Arial" w:cs="Arial" w:eastAsia="Arial" w:hAnsi="Arial"/>
          <w:sz w:val="18"/>
          <w:szCs w:val="18"/>
          <w:color w:val="auto"/>
        </w:rPr>
        <w:t>As of March 31, 2022 and December 31, 2021, the authorized capital stock of the Company included 10,000,000 shares of undesignated preferred stock, $0.0001 par value.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39"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March 31, 2022 and December 31, 2021 was 7,449,480 shares and 5,184,455 shares,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39"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March 31, 2022 and December 31, 2021 was 5,937,763 shares. Any authorization to issue new options under the 2017 Plan was cancelled upon the effectiveness of the 2020 Plan and no further awards will be granted under the 2017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39" w:lineRule="exact"/>
        <w:rPr>
          <w:sz w:val="20"/>
          <w:szCs w:val="20"/>
          <w:color w:val="auto"/>
        </w:rPr>
      </w:pPr>
    </w:p>
    <w:p>
      <w:pPr>
        <w:ind w:right="620" w:firstLine="445"/>
        <w:spacing w:after="0" w:line="261"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March 31, 2022 and December 31, 2021 was 981,306 shares and 654,204 shares,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5"/>
        </w:trPr>
        <w:tc>
          <w:tcPr>
            <w:tcW w:w="80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440,079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520,328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17.33</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(81,130)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51.78</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(39,000)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23.43</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March 31,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840,277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5" w:name="page16"/>
    <w:bookmarkEnd w:id="15"/>
    <w:p>
      <w:pPr>
        <w:ind w:right="520" w:firstLine="445"/>
        <w:spacing w:after="0" w:line="261" w:lineRule="auto"/>
        <w:rPr>
          <w:sz w:val="20"/>
          <w:szCs w:val="20"/>
          <w:color w:val="auto"/>
        </w:rPr>
      </w:pPr>
      <w:r>
        <w:rPr>
          <w:rFonts w:ascii="Arial" w:cs="Arial" w:eastAsia="Arial" w:hAnsi="Arial"/>
          <w:sz w:val="18"/>
          <w:szCs w:val="18"/>
          <w:color w:val="auto"/>
        </w:rPr>
        <w:t>As of March 31, 2022, total unrecognized compensation cost related to unvested restricted stock units was $20.9 million, which is expected to be recognized over a weighted-average period of 3.32 years.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10"/>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1,631,898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17.63</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4.56</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739</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(165,545)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21.50</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March 31,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7,862,576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14,030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March 31,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2,496,400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13.35</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8.03</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8,116</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March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7,862,576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8.68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14,030</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March 31, 2022.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estimated fair value of the Company’s common stock on the exercise date.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135" w:lineRule="exact"/>
        <w:rPr>
          <w:sz w:val="20"/>
          <w:szCs w:val="20"/>
          <w:color w:val="auto"/>
        </w:rPr>
      </w:pPr>
    </w:p>
    <w:p>
      <w:pPr>
        <w:jc w:val="both"/>
        <w:ind w:right="140" w:firstLine="445"/>
        <w:spacing w:after="0" w:line="256"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months ended March 31,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tcPr>
          <w:p>
            <w:pPr>
              <w:jc w:val="center"/>
              <w:ind w:right="179"/>
              <w:spacing w:after="0"/>
              <w:rPr>
                <w:sz w:val="20"/>
                <w:szCs w:val="20"/>
                <w:color w:val="auto"/>
              </w:rPr>
            </w:pPr>
            <w:r>
              <w:rPr>
                <w:rFonts w:ascii="Arial" w:cs="Arial" w:eastAsia="Arial" w:hAnsi="Arial"/>
                <w:sz w:val="16"/>
                <w:szCs w:val="16"/>
                <w:b w:val="1"/>
                <w:bCs w:val="1"/>
                <w:color w:val="auto"/>
              </w:rPr>
              <w:t>Three Months Ended</w:t>
            </w:r>
          </w:p>
        </w:tc>
      </w:tr>
      <w:tr>
        <w:trPr>
          <w:trHeight w:val="215"/>
        </w:trPr>
        <w:tc>
          <w:tcPr>
            <w:tcW w:w="8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March 31,</w:t>
            </w:r>
          </w:p>
        </w:tc>
      </w:tr>
      <w:tr>
        <w:trPr>
          <w:trHeight w:val="209"/>
        </w:trPr>
        <w:tc>
          <w:tcPr>
            <w:tcW w:w="8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tcPr>
          <w:p>
            <w:pPr>
              <w:jc w:val="center"/>
              <w:ind w:right="119"/>
              <w:spacing w:after="0"/>
              <w:rPr>
                <w:sz w:val="20"/>
                <w:szCs w:val="20"/>
                <w:color w:val="auto"/>
              </w:rPr>
            </w:pPr>
            <w:r>
              <w:rPr>
                <w:rFonts w:ascii="Arial" w:cs="Arial" w:eastAsia="Arial" w:hAnsi="Arial"/>
                <w:sz w:val="16"/>
                <w:szCs w:val="16"/>
                <w:b w:val="1"/>
                <w:bCs w:val="1"/>
                <w:color w:val="auto"/>
              </w:rPr>
              <w:t>2022</w:t>
            </w:r>
          </w:p>
        </w:tc>
      </w:tr>
      <w:tr>
        <w:trPr>
          <w:trHeight w:val="217"/>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22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1.61 %</w:t>
            </w:r>
          </w:p>
        </w:tc>
      </w:tr>
      <w:tr>
        <w:trPr>
          <w:trHeight w:val="213"/>
        </w:trPr>
        <w:tc>
          <w:tcPr>
            <w:tcW w:w="894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6.15</w:t>
            </w:r>
          </w:p>
        </w:tc>
      </w:tr>
      <w:tr>
        <w:trPr>
          <w:trHeight w:val="21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220" w:type="dxa"/>
            <w:vAlign w:val="bottom"/>
            <w:shd w:val="clear" w:color="auto" w:fill="CCEEFF"/>
          </w:tcPr>
          <w:p>
            <w:pPr>
              <w:spacing w:after="0"/>
              <w:rPr>
                <w:sz w:val="19"/>
                <w:szCs w:val="19"/>
                <w:color w:val="auto"/>
              </w:rPr>
            </w:pPr>
          </w:p>
        </w:tc>
        <w:tc>
          <w:tcPr>
            <w:tcW w:w="2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90.36 %</w:t>
            </w:r>
          </w:p>
        </w:tc>
      </w:tr>
      <w:tr>
        <w:trPr>
          <w:trHeight w:val="213"/>
        </w:trPr>
        <w:tc>
          <w:tcPr>
            <w:tcW w:w="894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220" w:type="dxa"/>
            <w:vAlign w:val="bottom"/>
          </w:tcPr>
          <w:p>
            <w:pPr>
              <w:spacing w:after="0"/>
              <w:rPr>
                <w:sz w:val="18"/>
                <w:szCs w:val="18"/>
                <w:color w:val="auto"/>
              </w:rPr>
            </w:pPr>
          </w:p>
        </w:tc>
        <w:tc>
          <w:tcPr>
            <w:tcW w:w="20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8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0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13.20</w:t>
            </w:r>
          </w:p>
        </w:tc>
      </w:tr>
    </w:tbl>
    <w:p>
      <w:pPr>
        <w:spacing w:after="0" w:line="310"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As of March 31, 2022, total unrecognized compensation cost related to unvested stock options was $70.0 million, which is expected to be recognized over a weighted-average period of 2.76 years.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25"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2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2,318</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0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2,348</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102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7,886</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4,666</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9. Net Loss per Share</w:t>
      </w:r>
    </w:p>
    <w:p>
      <w:pPr>
        <w:spacing w:after="0" w:line="247"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The following potential shares of common stock, presented based on amounts outstanding at each period end, were excluded from the calculation of diluted net loss per share for the periods indicated because including them would have been anti-dilutive:</w:t>
      </w:r>
    </w:p>
    <w:p>
      <w:pPr>
        <w:spacing w:after="0" w:line="98" w:lineRule="exact"/>
        <w:rPr>
          <w:sz w:val="20"/>
          <w:szCs w:val="20"/>
          <w:color w:val="auto"/>
        </w:rPr>
      </w:pPr>
    </w:p>
    <w:p>
      <w:pPr>
        <w:jc w:val="center"/>
        <w:ind w:left="8080"/>
        <w:spacing w:after="0"/>
        <w:rPr>
          <w:sz w:val="20"/>
          <w:szCs w:val="20"/>
          <w:color w:val="auto"/>
        </w:rPr>
      </w:pPr>
      <w:r>
        <w:rPr>
          <w:rFonts w:ascii="Arial" w:cs="Arial" w:eastAsia="Arial" w:hAnsi="Arial"/>
          <w:sz w:val="16"/>
          <w:szCs w:val="16"/>
          <w:b w:val="1"/>
          <w:bCs w:val="1"/>
          <w:color w:val="auto"/>
        </w:rPr>
        <w:t>Three Months Ended</w:t>
      </w:r>
    </w:p>
    <w:p>
      <w:pPr>
        <w:jc w:val="center"/>
        <w:ind w:left="8080"/>
        <w:spacing w:after="0"/>
        <w:rPr>
          <w:sz w:val="20"/>
          <w:szCs w:val="20"/>
          <w:color w:val="auto"/>
        </w:rPr>
      </w:pPr>
      <w:r>
        <w:rPr>
          <w:rFonts w:ascii="Arial" w:cs="Arial" w:eastAsia="Arial" w:hAnsi="Arial"/>
          <w:sz w:val="16"/>
          <w:szCs w:val="16"/>
          <w:b w:val="1"/>
          <w:bCs w:val="1"/>
          <w:color w:val="auto"/>
        </w:rPr>
        <w:t>March 31,</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100" w:type="dxa"/>
            <w:vAlign w:val="bottom"/>
            <w:tcBorders>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7,862,576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6,648,367</w:t>
            </w:r>
          </w:p>
        </w:tc>
      </w:tr>
      <w:tr>
        <w:trPr>
          <w:trHeight w:val="213"/>
        </w:trPr>
        <w:tc>
          <w:tcPr>
            <w:tcW w:w="810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840,277</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328,363</w:t>
            </w:r>
          </w:p>
        </w:tc>
      </w:tr>
      <w:tr>
        <w:trPr>
          <w:trHeight w:val="216"/>
        </w:trPr>
        <w:tc>
          <w:tcPr>
            <w:tcW w:w="8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30,341</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8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8,733,194</w:t>
            </w:r>
          </w:p>
        </w:tc>
        <w:tc>
          <w:tcPr>
            <w:tcW w:w="100" w:type="dxa"/>
            <w:vAlign w:val="bottom"/>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6,976,730</w:t>
            </w:r>
          </w:p>
        </w:tc>
      </w:tr>
      <w:tr>
        <w:trPr>
          <w:trHeight w:val="24"/>
        </w:trPr>
        <w:tc>
          <w:tcPr>
            <w:tcW w:w="8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 As of March 31, 2022, the Company had accrued expenses of $0.3 million due to RogCon under the License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139"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February 28, 2022.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2021 and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We are a clinical-stage biopharmaceutical company translating genetic insights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disease. We are applying insights from genetic epilepsies to both rare and more prevalent neurological and psychiatric disorders, using our understanding of shared biological targets and circuits in the brain.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CNS portfolio with multiple programs, including product candidates across psychiatric disorders, movement disorders and epilepsy, with three clinical-stage product candidates. Each of our clinical-stage product candidates is advancing in more than one indication and we anticipate expansion into additional indications. We expect multiple topline readouts from our clinical-stage programs and anticipate the launch of two additional clinical development programs this year. In addition, we have established a robust pipeline of preclinical stage programs through internal research and in-licensing.</w:t>
      </w:r>
    </w:p>
    <w:p>
      <w:pPr>
        <w:spacing w:after="0" w:line="238"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Our broad portfolio of CNS programs is currently structured by therapeutic focus in three franchises – Psychiatry, Movement Disorders and Epilepsy. Within our Psychiatry franchise, our most advanced clinical candidate, PRAX-114, is being developed for the treatment of a broad range of patients suffering from major depressive disorder, or MDD, and post-traumatic stress disorder, or PTSD. We have completed the Aria Study, a Phase 2/3, placebo-controlled study evaluating PRAX-114 for monotherapy treatment of MDD, and expect to report topline results in June 2022. Following topline results from the Aria Study, we intend to engage with the U.S. Food and Drug Administration, or FDA, for an end-of-Phase 2 meeting and subsequently initiate a Phase 3, placebo-controlled study in the fourth quarter of 2022. We also expect to report topline results from the Acapella Study, a Phase 2, placebo-controlled, dose-ranging study evaluating PRAX-114 for treatment of MDD, in the third quarter of 2022. In addition, we expect to report topline results from a Phase 2, placebo-controlled study evaluating PRAX-114 for the treatment of PTSD in the second half of 2022.</w:t>
      </w:r>
    </w:p>
    <w:p>
      <w:pPr>
        <w:spacing w:after="0" w:line="2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Within our Movement Disorders franchise, our second clinical candidate, PRAX-944, is being developed for the treatment of Essential Tremor, or ET, and Parkinson's Disease, or PD. In May 2022, we reported positive topline results from the second cohort of our Phase 2a trial evaluating PRAX-944 for the treatment of ET. We expect to report topline results from the Phase 2b placebo-controlled Essential1 Study for daytime treatment of ET in the second half of 2022. Following the topline results from the second cohort, Part B, of the Phase 2a study of PRAX-944 for the treatment of ET, we intend to change the primary endpoint of the Essential1 Study from safety to efficacy. We also initiated a Phase 2, placebo-controlled, crossover study to evaluate the safety, pharmacokinetics, or PK, and efficacy of daytime dosing of PRAX-114 for the treatment of ET in the first quarter of 2022 and expect to report topline results in the second half of 2022. In addition, the FDA cleared the Investigational New Drug, or IND, submission for a Phase 2 study of PRAX-944 for the treatment of PD. We intend to initiate a Phase 2, placebo-controlled trial to evaluate the safety, PK and efficacy of PRAX-944 as a non-dopaminergic treatment for the motor symptoms of PD in the second half of 2022.</w:t>
      </w:r>
    </w:p>
    <w:p>
      <w:pPr>
        <w:spacing w:after="0" w:line="238"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Within our Epilepsy franchise, we expect to initiate a Phase 2, placebo-controlled study with our third clinical -stage candidate, PRAX-562, in the second half of 2022 for the treatment of rare pediatric Developmental and Epileptic Encephalopathies. Our most advanced preclinical stage product candidate within our Epilepsy franchise,</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PRAX-222, is an antisense oligonucleotide, or ASO, designed to decrease the expression levels of the protein encoded by the gene SCN2A</w:t>
      </w:r>
    </w:p>
    <w:p>
      <w:pPr>
        <w:spacing w:after="0" w:line="5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patients with gain-of-function SCN2A mutations. In April 2022, we announced that we received an email communication from the FDA that our IND application for the first-in-patient study of PRAX-222 was place on clinical hold. The letter detailing the reasons for the hold is expected to be received from the FDA within 30 days of April 28, 2022. We expect to initiate a Phase 1 study with our preclinical candidate, PRAX-628, in the fourth quarter of 2022 and subsequently initiate a Phase 2 study in focal epilepsy in 2023. Our preclinical pipeline also consists of discovery programs in development for KCNT1 related epilepsy, three ASOs targeting SCN2A in patients with loss-of-function mutations, PCDH19 and SYNGAP1, respectively, and three additional discovery programs for undisclosed targets in psychiatry, movement disorders and epilepsy. We plan to declare ASO candidates for PRAX-080 for PCDH19 and PRAX-090 for SYNGAP1 in 2023.</w:t>
      </w:r>
    </w:p>
    <w:p>
      <w:pPr>
        <w:spacing w:after="0" w:line="207" w:lineRule="exact"/>
        <w:rPr>
          <w:sz w:val="20"/>
          <w:szCs w:val="20"/>
          <w:color w:val="auto"/>
        </w:rPr>
      </w:pPr>
    </w:p>
    <w:p>
      <w:pPr>
        <w:ind w:right="80" w:firstLine="405"/>
        <w:spacing w:after="0" w:line="253"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and contract research organizations, or CROs, to conduct our preclinical and clinical activities. Since inception, we have financed our operations primarily with proceeds from the sale and issuance of equity securities.</w:t>
      </w:r>
    </w:p>
    <w:p>
      <w:pPr>
        <w:spacing w:after="0" w:line="205"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$68.7 million for the three months ended March 31, 2022. As of March 31, 2022, we had an accumulated deficit of $385.3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58"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our lead product candidates, PRAX-114 and PRAX-944, to late stage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our PRAX-562 product candidate to Phase 2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our PRAX-222 product candidate to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take temporary precautionary measures to help minimize the risk of COVID-19 to our employees;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increase our headcount to support our development efforts and to expand our clinical development team.</w:t>
      </w:r>
    </w:p>
    <w:p>
      <w:pPr>
        <w:spacing w:after="0" w:line="225" w:lineRule="exact"/>
        <w:rPr>
          <w:sz w:val="20"/>
          <w:szCs w:val="20"/>
          <w:color w:val="auto"/>
        </w:rPr>
      </w:pPr>
    </w:p>
    <w:p>
      <w:pPr>
        <w:ind w:right="620" w:firstLine="445"/>
        <w:spacing w:after="0" w:line="261" w:lineRule="auto"/>
        <w:rPr>
          <w:sz w:val="20"/>
          <w:szCs w:val="20"/>
          <w:color w:val="auto"/>
        </w:rPr>
      </w:pPr>
      <w:r>
        <w:rPr>
          <w:rFonts w:ascii="Arial" w:cs="Arial" w:eastAsia="Arial" w:hAnsi="Arial"/>
          <w:sz w:val="18"/>
          <w:szCs w:val="18"/>
          <w:color w:val="auto"/>
        </w:rPr>
        <w:t>In addition, as we progress toward potential marketing approval for any of our product candidates, we expect to incur significant commercialization expenses related to product manufacturing, marketing, sales and distribution.</w:t>
      </w:r>
    </w:p>
    <w:p>
      <w:pPr>
        <w:spacing w:after="0" w:line="19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 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9" w:name="page20"/>
    <w:bookmarkEnd w:id="19"/>
    <w:p>
      <w:pPr>
        <w:ind w:right="20" w:firstLine="445"/>
        <w:spacing w:after="0" w:line="254"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04"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As of March 31, 2022, we had cash, cash equivalents and marketable securities of $222.5 million. We believe that our existing cash, cash equivalents and marketable securities will enable us to fund our operating expenses and capital expenditures into the third quarter of 2023. We have based this estimate on assumptions that may prove to be wrong, and we could exhaust our available capital resources sooner than we expect. See “—Liquidity and Capital Resources.”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light of the ongoing COVID-19 pandemic, we continue to experience some disruptions and increased risk in our operations and those third parties upon whom we rely. These include disruptions and risks related to the conduct of our clinical trials and preclinical studies as policies at various clinical sites and federal, state, local and foreign laws, rules and regulations continue to evolve, including quarantines, travel restrictions and redirection of healthcare resources toward pandemic response efforts. The COVID-19 pandemic has impacted the enrollment of some of our ongoing clinical trials, including slower patient enrollment and treatment in some of our clinical studies, the impact of which has varied by clinical study and program, but none of which have significantly impacted our overall clinical trial timelines. While we have experienced limited financial impacts to date, given the global economic slowdown, the overall disruption of global healthcare systems and the other risks and uncertainties associated with the pandemic such as increased inflation,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for several years, if at all. If our development efforts for our current or future product candidates are successful and result in marketing approval or collaboration or license agreements with third parties, we may generate revenue in the future from a combination of product sales or payments from such collaboration or license agreements.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to develop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costs above comprise the following categories:</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60" w:hanging="328"/>
        <w:spacing w:after="0" w:line="261"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0" w:name="page21"/>
    <w:bookmarkEnd w:id="20"/>
    <w:p>
      <w:pPr>
        <w:ind w:left="660" w:right="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143" w:lineRule="exact"/>
        <w:rPr>
          <w:rFonts w:ascii="Arial" w:cs="Arial" w:eastAsia="Arial" w:hAnsi="Arial"/>
          <w:sz w:val="18"/>
          <w:szCs w:val="18"/>
          <w:color w:val="auto"/>
        </w:rPr>
      </w:pPr>
    </w:p>
    <w:p>
      <w:pPr>
        <w:ind w:left="660" w:right="2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insurance and other operating costs, incurred as a result of our research and development activities.</w:t>
      </w:r>
    </w:p>
    <w:p>
      <w:pPr>
        <w:spacing w:after="0" w:line="198"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20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We track direct external research and development expenses to specific franchises and product candidates upon commencement. Due to the number of ongoing studies and our ability to use resources across several projects, indirect or shared operating costs incurred for our research and development franchises, such as personnel, facility costs and certain consulting costs, are not recorded or maintained on a franchise-specific basis.</w:t>
      </w:r>
    </w:p>
    <w:p>
      <w:pPr>
        <w:spacing w:after="0" w:line="205" w:lineRule="exact"/>
        <w:rPr>
          <w:sz w:val="20"/>
          <w:szCs w:val="20"/>
          <w:color w:val="auto"/>
        </w:rPr>
      </w:pPr>
    </w:p>
    <w:p>
      <w:pPr>
        <w:jc w:val="both"/>
        <w:ind w:right="320" w:firstLine="445"/>
        <w:spacing w:after="0" w:line="256"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major franchise and other exploratory CNS indications and indirect or shared operating costs recognized as research and development expenses during each period presented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3180" w:type="dxa"/>
            <w:vAlign w:val="bottom"/>
            <w:tcBorders>
              <w:bottom w:val="single" w:sz="8" w:color="auto"/>
            </w:tcBorders>
            <w:gridSpan w:val="5"/>
          </w:tcPr>
          <w:p>
            <w:pPr>
              <w:jc w:val="right"/>
              <w:ind w:right="299"/>
              <w:spacing w:after="0"/>
              <w:rPr>
                <w:sz w:val="20"/>
                <w:szCs w:val="20"/>
                <w:color w:val="auto"/>
              </w:rPr>
            </w:pPr>
            <w:r>
              <w:rPr>
                <w:rFonts w:ascii="Arial" w:cs="Arial" w:eastAsia="Arial" w:hAnsi="Arial"/>
                <w:sz w:val="16"/>
                <w:szCs w:val="16"/>
                <w:b w:val="1"/>
                <w:bCs w:val="1"/>
                <w:color w:val="auto"/>
              </w:rPr>
              <w:t>Three Months Ended March 31,</w:t>
            </w:r>
          </w:p>
        </w:tc>
      </w:tr>
      <w:tr>
        <w:trPr>
          <w:trHeight w:val="212"/>
        </w:trPr>
        <w:tc>
          <w:tcPr>
            <w:tcW w:w="80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Epilepsy</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4,926</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6,505</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17,929</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that our research and development expenses will continue to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205" w:lineRule="exact"/>
        <w:rPr>
          <w:sz w:val="20"/>
          <w:szCs w:val="20"/>
          <w:color w:val="auto"/>
        </w:rPr>
      </w:pPr>
    </w:p>
    <w:p>
      <w:pPr>
        <w:ind w:right="120" w:firstLine="445"/>
        <w:spacing w:after="0" w:line="254"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5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sectPr>
      </w:pPr>
    </w:p>
    <w:bookmarkStart w:id="21" w:name="page22"/>
    <w:bookmarkEnd w:id="21"/>
    <w:p>
      <w:pPr>
        <w:ind w:left="660" w:right="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U.S. Food and Drug Administration, or FDA, or any comparable foreign regulatory authority;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14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14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continued acceptable safety profiles of the product candidates following approval.</w:t>
      </w:r>
    </w:p>
    <w:p>
      <w:pPr>
        <w:spacing w:after="0" w:line="225"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5"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These costs relate to the operation of the business, unrelated to the research and development function, or any individual franchises or product candidate. Costs to secure and defend our IP are expensed as incurred and are classified as general and administrative expenses.</w:t>
      </w:r>
    </w:p>
    <w:p>
      <w:pPr>
        <w:spacing w:after="0" w:line="207"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We anticipate that our general and administrative expenses will increase in the future as we increase our headcount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35" w:lineRule="exact"/>
        <w:rPr>
          <w:sz w:val="20"/>
          <w:szCs w:val="20"/>
          <w:color w:val="auto"/>
        </w:rPr>
      </w:pPr>
    </w:p>
    <w:p>
      <w:pPr>
        <w:ind w:right="900" w:firstLine="445"/>
        <w:spacing w:after="0" w:line="261"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 income tax benefit (provision) for the three months ended March 31, 2022 and 2021 was not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March 31, 2022 and 2021</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2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March 31,</w:t>
            </w:r>
          </w:p>
        </w:tc>
        <w:tc>
          <w:tcPr>
            <w:tcW w:w="30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64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52,652</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17,929</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34,723</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16,197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6,707</w:t>
            </w:r>
          </w:p>
        </w:tc>
      </w:tr>
      <w:tr>
        <w:trPr>
          <w:trHeight w:val="209"/>
        </w:trPr>
        <w:tc>
          <w:tcPr>
            <w:tcW w:w="64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68,849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27,419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41,430</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(41,430)</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Total other income:</w:t>
            </w: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net</w:t>
            </w:r>
          </w:p>
        </w:tc>
        <w:tc>
          <w:tcPr>
            <w:tcW w:w="26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w:t>
            </w:r>
          </w:p>
        </w:tc>
      </w:tr>
      <w:tr>
        <w:trPr>
          <w:trHeight w:val="209"/>
        </w:trPr>
        <w:tc>
          <w:tcPr>
            <w:tcW w:w="64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w:t>
            </w: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(68,717)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(27,373)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(41,344)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5"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0" w:type="dxa"/>
            <w:vAlign w:val="bottom"/>
          </w:tcPr>
          <w:p>
            <w:pPr>
              <w:spacing w:after="0"/>
              <w:rPr>
                <w:sz w:val="18"/>
                <w:szCs w:val="18"/>
                <w:color w:val="auto"/>
              </w:rPr>
            </w:pPr>
          </w:p>
        </w:tc>
        <w:tc>
          <w:tcPr>
            <w:tcW w:w="3280" w:type="dxa"/>
            <w:vAlign w:val="bottom"/>
            <w:gridSpan w:val="6"/>
          </w:tcPr>
          <w:p>
            <w:pPr>
              <w:ind w:left="400"/>
              <w:spacing w:after="0"/>
              <w:rPr>
                <w:sz w:val="20"/>
                <w:szCs w:val="20"/>
                <w:color w:val="auto"/>
              </w:rPr>
            </w:pPr>
            <w:r>
              <w:rPr>
                <w:rFonts w:ascii="Arial" w:cs="Arial" w:eastAsia="Arial" w:hAnsi="Arial"/>
                <w:sz w:val="16"/>
                <w:szCs w:val="16"/>
                <w:b w:val="1"/>
                <w:bCs w:val="1"/>
                <w:color w:val="auto"/>
              </w:rPr>
              <w:t>Three Months Ended March 31,</w:t>
            </w:r>
          </w:p>
        </w:tc>
        <w:tc>
          <w:tcPr>
            <w:tcW w:w="30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64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14,438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11,237</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Epilepsy</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14,264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4,926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9,338</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9,104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7,527</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2,191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1,528</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11,141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4,636</w:t>
            </w:r>
          </w:p>
        </w:tc>
      </w:tr>
      <w:tr>
        <w:trPr>
          <w:trHeight w:val="21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1,514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457</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52,652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34,723</w:t>
            </w:r>
          </w:p>
        </w:tc>
      </w:tr>
    </w:tbl>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$34.7 million increase in research and development expenses was primarily attributable to the following:</w:t>
      </w:r>
    </w:p>
    <w:p>
      <w:pPr>
        <w:spacing w:after="0" w:line="171" w:lineRule="exact"/>
        <w:rPr>
          <w:sz w:val="20"/>
          <w:szCs w:val="20"/>
          <w:color w:val="auto"/>
        </w:rPr>
      </w:pPr>
    </w:p>
    <w:p>
      <w:pPr>
        <w:ind w:left="660" w:right="140" w:hanging="328"/>
        <w:spacing w:after="0" w:line="256"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$11.2 million increase in expense related to our psychiatry franchise, driven primarily by an increase in clinical-related spend for our PRAX-114 Phase 2/3 Aria and Acapella clinical trials which were initiated in the first quarter and second quarter of 2021, respectively;</w:t>
      </w:r>
    </w:p>
    <w:p>
      <w:pPr>
        <w:spacing w:after="0" w:line="147" w:lineRule="exact"/>
        <w:rPr>
          <w:rFonts w:ascii="Arial" w:cs="Arial" w:eastAsia="Arial" w:hAnsi="Arial"/>
          <w:sz w:val="18"/>
          <w:szCs w:val="18"/>
          <w:color w:val="auto"/>
        </w:rPr>
      </w:pPr>
    </w:p>
    <w:p>
      <w:pPr>
        <w:ind w:left="660" w:right="20" w:hanging="328"/>
        <w:spacing w:after="0" w:line="253"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$9.3 million increase in expense related to our epilepsy franchise, driven primarily by an increase in clinical-related spend to support the initiation of our PRAX-562 Phase 2 developmental epileptic encephalopathies clinical trial and our anticipated PRAX-222 seamless clinical trial, an increase in clinical-related spend for our PRAX-562 Phase 1 clinical trial, an increase in preclinical activities for our earlier stage assets, and the payment of a $2.0 million license fee to Ionis Pharmaceuticals, Inc. in January of 2022 upon exercise of our exclusive option to obtain the rights and license to further develop and commercialize PRAX-222;</w:t>
      </w:r>
    </w:p>
    <w:p>
      <w:pPr>
        <w:spacing w:after="0" w:line="151"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$7.5 million increase in expense related to our movement disorders franchise, driven primarily by an increase in clinical-related spend for our PRAX-944 Phase 2 Essential1 clinical trial;</w:t>
      </w:r>
    </w:p>
    <w:p>
      <w:pPr>
        <w:sectPr>
          <w:pgSz w:w="11900" w:h="16838" w:orient="portrait"/>
          <w:cols w:equalWidth="0" w:num="1">
            <w:col w:w="11240"/>
          </w:cols>
          <w:pgMar w:left="320" w:top="1210"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type w:val="continuous"/>
        </w:sectPr>
      </w:pPr>
    </w:p>
    <w:bookmarkStart w:id="23" w:name="page24"/>
    <w:bookmarkEnd w:id="23"/>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$4.6 million increase in personnel-related costs due to increased headcount;</w:t>
      </w:r>
    </w:p>
    <w:p>
      <w:pPr>
        <w:spacing w:after="0" w:line="171" w:lineRule="exact"/>
        <w:rPr>
          <w:rFonts w:ascii="Arial" w:cs="Arial" w:eastAsia="Arial" w:hAnsi="Arial"/>
          <w:sz w:val="18"/>
          <w:szCs w:val="18"/>
          <w:color w:val="auto"/>
        </w:rPr>
      </w:pPr>
    </w:p>
    <w:p>
      <w:pPr>
        <w:jc w:val="both"/>
        <w:ind w:left="660" w:right="10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 million increase in other exploratory CNS indications, driven primarily by clinical-related expenses for a planned Phase 2 trial in rare adult cephalgias which we have determined not to pursue, as well as increased preclinical activities for our earlier stage assets; and</w:t>
      </w:r>
    </w:p>
    <w:p>
      <w:pPr>
        <w:spacing w:after="0" w:line="147"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$0.5 million increase in other indirect research and development expenses, driven primarily by an increase in technology spend and related consulting costs to support our expanding operations.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$6.7 million increase in general and administrative expenses was primarily attributable to the following:</w:t>
      </w:r>
    </w:p>
    <w:p>
      <w:pPr>
        <w:spacing w:after="0" w:line="171" w:lineRule="exact"/>
        <w:rPr>
          <w:sz w:val="20"/>
          <w:szCs w:val="20"/>
          <w:color w:val="auto"/>
        </w:rPr>
      </w:pPr>
    </w:p>
    <w:p>
      <w:pPr>
        <w:ind w:left="660" w:right="42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$5.0 million increase in personnel-related costs, driven primarily by increased headcount, including an increase of $2.4 million in stock-based compensation expense;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$1.7 million increase in other general and administrative expenses, none of which were individually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35"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Other income for the three months ended March 31, 2022 and 2021 was comprised of interest income on our cash, cash equivalents and marketable securities and investment premium and discount amortization.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9" w:lineRule="exact"/>
        <w:rPr>
          <w:sz w:val="20"/>
          <w:szCs w:val="20"/>
          <w:color w:val="auto"/>
        </w:rPr>
      </w:pPr>
    </w:p>
    <w:p>
      <w:pPr>
        <w:jc w:val="both"/>
        <w:ind w:right="20" w:firstLine="445"/>
        <w:spacing w:after="0" w:line="256"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94" w:lineRule="exact"/>
        <w:rPr>
          <w:sz w:val="20"/>
          <w:szCs w:val="20"/>
          <w:color w:val="auto"/>
        </w:rPr>
      </w:pPr>
    </w:p>
    <w:p>
      <w:pPr>
        <w:ind w:right="440" w:firstLine="445"/>
        <w:spacing w:after="0" w:line="256" w:lineRule="auto"/>
        <w:rPr>
          <w:sz w:val="20"/>
          <w:szCs w:val="20"/>
          <w:color w:val="auto"/>
        </w:rPr>
      </w:pPr>
      <w:r>
        <w:rPr>
          <w:rFonts w:ascii="Arial" w:cs="Arial" w:eastAsia="Arial" w:hAnsi="Arial"/>
          <w:sz w:val="18"/>
          <w:szCs w:val="18"/>
          <w:color w:val="auto"/>
        </w:rPr>
        <w:t>To date, we have financed our operations primarily with proceeds from the sale and issuance of equity securities. From inception through March 31, 2022, we have raised $517.8 million in aggregate cash proceeds from such transactions, net of issuance costs. As of March 31, 2022, we had cash, cash equivalents and marketable securities of $222.5 million.</w:t>
      </w:r>
    </w:p>
    <w:p>
      <w:pPr>
        <w:spacing w:after="0" w:line="94"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On November 3, 2021, we entered into an Open Market Sale Agreement, or the sales agreement, with Jefferies LLC, or Jefferies, to provide for the offering, issuance and sale of up to an aggregate amount of $125.0 million of common stock from time to time in at-the-market offerings for which Jefferies acts as sales agent. During the three months ended March 31, 2022, we issued and sold 70,410 shares under the sales agreement for aggregate net proceeds of $1.4 million. We have issued and sold a total of 462,407 shares under the sales agreement for aggregate net proceeds of $8.4 million after deducting commissions and offering expenses payable by us.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20" w:type="dxa"/>
            <w:vAlign w:val="bottom"/>
            <w:tcBorders>
              <w:bottom w:val="single" w:sz="8" w:color="auto"/>
            </w:tcBorders>
            <w:gridSpan w:val="4"/>
          </w:tcPr>
          <w:p>
            <w:pPr>
              <w:jc w:val="right"/>
              <w:ind w:right="299"/>
              <w:spacing w:after="0"/>
              <w:rPr>
                <w:sz w:val="20"/>
                <w:szCs w:val="20"/>
                <w:color w:val="auto"/>
              </w:rPr>
            </w:pPr>
            <w:r>
              <w:rPr>
                <w:rFonts w:ascii="Arial" w:cs="Arial" w:eastAsia="Arial" w:hAnsi="Arial"/>
                <w:sz w:val="16"/>
                <w:szCs w:val="16"/>
                <w:b w:val="1"/>
                <w:bCs w:val="1"/>
                <w:color w:val="auto"/>
              </w:rPr>
              <w:t>Three Months Ended March 31,</w:t>
            </w:r>
          </w:p>
        </w:tc>
      </w:tr>
      <w:tr>
        <w:trPr>
          <w:trHeight w:val="212"/>
        </w:trPr>
        <w:tc>
          <w:tcPr>
            <w:tcW w:w="80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197"/>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24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13"/>
        </w:trPr>
        <w:tc>
          <w:tcPr>
            <w:tcW w:w="808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Pr>
          <w:p>
            <w:pPr>
              <w:jc w:val="right"/>
              <w:spacing w:after="0"/>
              <w:rPr>
                <w:sz w:val="20"/>
                <w:szCs w:val="20"/>
                <w:color w:val="auto"/>
              </w:rPr>
            </w:pPr>
            <w:r>
              <w:rPr>
                <w:rFonts w:ascii="Arial" w:cs="Arial" w:eastAsia="Arial" w:hAnsi="Arial"/>
                <w:sz w:val="16"/>
                <w:szCs w:val="16"/>
                <w:color w:val="auto"/>
              </w:rPr>
              <w:t>(54,109)</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(25,722)</w:t>
            </w:r>
          </w:p>
        </w:tc>
      </w:tr>
      <w:tr>
        <w:trPr>
          <w:trHeight w:val="219"/>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(140,010)</w:t>
            </w:r>
          </w:p>
        </w:tc>
      </w:tr>
      <w:tr>
        <w:trPr>
          <w:trHeight w:val="213"/>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1,209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r>
      <w:tr>
        <w:trPr>
          <w:trHeight w:val="234"/>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(61,450)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(165,456)</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ind w:right="100" w:firstLine="445"/>
        <w:spacing w:after="0" w:line="256"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w:t>
      </w:r>
    </w:p>
    <w:p>
      <w:pPr>
        <w:sectPr>
          <w:pgSz w:w="11900" w:h="16838" w:orient="portrait"/>
          <w:cols w:equalWidth="0" w:num="1">
            <w:col w:w="11240"/>
          </w:cols>
          <w:pgMar w:left="320" w:top="1070"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70" w:right="339" w:bottom="1440" w:gutter="0" w:footer="0" w:header="0"/>
          <w:type w:val="continuous"/>
        </w:sectPr>
      </w:pPr>
    </w:p>
    <w:bookmarkStart w:id="24" w:name="page25"/>
    <w:bookmarkEnd w:id="24"/>
    <w:p>
      <w:pPr>
        <w:ind w:right="160"/>
        <w:spacing w:after="0" w:line="261" w:lineRule="auto"/>
        <w:rPr>
          <w:sz w:val="20"/>
          <w:szCs w:val="20"/>
          <w:color w:val="auto"/>
        </w:rPr>
      </w:pPr>
      <w:r>
        <w:rPr>
          <w:rFonts w:ascii="Arial" w:cs="Arial" w:eastAsia="Arial" w:hAnsi="Arial"/>
          <w:sz w:val="18"/>
          <w:szCs w:val="18"/>
          <w:color w:val="auto"/>
        </w:rPr>
        <w:t>The cash used in operating activities resulted primarily from our net losses adjusted for non-cash charges and changes in operating assets and liabilities, which are primarily the result of increased expenses and timing of vendor payments.</w:t>
      </w:r>
    </w:p>
    <w:p>
      <w:pPr>
        <w:spacing w:after="0" w:line="198"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During the three months ended March 31, 2022, net cash used in operating activities of $54.1 million was primarily due to our $68.7 million net loss, partially offset by $8.5 million of non-cash charges primarily related to stock-based compensation, and $6.1 million in changes in operating assets and liabilities primarily related to increases in accounts payable and accrued expenses.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March 31, 2021, net cash used in operating activities of $25.7 million was primarily due to our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$27.4 million net loss and $3.5 million in changes in operating assets and liabilities primarily related to a decrease in accrued expenses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partially offset by $5.1 million of non-cash charges primarily related to stock-based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right="680" w:firstLine="445"/>
        <w:spacing w:after="0" w:line="261" w:lineRule="auto"/>
        <w:rPr>
          <w:sz w:val="20"/>
          <w:szCs w:val="20"/>
          <w:color w:val="auto"/>
        </w:rPr>
      </w:pPr>
      <w:r>
        <w:rPr>
          <w:rFonts w:ascii="Arial" w:cs="Arial" w:eastAsia="Arial" w:hAnsi="Arial"/>
          <w:sz w:val="18"/>
          <w:szCs w:val="18"/>
          <w:color w:val="auto"/>
        </w:rPr>
        <w:t>During the three months ended March 31, 2022, net cash used in investing activities of $8.6 million was primarily related to the purchase of marketable securities, partially offset by the maturity of marketable securities.</w:t>
      </w:r>
    </w:p>
    <w:p>
      <w:pPr>
        <w:spacing w:after="0" w:line="90" w:lineRule="exact"/>
        <w:rPr>
          <w:sz w:val="20"/>
          <w:szCs w:val="20"/>
          <w:color w:val="auto"/>
        </w:rPr>
      </w:pPr>
    </w:p>
    <w:p>
      <w:pPr>
        <w:ind w:right="480" w:firstLine="445"/>
        <w:spacing w:after="0" w:line="261" w:lineRule="auto"/>
        <w:rPr>
          <w:sz w:val="20"/>
          <w:szCs w:val="20"/>
          <w:color w:val="auto"/>
        </w:rPr>
      </w:pPr>
      <w:r>
        <w:rPr>
          <w:rFonts w:ascii="Arial" w:cs="Arial" w:eastAsia="Arial" w:hAnsi="Arial"/>
          <w:sz w:val="18"/>
          <w:szCs w:val="18"/>
          <w:color w:val="auto"/>
        </w:rPr>
        <w:t>During the three months ended March 31, 2021, net cash used in investing activities of $140.0 million was primarily related to the purchase of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During the three months ended March 31, 2022, net cash provided by financing activities of $1.2 million consisted of net proceeds from at-the-market offerings of $1.4 million and net proceeds from the exercise of stock options of $0.3 million partially offset by the payment of issuance costs for our at-the-market offerings and the payment of taxes related to the vesting of restricted stock units.</w:t>
      </w:r>
    </w:p>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During the three months ended March 31, 2021, net cash provided by financing activities was not material.</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39" w:lineRule="exact"/>
        <w:rPr>
          <w:sz w:val="20"/>
          <w:szCs w:val="20"/>
          <w:color w:val="auto"/>
        </w:rPr>
      </w:pPr>
    </w:p>
    <w:p>
      <w:pPr>
        <w:jc w:val="both"/>
        <w:ind w:right="100" w:firstLine="445"/>
        <w:spacing w:after="0" w:line="256"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pacing w:after="0" w:line="148" w:lineRule="exact"/>
        <w:rPr>
          <w:sz w:val="20"/>
          <w:szCs w:val="20"/>
          <w:color w:val="auto"/>
        </w:rPr>
      </w:pPr>
    </w:p>
    <w:p>
      <w:pPr>
        <w:ind w:left="660" w:right="2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psychiatry, movement disorders and epilepsy franchises, respectively;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89"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98"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existing cash, cash equivalents and marketable securities will enable us to fund</w:t>
      </w: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6" w:right="399" w:bottom="1440" w:gutter="0" w:footer="0" w:header="0"/>
        </w:sectPr>
      </w:pPr>
    </w:p>
    <w:bookmarkStart w:id="25" w:name="page26"/>
    <w:bookmarkEnd w:id="25"/>
    <w:p>
      <w:pPr>
        <w:ind w:right="580"/>
        <w:spacing w:after="0" w:line="261" w:lineRule="auto"/>
        <w:rPr>
          <w:sz w:val="20"/>
          <w:szCs w:val="20"/>
          <w:color w:val="auto"/>
        </w:rPr>
      </w:pPr>
      <w:r>
        <w:rPr>
          <w:rFonts w:ascii="Arial" w:cs="Arial" w:eastAsia="Arial" w:hAnsi="Arial"/>
          <w:sz w:val="18"/>
          <w:szCs w:val="18"/>
          <w:color w:val="auto"/>
        </w:rPr>
        <w:t>our operating expenses and capital expenditure requirements into the third quarter of 2023. However, we have based this estimate on assumptions that may prove to be wrong and we could exhaust our capital resources sooner than we expect.</w:t>
      </w:r>
    </w:p>
    <w:p>
      <w:pPr>
        <w:spacing w:after="0" w:line="19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204"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franchises and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17" w:lineRule="exact"/>
        <w:rPr>
          <w:rFonts w:ascii="Arial" w:cs="Arial" w:eastAsia="Arial" w:hAnsi="Arial"/>
          <w:sz w:val="18"/>
          <w:szCs w:val="18"/>
          <w:color w:val="auto"/>
        </w:rPr>
      </w:pPr>
    </w:p>
    <w:p>
      <w:pPr>
        <w:ind w:left="820" w:right="20" w:hanging="326"/>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89" w:lineRule="exact"/>
        <w:rPr>
          <w:rFonts w:ascii="Arial" w:cs="Arial" w:eastAsia="Arial" w:hAnsi="Arial"/>
          <w:sz w:val="18"/>
          <w:szCs w:val="18"/>
          <w:color w:val="auto"/>
        </w:rPr>
      </w:pPr>
    </w:p>
    <w:p>
      <w:pPr>
        <w:ind w:left="820" w:right="40" w:hanging="326"/>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89" w:lineRule="exact"/>
        <w:rPr>
          <w:rFonts w:ascii="Arial" w:cs="Arial" w:eastAsia="Arial" w:hAnsi="Arial"/>
          <w:sz w:val="18"/>
          <w:szCs w:val="18"/>
          <w:color w:val="auto"/>
        </w:rPr>
      </w:pPr>
    </w:p>
    <w:p>
      <w:pPr>
        <w:ind w:left="820" w:right="80" w:hanging="326"/>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8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17" w:lineRule="exact"/>
        <w:rPr>
          <w:rFonts w:ascii="Arial" w:cs="Arial" w:eastAsia="Arial" w:hAnsi="Arial"/>
          <w:sz w:val="18"/>
          <w:szCs w:val="18"/>
          <w:color w:val="auto"/>
        </w:rPr>
      </w:pPr>
    </w:p>
    <w:p>
      <w:pPr>
        <w:ind w:left="820" w:right="320" w:hanging="326"/>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our manufacturers, suppliers or other vendors resulting from the COVID-19 pandemic or similar public health crisis; and</w:t>
      </w:r>
    </w:p>
    <w:p>
      <w:pPr>
        <w:spacing w:after="0" w:line="89" w:lineRule="exact"/>
        <w:rPr>
          <w:rFonts w:ascii="Arial" w:cs="Arial" w:eastAsia="Arial" w:hAnsi="Arial"/>
          <w:sz w:val="18"/>
          <w:szCs w:val="18"/>
          <w:color w:val="auto"/>
        </w:rPr>
      </w:pPr>
    </w:p>
    <w:p>
      <w:pPr>
        <w:ind w:left="820" w:right="40" w:hanging="326"/>
        <w:spacing w:after="0" w:line="256"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202"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205"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resulting from the COVID-19 pandemic or other factors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205" w:lineRule="exact"/>
        <w:rPr>
          <w:sz w:val="20"/>
          <w:szCs w:val="20"/>
          <w:color w:val="auto"/>
        </w:rPr>
      </w:pPr>
    </w:p>
    <w:p>
      <w:pPr>
        <w:ind w:right="200" w:firstLine="445"/>
        <w:spacing w:after="0" w:line="256"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w:t>
      </w: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26" w:name="page27"/>
    <w:bookmarkEnd w:id="26"/>
    <w:p>
      <w:pPr>
        <w:jc w:val="both"/>
        <w:ind w:right="160"/>
        <w:spacing w:after="0" w:line="256" w:lineRule="auto"/>
        <w:rPr>
          <w:sz w:val="20"/>
          <w:szCs w:val="20"/>
          <w:color w:val="auto"/>
        </w:rPr>
      </w:pPr>
      <w:r>
        <w:rPr>
          <w:rFonts w:ascii="Arial" w:cs="Arial" w:eastAsia="Arial" w:hAnsi="Arial"/>
          <w:sz w:val="18"/>
          <w:szCs w:val="18"/>
          <w:color w:val="auto"/>
        </w:rPr>
        <w:t>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28,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9"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3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cash, cash equivalents and marketable securities are or may be in the form of money market funds or marketable debt securities and are or may be invested in U.S. Treasury and U.S. government agency obligations. However, because of the short-term nature and low risk profile of the instruments in our portfolio, an immediate change in market interest rates of 100 basis points would not have a material impact on the fair market value of our investment portfolio or on our financial position or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11" w:lineRule="exact"/>
        <w:rPr>
          <w:sz w:val="20"/>
          <w:szCs w:val="20"/>
          <w:color w:val="auto"/>
        </w:rPr>
      </w:pPr>
    </w:p>
    <w:p>
      <w:pPr>
        <w:jc w:val="both"/>
        <w:ind w:right="240" w:firstLine="445"/>
        <w:spacing w:after="0" w:line="256"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March 31, 2022. Based on the evaluation of our disclosure controls and procedures as of</w:t>
      </w: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7" w:name="page28"/>
    <w:bookmarkEnd w:id="27"/>
    <w:p>
      <w:pPr>
        <w:ind w:right="620"/>
        <w:spacing w:after="0" w:line="261" w:lineRule="auto"/>
        <w:rPr>
          <w:sz w:val="20"/>
          <w:szCs w:val="20"/>
          <w:color w:val="auto"/>
        </w:rPr>
      </w:pPr>
      <w:r>
        <w:rPr>
          <w:rFonts w:ascii="Arial" w:cs="Arial" w:eastAsia="Arial" w:hAnsi="Arial"/>
          <w:sz w:val="18"/>
          <w:szCs w:val="18"/>
          <w:color w:val="auto"/>
        </w:rPr>
        <w:t>March 31, 2022, our Chief Executive Officer and Chief Financial Officer concluded that, as of such date, our disclosure controls and procedures were effective at the reasonable assurance level.</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124" w:right="49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The risk factor set forth below updates, and should be read in conjunction with, the risk factors previously disclosed in the section entitled "Risk Factors" of our Annual Report on Form 10-K for the year ended December 31, 2021 filed with the SEC on February 28, 2022. There have otherwise been no material changes from the risk factors previously disclosed in the section entitled "Risk Factors" of our Annual Report on Form 10-K for the year ended December 31, 2021.</w:t>
      </w:r>
    </w:p>
    <w:p>
      <w:pPr>
        <w:spacing w:after="0" w:line="74"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85"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pivotal clinical trials typically involve hundreds of patients, have significant costs and take years to complete. A product candidate can fail at any stage of testing, even after observing promising signs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w:t>
      </w:r>
    </w:p>
    <w:p>
      <w:pPr>
        <w:spacing w:after="0" w:line="99" w:lineRule="exact"/>
        <w:rPr>
          <w:sz w:val="20"/>
          <w:szCs w:val="20"/>
          <w:color w:val="auto"/>
        </w:rPr>
      </w:pPr>
    </w:p>
    <w:p>
      <w:pPr>
        <w:ind w:right="100" w:firstLine="405"/>
        <w:spacing w:after="0" w:line="252" w:lineRule="auto"/>
        <w:rPr>
          <w:sz w:val="20"/>
          <w:szCs w:val="20"/>
          <w:color w:val="auto"/>
        </w:rPr>
      </w:pPr>
      <w:r>
        <w:rPr>
          <w:rFonts w:ascii="Arial" w:cs="Arial" w:eastAsia="Arial" w:hAnsi="Arial"/>
          <w:sz w:val="18"/>
          <w:szCs w:val="18"/>
          <w:color w:val="auto"/>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A number of companies in the biopharmaceutical industry have suffered significant setbacks in advanced clinical trials due to lack of efficacy or emergence of unacceptable safety issues, notwithstanding promising results in earlier trials. Most product candidates that commence clinical trials are never approved as products and there can be no assurance that any of our future clinical trials will ultimately be successful or support further clinical development of our product candidates. The commencement and rate of completion of preclinical studies and clinical trials for a product candidate may be delayed by many factors, including, for example:</w:t>
      </w:r>
    </w:p>
    <w:p>
      <w:pPr>
        <w:spacing w:after="0" w:line="99"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studies;</w:t>
      </w:r>
    </w:p>
    <w:p>
      <w:pPr>
        <w:spacing w:after="0" w:line="117"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the Good Laboratory Practice requirements and other applicable regulations of the U.S. Food and Drug Administration, or FDA;</w:t>
      </w:r>
    </w:p>
    <w:p>
      <w:pPr>
        <w:spacing w:after="0" w:line="89"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89" w:lineRule="exact"/>
        <w:rPr>
          <w:rFonts w:ascii="Arial" w:cs="Arial" w:eastAsia="Arial" w:hAnsi="Arial"/>
          <w:sz w:val="18"/>
          <w:szCs w:val="18"/>
          <w:color w:val="auto"/>
        </w:rPr>
      </w:pPr>
    </w:p>
    <w:p>
      <w:pPr>
        <w:ind w:left="660" w:right="280" w:hanging="328"/>
        <w:spacing w:after="0" w:line="254"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17"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29" w:name="page30"/>
    <w:bookmarkEnd w:id="29"/>
    <w:p>
      <w:pPr>
        <w:ind w:left="660" w:right="30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w:t>
      </w:r>
    </w:p>
    <w:p>
      <w:pPr>
        <w:spacing w:after="0" w:line="117"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 regulatory authority finds that the investigational protocol or plan is clearly deficient to meet its stated objectives;</w:t>
      </w:r>
    </w:p>
    <w:p>
      <w:pPr>
        <w:spacing w:after="0" w:line="93"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60" w:right="28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Good Clinical Practice requirements, or applicable regulatory guidelines in other countries;</w:t>
      </w:r>
    </w:p>
    <w:p>
      <w:pPr>
        <w:spacing w:after="0" w:line="8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trials of the same class of agents conducted by other companies;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anticipated;</w:t>
      </w:r>
    </w:p>
    <w:p>
      <w:pPr>
        <w:spacing w:after="0" w:line="117"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8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or CMO, and delays or failure by our CMOs or us to make any necessary changes to such manufacturing process;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17" w:lineRule="exact"/>
        <w:rPr>
          <w:sz w:val="20"/>
          <w:szCs w:val="20"/>
          <w:color w:val="auto"/>
        </w:rPr>
      </w:pPr>
    </w:p>
    <w:p>
      <w:pPr>
        <w:ind w:right="180" w:firstLine="405"/>
        <w:spacing w:after="0" w:line="261"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preclinical studies and clinical trials.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Before commencing a clinical trial, the FDA or comparable foreign regulatory authorities could raise questions or concerns with our proposed clinical protocol, including issuing a clinical hold on a trial until such questions or concerns are resolved, which could delay our clinical development plans. For example, in April 2022, our Investigational New Drug application for the study of PRAX-222 was placed on clinical hold by the FDA. We have not received the clinical hold letter that will provide full details on the reasons</w:t>
      </w:r>
    </w:p>
    <w:p>
      <w:pPr>
        <w:spacing w:after="0" w:line="17"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for the hold and will need to assess the impact, if any, once we have received the letter. 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0" w:name="page31"/>
    <w:bookmarkEnd w:id="30"/>
    <w:p>
      <w:pPr>
        <w:ind w:right="100"/>
        <w:spacing w:after="0" w:line="256" w:lineRule="auto"/>
        <w:rPr>
          <w:sz w:val="20"/>
          <w:szCs w:val="20"/>
          <w:color w:val="auto"/>
        </w:rPr>
      </w:pPr>
      <w:r>
        <w:rPr>
          <w:rFonts w:ascii="Arial" w:cs="Arial" w:eastAsia="Arial" w:hAnsi="Arial"/>
          <w:sz w:val="18"/>
          <w:szCs w:val="18"/>
          <w:color w:val="auto"/>
        </w:rPr>
        <w:t>adequate funding to continue the clinical trial. In addition, we may need to amend clinical trial protocols that could require us to resubmit our clinical trial protocols to IRBs or ethics committees for reexamination, which may impact the costs, timing or successful completion of a clinical trial.</w:t>
      </w:r>
    </w:p>
    <w:p>
      <w:pPr>
        <w:spacing w:after="0" w:line="94" w:lineRule="exact"/>
        <w:rPr>
          <w:sz w:val="20"/>
          <w:szCs w:val="20"/>
          <w:color w:val="auto"/>
        </w:rPr>
      </w:pPr>
    </w:p>
    <w:p>
      <w:pPr>
        <w:ind w:right="20" w:firstLine="405"/>
        <w:spacing w:after="0" w:line="251" w:lineRule="auto"/>
        <w:rPr>
          <w:sz w:val="20"/>
          <w:szCs w:val="20"/>
          <w:color w:val="auto"/>
        </w:rPr>
      </w:pPr>
      <w:r>
        <w:rPr>
          <w:rFonts w:ascii="Arial" w:cs="Arial" w:eastAsia="Arial" w:hAnsi="Arial"/>
          <w:sz w:val="18"/>
          <w:szCs w:val="18"/>
          <w:color w:val="auto"/>
        </w:rPr>
        <w:t>Some of our trials are, have been, and may in the future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For example, prior major depressive disorder studies have exhibited a high placebo effect.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w:t>
      </w:r>
    </w:p>
    <w:p>
      <w:pPr>
        <w:spacing w:after="0" w:line="103" w:lineRule="exact"/>
        <w:rPr>
          <w:sz w:val="20"/>
          <w:szCs w:val="20"/>
          <w:color w:val="auto"/>
        </w:rPr>
      </w:pPr>
    </w:p>
    <w:p>
      <w:pPr>
        <w:ind w:right="220" w:firstLine="405"/>
        <w:spacing w:after="0" w:line="254" w:lineRule="auto"/>
        <w:rPr>
          <w:sz w:val="20"/>
          <w:szCs w:val="20"/>
          <w:color w:val="auto"/>
        </w:rPr>
      </w:pPr>
      <w:r>
        <w:rPr>
          <w:rFonts w:ascii="Arial" w:cs="Arial" w:eastAsia="Arial" w:hAnsi="Arial"/>
          <w:sz w:val="18"/>
          <w:szCs w:val="18"/>
          <w:color w:val="auto"/>
        </w:rPr>
        <w:t>Further, conducting clinical trials in foreign countries, as we have done and may continue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96" w:lineRule="exact"/>
        <w:rPr>
          <w:sz w:val="20"/>
          <w:szCs w:val="20"/>
          <w:color w:val="auto"/>
        </w:rPr>
      </w:pPr>
    </w:p>
    <w:p>
      <w:pPr>
        <w:ind w:right="60" w:firstLine="405"/>
        <w:spacing w:after="0" w:line="252"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97" w:lineRule="exact"/>
        <w:rPr>
          <w:sz w:val="20"/>
          <w:szCs w:val="20"/>
          <w:color w:val="auto"/>
        </w:rPr>
      </w:pPr>
    </w:p>
    <w:p>
      <w:pPr>
        <w:ind w:firstLine="405"/>
        <w:spacing w:after="0" w:line="252" w:lineRule="auto"/>
        <w:rPr>
          <w:sz w:val="20"/>
          <w:szCs w:val="20"/>
          <w:color w:val="auto"/>
        </w:rPr>
      </w:pPr>
      <w:r>
        <w:rPr>
          <w:rFonts w:ascii="Arial" w:cs="Arial" w:eastAsia="Arial" w:hAnsi="Arial"/>
          <w:sz w:val="18"/>
          <w:szCs w:val="18"/>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39" w:lineRule="exact"/>
        <w:rPr>
          <w:sz w:val="20"/>
          <w:szCs w:val="20"/>
          <w:color w:val="auto"/>
        </w:rPr>
      </w:pPr>
    </w:p>
    <w:p>
      <w:pPr>
        <w:ind w:right="700" w:firstLine="405"/>
        <w:spacing w:after="0" w:line="291"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6"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and changing regulatory requirements in non-U.S. countries;</w:t>
      </w:r>
    </w:p>
    <w:p>
      <w:pPr>
        <w:spacing w:after="0" w:line="117" w:lineRule="exact"/>
        <w:rPr>
          <w:rFonts w:ascii="Arial" w:cs="Arial" w:eastAsia="Arial" w:hAnsi="Arial"/>
          <w:sz w:val="18"/>
          <w:szCs w:val="18"/>
          <w:color w:val="auto"/>
        </w:rPr>
      </w:pPr>
    </w:p>
    <w:p>
      <w:pPr>
        <w:ind w:left="660" w:right="100" w:hanging="328"/>
        <w:spacing w:after="0" w:line="252"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 including our ability to prosecute or maintain patents in Russia due to the sanctions imposed by the United States and other countries on Russia as a result of Russia’s invasion of Ukraine and our ability to enforce patents due to Russia's March 2022 decree that allows the use of inventions, utility models and industrial designs that are held by owners from "unfriendly countries," including the United States, without consent or paying any compensation;</w:t>
      </w:r>
    </w:p>
    <w:p>
      <w:pPr>
        <w:spacing w:after="0" w:line="9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31" w:name="page32"/>
    <w:bookmarkEnd w:id="31"/>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660" w:right="18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U.K. Bribery Act of 2010 or comparable foreign laws, including expanded sanctions imposed by the United States and other countries on Russia due to Russia's invasion of Ukraine;</w:t>
      </w:r>
    </w:p>
    <w:p>
      <w:pPr>
        <w:spacing w:after="0" w:line="89"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Russia's invasion of Ukraine, natural disasters including earthquakes, typhoons, floods and fires, or health epidemics such as COVID-19; and</w:t>
      </w:r>
    </w:p>
    <w:p>
      <w:pPr>
        <w:spacing w:after="0" w:line="8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cyberattacks, which are growing in frequency, sophistication and intensity, and are becoming increasingly difficult to detect, including an increased likelihood that Russia's invasion of Ukraine could result in more cyberattacks or cybersecurity incidents.</w:t>
      </w:r>
    </w:p>
    <w:p>
      <w:pPr>
        <w:spacing w:after="0" w:line="90" w:lineRule="exact"/>
        <w:rPr>
          <w:sz w:val="20"/>
          <w:szCs w:val="20"/>
          <w:color w:val="auto"/>
        </w:rPr>
      </w:pPr>
    </w:p>
    <w:p>
      <w:pPr>
        <w:ind w:right="60" w:firstLine="405"/>
        <w:spacing w:after="0" w:line="261"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profitable operations.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March 31,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47" w:lineRule="exact"/>
        <w:rPr>
          <w:sz w:val="20"/>
          <w:szCs w:val="20"/>
          <w:color w:val="auto"/>
        </w:rPr>
      </w:pPr>
    </w:p>
    <w:p>
      <w:pPr>
        <w:ind w:firstLine="445"/>
        <w:spacing w:after="0" w:line="216" w:lineRule="exact"/>
        <w:rPr>
          <w:sz w:val="20"/>
          <w:szCs w:val="20"/>
          <w:color w:val="auto"/>
        </w:rPr>
      </w:pPr>
      <w:r>
        <w:rPr>
          <w:rFonts w:ascii="Arial" w:cs="Arial" w:eastAsia="Arial" w:hAnsi="Arial"/>
          <w:sz w:val="18"/>
          <w:szCs w:val="18"/>
          <w:color w:val="auto"/>
        </w:rPr>
        <w:t>In October 2020, we completed the initial public offering of our common stock, or IPO, pursuant to which we issued and sold 11,500,000 shares of our common stock at a price to the public of $19.00 per share. All of the shares issued and sold in the IPO were registered under the Securities Act pursuant to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(File No. 333-249074), which was declared effective by the Securities and Exchange Commission on October 15,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4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did not make any repurchases of shares of common stock during the three months ended March 31, 2022.</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gridSpan w:val="5"/>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6960" w:type="dxa"/>
            <w:vAlign w:val="bottom"/>
            <w:gridSpan w:val="11"/>
            <w:vMerge w:val="restart"/>
          </w:tcPr>
          <w:p>
            <w:pPr>
              <w:ind w:left="228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00" w:type="dxa"/>
            <w:vAlign w:val="bottom"/>
            <w:gridSpan w:val="5"/>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696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0" w:type="dxa"/>
            <w:vAlign w:val="bottom"/>
            <w:tcBorders>
              <w:top w:val="single" w:sz="8" w:color="auto"/>
            </w:tcBorders>
            <w:gridSpan w:val="3"/>
          </w:tcPr>
          <w:p>
            <w:pPr>
              <w:ind w:left="20"/>
              <w:spacing w:after="0"/>
              <w:rPr>
                <w:rFonts w:ascii="Arial" w:cs="Arial" w:eastAsia="Arial" w:hAnsi="Arial"/>
                <w:sz w:val="18"/>
                <w:szCs w:val="18"/>
                <w:color w:val="0000FF"/>
              </w:rPr>
            </w:pPr>
            <w:hyperlink r:id="rId5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60" w:type="dxa"/>
            <w:vAlign w:val="bottom"/>
            <w:tcBorders>
              <w:top w:val="single" w:sz="8" w:color="auto"/>
            </w:tcBorders>
            <w:gridSpan w:val="12"/>
          </w:tcPr>
          <w:p>
            <w:pPr>
              <w:spacing w:after="0"/>
              <w:rPr>
                <w:rFonts w:ascii="Arial" w:cs="Arial" w:eastAsia="Arial" w:hAnsi="Arial"/>
                <w:sz w:val="18"/>
                <w:szCs w:val="18"/>
                <w:color w:val="0000FF"/>
              </w:rPr>
            </w:pPr>
            <w:hyperlink r:id="rId53">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53">
              <w:r>
                <w:rPr>
                  <w:rFonts w:ascii="Arial" w:cs="Arial" w:eastAsia="Arial" w:hAnsi="Arial"/>
                  <w:sz w:val="18"/>
                  <w:szCs w:val="18"/>
                  <w:color w:val="0000FF"/>
                </w:rPr>
                <w:t>reference to Exhibit 3.1 to the Registrant's Current Report on Form 8-K (File No. 001-39620) filed on</w:t>
              </w:r>
            </w:hyperlink>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15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8"/>
              </w:rPr>
            </w:pPr>
            <w:hyperlink r:id="rId53">
              <w:r>
                <w:rPr>
                  <w:rFonts w:ascii="Arial" w:cs="Arial" w:eastAsia="Arial" w:hAnsi="Arial"/>
                  <w:sz w:val="18"/>
                  <w:szCs w:val="18"/>
                  <w:color w:val="0000FF"/>
                  <w:w w:val="98"/>
                </w:rPr>
                <w:t>October 20, 2020).</w:t>
              </w:r>
            </w:hyperlink>
          </w:p>
        </w:tc>
        <w:tc>
          <w:tcPr>
            <w:tcW w:w="6460" w:type="dxa"/>
            <w:vAlign w:val="bottom"/>
            <w:tcBorders>
              <w:top w:val="single" w:sz="8" w:color="0000FF"/>
            </w:tcBorders>
            <w:gridSpan w:val="6"/>
          </w:tcPr>
          <w:p>
            <w:pPr>
              <w:spacing w:after="0"/>
              <w:rPr>
                <w:sz w:val="13"/>
                <w:szCs w:val="13"/>
                <w:color w:val="auto"/>
              </w:rPr>
            </w:pPr>
          </w:p>
        </w:tc>
        <w:tc>
          <w:tcPr>
            <w:tcW w:w="28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440" w:type="dxa"/>
            <w:vAlign w:val="bottom"/>
            <w:gridSpan w:val="3"/>
          </w:tcPr>
          <w:p>
            <w:pPr>
              <w:ind w:left="20"/>
              <w:spacing w:after="0"/>
              <w:rPr>
                <w:rFonts w:ascii="Arial" w:cs="Arial" w:eastAsia="Arial" w:hAnsi="Arial"/>
                <w:sz w:val="18"/>
                <w:szCs w:val="18"/>
                <w:color w:val="0000FF"/>
              </w:rPr>
            </w:pPr>
            <w:hyperlink r:id="rId5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60" w:type="dxa"/>
            <w:vAlign w:val="bottom"/>
            <w:gridSpan w:val="12"/>
          </w:tcPr>
          <w:p>
            <w:pPr>
              <w:spacing w:after="0"/>
              <w:rPr>
                <w:rFonts w:ascii="Arial" w:cs="Arial" w:eastAsia="Arial" w:hAnsi="Arial"/>
                <w:sz w:val="18"/>
                <w:szCs w:val="18"/>
                <w:color w:val="0000FF"/>
              </w:rPr>
            </w:pPr>
            <w:hyperlink r:id="rId54">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820" w:type="dxa"/>
            <w:vAlign w:val="bottom"/>
            <w:tcBorders>
              <w:top w:val="single" w:sz="8" w:color="0000FF"/>
              <w:bottom w:val="single" w:sz="8" w:color="0000FF"/>
            </w:tcBorders>
            <w:gridSpan w:val="6"/>
          </w:tcPr>
          <w:p>
            <w:pPr>
              <w:spacing w:after="0" w:line="156" w:lineRule="exact"/>
              <w:rPr>
                <w:rFonts w:ascii="Arial" w:cs="Arial" w:eastAsia="Arial" w:hAnsi="Arial"/>
                <w:sz w:val="18"/>
                <w:szCs w:val="18"/>
                <w:color w:val="0000FF"/>
                <w:w w:val="99"/>
              </w:rPr>
            </w:pPr>
            <w:hyperlink r:id="rId54">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 No. 001-39620) filed on January 7, 2022).</w:t>
              </w:r>
            </w:hyperlink>
          </w:p>
        </w:tc>
        <w:tc>
          <w:tcPr>
            <w:tcW w:w="420" w:type="dxa"/>
            <w:vAlign w:val="bottom"/>
            <w:tcBorders>
              <w:top w:val="single" w:sz="8" w:color="0000FF"/>
            </w:tcBorders>
            <w:gridSpan w:val="3"/>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4"/>
          </w:tcPr>
          <w:p>
            <w:pPr>
              <w:ind w:left="20"/>
              <w:spacing w:after="0"/>
              <w:rPr>
                <w:rFonts w:ascii="Arial" w:cs="Arial" w:eastAsia="Arial" w:hAnsi="Arial"/>
                <w:sz w:val="18"/>
                <w:szCs w:val="18"/>
                <w:color w:val="0000FF"/>
              </w:rPr>
            </w:pPr>
            <w:hyperlink w:anchor="page35">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60" w:type="dxa"/>
            <w:vAlign w:val="bottom"/>
            <w:gridSpan w:val="12"/>
          </w:tcPr>
          <w:p>
            <w:pPr>
              <w:spacing w:after="0"/>
              <w:rPr>
                <w:rFonts w:ascii="Arial" w:cs="Arial" w:eastAsia="Arial" w:hAnsi="Arial"/>
                <w:sz w:val="18"/>
                <w:szCs w:val="18"/>
                <w:color w:val="0000FF"/>
                <w:w w:val="99"/>
              </w:rPr>
            </w:pPr>
            <w:hyperlink w:anchor="page35">
              <w:r>
                <w:rPr>
                  <w:rFonts w:ascii="Arial" w:cs="Arial" w:eastAsia="Arial" w:hAnsi="Arial"/>
                  <w:sz w:val="18"/>
                  <w:szCs w:val="18"/>
                  <w:color w:val="0000FF"/>
                  <w:w w:val="99"/>
                </w:rPr>
                <w:t>Certification of Principal Executive Officer Pursuant to Rules 13a-14(a) and 15d-14(a) under the Securities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7600" w:type="dxa"/>
            <w:vAlign w:val="bottom"/>
            <w:tcBorders>
              <w:top w:val="single" w:sz="8" w:color="0000FF"/>
              <w:bottom w:val="single" w:sz="8" w:color="0000FF"/>
            </w:tcBorders>
            <w:gridSpan w:val="5"/>
          </w:tcPr>
          <w:p>
            <w:pPr>
              <w:spacing w:after="0" w:line="156" w:lineRule="exact"/>
              <w:rPr>
                <w:rFonts w:ascii="Arial" w:cs="Arial" w:eastAsia="Arial" w:hAnsi="Arial"/>
                <w:sz w:val="18"/>
                <w:szCs w:val="18"/>
                <w:color w:val="0000FF"/>
                <w:w w:val="99"/>
              </w:rPr>
            </w:pPr>
            <w:hyperlink w:anchor="page35">
              <w:r>
                <w:rPr>
                  <w:rFonts w:ascii="Arial" w:cs="Arial" w:eastAsia="Arial" w:hAnsi="Arial"/>
                  <w:sz w:val="18"/>
                  <w:szCs w:val="18"/>
                  <w:color w:val="0000FF"/>
                  <w:w w:val="99"/>
                </w:rPr>
                <w:t>Exchange Act of 1934, as Adopted Pursuant to Section 302 of the Sarbanes-Oxley Act of 2002.</w:t>
              </w:r>
            </w:hyperlink>
          </w:p>
        </w:tc>
        <w:tc>
          <w:tcPr>
            <w:tcW w:w="84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520" w:type="dxa"/>
            <w:vAlign w:val="bottom"/>
            <w:gridSpan w:val="4"/>
          </w:tcPr>
          <w:p>
            <w:pPr>
              <w:ind w:left="20"/>
              <w:spacing w:after="0"/>
              <w:rPr>
                <w:rFonts w:ascii="Arial" w:cs="Arial" w:eastAsia="Arial" w:hAnsi="Arial"/>
                <w:sz w:val="18"/>
                <w:szCs w:val="18"/>
                <w:color w:val="0000FF"/>
              </w:rPr>
            </w:pPr>
            <w:hyperlink w:anchor="page36">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60" w:type="dxa"/>
            <w:vAlign w:val="bottom"/>
            <w:gridSpan w:val="12"/>
          </w:tcPr>
          <w:p>
            <w:pPr>
              <w:spacing w:after="0"/>
              <w:rPr>
                <w:rFonts w:ascii="Arial" w:cs="Arial" w:eastAsia="Arial" w:hAnsi="Arial"/>
                <w:sz w:val="18"/>
                <w:szCs w:val="18"/>
                <w:color w:val="0000FF"/>
              </w:rPr>
            </w:pPr>
            <w:hyperlink w:anchor="page36">
              <w:r>
                <w:rPr>
                  <w:rFonts w:ascii="Arial" w:cs="Arial" w:eastAsia="Arial" w:hAnsi="Arial"/>
                  <w:sz w:val="18"/>
                  <w:szCs w:val="18"/>
                  <w:color w:val="0000FF"/>
                </w:rPr>
                <w:t>Certification of Principal Financial Officer Pursuant to Rules 13a-14(a) and 15d-14(a) under the Securities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w:anchor="page36">
              <w:r>
                <w:rPr>
                  <w:rFonts w:ascii="Arial" w:cs="Arial" w:eastAsia="Arial" w:hAnsi="Arial"/>
                  <w:sz w:val="18"/>
                  <w:szCs w:val="18"/>
                  <w:color w:val="0000FF"/>
                </w:rPr>
                <w:t>Exchange Act of 1934, as Adopted Pursuant to Section 302 of the Sarbanes-Oxley Act of 2002.</w:t>
              </w:r>
            </w:hyperlink>
          </w:p>
        </w:tc>
        <w:tc>
          <w:tcPr>
            <w:tcW w:w="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gridSpan w:val="5"/>
          </w:tcPr>
          <w:p>
            <w:pPr>
              <w:ind w:left="20"/>
              <w:spacing w:after="0"/>
              <w:rPr>
                <w:rFonts w:ascii="Arial" w:cs="Arial" w:eastAsia="Arial" w:hAnsi="Arial"/>
                <w:sz w:val="18"/>
                <w:szCs w:val="18"/>
                <w:color w:val="0000FF"/>
              </w:rPr>
            </w:pPr>
            <w:hyperlink w:anchor="page37">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0" w:type="dxa"/>
            <w:vAlign w:val="bottom"/>
          </w:tcPr>
          <w:p>
            <w:pPr>
              <w:spacing w:after="0"/>
              <w:rPr>
                <w:sz w:val="22"/>
                <w:szCs w:val="22"/>
                <w:color w:val="auto"/>
              </w:rPr>
            </w:pPr>
          </w:p>
        </w:tc>
        <w:tc>
          <w:tcPr>
            <w:tcW w:w="20" w:type="dxa"/>
            <w:vAlign w:val="bottom"/>
            <w:tcBorders>
              <w:top w:val="single" w:sz="8" w:color="0000FF"/>
            </w:tcBorders>
          </w:tcPr>
          <w:p>
            <w:pPr>
              <w:spacing w:after="0"/>
              <w:rPr>
                <w:sz w:val="22"/>
                <w:szCs w:val="22"/>
                <w:color w:val="auto"/>
              </w:rPr>
            </w:pPr>
          </w:p>
        </w:tc>
        <w:tc>
          <w:tcPr>
            <w:tcW w:w="7580" w:type="dxa"/>
            <w:vAlign w:val="bottom"/>
            <w:tcBorders>
              <w:top w:val="single" w:sz="8" w:color="0000FF"/>
            </w:tcBorders>
            <w:gridSpan w:val="4"/>
          </w:tcPr>
          <w:p>
            <w:pPr>
              <w:spacing w:after="0"/>
              <w:rPr>
                <w:rFonts w:ascii="Arial" w:cs="Arial" w:eastAsia="Arial" w:hAnsi="Arial"/>
                <w:sz w:val="18"/>
                <w:szCs w:val="18"/>
                <w:color w:val="0000FF"/>
              </w:rPr>
            </w:pPr>
            <w:hyperlink w:anchor="page37">
              <w:r>
                <w:rPr>
                  <w:rFonts w:ascii="Arial" w:cs="Arial" w:eastAsia="Arial" w:hAnsi="Arial"/>
                  <w:sz w:val="18"/>
                  <w:szCs w:val="18"/>
                  <w:color w:val="0000FF"/>
                </w:rPr>
                <w:t>Certification of Principal Executive Officer and Principal Financial Officer Pursuant to 18 U.S.C.</w:t>
              </w:r>
            </w:hyperlink>
          </w:p>
        </w:tc>
        <w:tc>
          <w:tcPr>
            <w:tcW w:w="880" w:type="dxa"/>
            <w:vAlign w:val="bottom"/>
            <w:gridSpan w:val="8"/>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88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9"/>
              </w:rPr>
            </w:pPr>
            <w:hyperlink w:anchor="page37">
              <w:r>
                <w:rPr>
                  <w:rFonts w:ascii="Arial" w:cs="Arial" w:eastAsia="Arial" w:hAnsi="Arial"/>
                  <w:sz w:val="18"/>
                  <w:szCs w:val="18"/>
                  <w:color w:val="0000FF"/>
                  <w:w w:val="99"/>
                </w:rPr>
                <w:t>Section 1350, as Adopted Pursuant to Section 906 of the Sarbanes-Oxley Act of 2002.</w:t>
              </w:r>
            </w:hyperlink>
          </w:p>
        </w:tc>
        <w:tc>
          <w:tcPr>
            <w:tcW w:w="640" w:type="dxa"/>
            <w:vAlign w:val="bottom"/>
            <w:tcBorders>
              <w:top w:val="single" w:sz="8" w:color="0000FF"/>
            </w:tcBorders>
          </w:tcPr>
          <w:p>
            <w:pPr>
              <w:spacing w:after="0"/>
              <w:rPr>
                <w:sz w:val="13"/>
                <w:szCs w:val="13"/>
                <w:color w:val="auto"/>
              </w:rPr>
            </w:pPr>
          </w:p>
        </w:tc>
        <w:tc>
          <w:tcPr>
            <w:tcW w:w="94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5"/>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6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3600" w:firstLine="26"/>
        <w:spacing w:after="0" w:line="297" w:lineRule="auto"/>
        <w:tabs>
          <w:tab w:leader="none" w:pos="1327" w:val="left"/>
        </w:tabs>
        <w:numPr>
          <w:ilvl w:val="1"/>
          <w:numId w:val="2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ind w:left="340" w:hanging="332"/>
        <w:spacing w:after="0" w:line="254" w:lineRule="auto"/>
        <w:tabs>
          <w:tab w:leader="none" w:pos="353"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33" w:name="page34"/>
    <w:bookmarkEnd w:id="33"/>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315"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9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May 9,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40"/>
          </w:cols>
          <w:pgMar w:left="320" w:top="886" w:right="4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20" w:hanging="332"/>
        <w:spacing w:after="0" w:line="235"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35" w:lineRule="auto"/>
        <w:tabs>
          <w:tab w:leader="none" w:pos="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57" w:val="left"/>
        </w:tabs>
        <w:numPr>
          <w:ilvl w:val="1"/>
          <w:numId w:val="2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54"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Date:   May 9, 2022</w:t>
            </w:r>
          </w:p>
        </w:tc>
        <w:tc>
          <w:tcPr>
            <w:tcW w:w="3180" w:type="dxa"/>
            <w:vAlign w:val="bottom"/>
          </w:tcPr>
          <w:p>
            <w:pPr>
              <w:ind w:left="24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39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2"/>
              </w:rPr>
              <w:t>Marcio Souza</w:t>
            </w:r>
          </w:p>
        </w:tc>
      </w:tr>
      <w:tr>
        <w:trPr>
          <w:trHeight w:val="229"/>
        </w:trPr>
        <w:tc>
          <w:tcPr>
            <w:tcW w:w="398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398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891"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20" w:hanging="332"/>
        <w:spacing w:after="0" w:line="235"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35" w:lineRule="auto"/>
        <w:tabs>
          <w:tab w:leader="none" w:pos="6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2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57" w:val="left"/>
        </w:tabs>
        <w:numPr>
          <w:ilvl w:val="1"/>
          <w:numId w:val="2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54"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r>
              <w:rPr>
                <w:rFonts w:ascii="Arial" w:cs="Arial" w:eastAsia="Arial" w:hAnsi="Arial"/>
                <w:sz w:val="18"/>
                <w:szCs w:val="18"/>
                <w:color w:val="auto"/>
              </w:rPr>
              <w:t>Date:   May 9, 2022</w:t>
            </w:r>
          </w:p>
        </w:tc>
        <w:tc>
          <w:tcPr>
            <w:tcW w:w="318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4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30"/>
        </w:trPr>
        <w:tc>
          <w:tcPr>
            <w:tcW w:w="40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40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ectPr>
          <w:pgSz w:w="11900" w:h="16838" w:orient="portrait"/>
          <w:cols w:equalWidth="0" w:num="1">
            <w:col w:w="11240"/>
          </w:cols>
          <w:pgMar w:left="320" w:top="891" w:right="339" w:bottom="1440" w:gutter="0" w:footer="0" w:header="0"/>
        </w:sectPr>
      </w:pPr>
    </w:p>
    <w:bookmarkStart w:id="36" w:name="page37"/>
    <w:bookmarkEnd w:id="36"/>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40" w:firstLine="445"/>
        <w:spacing w:after="0" w:line="263" w:lineRule="auto"/>
        <w:rPr>
          <w:sz w:val="20"/>
          <w:szCs w:val="20"/>
          <w:color w:val="auto"/>
        </w:rPr>
      </w:pPr>
      <w:r>
        <w:rPr>
          <w:rFonts w:ascii="Arial" w:cs="Arial" w:eastAsia="Arial" w:hAnsi="Arial"/>
          <w:sz w:val="18"/>
          <w:szCs w:val="18"/>
          <w:color w:val="auto"/>
        </w:rPr>
        <w:t>In connection with the Quarterly Report on Form 10-Q of Praxis Precision Medicines, Inc. (the “Company”) for the quarter ended March 31, 2022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89" w:lineRule="exact"/>
        <w:rPr>
          <w:sz w:val="20"/>
          <w:szCs w:val="20"/>
          <w:color w:val="auto"/>
        </w:rPr>
      </w:pPr>
    </w:p>
    <w:p>
      <w:pPr>
        <w:ind w:left="740" w:hanging="327"/>
        <w:spacing w:after="0"/>
        <w:tabs>
          <w:tab w:leader="none" w:pos="7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00"/>
              <w:spacing w:after="0"/>
              <w:rPr>
                <w:sz w:val="20"/>
                <w:szCs w:val="20"/>
                <w:color w:val="auto"/>
              </w:rPr>
            </w:pPr>
            <w:r>
              <w:rPr>
                <w:rFonts w:ascii="Arial" w:cs="Arial" w:eastAsia="Arial" w:hAnsi="Arial"/>
                <w:sz w:val="18"/>
                <w:szCs w:val="18"/>
                <w:color w:val="auto"/>
              </w:rPr>
              <w:t>May 9, 2022</w:t>
            </w:r>
          </w:p>
        </w:tc>
        <w:tc>
          <w:tcPr>
            <w:tcW w:w="318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2"/>
              </w:rPr>
              <w:t>Marcio Souza</w:t>
            </w:r>
          </w:p>
        </w:tc>
      </w:tr>
      <w:tr>
        <w:trPr>
          <w:trHeight w:val="230"/>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500" w:type="dxa"/>
            <w:vAlign w:val="bottom"/>
          </w:tcPr>
          <w:p>
            <w:pPr>
              <w:ind w:left="100"/>
              <w:spacing w:after="0"/>
              <w:rPr>
                <w:sz w:val="20"/>
                <w:szCs w:val="20"/>
                <w:color w:val="auto"/>
              </w:rPr>
            </w:pPr>
            <w:r>
              <w:rPr>
                <w:rFonts w:ascii="Arial" w:cs="Arial" w:eastAsia="Arial" w:hAnsi="Arial"/>
                <w:sz w:val="18"/>
                <w:szCs w:val="18"/>
                <w:color w:val="auto"/>
              </w:rPr>
              <w:t>May 9, 2022</w:t>
            </w:r>
          </w:p>
        </w:tc>
        <w:tc>
          <w:tcPr>
            <w:tcW w:w="3180" w:type="dxa"/>
            <w:vAlign w:val="bottom"/>
          </w:tcPr>
          <w:p>
            <w:pPr>
              <w:ind w:left="248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29"/>
        </w:trPr>
        <w:tc>
          <w:tcPr>
            <w:tcW w:w="5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50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1."/>
      <w:numFmt w:val="decimal"/>
      <w:start w:val="2"/>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1."/>
      <w:numFmt w:val="decimal"/>
      <w:start w:val="7"/>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
      <w:numFmt w:val="bullet"/>
      <w:start w:val="1"/>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
      <w:numFmt w:val="bullet"/>
      <w:start w:val="1"/>
    </w:lvl>
  </w:abstractNum>
  <w:abstractNum w:abstractNumId="19">
    <w:nsid w:val="6763845E"/>
    <w:multiLevelType w:val="hybridMultilevel"/>
    <w:lvl w:ilvl="0">
      <w:lvlJc w:val="left"/>
      <w:lvlText w:val="•"/>
      <w:numFmt w:val="bullet"/>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
      <w:numFmt w:val="bullet"/>
      <w:start w:val="1"/>
    </w:lvl>
  </w:abstractNum>
  <w:abstractNum w:abstractNumId="22">
    <w:nsid w:val="79838CB2"/>
    <w:multiLevelType w:val="hybridMultilevel"/>
    <w:lvl w:ilvl="0">
      <w:lvlJc w:val="left"/>
      <w:lvlText w:val="*"/>
      <w:numFmt w:val="bullet"/>
      <w:start w:val="1"/>
    </w:lvl>
    <w:lvl w:ilvl="1">
      <w:lvlJc w:val="left"/>
      <w:lvlText w:val="%2"/>
      <w:numFmt w:val="decimal"/>
      <w:start w:val="104"/>
    </w:lvl>
  </w:abstractNum>
  <w:abstractNum w:abstractNumId="23">
    <w:nsid w:val="4353D0CD"/>
    <w:multiLevelType w:val="hybridMultilevel"/>
    <w:lvl w:ilvl="0">
      <w:lvlJc w:val="left"/>
      <w:lvlText w:val="**"/>
      <w:numFmt w:val="bullet"/>
      <w:start w:val="1"/>
    </w:lvl>
    <w:lvl w:ilvl="1">
      <w:lvlJc w:val="left"/>
      <w:lvlText w:val="%2"/>
      <w:numFmt w:val="decimal"/>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lvl w:ilvl="1">
      <w:lvlJc w:val="left"/>
      <w:lvlText w:val="(%2)"/>
      <w:numFmt w:val="lowerLetter"/>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3" Type="http://schemas.openxmlformats.org/officeDocument/2006/relationships/hyperlink" Target="https://www.sec.gov/Archives/edgar/data/1689548/000119312520272877/d94620dex31.htm" TargetMode="External"/><Relationship Id="rId54" Type="http://schemas.openxmlformats.org/officeDocument/2006/relationships/hyperlink" Target="https://www.sec.gov/Archives/edgar/data/1689548/000110465922002260/tm222120d1_ex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2022-05-09T15:23:04Z</dcterms:created>
  <dcterms:modified xsi:type="dcterms:W3CDTF">2022-05-09T15:23:04Z</dcterms:modified>
</cp:coreProperties>
</file>