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214630</wp:posOffset>
            </wp:positionH>
            <wp:positionV relativeFrom="page">
              <wp:posOffset>355600</wp:posOffset>
            </wp:positionV>
            <wp:extent cx="7127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321945</wp:posOffset>
            </wp:positionV>
            <wp:extent cx="7127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126365</wp:posOffset>
            </wp:positionV>
            <wp:extent cx="1182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140335</wp:posOffset>
            </wp:positionV>
            <wp:extent cx="1182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9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54" w:lineRule="exact"/>
        <w:rPr>
          <w:sz w:val="24"/>
          <w:szCs w:val="24"/>
          <w:color w:val="auto"/>
        </w:rPr>
      </w:pPr>
    </w:p>
    <w:p>
      <w:pPr>
        <w:ind w:left="320" w:hanging="298"/>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3460" w:right="1920" w:hanging="3438"/>
        <w:spacing w:after="0" w:line="481" w:lineRule="auto"/>
        <w:tabs>
          <w:tab w:leader="none" w:pos="334"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 to_________</w:t>
      </w:r>
    </w:p>
    <w:p>
      <w:pPr>
        <w:ind w:left="4100"/>
        <w:spacing w:after="0"/>
        <w:rPr>
          <w:rFonts w:ascii="MS PGothic" w:cs="MS PGothic" w:eastAsia="MS PGothic" w:hAnsi="MS PGothic"/>
          <w:sz w:val="21"/>
          <w:szCs w:val="21"/>
          <w:color w:val="auto"/>
        </w:rPr>
      </w:pPr>
      <w:r>
        <w:rPr>
          <w:rFonts w:ascii="Arial" w:cs="Arial" w:eastAsia="Arial" w:hAnsi="Arial"/>
          <w:sz w:val="17"/>
          <w:szCs w:val="17"/>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204470</wp:posOffset>
            </wp:positionV>
            <wp:extent cx="1182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PRAXIS PRECISION MEDICINES,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189865</wp:posOffset>
            </wp:positionV>
            <wp:extent cx="1182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2520" w:type="dxa"/>
        <w:tblCellMar>
          <w:top w:w="0" w:type="dxa"/>
          <w:left w:w="0" w:type="dxa"/>
          <w:bottom w:w="0" w:type="dxa"/>
          <w:right w:w="0" w:type="dxa"/>
        </w:tblCellMar>
      </w:tblPr>
      <w:tr>
        <w:trPr>
          <w:trHeight w:val="223"/>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780" w:type="dxa"/>
            <w:vAlign w:val="bottom"/>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47-5195942</w:t>
            </w:r>
          </w:p>
        </w:tc>
        <w:tc>
          <w:tcPr>
            <w:tcW w:w="0" w:type="dxa"/>
            <w:vAlign w:val="bottom"/>
          </w:tcPr>
          <w:p>
            <w:pPr>
              <w:spacing w:after="0"/>
              <w:rPr>
                <w:sz w:val="1"/>
                <w:szCs w:val="1"/>
                <w:color w:val="auto"/>
              </w:rPr>
            </w:pPr>
          </w:p>
        </w:tc>
      </w:tr>
      <w:tr>
        <w:trPr>
          <w:trHeight w:val="184"/>
        </w:trPr>
        <w:tc>
          <w:tcPr>
            <w:tcW w:w="3560" w:type="dxa"/>
            <w:vAlign w:val="bottom"/>
          </w:tcPr>
          <w:p>
            <w:pPr>
              <w:jc w:val="center"/>
              <w:ind w:right="13"/>
              <w:spacing w:after="0" w:line="184" w:lineRule="exact"/>
              <w:rPr>
                <w:sz w:val="20"/>
                <w:szCs w:val="20"/>
                <w:color w:val="auto"/>
              </w:rPr>
            </w:pPr>
            <w:r>
              <w:rPr>
                <w:rFonts w:ascii="Times New Roman" w:cs="Times New Roman" w:eastAsia="Times New Roman" w:hAnsi="Times New Roman"/>
                <w:sz w:val="17"/>
                <w:szCs w:val="17"/>
                <w:b w:val="1"/>
                <w:bCs w:val="1"/>
                <w:color w:val="auto"/>
              </w:rPr>
              <w:t>(State or other jurisdiction of incorporation or</w:t>
            </w:r>
          </w:p>
        </w:tc>
        <w:tc>
          <w:tcPr>
            <w:tcW w:w="278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tc>
        <w:tc>
          <w:tcPr>
            <w:tcW w:w="0" w:type="dxa"/>
            <w:vAlign w:val="bottom"/>
          </w:tcPr>
          <w:p>
            <w:pPr>
              <w:spacing w:after="0"/>
              <w:rPr>
                <w:sz w:val="1"/>
                <w:szCs w:val="1"/>
                <w:color w:val="auto"/>
              </w:rPr>
            </w:pPr>
          </w:p>
        </w:tc>
      </w:tr>
      <w:tr>
        <w:trPr>
          <w:trHeight w:val="230"/>
        </w:trPr>
        <w:tc>
          <w:tcPr>
            <w:tcW w:w="35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organization)</w:t>
            </w:r>
          </w:p>
        </w:tc>
        <w:tc>
          <w:tcPr>
            <w:tcW w:w="2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99 High Street, 30th Floor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Boston, MA</w:t>
            </w:r>
          </w:p>
        </w:tc>
        <w:tc>
          <w:tcPr>
            <w:tcW w:w="2780" w:type="dxa"/>
            <w:vAlign w:val="bottom"/>
          </w:tcPr>
          <w:p>
            <w:pPr>
              <w:jc w:val="right"/>
              <w:ind w:right="1033"/>
              <w:spacing w:after="0"/>
              <w:rPr>
                <w:sz w:val="20"/>
                <w:szCs w:val="20"/>
                <w:color w:val="auto"/>
              </w:rPr>
            </w:pPr>
            <w:r>
              <w:rPr>
                <w:rFonts w:ascii="Times New Roman" w:cs="Times New Roman" w:eastAsia="Times New Roman" w:hAnsi="Times New Roman"/>
                <w:sz w:val="17"/>
                <w:szCs w:val="17"/>
                <w:b w:val="1"/>
                <w:bCs w:val="1"/>
                <w:color w:val="auto"/>
              </w:rPr>
              <w:t>02110</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2780" w:type="dxa"/>
            <w:vAlign w:val="bottom"/>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617-300-8460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125095</wp:posOffset>
            </wp:positionV>
            <wp:extent cx="1182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4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3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w:t>
            </w:r>
          </w:p>
        </w:tc>
        <w:tc>
          <w:tcPr>
            <w:tcW w:w="0" w:type="dxa"/>
            <w:vAlign w:val="bottom"/>
          </w:tcPr>
          <w:p>
            <w:pPr>
              <w:spacing w:after="0"/>
              <w:rPr>
                <w:sz w:val="1"/>
                <w:szCs w:val="1"/>
                <w:color w:val="auto"/>
              </w:rPr>
            </w:pPr>
          </w:p>
        </w:tc>
      </w:tr>
      <w:tr>
        <w:trPr>
          <w:trHeight w:val="230"/>
        </w:trPr>
        <w:tc>
          <w:tcPr>
            <w:tcW w:w="4000" w:type="dxa"/>
            <w:vAlign w:val="bottom"/>
            <w:gridSpan w:val="2"/>
            <w:vMerge w:val="continue"/>
          </w:tcPr>
          <w:p>
            <w:pPr>
              <w:spacing w:after="0"/>
              <w:rPr>
                <w:sz w:val="19"/>
                <w:szCs w:val="19"/>
                <w:color w:val="auto"/>
              </w:rPr>
            </w:pPr>
          </w:p>
        </w:tc>
        <w:tc>
          <w:tcPr>
            <w:tcW w:w="4100" w:type="dxa"/>
            <w:vAlign w:val="bottom"/>
            <w:gridSpan w:val="2"/>
            <w:vMerge w:val="continue"/>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8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PRAX</w:t>
            </w:r>
          </w:p>
        </w:tc>
        <w:tc>
          <w:tcPr>
            <w:tcW w:w="6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7"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13"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6"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1" w:lineRule="exact"/>
        <w:rPr>
          <w:sz w:val="24"/>
          <w:szCs w:val="24"/>
          <w:color w:val="auto"/>
        </w:rPr>
      </w:pPr>
    </w:p>
    <w:p>
      <w:pPr>
        <w:ind w:right="440" w:firstLine="315"/>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6" w:lineRule="exact"/>
        <w:rPr>
          <w:sz w:val="24"/>
          <w:szCs w:val="24"/>
          <w:color w:val="auto"/>
        </w:rPr>
      </w:pPr>
    </w:p>
    <w:p>
      <w:pPr>
        <w:ind w:right="40" w:firstLine="315"/>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7" w:lineRule="exact"/>
        <w:rPr>
          <w:sz w:val="24"/>
          <w:szCs w:val="24"/>
          <w:color w:val="auto"/>
        </w:rPr>
      </w:pPr>
    </w:p>
    <w:p>
      <w:pPr>
        <w:jc w:val="both"/>
        <w:ind w:right="320" w:firstLine="315"/>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6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18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504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5" w:lineRule="exact"/>
        <w:rPr>
          <w:sz w:val="24"/>
          <w:szCs w:val="24"/>
          <w:color w:val="auto"/>
        </w:rPr>
      </w:pPr>
    </w:p>
    <w:p>
      <w:pPr>
        <w:ind w:right="120" w:firstLine="315"/>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ind w:right="40" w:firstLine="315"/>
        <w:spacing w:after="0" w:line="269"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audit report. </w:t>
      </w:r>
      <w:r>
        <w:rPr>
          <w:rFonts w:ascii="MS PGothic" w:cs="MS PGothic" w:eastAsia="MS PGothic" w:hAnsi="MS PGothic"/>
          <w:sz w:val="17"/>
          <w:szCs w:val="17"/>
          <w:color w:val="auto"/>
        </w:rPr>
        <w:t>☒</w:t>
      </w:r>
    </w:p>
    <w:p>
      <w:pPr>
        <w:sectPr>
          <w:pgSz w:w="11900" w:h="16838" w:orient="portrait"/>
          <w:cols w:equalWidth="0" w:num="1">
            <w:col w:w="11220"/>
          </w:cols>
          <w:pgMar w:left="320" w:top="737" w:right="359" w:bottom="0" w:gutter="0" w:footer="0" w:header="0"/>
        </w:sectPr>
      </w:pPr>
    </w:p>
    <w:bookmarkStart w:id="1" w:name="page2"/>
    <w:bookmarkEnd w:id="1"/>
    <w:p>
      <w:pPr>
        <w:ind w:firstLine="315"/>
        <w:spacing w:after="0" w:line="22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84" w:lineRule="exact"/>
        <w:rPr>
          <w:sz w:val="20"/>
          <w:szCs w:val="20"/>
          <w:color w:val="auto"/>
        </w:rPr>
      </w:pPr>
    </w:p>
    <w:p>
      <w:pPr>
        <w:ind w:right="60" w:firstLine="315"/>
        <w:spacing w:after="0" w:line="216"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2" w:lineRule="exact"/>
        <w:rPr>
          <w:sz w:val="20"/>
          <w:szCs w:val="20"/>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4" w:lineRule="exact"/>
        <w:rPr>
          <w:sz w:val="20"/>
          <w:szCs w:val="20"/>
          <w:color w:val="auto"/>
        </w:rPr>
      </w:pPr>
    </w:p>
    <w:p>
      <w:pPr>
        <w:ind w:right="300" w:firstLine="315"/>
        <w:spacing w:after="0" w:line="254"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a share of common stock on June 28, 2024 as reported by the Nasdaq Global Select Market on such date was approximately $733.0 million. This calculation does not reflect a determination that certain persons are affiliates of the registrant for any other purpose.</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February 26, 2025, the registrant had 20,163,250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402590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127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173990</wp:posOffset>
            </wp:positionV>
            <wp:extent cx="7127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825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9"/>
          </w:tcPr>
          <w:p>
            <w:pPr>
              <w:ind w:left="260"/>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67"/>
        </w:trPr>
        <w:tc>
          <w:tcPr>
            <w:tcW w:w="20" w:type="dxa"/>
            <w:vAlign w:val="bottom"/>
          </w:tcPr>
          <w:p>
            <w:pPr>
              <w:spacing w:after="0"/>
              <w:rPr>
                <w:sz w:val="24"/>
                <w:szCs w:val="24"/>
                <w:color w:val="auto"/>
              </w:rPr>
            </w:pPr>
          </w:p>
        </w:tc>
        <w:tc>
          <w:tcPr>
            <w:tcW w:w="4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rPr>
              <w:t>Part I</w:t>
            </w:r>
          </w:p>
        </w:tc>
        <w:tc>
          <w:tcPr>
            <w:tcW w:w="9680" w:type="dxa"/>
            <w:vAlign w:val="bottom"/>
            <w:gridSpan w:val="23"/>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1. Business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1A. Risk Factors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27</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1B. Unresolved Staff Comments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82</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1C. Cybersecurity</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82</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2. Properties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83</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3. Legal Proceedings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83</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4. Mine Safety Disclosures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84</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spacing w:after="0" w:line="184" w:lineRule="exact"/>
              <w:rPr>
                <w:sz w:val="20"/>
                <w:szCs w:val="20"/>
                <w:color w:val="auto"/>
              </w:rPr>
            </w:pPr>
            <w:r>
              <w:rPr>
                <w:rFonts w:ascii="Arial" w:cs="Arial" w:eastAsia="Arial" w:hAnsi="Arial"/>
                <w:sz w:val="17"/>
                <w:szCs w:val="17"/>
                <w:color w:val="0000FF"/>
              </w:rPr>
              <w:t>Part II</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5. Market for Registrant's Common Equity, Related Stockholder Matters and Issuer Purchases of Equity Securities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85</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9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6. [Reserved]</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85</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7. Management's Discussion and Analysis of Financial Condition and results of Operations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86</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9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7A. Quantitative and Qualitative Disclosures About Market Risk</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99</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9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8. Financial Statements and Supplementary Data</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100</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9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9. Changes in and Disagreements with Accountants on Accounting and Financial Disclosure</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134</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9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9A. Controls and Procedures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134</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9B. Other Information</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135</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9C. Disclosure Regarding Foreign Jurisdictions that Prevent Inspections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136</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9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520" w:type="dxa"/>
            <w:vAlign w:val="bottom"/>
            <w:tcBorders>
              <w:bottom w:val="single" w:sz="8" w:color="0000FF"/>
            </w:tcBorders>
            <w:gridSpan w:val="3"/>
          </w:tcPr>
          <w:p>
            <w:pPr>
              <w:spacing w:after="0" w:line="184" w:lineRule="exact"/>
              <w:rPr>
                <w:sz w:val="20"/>
                <w:szCs w:val="20"/>
                <w:color w:val="auto"/>
              </w:rPr>
            </w:pPr>
            <w:r>
              <w:rPr>
                <w:rFonts w:ascii="Arial" w:cs="Arial" w:eastAsia="Arial" w:hAnsi="Arial"/>
                <w:sz w:val="17"/>
                <w:szCs w:val="17"/>
                <w:color w:val="0000FF"/>
                <w:w w:val="99"/>
              </w:rPr>
              <w:t>Part III</w:t>
            </w:r>
          </w:p>
        </w:tc>
        <w:tc>
          <w:tcPr>
            <w:tcW w:w="9620" w:type="dxa"/>
            <w:vAlign w:val="bottom"/>
            <w:gridSpan w:val="22"/>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10. Directors, Executive Officers and Corporate Governance</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137</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9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11. Executive Compensation</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139</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12. Security Ownership of Certain Beneficial Owners and Management and Related Stockholder Matters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139</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9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13. Certain Relationships and Related Transactions, and Director Independence</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140</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9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14. Principal Accounting Fees and Services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140</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920" w:type="dxa"/>
            <w:vAlign w:val="bottom"/>
            <w:tcBorders>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540" w:type="dxa"/>
            <w:vAlign w:val="bottom"/>
            <w:tcBorders>
              <w:bottom w:val="single" w:sz="8" w:color="0000FF"/>
            </w:tcBorders>
            <w:gridSpan w:val="4"/>
          </w:tcPr>
          <w:p>
            <w:pPr>
              <w:spacing w:after="0" w:line="184" w:lineRule="exact"/>
              <w:rPr>
                <w:sz w:val="20"/>
                <w:szCs w:val="20"/>
                <w:color w:val="auto"/>
              </w:rPr>
            </w:pPr>
            <w:r>
              <w:rPr>
                <w:rFonts w:ascii="Arial" w:cs="Arial" w:eastAsia="Arial" w:hAnsi="Arial"/>
                <w:sz w:val="17"/>
                <w:szCs w:val="17"/>
                <w:color w:val="0000FF"/>
                <w:w w:val="99"/>
              </w:rPr>
              <w:t>Part IV</w:t>
            </w:r>
          </w:p>
        </w:tc>
        <w:tc>
          <w:tcPr>
            <w:tcW w:w="9600" w:type="dxa"/>
            <w:vAlign w:val="bottom"/>
            <w:gridSpan w:val="21"/>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3"/>
        </w:trPr>
        <w:tc>
          <w:tcPr>
            <w:tcW w:w="20" w:type="dxa"/>
            <w:vAlign w:val="bottom"/>
            <w:shd w:val="clear" w:color="auto" w:fill="CCEEFF"/>
          </w:tcPr>
          <w:p>
            <w:pPr>
              <w:spacing w:after="0"/>
              <w:rPr>
                <w:sz w:val="16"/>
                <w:szCs w:val="16"/>
                <w:color w:val="auto"/>
              </w:rPr>
            </w:pPr>
          </w:p>
        </w:tc>
        <w:tc>
          <w:tcPr>
            <w:tcW w:w="10140" w:type="dxa"/>
            <w:vAlign w:val="bottom"/>
            <w:gridSpan w:val="25"/>
            <w:shd w:val="clear" w:color="auto" w:fill="CCEEFF"/>
          </w:tcPr>
          <w:p>
            <w:pPr>
              <w:ind w:left="200"/>
              <w:spacing w:after="0" w:line="194" w:lineRule="exact"/>
              <w:rPr>
                <w:sz w:val="20"/>
                <w:szCs w:val="20"/>
                <w:color w:val="auto"/>
              </w:rPr>
            </w:pPr>
            <w:r>
              <w:rPr>
                <w:rFonts w:ascii="Arial" w:cs="Arial" w:eastAsia="Arial" w:hAnsi="Arial"/>
                <w:sz w:val="17"/>
                <w:szCs w:val="17"/>
                <w:color w:val="0000FF"/>
              </w:rPr>
              <w:t>Item 15. Exhibits, Financial Statement Schedules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142</w:t>
            </w:r>
          </w:p>
        </w:tc>
        <w:tc>
          <w:tcPr>
            <w:tcW w:w="40" w:type="dxa"/>
            <w:vAlign w:val="bottom"/>
            <w:tcBorders>
              <w:left w:val="single" w:sz="8" w:color="CCEEFF"/>
            </w:tcBorders>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9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140" w:type="dxa"/>
            <w:vAlign w:val="bottom"/>
            <w:gridSpan w:val="25"/>
          </w:tcPr>
          <w:p>
            <w:pPr>
              <w:ind w:left="200"/>
              <w:spacing w:after="0" w:line="184" w:lineRule="exact"/>
              <w:rPr>
                <w:sz w:val="20"/>
                <w:szCs w:val="20"/>
                <w:color w:val="auto"/>
              </w:rPr>
            </w:pPr>
            <w:r>
              <w:rPr>
                <w:rFonts w:ascii="Arial" w:cs="Arial" w:eastAsia="Arial" w:hAnsi="Arial"/>
                <w:sz w:val="17"/>
                <w:szCs w:val="17"/>
                <w:color w:val="0000FF"/>
              </w:rPr>
              <w:t>Item 16. Form 10-K Summary</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145</w:t>
            </w:r>
          </w:p>
        </w:tc>
        <w:tc>
          <w:tcPr>
            <w:tcW w:w="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3"/>
        </w:trPr>
        <w:tc>
          <w:tcPr>
            <w:tcW w:w="20" w:type="dxa"/>
            <w:vAlign w:val="bottom"/>
            <w:shd w:val="clear" w:color="auto" w:fill="CCEEFF"/>
          </w:tcPr>
          <w:p>
            <w:pPr>
              <w:spacing w:after="0"/>
              <w:rPr>
                <w:sz w:val="18"/>
                <w:szCs w:val="18"/>
                <w:color w:val="auto"/>
              </w:rPr>
            </w:pPr>
          </w:p>
        </w:tc>
        <w:tc>
          <w:tcPr>
            <w:tcW w:w="10140" w:type="dxa"/>
            <w:vAlign w:val="bottom"/>
            <w:gridSpan w:val="25"/>
            <w:shd w:val="clear" w:color="auto" w:fill="CCEEFF"/>
          </w:tcPr>
          <w:p>
            <w:pPr>
              <w:spacing w:after="0" w:line="194" w:lineRule="exact"/>
              <w:rPr>
                <w:sz w:val="20"/>
                <w:szCs w:val="20"/>
                <w:color w:val="auto"/>
              </w:rPr>
            </w:pPr>
            <w:r>
              <w:rPr>
                <w:rFonts w:ascii="Arial" w:cs="Arial" w:eastAsia="Arial" w:hAnsi="Arial"/>
                <w:sz w:val="17"/>
                <w:szCs w:val="17"/>
                <w:color w:val="0000FF"/>
              </w:rPr>
              <w:t>Signatures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1422"/>
        </w:trPr>
        <w:tc>
          <w:tcPr>
            <w:tcW w:w="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9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8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96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 OF THE MATERIAL RISKS ASSOCIATED WITH OUR BUSINESS</w:t>
      </w:r>
    </w:p>
    <w:p>
      <w:pPr>
        <w:spacing w:after="0" w:line="252" w:lineRule="exact"/>
        <w:rPr>
          <w:sz w:val="20"/>
          <w:szCs w:val="20"/>
          <w:color w:val="auto"/>
        </w:rPr>
      </w:pPr>
    </w:p>
    <w:p>
      <w:pPr>
        <w:ind w:left="640" w:right="24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 clinical-stage biopharmaceutical company and we have incurred significant losses since our inception. We anticipate that we will continue to incur significant losses for the foreseeable future.</w:t>
      </w:r>
    </w:p>
    <w:p>
      <w:pPr>
        <w:spacing w:after="0" w:line="140" w:lineRule="exact"/>
        <w:rPr>
          <w:rFonts w:ascii="Arial" w:cs="Arial" w:eastAsia="Arial" w:hAnsi="Arial"/>
          <w:sz w:val="17"/>
          <w:szCs w:val="17"/>
          <w:color w:val="auto"/>
        </w:rPr>
      </w:pPr>
    </w:p>
    <w:p>
      <w:pPr>
        <w:ind w:left="640" w:right="30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166" w:lineRule="exact"/>
        <w:rPr>
          <w:rFonts w:ascii="Arial" w:cs="Arial" w:eastAsia="Arial" w:hAnsi="Arial"/>
          <w:sz w:val="17"/>
          <w:szCs w:val="17"/>
          <w:color w:val="auto"/>
        </w:rPr>
      </w:pPr>
    </w:p>
    <w:p>
      <w:pPr>
        <w:ind w:left="640" w:right="200" w:hanging="320"/>
        <w:spacing w:after="0" w:line="27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and commercialization of drug products is highly uncertain and subject to extensive regulation, and the regulatory approval processes of the U.S. Food and Drug Administration, or the FDA, and comparable foreign regulatory authorities are lengthy, time-consuming, and inherently unpredictable. If we are ultimately unable to obtain regulatory approval for our product candidates on a timely basis if at all, our business will be substantially harmed.</w:t>
      </w:r>
    </w:p>
    <w:p>
      <w:pPr>
        <w:spacing w:after="0" w:line="192" w:lineRule="exact"/>
        <w:rPr>
          <w:rFonts w:ascii="Arial" w:cs="Arial" w:eastAsia="Arial" w:hAnsi="Arial"/>
          <w:sz w:val="17"/>
          <w:szCs w:val="17"/>
          <w:color w:val="auto"/>
        </w:rPr>
      </w:pPr>
    </w:p>
    <w:p>
      <w:pPr>
        <w:jc w:val="both"/>
        <w:ind w:left="640" w:right="120" w:hanging="320"/>
        <w:spacing w:after="0" w:line="27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186"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166"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encounter difficulties enrolling patients in our future clinical trials, our clinical development activities could be delayed or otherwise adversely affected.</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markets for our product candidates may be smaller than we expect.</w:t>
      </w:r>
    </w:p>
    <w:p>
      <w:pPr>
        <w:spacing w:after="0" w:line="250" w:lineRule="exact"/>
        <w:rPr>
          <w:rFonts w:ascii="Arial" w:cs="Arial" w:eastAsia="Arial" w:hAnsi="Arial"/>
          <w:sz w:val="17"/>
          <w:szCs w:val="17"/>
          <w:color w:val="auto"/>
        </w:rPr>
      </w:pPr>
    </w:p>
    <w:p>
      <w:pPr>
        <w:ind w:left="640" w:right="140" w:hanging="320"/>
        <w:spacing w:after="0" w:line="27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92"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in part on our ability to protect our intellectual property. It is difficult and costly to protect our proprietary rights and technology, and we may not be able to ensure their protection.</w:t>
      </w:r>
    </w:p>
    <w:p>
      <w:pPr>
        <w:spacing w:after="0" w:line="166" w:lineRule="exact"/>
        <w:rPr>
          <w:rFonts w:ascii="Arial" w:cs="Arial" w:eastAsia="Arial" w:hAnsi="Arial"/>
          <w:sz w:val="17"/>
          <w:szCs w:val="17"/>
          <w:color w:val="auto"/>
        </w:rPr>
      </w:pPr>
    </w:p>
    <w:p>
      <w:pPr>
        <w:jc w:val="both"/>
        <w:ind w:left="640" w:right="220" w:hanging="320"/>
        <w:spacing w:after="0" w:line="27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and may enter into, license or other collaboration agreements that impose certain obligations on us. If we fail to comply with our obligations under such agreements with third parties or otherwise experience disruptions to our business relationships with our current or future licensors, we could lose rights that may be important to our business.</w:t>
      </w:r>
    </w:p>
    <w:p>
      <w:pPr>
        <w:spacing w:after="0" w:line="18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product discovery and development efforts.</w:t>
      </w:r>
    </w:p>
    <w:p>
      <w:pPr>
        <w:spacing w:after="0" w:line="250" w:lineRule="exact"/>
        <w:rPr>
          <w:rFonts w:ascii="Arial" w:cs="Arial" w:eastAsia="Arial" w:hAnsi="Arial"/>
          <w:sz w:val="17"/>
          <w:szCs w:val="17"/>
          <w:color w:val="auto"/>
        </w:rPr>
      </w:pPr>
    </w:p>
    <w:p>
      <w:pPr>
        <w:ind w:left="640" w:right="80" w:hanging="320"/>
        <w:spacing w:after="0" w:line="29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39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subject to economic, political, regulatory and other risks.</w:t>
      </w:r>
    </w:p>
    <w:p>
      <w:pPr>
        <w:spacing w:after="0" w:line="250" w:lineRule="exact"/>
        <w:rPr>
          <w:rFonts w:ascii="Arial" w:cs="Arial" w:eastAsia="Arial" w:hAnsi="Arial"/>
          <w:sz w:val="17"/>
          <w:szCs w:val="17"/>
          <w:color w:val="auto"/>
        </w:rPr>
      </w:pPr>
    </w:p>
    <w:p>
      <w:pPr>
        <w:ind w:left="640" w:right="26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depend heavily on our executive officers, principal consultants and others, and the loss of their services would materially harm our business.</w:t>
      </w:r>
    </w:p>
    <w:p>
      <w:pPr>
        <w:spacing w:after="0" w:line="166" w:lineRule="exact"/>
        <w:rPr>
          <w:rFonts w:ascii="Arial" w:cs="Arial" w:eastAsia="Arial" w:hAnsi="Arial"/>
          <w:sz w:val="17"/>
          <w:szCs w:val="17"/>
          <w:color w:val="auto"/>
        </w:rPr>
      </w:pPr>
    </w:p>
    <w:p>
      <w:pPr>
        <w:ind w:left="640" w:right="320" w:hanging="320"/>
        <w:spacing w:after="0" w:line="27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507365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price of our stock has been and may in the future be volatile, and you could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2"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This Annual Report on Form 10-K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statements about:</w:t>
      </w:r>
    </w:p>
    <w:p>
      <w:pPr>
        <w:spacing w:after="0" w:line="116" w:lineRule="exact"/>
        <w:rPr>
          <w:sz w:val="20"/>
          <w:szCs w:val="20"/>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 cost and timing of our product candidate development activities and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maintain intellectual property protection for our product candidates;</w:t>
      </w:r>
    </w:p>
    <w:p>
      <w:pPr>
        <w:spacing w:after="0" w:line="171" w:lineRule="exact"/>
        <w:rPr>
          <w:rFonts w:ascii="Arial" w:cs="Arial" w:eastAsia="Arial" w:hAnsi="Arial"/>
          <w:sz w:val="17"/>
          <w:szCs w:val="17"/>
          <w:color w:val="auto"/>
        </w:rPr>
      </w:pPr>
    </w:p>
    <w:p>
      <w:pPr>
        <w:ind w:left="640" w:right="28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to license additional intellectual property relating to our product candidates from third parties and to comply with our existing license agreements and collaboration agreements;</w:t>
      </w:r>
    </w:p>
    <w:p>
      <w:pPr>
        <w:spacing w:after="0" w:line="88"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and willingness of our third-party research institution collaborators to continue research and development activities relating to our product candidates;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commercialize our product candidates, if approved, in light of the intellectual property rights of others;</w:t>
      </w:r>
    </w:p>
    <w:p>
      <w:pPr>
        <w:spacing w:after="0" w:line="171" w:lineRule="exact"/>
        <w:rPr>
          <w:rFonts w:ascii="Arial" w:cs="Arial" w:eastAsia="Arial" w:hAnsi="Arial"/>
          <w:sz w:val="17"/>
          <w:szCs w:val="17"/>
          <w:color w:val="auto"/>
        </w:rPr>
      </w:pPr>
    </w:p>
    <w:p>
      <w:pPr>
        <w:ind w:left="640" w:right="94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further development and, if approved, commercialization of our product candidates;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approved;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plans to research, develop and, if approved, commercialize our product candidates;</w:t>
      </w:r>
    </w:p>
    <w:p>
      <w:pPr>
        <w:spacing w:after="0" w:line="171" w:lineRule="exact"/>
        <w:rPr>
          <w:rFonts w:ascii="Arial" w:cs="Arial" w:eastAsia="Arial" w:hAnsi="Arial"/>
          <w:sz w:val="17"/>
          <w:szCs w:val="17"/>
          <w:color w:val="auto"/>
        </w:rPr>
      </w:pPr>
    </w:p>
    <w:p>
      <w:pPr>
        <w:ind w:left="640" w:right="54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product candidates, if approved, and any other approved product;</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 if approved;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pricing and reimbursement of our product candidates, if approved;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24"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516890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40"/>
        <w:spacing w:after="0" w:line="278" w:lineRule="auto"/>
        <w:rPr>
          <w:sz w:val="20"/>
          <w:szCs w:val="20"/>
          <w:color w:val="auto"/>
        </w:rPr>
      </w:pPr>
      <w:r>
        <w:rPr>
          <w:rFonts w:ascii="Arial" w:cs="Arial" w:eastAsia="Arial" w:hAnsi="Arial"/>
          <w:sz w:val="17"/>
          <w:szCs w:val="17"/>
          <w:color w:val="auto"/>
        </w:rPr>
        <w:t>reference in this Annual Report on Form 10-K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6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67"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518795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1"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16" w:lineRule="exact"/>
        <w:rPr>
          <w:sz w:val="20"/>
          <w:szCs w:val="20"/>
          <w:color w:val="auto"/>
        </w:rPr>
      </w:pPr>
    </w:p>
    <w:p>
      <w:pPr>
        <w:ind w:left="640" w:right="44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Cerebrum</w:t>
      </w:r>
      <w:r>
        <w:rPr>
          <w:rFonts w:ascii="Arial" w:cs="Arial" w:eastAsia="Arial" w:hAnsi="Arial"/>
          <w:sz w:val="17"/>
          <w:szCs w:val="17"/>
          <w:color w:val="auto"/>
        </w:rPr>
        <w:t>™, our small molecule platform, utilizes deep understanding of neuronal excitability and neuronal networks and applies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of computational and experimental tools to develop orally available precision therapies</w:t>
      </w:r>
    </w:p>
    <w:p>
      <w:pPr>
        <w:spacing w:after="0" w:line="88" w:lineRule="exact"/>
        <w:rPr>
          <w:rFonts w:ascii="Arial" w:cs="Arial" w:eastAsia="Arial" w:hAnsi="Arial"/>
          <w:sz w:val="17"/>
          <w:szCs w:val="17"/>
          <w:color w:val="auto"/>
        </w:rPr>
      </w:pPr>
    </w:p>
    <w:p>
      <w:pPr>
        <w:ind w:left="640" w:right="50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Solidus</w:t>
      </w:r>
      <w:r>
        <w:rPr>
          <w:rFonts w:ascii="Arial" w:cs="Arial" w:eastAsia="Arial" w:hAnsi="Arial"/>
          <w:sz w:val="17"/>
          <w:szCs w:val="17"/>
          <w:color w:val="auto"/>
        </w:rPr>
        <w:t>™, our antisense oligonucleotide, or ASO, platform, is an efficient, targeted precision medicine discovery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 anchored on a proprietary, computational methodology</w:t>
      </w:r>
    </w:p>
    <w:p>
      <w:pPr>
        <w:spacing w:after="0" w:line="141"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Cerebrum</w:t>
      </w:r>
      <w:r>
        <w:rPr>
          <w:rFonts w:ascii="Arial" w:cs="Arial" w:eastAsia="Arial" w:hAnsi="Arial"/>
          <w:sz w:val="17"/>
          <w:szCs w:val="17"/>
          <w:color w:val="auto"/>
        </w:rPr>
        <w:t>™</w:t>
      </w:r>
      <w:r>
        <w:rPr>
          <w:rFonts w:ascii="Arial" w:cs="Arial" w:eastAsia="Arial" w:hAnsi="Arial"/>
          <w:sz w:val="17"/>
          <w:szCs w:val="17"/>
          <w:b w:val="1"/>
          <w:bCs w:val="1"/>
          <w:color w:val="auto"/>
        </w:rPr>
        <w:t xml:space="preserve"> (small molecule platform)</w:t>
      </w:r>
    </w:p>
    <w:p>
      <w:pPr>
        <w:spacing w:after="0" w:line="121"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 xml:space="preserve">We have built Cerebrum™, enabled by innovative computational and experimental tools, to discover and develop first- and best-in-class CNS small molecule therapies. Our world-class ion channel discovery science team, along with external collaborators, accelerate our ability to create and execute novel screening cascades for our selected genetic targets. Fundamental to advancement of candidates are our multiscale disease models that link genetic cause to network function to elucidate novel drivers of disease phenotype. We employ translational biomarkers such as </w:t>
      </w:r>
      <w:r>
        <w:rPr>
          <w:rFonts w:ascii="Arial" w:cs="Arial" w:eastAsia="Arial" w:hAnsi="Arial"/>
          <w:sz w:val="17"/>
          <w:szCs w:val="17"/>
          <w:color w:val="202124"/>
        </w:rPr>
        <w:t>quantitative electroencephalography</w:t>
      </w:r>
      <w:r>
        <w:rPr>
          <w:rFonts w:ascii="Arial" w:cs="Arial" w:eastAsia="Arial" w:hAnsi="Arial"/>
          <w:sz w:val="17"/>
          <w:szCs w:val="17"/>
          <w:color w:val="auto"/>
        </w:rPr>
        <w:t>, or qEEG, to guide dose selection, with the goal of improving probability of success in the clinic. The precision application of our candidates is guided by genomics and informatics to identify, stratify and activate patients for trial recruitment and execution. To date, Cerebrum™ has generated three clinical stage product candidates, ulixacaltamide (formerly known as PRAX-944), vormatrigine (formerly known as PRAX-628) and relutrigine (formerly known as PRAX-562), as well as PRAX-020 which has been in-licensed by UCB Biopharma SRL, or UCB. Cerebrum™ has the potential to continue delivering first- and best-in-class orally available therapies for genetic CNS targets.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Solidus</w:t>
      </w:r>
      <w:r>
        <w:rPr>
          <w:rFonts w:ascii="Arial" w:cs="Arial" w:eastAsia="Arial" w:hAnsi="Arial"/>
          <w:sz w:val="17"/>
          <w:szCs w:val="17"/>
          <w:color w:val="auto"/>
        </w:rPr>
        <w:t>™</w:t>
      </w:r>
      <w:r>
        <w:rPr>
          <w:rFonts w:ascii="Arial" w:cs="Arial" w:eastAsia="Arial" w:hAnsi="Arial"/>
          <w:sz w:val="17"/>
          <w:szCs w:val="17"/>
          <w:b w:val="1"/>
          <w:bCs w:val="1"/>
          <w:color w:val="auto"/>
        </w:rPr>
        <w:t xml:space="preserve"> (ASO platform)</w:t>
      </w:r>
    </w:p>
    <w:p>
      <w:pPr>
        <w:spacing w:after="0" w:line="121"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We have built Solidus™ to discover and develop first- and best-in-class ASOs with high probability of advancement into the clinic. Solidus™ is enabled by our proprietary, computational workflow to discover ASOs with desired drug-like properties to optimize for up/down-regulation, avoidance of toxic motifs and optimization of binding affinity and specificity. Led by our clinical-stage product candidate, elsunersen (formerly known as PRAX-222), Solidus™ has also generated three novel ASOs with preclinical proof of mechanism that we expect to nominate development candidates for in 2025 — PRAX-080 targeting PCDH19-related developmental epilepsy; PRAX-090 targeting SYNGAP1 loss-of-function, or LoF, mutation driven developmental epilepsy; and PRAX-100 targeting SCN2A LoF mutations, the predominant genetic link to de novo autism spectrum disorders. The platform is uniquely positioned to continue discovering and advancing other new ASOs for novel genetic CNS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Below is a summary of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153035</wp:posOffset>
            </wp:positionV>
            <wp:extent cx="5420995" cy="2522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20995" cy="252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^PRAX-020 (KCNT1) has been in-licensed by UCB Biopharma SRL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 &amp; Approach to Drug Development</w:t>
      </w:r>
    </w:p>
    <w:p>
      <w:pPr>
        <w:spacing w:after="0" w:line="121"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 xml:space="preserve">We leverage the genetics of epilepsy as a gateway for CNS drug discovery and development. Recent investigations have led to the identification of over 900 genes that are causal or risk factors for different forms of epilepsy, providing the field with an outsized understanding of epilepsy genetics relative to other diseases such as Alzheimer’s disease, </w:t>
      </w:r>
      <w:r>
        <w:rPr>
          <w:rFonts w:ascii="Arial" w:cs="Arial" w:eastAsia="Arial" w:hAnsi="Arial"/>
          <w:sz w:val="17"/>
          <w:szCs w:val="17"/>
          <w:color w:val="202124"/>
        </w:rPr>
        <w:t>amyotrophic lateral sclerosis, or</w:t>
      </w:r>
      <w:r>
        <w:rPr>
          <w:rFonts w:ascii="Arial" w:cs="Arial" w:eastAsia="Arial" w:hAnsi="Arial"/>
          <w:sz w:val="17"/>
          <w:szCs w:val="17"/>
          <w:color w:val="auto"/>
        </w:rPr>
        <w:t xml:space="preserve"> ALS, and many others. The genetic origin provides clarity around how to address the underlying disease biology and precisely meet the needs of patients not only suffering from epilepsy, but also other neurological disorders of neuronal imbalance with shared pathophysiological mechanisms informed by the same genetics, including movement disorders. It is through our two platforms, Cerebrum™ and Solidus™, that we aim to translate these insights into the discovery, development and potential commercialization of clinically meaningful medicines for patients.</w:t>
      </w:r>
    </w:p>
    <w:p>
      <w:pPr>
        <w:spacing w:after="0" w:line="173"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We believe that fostering an ecosystem of collaborators to support our internal research, clinical and commercial efforts is critical to our strategy. Our collaborators include world-renowned research groups and drug developers, clinical research organizations, or CROs, innovative patient mapping database companies, experts in translational tools, next-generation drug delivery technology companies and others. In addition, we are deeply embedded within the communities that we serve and believe that the more we know about the impact on patients, caregivers and communities at large, the better positioned we will be to deliver on what patients actually need.</w:t>
      </w:r>
    </w:p>
    <w:p>
      <w:pPr>
        <w:spacing w:after="0" w:line="167" w:lineRule="exact"/>
        <w:rPr>
          <w:sz w:val="20"/>
          <w:szCs w:val="20"/>
          <w:color w:val="auto"/>
        </w:rPr>
      </w:pPr>
    </w:p>
    <w:p>
      <w:pPr>
        <w:ind w:right="40" w:firstLine="433"/>
        <w:spacing w:after="0" w:line="300" w:lineRule="auto"/>
        <w:rPr>
          <w:sz w:val="20"/>
          <w:szCs w:val="20"/>
          <w:color w:val="auto"/>
        </w:rPr>
      </w:pPr>
      <w:r>
        <w:rPr>
          <w:rFonts w:ascii="Arial" w:cs="Arial" w:eastAsia="Arial" w:hAnsi="Arial"/>
          <w:sz w:val="17"/>
          <w:szCs w:val="17"/>
          <w:color w:val="auto"/>
        </w:rPr>
        <w:t>Underlying each of our programs are four key principles that we believe will increase probability of success and allow us to sustainably and efficiently translate insights into high-impact therapies for patients and society:</w:t>
      </w:r>
    </w:p>
    <w:p>
      <w:pPr>
        <w:spacing w:after="0" w:line="88" w:lineRule="exact"/>
        <w:rPr>
          <w:sz w:val="20"/>
          <w:szCs w:val="20"/>
          <w:color w:val="auto"/>
        </w:rPr>
      </w:pPr>
    </w:p>
    <w:p>
      <w:pPr>
        <w:jc w:val="both"/>
        <w:ind w:left="640" w:right="280" w:hanging="320"/>
        <w:spacing w:after="0" w:line="300" w:lineRule="auto"/>
        <w:tabs>
          <w:tab w:leader="none" w:pos="6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Focus on therapeutic targets identified through human genetics. </w:t>
      </w:r>
      <w:r>
        <w:rPr>
          <w:rFonts w:ascii="Arial" w:cs="Arial" w:eastAsia="Arial" w:hAnsi="Arial"/>
          <w:sz w:val="17"/>
          <w:szCs w:val="17"/>
          <w:color w:val="auto"/>
        </w:rPr>
        <w:t>By applying insights derived from the genetics of epilepsies,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identified biological targets that are implicated in determining neuronal excitability in epilepsies and also in other CNS disorders.</w:t>
      </w:r>
    </w:p>
    <w:p>
      <w:pPr>
        <w:spacing w:after="0" w:line="88" w:lineRule="exact"/>
        <w:rPr>
          <w:rFonts w:ascii="Arial" w:cs="Arial" w:eastAsia="Arial" w:hAnsi="Arial"/>
          <w:sz w:val="17"/>
          <w:szCs w:val="17"/>
          <w:color w:val="auto"/>
        </w:rPr>
      </w:pPr>
    </w:p>
    <w:p>
      <w:pPr>
        <w:ind w:left="640" w:hanging="320"/>
        <w:spacing w:after="0" w:line="266" w:lineRule="auto"/>
        <w:tabs>
          <w:tab w:leader="none" w:pos="6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Utilize translational tools to validate the potential of our targets and product candidates. </w:t>
      </w:r>
      <w:r>
        <w:rPr>
          <w:rFonts w:ascii="Arial" w:cs="Arial" w:eastAsia="Arial" w:hAnsi="Arial"/>
          <w:sz w:val="17"/>
          <w:szCs w:val="17"/>
          <w:color w:val="auto"/>
        </w:rPr>
        <w:t>We leverage translational tools to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confirm pharmacodynamic, or PD, effects of our drug product candidates in the brain and establish on-mechanism effects. Our programs utilize target-specific electroencephalogram, or EEG, endpoints to serve as robust markers of pharmacological engagement of the drug target and novel transgenic animal models to assess the therapeutic activity of our molecules. We expect these tools, along with rigorous preclinical pharmacokinetics, or PK, and PD characterization of our molecules will position us to more efficiently translate preclinical findings into clinical utility.</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hanging="320"/>
        <w:spacing w:after="0" w:line="264" w:lineRule="auto"/>
        <w:tabs>
          <w:tab w:leader="none" w:pos="628"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Pursue efficient, rigorous clinical development paths to proof-of-concept in humans</w:t>
      </w:r>
      <w:r>
        <w:rPr>
          <w:rFonts w:ascii="Arial" w:cs="Arial" w:eastAsia="Arial" w:hAnsi="Arial"/>
          <w:sz w:val="17"/>
          <w:szCs w:val="17"/>
          <w:color w:val="auto"/>
        </w:rPr>
        <w:t>. Our development strategies are focused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defining efficient paths to demonstrate the safety and therapeutic activity of our programs in humans. We select indications that we believe will enable early and robust demonstration of desired effect in a relatively small patient sample and we focus on clinical endpoints that minimize inter-patient variability. Our global network of CROs and scientists affords us the flexibility to conduct research and development activities in diverse geographic locations to help accelerate development timelines and limit geographic risks. We have also solidified our know-how on running hybrid and decentralized clinical trials, increasing our ability to execute our programs with quality and speed, while being closer to patients needs.</w:t>
      </w:r>
    </w:p>
    <w:p>
      <w:pPr>
        <w:spacing w:after="0" w:line="120" w:lineRule="exact"/>
        <w:rPr>
          <w:rFonts w:ascii="Arial" w:cs="Arial" w:eastAsia="Arial" w:hAnsi="Arial"/>
          <w:sz w:val="17"/>
          <w:szCs w:val="17"/>
          <w:color w:val="auto"/>
        </w:rPr>
      </w:pPr>
    </w:p>
    <w:p>
      <w:pPr>
        <w:ind w:left="640" w:right="40" w:hanging="320"/>
        <w:spacing w:after="0" w:line="268" w:lineRule="auto"/>
        <w:tabs>
          <w:tab w:leader="none" w:pos="628"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Apply patient-guided development strategies. </w:t>
      </w:r>
      <w:r>
        <w:rPr>
          <w:rFonts w:ascii="Arial" w:cs="Arial" w:eastAsia="Arial" w:hAnsi="Arial"/>
          <w:sz w:val="17"/>
          <w:szCs w:val="17"/>
          <w:color w:val="auto"/>
        </w:rPr>
        <w:t>We pursue the development of candidates that address the treatment needs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caregivers and the treating community, including targeting the underlying disease pathology versus just symptom management. We focus on clinical endpoints that offer a clear connection between PD effects and clinical measures that are meaningful to patients, physicians and regulatory agencies. We intend to develop therapies that provide patients long-term relief from their disorders and significantly reduce the overall burden to patients and caregivers. Our development strategies are tailored to demonstrate these benefits.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STAGE PROGRAMS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advanced four product candidates to clinical stage, including three small molecules through the Cerebrum™ platform and one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ASO through the Solidus™ platform: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Ulixacaltamide for Essential Tremor</w:t>
      </w:r>
    </w:p>
    <w:p>
      <w:pPr>
        <w:spacing w:after="0" w:line="121"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Our most advanced program, ulixacaltamide, is a differentiated and highly selective small molecule inhibitor of T-type calcium channels currently in Phase 3 clinical development for the treatment of Essential Tremor, or ET. Additionally, we have an exclusive collaboration and license agreement with Tenacia Biotechnology (Shanghai) Company, Ltd., a China-based portfolio company of Bain Capital, to develop and commercialize ulixacaltamide for the treatment of ET in China, Hong Kong, Macau and Taiwan. Ulixacaltamide has the potential to be developed for other indications, including Parkinson’s disease.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Ulixacaltamide Phase 3 Essential3 Program</w:t>
      </w:r>
    </w:p>
    <w:p>
      <w:pPr>
        <w:spacing w:after="0" w:line="11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Essential3 is a decentralized, Phase 3, multi-study, clinical trial evaluating the safety and efficacy of 60 mg of ulixacaltamide in ET. The trial includes two separate and simultaneous Phase 3 pivotal studies — a 12-week parallel design, placebo-controlled study (N=400), or Study 1, and a 12-week randomized withdrawal study (N=200), or Study 2 — with all participants undergoing one screening process and a long-term safety study, or LTSS. The study uses the modified Activities of Daily Living 11, or mADL11, as the primary endpoint. A pre-planned interim analysis of Study 1 was conducted in the first quarter of 2025. The Independent Data Monitoring Committee, or IDMC, overseeing the interim analysis of Study 1 of the Essential3 program has provided Praxis with the outcome of such analysis. Based on the predefined decision framework for Study 1, the IDMC has recommended that the study be stopped for futility, due to the results being unlikely to meet the primary efficacy endpoint under the parameters set by the statistical model. The committee also indicated that some underlying assumptions of the statistical model might have influenced this outcome and encouraged us to explore alternative analysis methods. Given the advanced state of enrollment for both Study 1 and Study 2 in the Essential3 program, and in the context of the advice received by the IDMC, we have decided to continue both studies to completion, with topline results expected in the third quarter of 2025. The decision about whether the data supports the submission of an NDA will be made after analyzing the final results for Study 1 and Study 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Essential1 study</w:t>
      </w:r>
    </w:p>
    <w:p>
      <w:pPr>
        <w:spacing w:after="0" w:line="119"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The Essential1 study was a multi-center, randomized, double-blind, placebo-controlled, dose-range finding Phase 2b clinical trial evaluating the efficacy, safety and tolerability of once-daily treatment of ulixacaltamide compared to placebo after 56 days in participants with moderate-to-severe ET. Topline results for the Phase 2b Essential1 study were announced in the first quarter of 2023. Results of the Essential1 study informed the design of the Phase 3 Essential3 program.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Essential Tremor</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ET is the most common movement disorder with a prevalence of approximately seven million patients in the United States alone, including more than two million diagnosed patients, one million of whom are actively treated for their ET. ET is characterized by involuntary rhythmic movements in the upper limbs that significantly disrupt ability to function and are progressive in nature. There is only one approved pharmacotherapy for ET, a beta blocker (propranolol), approved by the FDA for ET in 1986, that offers limited efficacy and poor tolerability and is contraindicated for comorbidities that affect a significant share of the ET population. Other CNS drugs are used off-label, though similarly are characterized by limited efficacy and poor tolerability. For these reasons, approximately 40% of patients who seek pharmacotherapy treatment discontinue within two years. As a last line therapy, a small subset of patients will opt for invasive procedures such as gamma knife and MRI guided focused ultrasound thalamotomy, where part of the thalamus involved in the cerebello-thalamo-cortical, or CTC, circuit is ablated, or deep brain stimulation, or DBS, where an electrode is implanted to deliver therapeutic electrical stimulation to the thalamus. While these procedures are generally effective, they are associated with significant side effects and risk. Therefore, many patients who are eligible elect not to have these procedures. Key findings from a combined analysis of over 400 ET patients that we conducted included that up to 80% of patients adjust how they complete daily tasks due to burden of the disease, and 77% of patients do not feel their disease is adequately managed with current treatments. In totality, there is significant unmet need for an effective and tolerable pharmacotherapy targeted for ET.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Vormatrigine for Common Epilepsies (Focal Onset Seizures and Generalized Epilepsy)</w:t>
      </w:r>
    </w:p>
    <w:p>
      <w:pPr>
        <w:spacing w:after="0" w:line="121" w:lineRule="exact"/>
        <w:rPr>
          <w:sz w:val="20"/>
          <w:szCs w:val="20"/>
          <w:color w:val="auto"/>
        </w:rPr>
      </w:pPr>
    </w:p>
    <w:p>
      <w:pPr>
        <w:ind w:firstLine="433"/>
        <w:spacing w:after="0" w:line="252" w:lineRule="auto"/>
        <w:rPr>
          <w:sz w:val="20"/>
          <w:szCs w:val="20"/>
          <w:color w:val="auto"/>
        </w:rPr>
      </w:pPr>
      <w:r>
        <w:rPr>
          <w:rFonts w:ascii="Arial" w:cs="Arial" w:eastAsia="Arial" w:hAnsi="Arial"/>
          <w:sz w:val="17"/>
          <w:szCs w:val="17"/>
          <w:color w:val="auto"/>
        </w:rPr>
        <w:t>Vormatrigine is a next-generation, functionally selective small molecule targeting the hyperexcitable state of sodium-channels in the brain and is currently being developed as a once daily, oral treatment for adult focal onset epilepsy. Preclinical data demonstrates vormatrigine is differentiated from standard of care, with the potential to be best-in-class for focal epilepsy. In vitro, vormatrigine has demonstrated superior selectivity for disease-state NaV channel hyperexcitability. In vivo studies of vormatrigine have demonstrated unprecedented potency in the maximal electroshock seizure, or MES, model, a highly predictive translational model for efficacy in focal epilepsy. Data from a Phase 1 study demonstrated that vormatrigine was well-tolerated in healthy subjects at greater than 15 times the predicted human equivalent of the mouse MES EC</w:t>
      </w:r>
      <w:r>
        <w:rPr>
          <w:rFonts w:ascii="Arial" w:cs="Arial" w:eastAsia="Arial" w:hAnsi="Arial"/>
          <w:sz w:val="22"/>
          <w:szCs w:val="22"/>
          <w:color w:val="auto"/>
          <w:vertAlign w:val="subscript"/>
        </w:rPr>
        <w:t>50</w:t>
      </w:r>
      <w:r>
        <w:rPr>
          <w:rFonts w:ascii="Arial" w:cs="Arial" w:eastAsia="Arial" w:hAnsi="Arial"/>
          <w:sz w:val="17"/>
          <w:szCs w:val="17"/>
          <w:color w:val="auto"/>
        </w:rPr>
        <w:t>. We initiated our ENERGY program to advance vormatrigine through efficacy and registrational trials in focal onset seizures, or FOS, and generalized epilepsy.</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ENERGY Program</w:t>
      </w:r>
    </w:p>
    <w:p>
      <w:pPr>
        <w:spacing w:after="0" w:line="119" w:lineRule="exact"/>
        <w:rPr>
          <w:sz w:val="20"/>
          <w:szCs w:val="20"/>
          <w:color w:val="auto"/>
        </w:rPr>
      </w:pPr>
    </w:p>
    <w:p>
      <w:pPr>
        <w:ind w:right="520" w:firstLine="433"/>
        <w:spacing w:after="0" w:line="300" w:lineRule="auto"/>
        <w:rPr>
          <w:sz w:val="20"/>
          <w:szCs w:val="20"/>
          <w:color w:val="auto"/>
        </w:rPr>
      </w:pPr>
      <w:r>
        <w:rPr>
          <w:rFonts w:ascii="Arial" w:cs="Arial" w:eastAsia="Arial" w:hAnsi="Arial"/>
          <w:sz w:val="17"/>
          <w:szCs w:val="17"/>
          <w:color w:val="auto"/>
        </w:rPr>
        <w:t>Our ENERGY program for vormatrigine aims to generate efficacy, safety and PK data to serve as the basis of regulatory registrations globally. The program consists of four studies — EMPOWER, RADIANT, POWER1 and POWER2.</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EMPOWER Observational Study</w:t>
      </w:r>
    </w:p>
    <w:p>
      <w:pPr>
        <w:spacing w:after="0" w:line="119" w:lineRule="exact"/>
        <w:rPr>
          <w:sz w:val="20"/>
          <w:szCs w:val="20"/>
          <w:color w:val="auto"/>
        </w:rPr>
      </w:pPr>
    </w:p>
    <w:p>
      <w:pPr>
        <w:ind w:right="20" w:firstLine="393"/>
        <w:spacing w:after="0" w:line="271" w:lineRule="auto"/>
        <w:rPr>
          <w:sz w:val="20"/>
          <w:szCs w:val="20"/>
          <w:color w:val="auto"/>
        </w:rPr>
      </w:pPr>
      <w:r>
        <w:rPr>
          <w:rFonts w:ascii="Arial" w:cs="Arial" w:eastAsia="Arial" w:hAnsi="Arial"/>
          <w:sz w:val="17"/>
          <w:szCs w:val="17"/>
          <w:color w:val="auto"/>
        </w:rPr>
        <w:t>EMPOWER is an observational study in partnership with the Epilepsy Study Consortium that aims to better characterize seizure burden. We began enrolling patients in 2024 and we expect to generate standardized, longitudinal data to support planned interventional trials and deepen our understanding of patient experiences with epilepsy. Preliminary findings from EMPOWER revealed a significant disease burden compounded by persistent, uncontrolled and often untracked seizures alongside profound psychosocial impact.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RADIANT Phase 2 Study</w:t>
      </w:r>
    </w:p>
    <w:p>
      <w:pPr>
        <w:spacing w:after="0" w:line="119" w:lineRule="exact"/>
        <w:rPr>
          <w:sz w:val="20"/>
          <w:szCs w:val="20"/>
          <w:color w:val="auto"/>
        </w:rPr>
      </w:pPr>
    </w:p>
    <w:p>
      <w:pPr>
        <w:jc w:val="both"/>
        <w:ind w:right="40" w:firstLine="393"/>
        <w:spacing w:after="0" w:line="278" w:lineRule="auto"/>
        <w:rPr>
          <w:sz w:val="20"/>
          <w:szCs w:val="20"/>
          <w:color w:val="auto"/>
        </w:rPr>
      </w:pPr>
      <w:r>
        <w:rPr>
          <w:rFonts w:ascii="Arial" w:cs="Arial" w:eastAsia="Arial" w:hAnsi="Arial"/>
          <w:sz w:val="17"/>
          <w:szCs w:val="17"/>
          <w:color w:val="auto"/>
        </w:rPr>
        <w:t>We have initiated RADIANT, a Phase 2 open-label study to evaluate PK, safety and efficacy of vormatrigine in up to 50 patients with FOS or generalized epilepsy. Patients will be treated with a 30 mg dose over an 8-week period to evaluate the impact of vormatrigine on seizure burden. We anticipate topline results by mid-year 2025.</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POWER1 and POWER 2 Phase 2/3 Registrational Studies</w:t>
      </w:r>
    </w:p>
    <w:p>
      <w:pPr>
        <w:spacing w:after="0" w:line="119"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POWER1 and POWER2 are two 12-week Phase 2/3 studies in patients with FOS to evaluate the efficacy of vormatrigine. We have initiated and plan to enroll approximately 250 patients in POWER1, which is assessing adjunctive treatment that allows dosing of vormatrigine on top of one to three antiseizure medications. POWER1 is a parallel-arm study, comparing a treatment arm of 20 mg for six weeks followed by 30 mg for six weeks versus a placebo arm for 12 weeks. We anticipate topline results in the second half of 2025. POWER2 will be a multi-arm, 12-week registrational study for vormatrigine, and we expect to begin enrollment of the study in the second half of 2025.</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2a Photo-Paroxysmal Response study</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We conducted a Phase 2a Photo-Paroxysmal Response, or PPR, study to evaluate the efficacy and safety of vormatrigine across two cohorts, dosed at 15 mg and 45 mg. PPR studies measure EEG signatures after intermittent photic stimulation and are widely used as a marker of anti-seizure efficacy and to aid in dose determination. We announced topline results in the first quarter of 2024, with 100% of patients responding in both cohorts. In the 15 mg cohort (n=5), 80% of patients achieved a complete response and 20% achieved a partial response. In the 45 mg cohort (n=3), 100% of patients achieved a complete response. Safety results were consistent with our prior Phase 1 dose escalation study of vormatrigine and PK analysis confirmed therapeutic exposures.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Vormatrigine Phase 1 studies</w:t>
      </w:r>
    </w:p>
    <w:p>
      <w:pPr>
        <w:spacing w:after="0" w:line="119" w:lineRule="exact"/>
        <w:rPr>
          <w:sz w:val="20"/>
          <w:szCs w:val="20"/>
          <w:color w:val="auto"/>
        </w:rPr>
      </w:pPr>
    </w:p>
    <w:p>
      <w:pPr>
        <w:ind w:right="220" w:firstLine="433"/>
        <w:spacing w:after="0" w:line="262" w:lineRule="auto"/>
        <w:rPr>
          <w:sz w:val="20"/>
          <w:szCs w:val="20"/>
          <w:color w:val="auto"/>
        </w:rPr>
      </w:pPr>
      <w:r>
        <w:rPr>
          <w:rFonts w:ascii="Arial" w:cs="Arial" w:eastAsia="Arial" w:hAnsi="Arial"/>
          <w:sz w:val="17"/>
          <w:szCs w:val="17"/>
          <w:color w:val="auto"/>
        </w:rPr>
        <w:t>We have conducted Phase 1 healthy volunteer studies of vormatrigine to evaluate the tolerability, PK, PD and food effect of vormatrigine across single and multiple ascending dose cohorts and first announced topline results in the second quarter of 2023. This first clinical study of vormatrigine was a randomized, double-blind, placebo-controlled single ascending dose, or SAD, and multiple ascending dose, or MAD, trial in healthy participants aged 18-55 years. Vormatrigine was generally well-tolerated at all tested doses. PK data demonstrated dose-dependent exposure, supporting once-daily dosing without titration to achieve potentially therapeutically effective drug concentration levels. No adverse events, or AEs, or AEs of special interest led to study drug withdrawal, and no clinically significant findings on vital signs, electrocardiogram or neurological examination were observed. All AEs were mild, mostly transient (lasting minutes to hours), and resolved spontaneously, with the most common AEs being CNS-related. Results from an additional 45 mg MAD cohort showed a dose proportional increase in exposure with favorable tolerability, similar to the 20 and 30 mg MAD cohorts. In addition, a Phase 1 food effect study demonstrated that food intake did not affect vormatrigine absorption, which increases the flexibility in dosing and ease of use of vormatrigine.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Epilepsies (Focal Onset Seizures and Generalized Epilepsy)</w:t>
      </w:r>
    </w:p>
    <w:p>
      <w:pPr>
        <w:spacing w:after="0" w:line="119"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An estimated 3.5 million people in the United States suffer from common epilepsies, with FOS being the most common type of epilepsy, accounting for approximately 60% of all cases. FOS are characterized by seizures that originate in one side or area of the brain and affects one side of the body. Sodium channel therapy is the cornerstone of treatment for patients with epilepsy yet currently approved drugs have significant safety and efficacy limitations. Despite the plethora of marketed treatments, including sodium channel targeting antiepileptic drugs, or AEDs, such as Tegretol (carbamazepine), Lamictal (lamotrigine), Xcopri (cenobamate), at least 30% of patients remain refractory to treatment.</w:t>
      </w:r>
    </w:p>
    <w:p>
      <w:pPr>
        <w:spacing w:after="0" w:line="167"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There are two forms of therapeutically relevant sodium current: (1) persistent sodium current and (2) peak sodium current. Standard of care sodium channel targeting AEDs can produce severe toxicity at therapeutic doses from excessive inhibition of peak sodium current, as physiological levels of peak sodium current are required for normal neuronal function. Therefore, novel compounds that inhibit persistent and peak sodium channel hyperexcitability while sparing physiological levels of peak sodium current may improve clinical efficacy and tolerability.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Relutrigine for Developmental and Epileptic Encephalopathies</w:t>
      </w:r>
    </w:p>
    <w:p>
      <w:pPr>
        <w:spacing w:after="0" w:line="121"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Relutrigine is a first-in-class preferential inhibitor of persistent sodium current, presently in development for the treatment of developmental and epileptic encephalopathies, or DEEs. In-vivo studies of relutrigine have demonstrated dose-dependent block of seizures up to complete inhibition of seizure activity in SCN2A, SCN8A and other DEE mouse models. Relutrigine has been generally well-tolerated in three Phase 1 studies and has demonstrated biomarker changes indicative of voltage-gated sodium channel, or NaV channel, blocking effects. Relutrigine has received Orphan Drug Designation, or ODD, and Rare Pediatric Disease Designation, or RPD, from the FDA, and ODD from the European Medicines Agency, or EMA, for the treatment of SCN2A-DEE and SCN8A-DEE, respectively. Relutrigine has also received RPD from the FDA for the treatment of Dravet Syndrome.</w:t>
      </w:r>
    </w:p>
    <w:p>
      <w:pPr>
        <w:spacing w:after="0" w:line="173"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We are currently evaluating relutrigine in the EMBOLD study for SCN2A-DEE and SCN8A-DEE, with plans to initiate the EMERALD study in a broader DEE patient population by mid-year 2025.</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2 EMBOLD study</w:t>
      </w:r>
    </w:p>
    <w:p>
      <w:pPr>
        <w:spacing w:after="0" w:line="119" w:lineRule="exact"/>
        <w:rPr>
          <w:sz w:val="20"/>
          <w:szCs w:val="20"/>
          <w:color w:val="auto"/>
        </w:rPr>
      </w:pPr>
    </w:p>
    <w:p>
      <w:pPr>
        <w:jc w:val="both"/>
        <w:ind w:right="40" w:firstLine="433"/>
        <w:spacing w:after="0" w:line="278" w:lineRule="auto"/>
        <w:rPr>
          <w:sz w:val="20"/>
          <w:szCs w:val="20"/>
          <w:color w:val="auto"/>
        </w:rPr>
      </w:pPr>
      <w:r>
        <w:rPr>
          <w:rFonts w:ascii="Arial" w:cs="Arial" w:eastAsia="Arial" w:hAnsi="Arial"/>
          <w:sz w:val="17"/>
          <w:szCs w:val="17"/>
          <w:color w:val="auto"/>
        </w:rPr>
        <w:t>The EMBOLD study is a randomized, double-blind, placebo-controlled Phase 2 clinical trial evaluating the safety, tolerability, efficacy (motor seizure frequency) and PK of relutrigine in pediatric participants aged 2 to 18 years with DEEs, followed by an open-label extension, or OLE. We announced topline results of the first cohort of</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EMBOLD study (n=16) in the third quarter of 2024. Relutrigine was generally safe and well-tolerated with no drug-related serious adverse events or dose reductions required. Patients on relutrigine observed a placebo-adjusted reduction of 46% in monthly motor seizures from baseline over a 16-week period, and there were meaningful gains observed in patients' alertness, communication and seizure severity. Patients continuing into the ongoing OLE (n=13) saw a 77% reduction in motor seizures from baseline through nine months of treatment. Over 30% of patients (n=5) achieved seizure freedom status for a median of 46 days, inclusive of the OLE period, compared to three days at baseline.</w:t>
      </w:r>
    </w:p>
    <w:p>
      <w:pPr>
        <w:spacing w:after="0" w:line="167" w:lineRule="exact"/>
        <w:rPr>
          <w:sz w:val="20"/>
          <w:szCs w:val="20"/>
          <w:color w:val="auto"/>
        </w:rPr>
      </w:pPr>
    </w:p>
    <w:p>
      <w:pPr>
        <w:ind w:right="460" w:firstLine="433"/>
        <w:spacing w:after="0" w:line="300" w:lineRule="auto"/>
        <w:rPr>
          <w:sz w:val="20"/>
          <w:szCs w:val="20"/>
          <w:color w:val="auto"/>
        </w:rPr>
      </w:pPr>
      <w:r>
        <w:rPr>
          <w:rFonts w:ascii="Arial" w:cs="Arial" w:eastAsia="Arial" w:hAnsi="Arial"/>
          <w:sz w:val="17"/>
          <w:szCs w:val="17"/>
          <w:color w:val="auto"/>
        </w:rPr>
        <w:t>Based on these results, we are currently enrolling 80 patients with SCN2A and SCN8A DEEs in a second, registrational cohort for the EMBOLD study and expect topline results in the first half of 2026, followed by a potential NDA filing in 2026.</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Rare, monogenic DEEs</w:t>
      </w:r>
    </w:p>
    <w:p>
      <w:pPr>
        <w:spacing w:after="0" w:line="11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Epilepsies are common neurological disorders characterized by brain excitation-inhibition, or E/I, imbalance. Hyperexcitability can lead to abnormal synchronization of neurons and neuronal circuits, which is the electrical basis of a seizure. Fundamentals of brain electrophysiology and mechanisms dictating seizure genesis are conserved across species and, consequently, animal models of seizures and epilepsy enable a clinically predictive and therefore efficient drug development path. A subset of epilepsies are rare, monogenic DEEs characterized by early onset (less than 2 years of age), frequent seizures, abnormal epileptiform EEG activity, developmental impairment and resistance to available AEDs. Furthermore, these DEEs are associated with a high mortality rate and comorbidities such as developmental delay in addition to behavioral disorders, movement disorders, pain and sensory dysfunction and sleep disruptions. The understanding of the etiology of DEEs has been revolutionized by recent whole-exome sequencing initiatives that revealed over 60 genetic causes of epilepsy.</w:t>
      </w:r>
    </w:p>
    <w:p>
      <w:pPr>
        <w:spacing w:after="0" w:line="175"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An underlying pathologic feature of many DEEs is dysregulated neuronal activity leading to hyperexcitability, seizures and associated comorbidities. This phenomenon is observed in many pediatric DEEs with an identified genetic cause, such as PCDH19, SCN8A, SCN2A, KCNT1, KCNQ2, KCNQ1, STXBP1 and SYNGAP1, as well as epilepsies in which a genetic cause remains unclear, such as Lennox Gastaut Syndrome, or Doose Syndrome. Up to 40% of DEEs are caused by single gene mutations, enabling precision medicine approaches. Given the overlapping biology, phenotypic presentation and clinical execution considerations, we believe that developing a portfolio of drugs to treat DEEs will create a distinct body of knowledge that can be leveraged within our operating ecosystem to develop meaningful therapies for this group of patients with devastating unmet clinical needs.</w:t>
      </w:r>
    </w:p>
    <w:p>
      <w:pPr>
        <w:spacing w:after="0" w:line="173" w:lineRule="exact"/>
        <w:rPr>
          <w:sz w:val="20"/>
          <w:szCs w:val="20"/>
          <w:color w:val="auto"/>
        </w:rPr>
      </w:pPr>
    </w:p>
    <w:p>
      <w:pPr>
        <w:ind w:firstLine="433"/>
        <w:spacing w:after="0" w:line="267" w:lineRule="auto"/>
        <w:rPr>
          <w:sz w:val="20"/>
          <w:szCs w:val="20"/>
          <w:color w:val="auto"/>
        </w:rPr>
      </w:pPr>
      <w:r>
        <w:rPr>
          <w:rFonts w:ascii="Arial" w:cs="Arial" w:eastAsia="Arial" w:hAnsi="Arial"/>
          <w:sz w:val="17"/>
          <w:szCs w:val="17"/>
          <w:color w:val="auto"/>
        </w:rPr>
        <w:t>Standard-of-care sodium channel blockers modulate neuronal activity by targeting peak sodium current, which can reverse the pathological neuronal hyperexcitability that underlies many CNS conditions, but simultaneously affects the physiological cellular action potential firing required for a functioning nervous and cardiovascular system. While standard-of-care sodium channel blockers inhibit persistent sodium current, they also block peak sodium current at therapeutic concentrations, which can cause significant AEs, such as ataxia, drowsiness and dizziness, and therefore have a very narrow Therapeutic Index, or TI, resulting in subpar outcomes for patients and significant need for better therapeutic options.</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SCN2A-DEE</w:t>
      </w:r>
    </w:p>
    <w:p>
      <w:pPr>
        <w:spacing w:after="0" w:line="11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Early onset SCN2A-DEE is a rare condition caused by a gain-of-function, or GoF, variant in the SCN2A gene. The SCN2A gene encodes the NaV1.2 subunit of brain sodium channels, which control neuronal excitability by regulating the flow of sodium ions into neurons. This movement of sodium ions is a major component of generating electrical signals called action potentials, the way in which the cells communicate. Early-onset SCN2A-DEE presents before three months of life and can lead to profound impact on patients, including drug-resistant seizures, significant cognitive impairment, movement disorders such as dystonia or ataxia, and problems in other body systems such as the gastrointestinal or ocular systems. Currently, there are no approved treatments for SCN2A-DEE, and the standard-of-care typically involves a regimen of many concurrent anti-seizure medications as well as medications for comorbidities. Despite these interventions, it is estimated that more than 80% of early-onset SCN2A-DEE patients live with uncontrolled seizures, and approximately 75% live with severe intellectual disability. It is estimated that there are approximately 2,000 patients in the United States with GoF changes in SCN2A leading to epileptic encephalopathy.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SCN8A-DEE</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SCN8A-DEE is a rare DEE caused by a GoF variant in the SCN8A gene. Similar to SCN2A-DEE, patients with SCN8A-DEE suffer from recurrent, typically drug-resistant seizures, which start as early as the first day of life. The seizures can be of multiple different types, up to dozens per day, with poor response to current treatment options. Patients with SCN8A-DEE have significant cognitive disabilities, ranging from moderate to severe, often have movement disorders, such as dystonia or ataxia, and have problems in other body systems such as the gastrointestinal or ocular systems. SCN8A-DEE patients also may experience autonomic features such as increases or decreases in heart rate, abnormal breathing and cyanosis. It is estimated that there are approximately 2,000 patients in the United States with SCN8A-DEE.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Dravet Syndrome</w:t>
      </w:r>
    </w:p>
    <w:p>
      <w:pPr>
        <w:spacing w:after="0" w:line="11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Dravet syndrome is a severe, progressive genetic epilepsy that typically begins within the first year of life, marked by frequent, prolonged, and treatment-resistant seizures. Beyond seizures, the condition often leads to intellectual disability, developmental delays, movement and balance difficulties, speech and language impairments, growth abnormalities, sleep disturbances, autonomic nervous system dysfunction, and mood disorders. Classified as a developmental and epileptic encephalopathy, Dravet syndrome is associated with significant cognitive and developmental impairments. Patients with this condition also face an elevated risk of early mortality, including due to sudden unexpected death in epilepsy, or SUDEP.</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Elsunersen for SCN2A-DEE</w:t>
      </w:r>
    </w:p>
    <w:p>
      <w:pPr>
        <w:spacing w:after="0" w:line="121"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Elsunersen is a clinical-stage ASO designed to down-regulate Na</w:t>
      </w:r>
      <w:r>
        <w:rPr>
          <w:rFonts w:ascii="Arial" w:cs="Arial" w:eastAsia="Arial" w:hAnsi="Arial"/>
          <w:sz w:val="15"/>
          <w:szCs w:val="15"/>
          <w:color w:val="auto"/>
        </w:rPr>
        <w:t>V</w:t>
      </w:r>
      <w:r>
        <w:rPr>
          <w:rFonts w:ascii="Arial" w:cs="Arial" w:eastAsia="Arial" w:hAnsi="Arial"/>
          <w:sz w:val="17"/>
          <w:szCs w:val="17"/>
          <w:color w:val="auto"/>
        </w:rPr>
        <w:t>1.2 expression, an effect that has demonstrated disease-modifying activity in animal models of SCN2A epileptic encephalopathy. In transgenic mice carrying a human SCN2A GoF mutation, we observed a significant, dose-dependent reduction in seizures and increased survival of mice treated with a mouse ASO that is designed to down-regulate SCN2A. The survival benefit from the ASO was maintained with repeat dosing. We also observed survival benefits following administration of a mouse ASO to a group of mice after onset of disease and around the time of onset of mortality. Elsunersen has received ODD and RPD from the FDA, and ODD and PRIority MEdicines, or PRIME, designation from the EMA for the treatment of SCN2A-DEE.</w:t>
      </w:r>
    </w:p>
    <w:p>
      <w:pPr>
        <w:spacing w:after="0" w:line="169" w:lineRule="exact"/>
        <w:rPr>
          <w:sz w:val="20"/>
          <w:szCs w:val="20"/>
          <w:color w:val="auto"/>
        </w:rPr>
      </w:pPr>
    </w:p>
    <w:p>
      <w:pPr>
        <w:ind w:right="60" w:firstLine="433"/>
        <w:spacing w:after="0" w:line="300" w:lineRule="auto"/>
        <w:rPr>
          <w:sz w:val="20"/>
          <w:szCs w:val="20"/>
          <w:color w:val="auto"/>
        </w:rPr>
      </w:pPr>
      <w:r>
        <w:rPr>
          <w:rFonts w:ascii="Arial" w:cs="Arial" w:eastAsia="Arial" w:hAnsi="Arial"/>
          <w:sz w:val="17"/>
          <w:szCs w:val="17"/>
          <w:color w:val="auto"/>
        </w:rPr>
        <w:t>We are continuing to evaluate elsunersen in the second cohort of the EMBRAVE study in Brazil, and plan to initiate EMBRAVE3, a Phase 3 registrational study, by mid-year 2025.</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EMBRAVE study</w:t>
      </w:r>
    </w:p>
    <w:p>
      <w:pPr>
        <w:spacing w:after="0" w:line="119" w:lineRule="exact"/>
        <w:rPr>
          <w:sz w:val="20"/>
          <w:szCs w:val="20"/>
          <w:color w:val="auto"/>
        </w:rPr>
      </w:pPr>
    </w:p>
    <w:p>
      <w:pPr>
        <w:ind w:right="40" w:firstLine="433"/>
        <w:spacing w:after="0" w:line="270" w:lineRule="auto"/>
        <w:rPr>
          <w:sz w:val="20"/>
          <w:szCs w:val="20"/>
          <w:color w:val="auto"/>
        </w:rPr>
      </w:pPr>
      <w:r>
        <w:rPr>
          <w:rFonts w:ascii="Arial" w:cs="Arial" w:eastAsia="Arial" w:hAnsi="Arial"/>
          <w:sz w:val="17"/>
          <w:szCs w:val="17"/>
          <w:color w:val="auto"/>
        </w:rPr>
        <w:t>Part 1 of the EMBRAVE study was a 21-week open label cohort, in which participants received elsunersen for up to 13 weeks, designed to determine the safety and tolerability of intrathecal delivery of elsunersen. No treatment related AEs or SAEs were observed. Additionally, patients observed a marked reduction in seizures and increase in seizure-free days. We are enrolling patients in the second cohort of the EMBRAVE study in Brazil, in which we are evaluating the safety and efficacy of elsunersen versus sham-procedure, and anticipate topline results in the first half of 2026.</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EMBRAVE3 study</w:t>
      </w:r>
    </w:p>
    <w:p>
      <w:pPr>
        <w:spacing w:after="0" w:line="11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plan to initiate EMBRAVE3, a global, 24-week, double-blind, sham procedure-controlled clinical trial to assess the efficacy, safety, tolerability and PK of elsunersen by mid-year 2025. We expect this to be a registrational trial consisting of three cohorts. Cohort 1 will enroll approximately 40 patients between 2 and 18 years of age experiencing at least four motor seizures during a four-week baseline period. The primary endpoint will assess the change in seizure frequency. Patients will be randomized 1:1 to a drug arm or a sham procedure arm. Patients in the drug arm will receive 1 mg of elsunersen intrathecally every 4 weeks for 24 weeks. Patients in the sham procedure arm will receive no treatment or intrathecal injection. Cohorts 2 and 3 will enroll patients from age 0 to 2 in a staggered fashion starting with patients ages 1-2 in Cohort 2. Cohort 3 patients will be enrolled following a safety review of the Cohort 2 patients. Patients will receive elsunersen 1.0mg and 0.5mg for Cohorts 2 and 3, respectively, for 24 weeks. All patients will have the option to continue into an open-label extension for an additional 24 weeks.</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1" w:lineRule="exact"/>
        <w:rPr>
          <w:sz w:val="20"/>
          <w:szCs w:val="20"/>
          <w:color w:val="auto"/>
        </w:rPr>
      </w:pPr>
    </w:p>
    <w:p>
      <w:pPr>
        <w:ind w:right="80" w:firstLine="433"/>
        <w:spacing w:after="0" w:line="278" w:lineRule="auto"/>
        <w:rPr>
          <w:sz w:val="20"/>
          <w:szCs w:val="20"/>
          <w:color w:val="auto"/>
        </w:rPr>
      </w:pPr>
      <w:r>
        <w:rPr>
          <w:rFonts w:ascii="Arial" w:cs="Arial" w:eastAsia="Arial" w:hAnsi="Arial"/>
          <w:sz w:val="17"/>
          <w:szCs w:val="17"/>
          <w:color w:val="auto"/>
        </w:rPr>
        <w:t>The biopharmaceutical industry is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including large and small pharmaceutical and biotechnology companies, academic research institutions, governmental agencies and public and private institutions. Additionally, we may face potential challenges in the adoption or acceptance of our product candidates, if approved, by prescribers due to the unfamiliarity of new treatments for previously untreated conditions or conditions where new treatments have not been developed for an extended period of time, such as ET, or unfamiliarity with utilizing new mechanisms such as the precision approach for sodium channel modulation utilized by relutrigine and vormatrigine. We believe continuing to develop medicines that significantly advance the standard of care for patients is the optimal strategy to differentiate us from competitors.</w:t>
      </w:r>
    </w:p>
    <w:p>
      <w:pPr>
        <w:spacing w:after="0" w:line="169"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convenience, cost, effectiveness of promotional support and intellectual property protection of our products. Our competitors fall primarily into the following groups of treatment:</w:t>
      </w:r>
    </w:p>
    <w:p>
      <w:pPr>
        <w:spacing w:after="0" w:line="114" w:lineRule="exact"/>
        <w:rPr>
          <w:sz w:val="20"/>
          <w:szCs w:val="20"/>
          <w:color w:val="auto"/>
        </w:rPr>
      </w:pPr>
    </w:p>
    <w:p>
      <w:pPr>
        <w:ind w:left="780" w:hanging="303"/>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strike w:val="1"/>
        </w:rPr>
        <w:t>A</w:t>
      </w:r>
      <w:r>
        <w:rPr>
          <w:rFonts w:ascii="Arial" w:cs="Arial" w:eastAsia="Arial" w:hAnsi="Arial"/>
          <w:sz w:val="17"/>
          <w:szCs w:val="17"/>
          <w:color w:val="auto"/>
        </w:rPr>
        <w:t>pproved therapies for ET, such as propranolol, and off-label therapies, such as primidone.</w:t>
      </w:r>
    </w:p>
    <w:p>
      <w:pPr>
        <w:spacing w:after="0" w:line="171" w:lineRule="exact"/>
        <w:rPr>
          <w:rFonts w:ascii="Arial" w:cs="Arial" w:eastAsia="Arial" w:hAnsi="Arial"/>
          <w:sz w:val="17"/>
          <w:szCs w:val="17"/>
          <w:color w:val="auto"/>
        </w:rPr>
      </w:pPr>
    </w:p>
    <w:p>
      <w:pPr>
        <w:ind w:left="800" w:right="300" w:hanging="323"/>
        <w:spacing w:after="0" w:line="271"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color w:val="auto"/>
        </w:rPr>
        <w:t>Sodium channel blocker or similar ion channel-targeting programs in development for common epilepsies, including those of SK-Pharma, Xenon Pharmaceuticals, and Biohaven Pharmaceuticals, as well as other programs in clinical development targeting other mechanisms of action including those from Lundbeck and Stoke Therapeutics, and approved therapies including other existing ion channel blockers.</w:t>
      </w:r>
    </w:p>
    <w:p>
      <w:pPr>
        <w:spacing w:after="0" w:line="166" w:lineRule="exact"/>
        <w:rPr>
          <w:sz w:val="20"/>
          <w:szCs w:val="20"/>
          <w:color w:val="auto"/>
        </w:rPr>
      </w:pPr>
    </w:p>
    <w:p>
      <w:pPr>
        <w:jc w:val="both"/>
        <w:ind w:right="620" w:firstLine="433"/>
        <w:spacing w:after="0" w:line="278" w:lineRule="auto"/>
        <w:rPr>
          <w:sz w:val="20"/>
          <w:szCs w:val="20"/>
          <w:color w:val="auto"/>
        </w:rPr>
      </w:pPr>
      <w:r>
        <w:rPr>
          <w:rFonts w:ascii="Arial" w:cs="Arial" w:eastAsia="Arial" w:hAnsi="Arial"/>
          <w:sz w:val="17"/>
          <w:szCs w:val="17"/>
          <w:color w:val="auto"/>
        </w:rPr>
        <w:t>Many of our competitors have substantially greater financial resources, expertise and capabilities in research and development, the regulatory approval process, manufacturing and marketing than we do. Smaller or early-stage companies may also prove to be significant competitors, particularly through merger and acquisition activity and sizeable collaborative arrangements with established companies.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1" w:lineRule="exact"/>
        <w:rPr>
          <w:sz w:val="20"/>
          <w:szCs w:val="20"/>
          <w:color w:val="auto"/>
        </w:rPr>
      </w:pPr>
    </w:p>
    <w:p>
      <w:pPr>
        <w:ind w:right="200" w:firstLine="433"/>
        <w:spacing w:after="0" w:line="266"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trademarks, copyrights and trade secrets relating to our proprietary technology platform and on know-how, continuing technological innovation and in-licensing opportunities to develop, strengthen and maintain our proprietary position in the field of neuroscience that may be important for the development of our business. We additionally may rely on regulatory and other protections afforded through data exclusivity, market exclusivity and patent term extensions, where available.</w:t>
      </w:r>
    </w:p>
    <w:p>
      <w:pPr>
        <w:spacing w:after="0" w:line="16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Patent expiration dates noted in the following paragraphs refer to statutory expiration dates and do not take into account any potential patent term adjustment or extension that may be available. Depending upon the timing, duration and specifics of FDA approval of our drug product candidates, some of our United States, or U.S., patents may be eligible for limited patent term extension. These patent term extensions permit a patent restoration term of up to five years as compensation for any patent term lost during product development and the FDA regulatory review process. However, patent term restoration cannot extend the remaining term of a patent beyond a total of 14 years from the drug product’s approval date. The patent term restoration period is generally one-half the time between the effective date of an IND and the submission date of a NDA, plus the time between the submission date of an NDA and the approval of that application. Only one patent applicable to an approved drug is eligible for the extension and the extension must be applied for prior to expiration of the patent. The United States Patent and Trademark Office, or the USPTO, in consultation with the FDA, reviews and approves the application for any patent term extension or restoration.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T-type Calcium channel blockers</w:t>
      </w:r>
    </w:p>
    <w:p>
      <w:pPr>
        <w:spacing w:after="0" w:line="121"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We own fourteen patent families directed to T-type Calcium channel blockers. One patent family discloses and claims compositions of matter of certain T-type calcium channel modulators, including ulixacaltamide. This patent family has issued in many major pharmaceutical markets and is pending in others and expires in 2029. A second patent family is directed to certain pharmaceutical formulations of ulixacaltamide and methods of use in treating disorders such as essential tremor. Three U.S. patents have issued in this patent family, and expire in 2040, and this family remains pending in multiple jurisdictions of potential commercial interest. A third family is directed to titration methods of using ulixacaltamide and expires in 2041. A fourth patent family is directed to certain analog compounds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of ulixacaltamide and expires in 2040. A fifth patent family is directed to the adjunctive use of a beta blocker and/or certain anticonvulsants with ulixacaltamide and expires in 2043. A sixth patent family is directed to a dosage form of ulixacaltamide and expires in 2044. A seventh patent family is directed to salt forms of ulixacaltamide and expires in 2044. An eighth patent family is directed to crystalline forms of ulixacaltamide and expires in 2044. A ninth patent family is directed to methods of treatment using ulixacaltamide and expires in 2044. A tenth patent family is directed to methods of treatment using ulixacaltamide and expires in 2044. The remaining patent families are directed to other TTCC blockers of various core structures and methods of use in treating diseases such as movement disorders, which expire in 2039 and 2040.</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Persistent sodium current blockers</w:t>
      </w:r>
    </w:p>
    <w:p>
      <w:pPr>
        <w:spacing w:after="0" w:line="121"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We own fifteen patent families directed to persistent sodium current blockers, including a patent family that relates to relutrigine and vormatrigine, two additional patent families that relate to relutrigine, and the remaining patent families relate to other persistent sodium current blockers. One patent family discloses and claims certain persistent sodium current blockers, including relutrigine and vormatrigine, and methods of use in treating diseases such as epilepsy (including pediatric epilepsy), as well as migraine and pain. In this patent family, relutrigine is covered by a patent that has granted in the United States, and patent applications pending in other potentially commercially relevant jurisdictions, which expire in 2039. In this same patent family, vormatrigine is covered by two granted U.S. patents that will expire in 2039. A second family discloses other persistent sodium current blockers and generically claims relutrigine, as well as methods of treating diseases such as pediatric epilepsy. This patent family is pending in multiple jurisdictions and expires in 2037. A third family is directed to pharmaceutical formulations of relutrigine, methods of use in treating diseases such as pediatric epilepsy, cephalgia, short-lasting unilateral neuralgiform headache attacks with conjunctival injection, or SUNCT, and tearing and short-lasting unilateral neuralgiform headache attacks with cranial autonomic symptoms, or SUNA, and methods of making relutrigine, and expires in 2040. The remaining patent families are directed to other persistent sodium current blockers of various core structures and methods of use in treating diseases such as pediatric epilepsy, expiring between 2037 and 2043.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SCN2A downregulation</w:t>
      </w:r>
    </w:p>
    <w:p>
      <w:pPr>
        <w:spacing w:after="0" w:line="121" w:lineRule="exact"/>
        <w:rPr>
          <w:sz w:val="20"/>
          <w:szCs w:val="20"/>
          <w:color w:val="auto"/>
        </w:rPr>
      </w:pPr>
    </w:p>
    <w:p>
      <w:pPr>
        <w:jc w:val="both"/>
        <w:ind w:right="120" w:firstLine="433"/>
        <w:spacing w:after="0" w:line="271" w:lineRule="auto"/>
        <w:rPr>
          <w:sz w:val="20"/>
          <w:szCs w:val="20"/>
          <w:color w:val="auto"/>
        </w:rPr>
      </w:pPr>
      <w:r>
        <w:rPr>
          <w:rFonts w:ascii="Arial" w:cs="Arial" w:eastAsia="Arial" w:hAnsi="Arial"/>
          <w:sz w:val="17"/>
          <w:szCs w:val="17"/>
          <w:color w:val="auto"/>
        </w:rPr>
        <w:t>We have exclusively in-licensed three patent families directed to our SCN2A program. Two of these patent families are owned by RogCon, Inc., and disclose and claim certain ASOs targeting SCN2A and methods of use in treating diseases such as epilepsy, including epilepsy having certain SCN2A mutations. One patent family is pending in the United States and expires in 2038. A second patent family is directed to methods of treating SCN1A encephalopathy using ASOs targeting SCN2A and expires in 2039.</w:t>
      </w:r>
    </w:p>
    <w:p>
      <w:pPr>
        <w:spacing w:after="0" w:line="166" w:lineRule="exact"/>
        <w:rPr>
          <w:sz w:val="20"/>
          <w:szCs w:val="20"/>
          <w:color w:val="auto"/>
        </w:rPr>
      </w:pPr>
    </w:p>
    <w:p>
      <w:pPr>
        <w:ind w:right="260" w:firstLine="433"/>
        <w:spacing w:after="0" w:line="300" w:lineRule="auto"/>
        <w:rPr>
          <w:sz w:val="20"/>
          <w:szCs w:val="20"/>
          <w:color w:val="auto"/>
        </w:rPr>
      </w:pPr>
      <w:r>
        <w:rPr>
          <w:rFonts w:ascii="Arial" w:cs="Arial" w:eastAsia="Arial" w:hAnsi="Arial"/>
          <w:sz w:val="17"/>
          <w:szCs w:val="17"/>
          <w:color w:val="auto"/>
        </w:rPr>
        <w:t>The other in-licensed patent family is owned by Ionis Pharmaceuticals, Inc., and is directed to compositions of matter of elsunersen. This family expires in 2041 and one U.S. patent has issued in this family.</w:t>
      </w:r>
    </w:p>
    <w:p>
      <w:pPr>
        <w:spacing w:after="0" w:line="141" w:lineRule="exact"/>
        <w:rPr>
          <w:sz w:val="20"/>
          <w:szCs w:val="20"/>
          <w:color w:val="auto"/>
        </w:rPr>
      </w:pPr>
    </w:p>
    <w:p>
      <w:pPr>
        <w:ind w:right="40" w:firstLine="433"/>
        <w:spacing w:after="0" w:line="267" w:lineRule="auto"/>
        <w:rPr>
          <w:sz w:val="20"/>
          <w:szCs w:val="20"/>
          <w:color w:val="auto"/>
        </w:rPr>
      </w:pPr>
      <w:r>
        <w:rPr>
          <w:rFonts w:ascii="Arial" w:cs="Arial" w:eastAsia="Arial" w:hAnsi="Arial"/>
          <w:sz w:val="17"/>
          <w:szCs w:val="17"/>
          <w:color w:val="auto"/>
        </w:rPr>
        <w:t>We own seven patent families directed to our elsunersen program. The first has claims directed to a method of treating SCN2A gain of function neurological diseases using certain ASOs. This patent family is pending in the United States and expires in 2041. The second is directed to methods of treating SCN2A-related disorders using SCN2A inhibitors and expires in 2043. The third is directed to methods of treating SCN2A-related disorders using SCN2A inhibitors and expires in 2044. The fourth is directed to compositions and methods for treating SCN2A disorders and expires in 2039. The fifth is directed to methods for detecting if a subject with an SCN2A disorder has a gain of function mutation and expires</w:t>
      </w:r>
    </w:p>
    <w:p>
      <w:pPr>
        <w:spacing w:after="0" w:line="1"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in 2039. The sixth is directed to oligonucleotides targeting SCN2A retained introns and expires in 2039. The seventh is directed to compositions and methods for treating disorders associated with loss-of-function mutations in SCN2A and expires in 2041.</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KCNT1 blockers</w:t>
      </w:r>
    </w:p>
    <w:p>
      <w:pPr>
        <w:spacing w:after="0" w:line="121" w:lineRule="exact"/>
        <w:rPr>
          <w:sz w:val="20"/>
          <w:szCs w:val="20"/>
          <w:color w:val="auto"/>
        </w:rPr>
      </w:pPr>
    </w:p>
    <w:p>
      <w:pPr>
        <w:jc w:val="both"/>
        <w:ind w:right="160" w:firstLine="433"/>
        <w:spacing w:after="0" w:line="300" w:lineRule="auto"/>
        <w:rPr>
          <w:sz w:val="20"/>
          <w:szCs w:val="20"/>
          <w:color w:val="auto"/>
        </w:rPr>
      </w:pPr>
      <w:r>
        <w:rPr>
          <w:rFonts w:ascii="Arial" w:cs="Arial" w:eastAsia="Arial" w:hAnsi="Arial"/>
          <w:sz w:val="17"/>
          <w:szCs w:val="17"/>
          <w:color w:val="auto"/>
        </w:rPr>
        <w:t>We own twelve patent families directed to KCNT1 blockers. These patent families disclose and claim small molecule KCNT1 blockers and methods of use in treating diseases, such as epilepsy, including epilepsy having certain KCNT1 mutations, and expire between 2040 and 2043.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 positive allosteric modulators</w:t>
      </w:r>
    </w:p>
    <w:p>
      <w:pPr>
        <w:spacing w:after="0" w:line="121" w:lineRule="exact"/>
        <w:rPr>
          <w:sz w:val="20"/>
          <w:szCs w:val="20"/>
          <w:color w:val="auto"/>
        </w:rPr>
      </w:pPr>
    </w:p>
    <w:p>
      <w:pPr>
        <w:jc w:val="both"/>
        <w:ind w:right="260" w:firstLine="433"/>
        <w:spacing w:after="0" w:line="278" w:lineRule="auto"/>
        <w:rPr>
          <w:sz w:val="20"/>
          <w:szCs w:val="20"/>
          <w:color w:val="auto"/>
        </w:rPr>
      </w:pPr>
      <w:r>
        <w:rPr>
          <w:rFonts w:ascii="Arial" w:cs="Arial" w:eastAsia="Arial" w:hAnsi="Arial"/>
          <w:sz w:val="17"/>
          <w:szCs w:val="17"/>
          <w:color w:val="auto"/>
        </w:rPr>
        <w:t>We own four patent families directed to GABA</w:t>
      </w:r>
      <w:r>
        <w:rPr>
          <w:rFonts w:ascii="Arial" w:cs="Arial" w:eastAsia="Arial" w:hAnsi="Arial"/>
          <w:sz w:val="15"/>
          <w:szCs w:val="15"/>
          <w:color w:val="auto"/>
        </w:rPr>
        <w:t>A</w:t>
      </w:r>
      <w:r>
        <w:rPr>
          <w:rFonts w:ascii="Arial" w:cs="Arial" w:eastAsia="Arial" w:hAnsi="Arial"/>
          <w:sz w:val="17"/>
          <w:szCs w:val="17"/>
          <w:color w:val="auto"/>
        </w:rPr>
        <w:t xml:space="preserve"> receptor positive allosteric modulators. One patent family discloses and claims salts and polymorphs of PRAX-114. Two patents are granted in the United States, which expire in 2039. A second patent family is directed to alternative salt forms of PRAX-114, and a U.S. patent has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20"/>
        <w:spacing w:after="0" w:line="300" w:lineRule="auto"/>
        <w:rPr>
          <w:sz w:val="20"/>
          <w:szCs w:val="20"/>
          <w:color w:val="auto"/>
        </w:rPr>
      </w:pPr>
      <w:r>
        <w:rPr>
          <w:rFonts w:ascii="Arial" w:cs="Arial" w:eastAsia="Arial" w:hAnsi="Arial"/>
          <w:sz w:val="17"/>
          <w:szCs w:val="17"/>
          <w:color w:val="auto"/>
        </w:rPr>
        <w:t>issued, which expires in 2042. Other patent applications cover methods of use in treating diseases (including the use of combination formulations), such as epilepsy, musculoskeletal conditions, motor disorder or essential tremor, which expire from 2042 to 2043.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PCDH19</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own one patent family directed to compositions and methods for the treatment of PCDH19 related disorders, which expires in 2042.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SYNGAP</w:t>
      </w:r>
    </w:p>
    <w:p>
      <w:pPr>
        <w:spacing w:after="0" w:line="121"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We own one patent family directed to compositions and methods for the treatment of disorders associated with loss-of-function mutations in SYNGAP1, which expires in 2041.</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RogCon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September 2019, we and RogCon, Inc., or RogCon, entered into a Cooperation and License Agreement, or the RogCon Agreement,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collaborate to develop ASOs for the treatment of epilepsy caused by mutations of the SCN2A gene. RogCon had an existing collaboration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arrangement with Ionis Pharmaceuticals, Inc., or Ionis, and as a result, we and Ionis negotiated a Research Collaboration, Option and License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Agreement, or the Ionis Agreement, (described below) in order to complete the license agreement with RogCon. Under the RogCon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RogCon granted us, subject to a concurrent license grant of certain rights to Ionis, an exclusive, worldwide license under RogCon’s intellectual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property to research, develop and commercialize products for the treatment of all forms of epilepsy and/or neurodevelopmental disorders in each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case caused by any mutation of the SCN2A gene. Under the RogCon Agreement, we will conduct, at our own cost and expense, the research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development activities assigned to us under the research plan set out in the Research Collaboration, Option and License Agreement with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Ionis. Under the terms of the RogCon Agreement, RogCon is eligible to receive a one-time milestone payment of $3.0 million as well as profit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share payments as a percentage of net profits in the mid-teens. Profit share payments will be calculated and due quarterly on any net profits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generated from a product commercialized under the RogCon Agreement. The $3.0 million milestone payment will become due when (i) the first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profit share payment has become due and payable and (ii) the Additional Milestone, the Initial Interest Amount and the Second Interest Amount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(each as defined within the Ionis Agreement as described below) have all become due and payable to Ionis under our collaboration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with Ionis. As part of the RogCon Agreement, we agreed to provide up-front consideration of $2.1 million, consisting of a $1.0 million deposit,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$0.7 million in cash reimbursements for certain historical costs previously incurred by RogCon and $0.4 million for the retirement of existing loan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balances as of September 11, 2019.</w:t>
      </w:r>
    </w:p>
    <w:p>
      <w:pPr>
        <w:spacing w:after="0" w:line="208" w:lineRule="exact"/>
        <w:rPr>
          <w:sz w:val="20"/>
          <w:szCs w:val="20"/>
          <w:color w:val="auto"/>
        </w:rPr>
      </w:pPr>
    </w:p>
    <w:p>
      <w:pPr>
        <w:ind w:right="220" w:firstLine="433"/>
        <w:spacing w:after="0" w:line="291" w:lineRule="auto"/>
        <w:rPr>
          <w:sz w:val="20"/>
          <w:szCs w:val="20"/>
          <w:color w:val="auto"/>
        </w:rPr>
      </w:pPr>
      <w:r>
        <w:rPr>
          <w:rFonts w:ascii="Arial" w:cs="Arial" w:eastAsia="Arial" w:hAnsi="Arial"/>
          <w:sz w:val="17"/>
          <w:szCs w:val="17"/>
          <w:color w:val="auto"/>
        </w:rPr>
        <w:t>Subsequent to September 11, 2019, we will reimburse RogCon for its out-of-pocket costs incurred for activities performed under the RogCon Agreement. We expense these costs as incurred as research and development. Expenses incurred for all periods presented were not material.</w:t>
      </w:r>
    </w:p>
    <w:p>
      <w:pPr>
        <w:spacing w:after="0" w:line="365"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Additionally, RogCon has agreed to certain defined exclusivity obligations. The RogCon Agreement, unless earlier terminated, will continue until the latest of: (i) the expiration of all patent rights within RogCon patents, (ii) we certify we have abandoned the research, development and commercialization of product with no intention to re-establish such activities and (iii) no third party is obligated to pay any amounts that comprise net sublicense revenue. Either party may terminate the RogCon Agreement for material breach or insolvency of the other party. Additionally, we may terminate for convenience with prior written notice to RogCon. Upon termination by either party, all rights and licenses granted by RogCon to us will revert back to RogCon.</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Ionis Collaboration Agreement</w:t>
      </w:r>
    </w:p>
    <w:p>
      <w:pPr>
        <w:spacing w:after="0" w:line="121"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In September 2019, we and Ionis entered into the Ionis Agreement to discover and develop ASOs to treat forms of epilepsy caused by mutations of the SCN2A gene. Pursuant to the Ionis Agreement, we and Ionis each conducted certain research activities and Ionis was responsible for identifying a development candidate and conducting an IND-enabling toxicology study. The design of the IND-enabling toxicology study was prepared and mutually agreed to by us and Ionis. We are obligated to reimburse any out-of-pocket costs incurred by Ionis related to research activities, identification of a development candidate and conducting IND-enabling studies. Ionis granted us an exclusive option to obtain the rights and license to further develop and commercialize a development candidate in the field of epilepsy and neurodevelopmental disorders, other than Dravet Syndrome, following the results of the IND-enabling toxicology study. We exercised this exclusive option in January 2022 and paid a $2.0 million license fee. Ionis is eligible to receive certain contingent payments from us relating to development and other milestones, interest payments, royalties as a percentage of net product sales worldwide in the low-20s and any potential sublicense fees calculated as a percentage of sublicense revenue using a rate in the low-to-mid double digits.</w:t>
      </w:r>
    </w:p>
    <w:p>
      <w:pPr>
        <w:spacing w:after="0" w:line="174"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Development milestones of $5.0 million for each product developed under the agreement are due upon the completion of the first clinical trial for each product, or the Development Milestone. Ionis will be entitled to receive an additional one-time milestone payment of $5.0 million, or the Additional Milestone, upon the earliest to occur of the following (each, a Payment Trigger): (i) the first acceptance of an NDA filing for a product by the regulatory authority in a major market, (ii) we have both (a) received, in the aggregate, $300.0 million in cash since September 11, 2019 and (b) initiated the first clinical study with respect to a product or (iii) the closing of a change of control event affecting Praxis. In addition, upon the occurrence of a Payment Trigger, Ionis is also entitled to certain interest payments equal to (i) 10% simple interest per annum calculated from the effective date of the agreement on the Additional Milestone, or the Initial Interest Amount, plus (ii) 10% simple interest per annum calculated from the date the Additional Milestone is paid on the initial Interest Amount, or the Second Interest Amount, until the earliest to occur of the following: (i) aggregate net sales of $100.0 million has been received, (ii) a change in control event affecting Praxis occurs or (iii) the Ionis Agreement has been terminated. Upon the occurrence of one of these three payment triggers, both the Initial Interest Amount and Second Interest Amount are due and payable to Ionis. In the second quarter of 2023, Ionis earned the Additional Milestone fee of $5.0 million, as well as the Initial Interest Amount of $1.9 million. The $6.9 million milestone fee was paid in July 2023.</w:t>
      </w:r>
    </w:p>
    <w:p>
      <w:pPr>
        <w:spacing w:after="0" w:line="177" w:lineRule="exact"/>
        <w:rPr>
          <w:sz w:val="20"/>
          <w:szCs w:val="20"/>
          <w:color w:val="auto"/>
        </w:rPr>
      </w:pPr>
    </w:p>
    <w:p>
      <w:pPr>
        <w:jc w:val="both"/>
        <w:ind w:right="120" w:firstLine="433"/>
        <w:spacing w:after="0" w:line="271" w:lineRule="auto"/>
        <w:rPr>
          <w:sz w:val="20"/>
          <w:szCs w:val="20"/>
          <w:color w:val="auto"/>
        </w:rPr>
      </w:pPr>
      <w:r>
        <w:rPr>
          <w:rFonts w:ascii="Arial" w:cs="Arial" w:eastAsia="Arial" w:hAnsi="Arial"/>
          <w:sz w:val="17"/>
          <w:szCs w:val="17"/>
          <w:color w:val="auto"/>
        </w:rPr>
        <w:t>The Ionis Agreement will continue in full force and effect until the expiration of all payment obligations to Ionis, unless terminated earlier by either party. Either party may terminate the agreement upon material breach or insolvency of the other party. Praxis is able to terminate the Ionis Agreement for convenience with prior written notice. Ionis may terminate if we fail to achieve certain performance milestones. Upon termination by us for convenience, we will stop selling all products, subject to certain wind-down provisions and all products will revert back to Ionis.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1" w:lineRule="exact"/>
        <w:rPr>
          <w:sz w:val="20"/>
          <w:szCs w:val="20"/>
          <w:color w:val="auto"/>
        </w:rPr>
      </w:pPr>
    </w:p>
    <w:p>
      <w:pPr>
        <w:jc w:val="both"/>
        <w:ind w:right="120" w:firstLine="433"/>
        <w:spacing w:after="0" w:line="300"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source all of our non-clinical and clinical compound supply through third-party contract development and manufacturing organizations, or CDMOs.</w:t>
      </w:r>
    </w:p>
    <w:p>
      <w:pPr>
        <w:spacing w:after="0" w:line="141"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For clinical supply, we rely on CDMOs to manufacture drug substance and drug product in accordance with the FDA’s current Good Manufacturing Practices, or cGMP. We expect to rely on third parties for our manufacturing processes and the production of all clinical supply drug substance and drug product and currently expect to continue to do so for commercial supplies of our product candidates, if approved. We use additional contract manufacturers to fill, label, package, store and distribute our investigational drug products and currently expect to continue to do so for commercial supplies of our product candidates, if approved. It is our intent to identify and qualify additional manufacturers to provide active pharmaceutical ingredient and fill-and-finish services prior to submission of a NDA to the FDA for any product candidates that complete clinical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1"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The FDA and comparable regulatory authorities in state and local jurisdictions and in other countries impose substantial and burdensome requirements upon companies involved in the clinical development, manufacture, marketing and distribution of prescription drugs, such as those we are developing. These agencies regulate, among other things, the research and development, testing, manufacture, quality control, safety, effectiveness, labeling,</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storage, record keeping, approval, advertising and promotion, distribution, post-approval monitoring and reporting, sampling and export and import of drug products. The process of obtaining regulatory approvals and the subsequent compliance with applicable federal, state, local and foreign statutes and regulations requires the expenditure of substantial time and financial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regulation of drug products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drug may be marketed in the United States generally involves the following:</w:t>
      </w:r>
    </w:p>
    <w:p>
      <w:pPr>
        <w:spacing w:after="0" w:line="156" w:lineRule="exact"/>
        <w:rPr>
          <w:sz w:val="20"/>
          <w:szCs w:val="20"/>
          <w:color w:val="auto"/>
        </w:rPr>
      </w:pPr>
    </w:p>
    <w:p>
      <w:pPr>
        <w:ind w:left="640" w:right="300" w:hanging="320"/>
        <w:spacing w:after="0" w:line="30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completion of certain preclinical laboratory tests, animal studies and formulation studies in compliance with the FDA’s good laboratory practice regulations;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each trial may be initiated;</w:t>
      </w:r>
    </w:p>
    <w:p>
      <w:pPr>
        <w:spacing w:after="0" w:line="171" w:lineRule="exact"/>
        <w:rPr>
          <w:rFonts w:ascii="Arial" w:cs="Arial" w:eastAsia="Arial" w:hAnsi="Arial"/>
          <w:sz w:val="17"/>
          <w:szCs w:val="17"/>
          <w:color w:val="auto"/>
        </w:rPr>
      </w:pPr>
    </w:p>
    <w:p>
      <w:pPr>
        <w:ind w:left="640" w:right="420" w:hanging="320"/>
        <w:spacing w:after="0" w:line="30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 or GCP, requirements to establish the safety and efficacy of the proposed drug product for each intended use;</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preparation and submission to the FDA of an NDA;</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application for review;</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71" w:lineRule="exact"/>
        <w:rPr>
          <w:rFonts w:ascii="Arial" w:cs="Arial" w:eastAsia="Arial" w:hAnsi="Arial"/>
          <w:sz w:val="17"/>
          <w:szCs w:val="17"/>
          <w:color w:val="auto"/>
        </w:rPr>
      </w:pPr>
    </w:p>
    <w:p>
      <w:pPr>
        <w:ind w:left="640" w:right="100" w:hanging="320"/>
        <w:spacing w:after="0" w:line="27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w:t>
      </w:r>
    </w:p>
    <w:p>
      <w:pPr>
        <w:spacing w:after="0" w:line="107" w:lineRule="exact"/>
        <w:rPr>
          <w:rFonts w:ascii="Arial" w:cs="Arial" w:eastAsia="Arial" w:hAnsi="Arial"/>
          <w:sz w:val="17"/>
          <w:szCs w:val="17"/>
          <w:color w:val="auto"/>
        </w:rPr>
      </w:pPr>
    </w:p>
    <w:p>
      <w:pPr>
        <w:ind w:left="640" w:right="100" w:hanging="320"/>
        <w:spacing w:after="0" w:line="30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potential FDA audits of clinical trial sites to assess compliance with GCPs and the integrity of the clinical data; and</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FDA review and approval of the NDA to permit commercial marketing of the product for particular indications for use in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119"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Before testing any product candidate in humans, the product candidate must undergo preclinical testing. Preclinical studies generally include laboratory evaluation of product chemistry, formulation and stability, as well as animal studies to assess potential toxicity, which support subsequent clinical testing. An IND sponsor must submit the results of the preclinical tests, together with manufacturing information, analytical data and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Additionally, the FDA will review any data from clinical trials conducted outside the United States when determining whether to allow an IND to proceed in the United States. Specifically, the FDA’s acceptance of data from trials conducted outside of the United States and not under an IND is subject to certain conditions, including that the clinical trial must be conducted in accordance with GCPs, and the FDA must be able to validate the data from the study through an on-site inspection, if necessary. Clinical holds also may be imposed by the FDA at any time before or during studies due to safety concerns or non-compliance.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Clinical trials involve the administration of the product candidate to human subjects under the supervision of qualified investigators,</w:t>
      </w:r>
    </w:p>
    <w:p>
      <w:pPr>
        <w:spacing w:after="0" w:line="5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clinical trials and nonclinical studies, among other information, must be submitted at least annually to the FDA and written IND safety reports must be submitted to the FDA and investigators if serious and unexpected suspected adverse events occur, findings from other studies of the same or similar drug or from animal or in vitro testing suggest a significant risk, or there is an increased incidence of a serious suspected adverse reaction compared to that in the protocol or investigator brochure.</w:t>
      </w:r>
    </w:p>
    <w:p>
      <w:pPr>
        <w:spacing w:after="0" w:line="175"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Similarly, the FDA or the sponsor may suspend or terminate a clinical trial at any time on various grounds, including a finding that the research subjects are being exposed to an unacceptable health risk. An IRB can also suspend or terminate approval of a clinical trial at its institution for a variety of reasons, including if the clinical trial is not being conducted in accordance with the IRB’s requirements or if the drug has been associated with unexpected serious harm to patients.</w:t>
      </w:r>
    </w:p>
    <w:p>
      <w:pPr>
        <w:spacing w:after="0" w:line="178"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There are also requirements governing the reporting of ongoing clinical studies and clinical study results to public registries. Specifically, information about certain clinical trials must be submitted within specific timeframes to the National Institutes of Health, or NIH, for public dissemination on their www.clinicaltrials.gov website. Information related to the product candidate,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w:t>
      </w:r>
    </w:p>
    <w:p>
      <w:pPr>
        <w:spacing w:after="0" w:line="16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Human clinical trials are typically conducted in three phases, which may overlap or be combined. In Phase 1, the product candidate is introduced into healthy human subjects or patients with the target disease or condition to test for safety, dosage tolerance, absorption, metabolism, distribution, excretion and, if possible, to gain an early evaluation of effectiveness. In Phase 2, the product candidate is administered to a limited patient population with a specified disease or condition to evaluate possible adverse effects and safety risks, to preliminarily evaluate the efficacy of the product for the specified disease or condition, and to determine dosage tolerance and optimal dosage. In Phase 3, the product candidate is administered to an expanded patient population, generally at geographically dispersed clinical trial sites, in well-controlled clinical trials to generate enough data to provide substantial evidence of the efficacy and safety of the product candidate, to establish the overall risk-benefit profile of the product candidate, and to provide adequate information for the labeling of the product candidate.</w:t>
      </w:r>
    </w:p>
    <w:p>
      <w:pPr>
        <w:spacing w:after="0" w:line="175"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In some cases, the FDA may require, or sponsors may voluntarily pursue, additional clinical trials after a product is approved to gain more information about the product in the approved indication.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or requirement of approval of an NDA.</w:t>
      </w:r>
    </w:p>
    <w:p>
      <w:pPr>
        <w:spacing w:after="0" w:line="166"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Concurrent with clinical trials, companies usually complete additional animal studies and also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application submission and FDA review and approval</w:t>
      </w:r>
    </w:p>
    <w:p>
      <w:pPr>
        <w:spacing w:after="0" w:line="119" w:lineRule="exact"/>
        <w:rPr>
          <w:sz w:val="20"/>
          <w:szCs w:val="20"/>
          <w:color w:val="auto"/>
        </w:rPr>
      </w:pPr>
    </w:p>
    <w:p>
      <w:pPr>
        <w:ind w:right="320" w:firstLine="433"/>
        <w:spacing w:after="0" w:line="271" w:lineRule="auto"/>
        <w:rPr>
          <w:sz w:val="20"/>
          <w:szCs w:val="20"/>
          <w:color w:val="auto"/>
        </w:rPr>
      </w:pPr>
      <w:r>
        <w:rPr>
          <w:rFonts w:ascii="Arial" w:cs="Arial" w:eastAsia="Arial" w:hAnsi="Arial"/>
          <w:sz w:val="17"/>
          <w:szCs w:val="17"/>
          <w:color w:val="auto"/>
        </w:rPr>
        <w:t>Assuming successful completion of the required clinical testing, the results of preclinical and clinical studies, together with detailed information relating to the product’s chemistry, manufacture, controls and proposed labeling, among other things, are submitted to the FDA as part of an NDA requesting approval to market the product for one or more indications. The submission of an NDA is subject to a substantial application user fee, unless a waiver or exemption applies.</w:t>
      </w:r>
    </w:p>
    <w:p>
      <w:pPr>
        <w:spacing w:after="0" w:line="166"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withdrawn and resubmitted with the additional information. The resubmitted application is also subject to review before the FDA accepts it for filing. Once an application is accepted for filing, the FDA has a goal of ten months from the date of “filing” to complete a standard review of an NDA for a drug that is a new molecular entity, and six months from the filing date to complete a priority review. The FDA does not always meet its goal dates, and the review process can be extended for a three-month period by the FDA to review information deemed a "major amendment" to the application. This FDA review process typically takes 10 months from the date the NDA is accepted for filing by the FDA (for a standard review) or six months from the filing date (for a priority review). Once the submission is accepted for filing, the FDA begins an in-depth substantive review.</w:t>
      </w:r>
    </w:p>
    <w:p>
      <w:pPr>
        <w:spacing w:after="0" w:line="178"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The FDA reviews an NDA to determine, among other things, whether the drug is safe and effective and whether the facilities in which it is manufactured, processed, packaged or held meets standards designed to assure the product’s continued safety, quality and purity. Before approving an NDA, the FDA typically will inspect the facilities where the product is manufactured. Additionally, before approving an NDA, the FDA may inspect one or more clinical trial sites and/or the study sponsor to assure compliance with GCP requirements.</w:t>
      </w:r>
    </w:p>
    <w:p>
      <w:pPr>
        <w:spacing w:after="0" w:line="166"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Additionally, the FDA may refer any application to an advisory committee, including applications for novel drug candidates that present difficult questions of safety or efficacy.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6"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The FDA also may require submission of a risk evaluation and mitigation strategy, or REMS, plan, if it determines that a REMS is necessary to ensure that the benefits of the drug outweigh its risks and to assure the safe use of the drug product. A REMS is a safety strategy to manage a known or potential serious risk associated with a drug and to enable patients to have continued access to such medicines by managing their safe use, and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The FDA will not approve the NDA without a REMS, if required.</w:t>
      </w:r>
    </w:p>
    <w:p>
      <w:pPr>
        <w:spacing w:after="0" w:line="173" w:lineRule="exact"/>
        <w:rPr>
          <w:sz w:val="20"/>
          <w:szCs w:val="20"/>
          <w:color w:val="auto"/>
        </w:rPr>
      </w:pPr>
    </w:p>
    <w:p>
      <w:pPr>
        <w:ind w:firstLine="433"/>
        <w:spacing w:after="0" w:line="267" w:lineRule="auto"/>
        <w:rPr>
          <w:sz w:val="20"/>
          <w:szCs w:val="20"/>
          <w:color w:val="auto"/>
        </w:rPr>
      </w:pPr>
      <w:r>
        <w:rPr>
          <w:rFonts w:ascii="Arial" w:cs="Arial" w:eastAsia="Arial" w:hAnsi="Arial"/>
          <w:sz w:val="17"/>
          <w:szCs w:val="17"/>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sponsor or FDA may request a deferral of pediatric clinical trials for some or all of the pediatric subpopulations. The FDA must send a non-compliance letter to any sponsor that fails to submit the required assessment, keep a deferral current or fails to submit a request for approval of a pediatric formulation.</w:t>
      </w:r>
    </w:p>
    <w:p>
      <w:pPr>
        <w:spacing w:after="0" w:line="381" w:lineRule="exact"/>
        <w:rPr>
          <w:sz w:val="20"/>
          <w:szCs w:val="20"/>
          <w:color w:val="auto"/>
        </w:rPr>
      </w:pPr>
    </w:p>
    <w:p>
      <w:pPr>
        <w:ind w:right="140" w:firstLine="433"/>
        <w:spacing w:after="0" w:line="264"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any inspection reports regarding the manufacturing facilities, sponsor, and clinical trial sites, the FDA may issue either an approval letter or a complete response letter, or CRL. An approval letter authorizes commercial marketing of the drug with specific prescribing information and for specific indications. A CRL will describe all of the deficiencies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If a CRL is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issued, the applicant may choose to either resubmit the NDA, addressing all of the deficiencies identified in the letter, or withdraw the application. If those deficiencies have been addressed to the FDA’s satisfaction, the FDA will issue an approval letter. Even with submission of this additional information, the FDA ultimately may decide that the application does not satisfy the regulatory criteria for approval.</w:t>
      </w:r>
    </w:p>
    <w:p>
      <w:pPr>
        <w:spacing w:after="0" w:line="160"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safety, require testing and surveillance programs to monitor the product,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 and exclusivity</w:t>
      </w:r>
    </w:p>
    <w:p>
      <w:pPr>
        <w:spacing w:after="0" w:line="119"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sponsor must request orphan drug designation before submitting an NDA. If the request is granted, the FDA will disclose the identity of the therapeutic agent and its potential use. If a product with orphan status receives the first FDA approval for the disease or condition for which it has such designation or for a select indication or use within the rare disease or condition for which it was designated, the product generally will receive orphan product exclusivity. Orphan product exclusivity means that the FDA may not approve any other applications for the same product for the same disease or condition for seven years. If a drug or drug product designated as an orphan product ultimately receives marketing approval for a disease or condition broader than what was designated in its orphan product application, it may not be entitled exclusivity. Orphan exclusivity will not bar approval of another product under certain circumstances, including if a subsequent product with the same active ingredient for the same disease or condition is shown to be clinically superior to the approved product on the basis of greater efficacy or safety, or to provide a major contribution to patient care, or if the company with orphan drug exclusivity is not able to meet market demand. Among the other benefits of orphan drug designation are tax credits for certain research and a waiver of the NDA application user fee. Orphan product designation, however, does not convey any advantage in or shorten the duration of the regulatory review and approval process.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Rare pediatric disease designation and priority review vouchers</w:t>
      </w:r>
    </w:p>
    <w:p>
      <w:pPr>
        <w:spacing w:after="0" w:line="119"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175" w:lineRule="exact"/>
        <w:rPr>
          <w:sz w:val="20"/>
          <w:szCs w:val="20"/>
          <w:color w:val="auto"/>
        </w:rPr>
      </w:pPr>
    </w:p>
    <w:p>
      <w:pPr>
        <w:ind w:right="80" w:firstLine="433"/>
        <w:spacing w:after="0" w:line="281" w:lineRule="auto"/>
        <w:rPr>
          <w:sz w:val="20"/>
          <w:szCs w:val="20"/>
          <w:color w:val="auto"/>
        </w:rPr>
      </w:pPr>
      <w:r>
        <w:rPr>
          <w:rFonts w:ascii="Arial" w:cs="Arial" w:eastAsia="Arial" w:hAnsi="Arial"/>
          <w:sz w:val="17"/>
          <w:szCs w:val="17"/>
          <w:color w:val="auto"/>
        </w:rPr>
        <w:t>For purposes of this program, a “rare pediatric disease” is a (a) serious or life-threatening disease in which the serious or life-threatening manifestations primarily affect individuals aged from birth to 18 years; and (b) rare diseases or conditions within the meaning of the Orphan Drug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Act. Congress has only authorized the Rare Pediatric Disease Priority Review Voucher program until December 20, 2024. Consequently,</w:t>
      </w:r>
    </w:p>
    <w:p>
      <w:pPr>
        <w:spacing w:after="0" w:line="54"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sponsors of marketing applications approved after that date will not receive the voucher unless Congress reauthorizes the program. If the program is not reauthorized, if a drug candidate receives Rare Pediatric Disease Designation before October 1, 2024, the sponsor of the marketing application for such drug will only be eligible to receive a voucher if the application for the designated drug is approved by the FDA before October 1, 2026.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Fast track, breakthrough therapy and priority review designations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firstLine="433"/>
        <w:spacing w:after="0" w:line="278" w:lineRule="auto"/>
        <w:rPr>
          <w:sz w:val="20"/>
          <w:szCs w:val="20"/>
          <w:color w:val="auto"/>
        </w:rPr>
      </w:pPr>
      <w:r>
        <w:rPr>
          <w:rFonts w:ascii="Arial" w:cs="Arial" w:eastAsia="Arial" w:hAnsi="Arial"/>
          <w:sz w:val="17"/>
          <w:szCs w:val="17"/>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60"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To be eligible for a fast track designation, the FDA must determine that a product candidate is intended to treat a serious or life threatening disease or condition and demonstrates the potential to address unmet medical needs for the condition. Fast track designation provides opportunities for more frequent interactions with the FDA review team to expedite development and review of the product candidate. The FDA may also agree to review sections of the NDA for a fast track product candidate on a rolling basis before the complete application is submitted.</w:t>
      </w:r>
    </w:p>
    <w:p>
      <w:pPr>
        <w:spacing w:after="0" w:line="166"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Finally, the FDA may designate an NDA for priority review if the product candidate treats a serious condition and, if approved, would provide a significant improvement in safety or effectiveness. The FDA determines at the time that the marketing application is submitted, on a case-by-case basis, whether the product candidate represents a significant improvement when compared with other available therapies. Significant improvement may be illustrated by, among other things, evidence of increased effectiveness,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the filing date for an NDA for a new molecular entity.</w:t>
      </w:r>
    </w:p>
    <w:p>
      <w:pPr>
        <w:spacing w:after="0" w:line="175"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and breakthrough therapy designation do not change the standards for approval and may not ultimately expedite the development or approval process.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Accelerated approval pathway</w:t>
      </w:r>
    </w:p>
    <w:p>
      <w:pPr>
        <w:spacing w:after="0" w:line="11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A drug product may also be eligible for accelerated approval if it is designed to treat a serious or life-threatening disease or condition and provides a meaningful therapeutic benefit over existing treatments. Such product candidates can be approved upon a determination that the product candidate has an effect on either a surrogate endpoint that is reasonably likely to predict clinical benefit or on an intermediate clinical endpoint that can be measured earlier than irreversible morbidity or mortality, or IMM, that is reasonably likely to predict an effect on IMM or other clinical benefit, taking into account the severity, rarity, or prevalence of the disease or condition and the availability or lack of alternative treatments. As a condition of approval, the FDA generally requires that a sponsor of a drug receiving accelerated approval perform adequate and well-controlled confirmatory clinical trials to verify and describe the predicted effect on IMM or other clinical endpoint, and may require that such confirmatory trials be underway prior to granting accelerated approval. The FDA may withdraw approval of a drug or indication approved under accelerated approval on an expedited basis if, for example, the confirmatory trial fails to verify the predicted clinical benefit of the product or the sponsor fails to conduct such confirmatory trials in a timely manner or in accordance with applicable regulations. Drugs granted accelerated approval must meet the same statutory standards for safety and effectiveness as those granted traditional approval. In addition, all promotional materials for products approved under the accelerated approval program are subject to prior review by the FDA.</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drug product marketing exclusivity</w:t>
      </w:r>
    </w:p>
    <w:p>
      <w:pPr>
        <w:spacing w:after="0" w:line="11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Market exclusivity provisions under the FDCA can delay the submission or the approval of certain marketing applications. For example,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generic or follow-on version of the protected drug product, respectively, where the applicant does not own or have a legal right of reference to all the data required for approval. However, an application may be submitted after four years if it contains a certification of patent invalidity or non-infringement.</w:t>
      </w:r>
    </w:p>
    <w:p>
      <w:pPr>
        <w:spacing w:after="0" w:line="160"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FDCA also provides three years of non-patent exclusivity when an NDA, or a supplement to an existing NDA, includes new clinical investigations, other than bioavailability studies, conducted or sponsored by the applicant that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or follow-on 505(b)(2) NDAs if the protected clinical data are not referenced. Five-year and three-year exclusivity will not delay the submission or approval of a stand-alone NDA submitted under section 505(b)(1) of the FDCA. However, an applicant submitting a stand-alone NDA would be required to conduct or obtain a right of reference to all of the preclinical studies and adequate and well-controlled clinical trials necessary to demonstrate safety and effectiveness, if applicable.</w:t>
      </w:r>
    </w:p>
    <w:p>
      <w:pPr>
        <w:spacing w:after="0" w:line="383"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Pediatric exclusivity is another type of regulatory market exclusivity in the United States. Pediatric exclusivity, if granted, adds six months to existing regulatory exclusivity periods or patent terms. This six-month exclusivity may be granted based on the voluntary completion of a pediatric trial in accordance with an FDA-issued “Written Request” for such a trial. The FDA's issuance of a written request does not obligate the sponsor to complete the requested pediatric studies.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19"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Following approval of a drug product, the manufacturer and the approved drug are subject to pervasive and continuing regulation by the FDA, including, among other things, requirements relating to monitoring and recordkeeping, periodic reporting, product sampling and distribution, advertising and promotion and reporting of adverse experiences with the product. 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After approval, most changes to the approved product, such as adding new indications or other labeling claims or changes to the manufacturing processes or facilities, are subject to prior FDA review and approval. There are continuing, annual program fee requirements for any marketed products.</w:t>
      </w:r>
    </w:p>
    <w:p>
      <w:pPr>
        <w:spacing w:after="0" w:line="174" w:lineRule="exact"/>
        <w:rPr>
          <w:sz w:val="20"/>
          <w:szCs w:val="20"/>
          <w:color w:val="auto"/>
        </w:rPr>
      </w:pPr>
    </w:p>
    <w:p>
      <w:pPr>
        <w:ind w:right="80" w:firstLine="393"/>
        <w:spacing w:after="0" w:line="271" w:lineRule="auto"/>
        <w:rPr>
          <w:sz w:val="20"/>
          <w:szCs w:val="20"/>
          <w:color w:val="auto"/>
        </w:rPr>
      </w:pPr>
      <w:r>
        <w:rPr>
          <w:rFonts w:ascii="Arial" w:cs="Arial" w:eastAsia="Arial" w:hAnsi="Arial"/>
          <w:sz w:val="17"/>
          <w:szCs w:val="17"/>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114" w:lineRule="exact"/>
        <w:rPr>
          <w:sz w:val="20"/>
          <w:szCs w:val="20"/>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Imposition of post-marketing studies or clinical trials to assess new safety risks, or restrictions under a REMS program;</w:t>
      </w:r>
    </w:p>
    <w:p>
      <w:pPr>
        <w:spacing w:after="0" w:line="171"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the marketing, manufacturing or distribution of the product, complete withdrawal of the product from the market or product recalls;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Fines, warning letters, untitled letters or other enforcement-related letters or clinical holds on post-approval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healthcare programs;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right="20" w:hanging="320"/>
        <w:spacing w:after="0" w:line="300"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Issuance of safety alerts, Dear Healthcare Provider letters, press releases and other communications containing warnings or other safety information about the product;</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4"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must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 Physicians may prescribe, in their independent professional medical judgment, legally available products for uses that are not described in the product’s labeling and that differ from those tested and approved by the FDA. The FDA does not regulate the behavior of physicians in their choice of treatments, but it does restrict the manufacturer’s communications on the subject of off-label use of their products. However, companies may share truthful and not misleading information that is otherwise consistent with a product’s FDA-approved labeling.</w:t>
      </w:r>
    </w:p>
    <w:p>
      <w:pPr>
        <w:spacing w:after="0" w:line="175"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Healthcare laws and regulations</w:t>
      </w:r>
    </w:p>
    <w:p>
      <w:pPr>
        <w:spacing w:after="0" w:line="121"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in which they conduct their business, which may constrain the financial arrangements and relationships through which these companies and their partners research, sell, market and distribute any products for which marketing approval is obtained. Such laws include, without limitation, state and federal anti-kickback, fraud and abuse, false claims and transparency laws regarding drug pricing and payments and other transfer of value to physicians and other healthcare providers. If their operations are found to be in violation of any of such laws or any other governmental regulations that apply, they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and future healthcare reform legislation</w:t>
      </w:r>
    </w:p>
    <w:p>
      <w:pPr>
        <w:spacing w:after="0" w:line="11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the United States, there have been, and likely will continue to be, a number of legislative and regulatory changes regarding the healthcare system directed at broadening the availability of health care, improving the quality of health care and containing or lowering the cost of health care. For example, in March 2010 the Affordable Care Act, or ACA, was enacted, which substantially changed the way health care is financed by both governmental and private insurers, and significantly impacted the U.S. pharmaceutical industry. The ACA, among other things, subjected biological products to potential competition by lower-cost biosimilars; expanded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which was replaced by a new manufacturer discount program on January 1, 2025 (as discussed below), in which manufacturers were required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174" w:lineRule="exact"/>
        <w:rPr>
          <w:sz w:val="20"/>
          <w:szCs w:val="20"/>
          <w:color w:val="auto"/>
        </w:rPr>
      </w:pPr>
    </w:p>
    <w:p>
      <w:pPr>
        <w:ind w:right="200" w:firstLine="433"/>
        <w:spacing w:after="0" w:line="300" w:lineRule="auto"/>
        <w:rPr>
          <w:sz w:val="20"/>
          <w:szCs w:val="20"/>
          <w:color w:val="auto"/>
        </w:rPr>
      </w:pPr>
      <w:r>
        <w:rPr>
          <w:rFonts w:ascii="Arial" w:cs="Arial" w:eastAsia="Arial" w:hAnsi="Arial"/>
          <w:sz w:val="17"/>
          <w:szCs w:val="17"/>
          <w:color w:val="auto"/>
        </w:rPr>
        <w:t>Since its enactment, there have been judicial, administrative, executive and legislative challenges to certain aspects of the ACA. On June 17, 2021 the U.S. Supreme Court dismissed the most recent judicial challenge to the</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ACA brought by several states without specifically ruling on the constitutionality of the ACA. Thus, the ACA will remain in effect in its current form.</w:t>
      </w:r>
    </w:p>
    <w:p>
      <w:pPr>
        <w:spacing w:after="0" w:line="224"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in August 2011, the Budget Control Act of 2011, among other things, included aggregate reductions of Medicare payments to providers. These reductions went into effect on April 1, 2013, and, due to subsequent legislative amendments, will remain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 Moreover, on March 11, 2021, the American Rescue Plan Act of 2021 was signed into law, which eliminated the statutory Medicaid drug rebate cap for single source and innovator multiple source drugs, beginning January 1, 2024. The rebate was previously capped at 100% of a drug's average manufacturer price.</w:t>
      </w:r>
    </w:p>
    <w:p>
      <w:pPr>
        <w:spacing w:after="0" w:line="178"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Payment methodologies may also be subject to changes in healthcare legislation and regulatory initiatives. For example, Centers for Medicare and Medicaid Services may develop new payment and delivery models, such as bundled payment models. There also has been heightened governmental scrutiny in the United States of pharmaceutical pricing practices in light of the rising cost of prescription drugs and biologics.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By way of example, in August 2022, the Inflation Reduction Act of 2022, or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on January 1,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These provisions started to take effect progressively starting in fiscal year 2023. On August 15, 2024, HHS announced the agreed-upon prices for the first ten drugs that will be subject to price negotiations, which take effect in January 2026. HHS will select up to fifteen additional products covered under Part D for negotiation in 2025. Each year thereafter, more Part B and Part D products will become subject to the HHS price negotiation program, although the program is currently subject to legal challenges.</w:t>
      </w:r>
    </w:p>
    <w:p>
      <w:pPr>
        <w:spacing w:after="0" w:line="39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At the state level, legislatures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67" w:lineRule="exact"/>
        <w:rPr>
          <w:sz w:val="20"/>
          <w:szCs w:val="20"/>
          <w:color w:val="auto"/>
        </w:rPr>
      </w:pPr>
    </w:p>
    <w:p>
      <w:pPr>
        <w:jc w:val="both"/>
        <w:ind w:right="140" w:firstLine="433"/>
        <w:spacing w:after="0" w:line="278" w:lineRule="auto"/>
        <w:rPr>
          <w:sz w:val="20"/>
          <w:szCs w:val="20"/>
          <w:color w:val="auto"/>
        </w:rPr>
      </w:pPr>
      <w:r>
        <w:rPr>
          <w:rFonts w:ascii="Arial" w:cs="Arial" w:eastAsia="Arial" w:hAnsi="Arial"/>
          <w:sz w:val="17"/>
          <w:szCs w:val="17"/>
          <w:color w:val="auto"/>
        </w:rPr>
        <w:t>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pricing and reimbursement</w:t>
      </w:r>
    </w:p>
    <w:p>
      <w:pPr>
        <w:spacing w:after="0" w:line="119" w:lineRule="exact"/>
        <w:rPr>
          <w:sz w:val="20"/>
          <w:szCs w:val="20"/>
          <w:color w:val="auto"/>
        </w:rPr>
      </w:pPr>
    </w:p>
    <w:p>
      <w:pPr>
        <w:ind w:right="280" w:firstLine="433"/>
        <w:spacing w:after="0" w:line="266"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Sales of any products for which we receive regulatory approval for commercial sale will depend, in part, on the extent to which third-party payors provide coverage and establish adequate reimbursement levels for such drug products. In the United States, third-party payors include federal and state healthcare programs, government authorities, private manage care providers, private health insurers and other organizations. For products administered under the supervision of a physician, obtaining coverage and adequate reimbursement may be particularly difficult because of the higher prices often associated with such drugs.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may need to conduct expensive pharmaco-economic studies in order to demonstrate the medical necessity and cost-effectiveness of our product candidates, if approved,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7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outside of the United States</w:t>
      </w:r>
    </w:p>
    <w:p>
      <w:pPr>
        <w:spacing w:after="0" w:line="11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In addition to regulations in the United States, we may be subject to a variety of regulations in foreign jurisdictions that govern, among other things, preclinical and clinical studies, commercial sales and distribution of our future products. Most countries outside of the United States, including the European Union, or the EU, require that clinical trial applications, or CTAs, be submitted to and approved by the local regulatory authority for each clinical study. In addition, whether or not we obtain FDA approval for a product candidate, we must obtain the requisite approval from comparable regulatory authorities outside the United States before we can commence clinical studies or marketing of the product candidate in those countries. The requirements and process governing the conduct of clinical trials, approval,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Non-clinical studies and clinical trials in the European Union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Similar to the United States, the various phases of non-clinical and clinical research in the EU are subject to significant regulatory controls.</w:t>
      </w:r>
    </w:p>
    <w:p>
      <w:pPr>
        <w:spacing w:after="0" w:line="224"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Non-clinical studies are performed to demonstrate the health or environmental safety of new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69" w:lineRule="exact"/>
        <w:rPr>
          <w:sz w:val="20"/>
          <w:szCs w:val="20"/>
          <w:color w:val="auto"/>
        </w:rPr>
      </w:pPr>
    </w:p>
    <w:p>
      <w:pPr>
        <w:ind w:right="100" w:firstLine="433"/>
        <w:spacing w:after="0" w:line="267" w:lineRule="auto"/>
        <w:rPr>
          <w:sz w:val="20"/>
          <w:szCs w:val="20"/>
          <w:color w:val="auto"/>
        </w:rPr>
      </w:pPr>
      <w:r>
        <w:rPr>
          <w:rFonts w:ascii="Arial" w:cs="Arial" w:eastAsia="Arial" w:hAnsi="Arial"/>
          <w:sz w:val="17"/>
          <w:szCs w:val="17"/>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381"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The regulatory landscape related to clinical trials in the EU has been subject to recent changes. The EU Clinical Trials Regulation, or CTR, which was adopted in April 2014 and repeals the EU Clinical Trials Directive,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or CTIS, which contains a centralized EU portal and database.</w:t>
      </w:r>
    </w:p>
    <w:p>
      <w:pPr>
        <w:spacing w:after="0" w:line="160"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While the EU Clinical Trials Directive required a separate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78" w:lineRule="exact"/>
        <w:rPr>
          <w:sz w:val="20"/>
          <w:szCs w:val="20"/>
          <w:color w:val="auto"/>
        </w:rPr>
      </w:pPr>
    </w:p>
    <w:p>
      <w:pPr>
        <w:ind w:right="60" w:firstLine="433"/>
        <w:spacing w:after="0" w:line="300" w:lineRule="auto"/>
        <w:rPr>
          <w:sz w:val="20"/>
          <w:szCs w:val="20"/>
          <w:color w:val="auto"/>
        </w:rPr>
      </w:pPr>
      <w:r>
        <w:rPr>
          <w:rFonts w:ascii="Arial" w:cs="Arial" w:eastAsia="Arial" w:hAnsi="Arial"/>
          <w:sz w:val="17"/>
          <w:szCs w:val="17"/>
          <w:color w:val="auto"/>
        </w:rPr>
        <w:t>The CTR transition period ended on January 31, 2025, and all clinical trials (and related applications) are now fully subject to the provisions of the CTR.</w:t>
      </w:r>
    </w:p>
    <w:p>
      <w:pPr>
        <w:spacing w:after="0" w:line="141" w:lineRule="exact"/>
        <w:rPr>
          <w:sz w:val="20"/>
          <w:szCs w:val="20"/>
          <w:color w:val="auto"/>
        </w:rPr>
      </w:pPr>
    </w:p>
    <w:p>
      <w:pPr>
        <w:ind w:right="260" w:firstLine="433"/>
        <w:spacing w:after="0" w:line="300" w:lineRule="auto"/>
        <w:rPr>
          <w:sz w:val="20"/>
          <w:szCs w:val="20"/>
          <w:color w:val="auto"/>
        </w:rPr>
      </w:pPr>
      <w:r>
        <w:rPr>
          <w:rFonts w:ascii="Arial" w:cs="Arial" w:eastAsia="Arial" w:hAnsi="Arial"/>
          <w:sz w:val="17"/>
          <w:szCs w:val="17"/>
          <w:color w:val="auto"/>
        </w:rPr>
        <w:t>Medicines used in clinical trials must be manufactured in accordance with Good Manufacturing Practice, or GMP. Other national and EU-wide regulatory requirements may also apply.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authorization</w:t>
      </w:r>
    </w:p>
    <w:p>
      <w:pPr>
        <w:spacing w:after="0" w:line="119"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In order to market our product candidates in the EU and many other foreign jurisdictions, we must obtain separate regulatory approvals. More concretely, in the EU, medicinal product candidates can only be commercialized after obtaining a marketing authorization, or MA. To obtain regulatory approval of a product candidate under EU regulatory systems, we must submit a MA application, or MAA. The process for doing this depends, among other things, on the nature of the medicinal product. There are two types of MAs:</w:t>
      </w:r>
    </w:p>
    <w:p>
      <w:pPr>
        <w:spacing w:after="0" w:line="114" w:lineRule="exact"/>
        <w:rPr>
          <w:sz w:val="20"/>
          <w:szCs w:val="20"/>
          <w:color w:val="auto"/>
        </w:rPr>
      </w:pPr>
    </w:p>
    <w:p>
      <w:pPr>
        <w:ind w:left="640" w:right="40" w:hanging="320"/>
        <w:spacing w:after="0" w:line="262"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“Centralized MAs” are issued by the European Commission through the centralized procedure based on the opinion of the Committee for Medicinal Products for Human Use, or CHMP, of the European Medicines Agency, or EMA, and are valid throughout the EU. The centralized procedure is compulsory for certain types of medicinal products such as (i) medicinal products derived from biotechnological processes, (ii) designated orphan medicinal products, (iii) advanced therapy medicinal products, or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25" w:lineRule="exact"/>
        <w:rPr>
          <w:rFonts w:ascii="Arial" w:cs="Arial" w:eastAsia="Arial" w:hAnsi="Arial"/>
          <w:sz w:val="17"/>
          <w:szCs w:val="17"/>
          <w:color w:val="auto"/>
        </w:rPr>
      </w:pPr>
    </w:p>
    <w:p>
      <w:pPr>
        <w:ind w:left="640" w:right="40" w:hanging="320"/>
        <w:spacing w:after="0" w:line="265"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384" w:lineRule="exact"/>
        <w:rPr>
          <w:sz w:val="20"/>
          <w:szCs w:val="20"/>
          <w:color w:val="auto"/>
        </w:rPr>
      </w:pPr>
    </w:p>
    <w:p>
      <w:pPr>
        <w:ind w:right="260" w:firstLine="433"/>
        <w:spacing w:after="0" w:line="300" w:lineRule="auto"/>
        <w:rPr>
          <w:sz w:val="20"/>
          <w:szCs w:val="20"/>
          <w:color w:val="auto"/>
        </w:rPr>
      </w:pPr>
      <w:r>
        <w:rPr>
          <w:rFonts w:ascii="Arial" w:cs="Arial" w:eastAsia="Arial" w:hAnsi="Arial"/>
          <w:sz w:val="17"/>
          <w:szCs w:val="17"/>
          <w:color w:val="auto"/>
        </w:rPr>
        <w:t>Under the centralized procedure the maximum timeframe for the evaluation of an MAA by the EMA is 210 days, excluding clock stops. In exceptional cases, the CHMP might perform an accelerated review of a MAA in no more than 150 days (not including clock stops).</w:t>
      </w:r>
    </w:p>
    <w:p>
      <w:pPr>
        <w:spacing w:after="0" w:line="141" w:lineRule="exact"/>
        <w:rPr>
          <w:sz w:val="20"/>
          <w:szCs w:val="20"/>
          <w:color w:val="auto"/>
        </w:rPr>
      </w:pPr>
    </w:p>
    <w:p>
      <w:pPr>
        <w:ind w:right="160" w:firstLine="433"/>
        <w:spacing w:after="0" w:line="278" w:lineRule="auto"/>
        <w:rPr>
          <w:sz w:val="20"/>
          <w:szCs w:val="20"/>
          <w:color w:val="auto"/>
        </w:rPr>
      </w:pPr>
      <w:r>
        <w:rPr>
          <w:rFonts w:ascii="Arial" w:cs="Arial" w:eastAsia="Arial" w:hAnsi="Arial"/>
          <w:sz w:val="17"/>
          <w:szCs w:val="17"/>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 In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78" w:lineRule="exact"/>
        <w:rPr>
          <w:sz w:val="20"/>
          <w:szCs w:val="20"/>
          <w:color w:val="auto"/>
        </w:rPr>
      </w:pPr>
    </w:p>
    <w:p>
      <w:pPr>
        <w:ind w:right="160" w:firstLine="433"/>
        <w:spacing w:after="0" w:line="278" w:lineRule="auto"/>
        <w:rPr>
          <w:sz w:val="20"/>
          <w:szCs w:val="20"/>
          <w:color w:val="auto"/>
        </w:rPr>
      </w:pPr>
      <w:r>
        <w:rPr>
          <w:rFonts w:ascii="Arial" w:cs="Arial" w:eastAsia="Arial" w:hAnsi="Arial"/>
          <w:sz w:val="17"/>
          <w:szCs w:val="17"/>
          <w:color w:val="auto"/>
        </w:rPr>
        <w:t>Under the above-described procedures, in order to grant the MA, the EMA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Data and market protection</w:t>
      </w:r>
    </w:p>
    <w:p>
      <w:pPr>
        <w:spacing w:after="0" w:line="119"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the EU, new products authorized for marketing (</w:t>
      </w:r>
      <w:r>
        <w:rPr>
          <w:rFonts w:ascii="Arial" w:cs="Arial" w:eastAsia="Arial" w:hAnsi="Arial"/>
          <w:sz w:val="17"/>
          <w:szCs w:val="17"/>
          <w:i w:val="1"/>
          <w:iCs w:val="1"/>
          <w:color w:val="auto"/>
        </w:rPr>
        <w:t>i.e.</w:t>
      </w:r>
      <w:r>
        <w:rPr>
          <w:rFonts w:ascii="Arial" w:cs="Arial" w:eastAsia="Arial" w:hAnsi="Arial"/>
          <w:sz w:val="17"/>
          <w:szCs w:val="17"/>
          <w:color w:val="auto"/>
        </w:rPr>
        <w:t>,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Orphan medicinal products</w:t>
      </w:r>
    </w:p>
    <w:p>
      <w:pPr>
        <w:spacing w:after="0" w:line="11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69"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173"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effective or otherwise clinically superior; (ii) the applicant consents to a second orphan medicinal product application; or (iii) the applicant cannot supply enough orphan medicinal product.</w:t>
      </w:r>
    </w:p>
    <w:p>
      <w:pPr>
        <w:spacing w:after="0" w:line="141" w:lineRule="exact"/>
        <w:rPr>
          <w:sz w:val="20"/>
          <w:szCs w:val="20"/>
          <w:color w:val="auto"/>
        </w:rPr>
      </w:pPr>
    </w:p>
    <w:p>
      <w:pPr>
        <w:ind w:firstLine="433"/>
        <w:spacing w:after="0" w:line="300" w:lineRule="auto"/>
        <w:rPr>
          <w:sz w:val="20"/>
          <w:szCs w:val="20"/>
          <w:color w:val="auto"/>
        </w:rPr>
      </w:pPr>
      <w:r>
        <w:rPr>
          <w:rFonts w:ascii="Arial" w:cs="Arial" w:eastAsia="Arial" w:hAnsi="Arial"/>
          <w:sz w:val="17"/>
          <w:szCs w:val="17"/>
          <w:color w:val="auto"/>
        </w:rPr>
        <w:t>The aforementioned EU rules are generally applicable in the European Economic Area, or EEA, which consists of the 27 EU member states plus Norway, Liechtenstein and Iceland.</w:t>
      </w:r>
    </w:p>
    <w:p>
      <w:pPr>
        <w:spacing w:after="0" w:line="141" w:lineRule="exact"/>
        <w:rPr>
          <w:sz w:val="20"/>
          <w:szCs w:val="20"/>
          <w:color w:val="auto"/>
        </w:rPr>
      </w:pPr>
    </w:p>
    <w:p>
      <w:pPr>
        <w:jc w:val="both"/>
        <w:ind w:right="400" w:firstLine="433"/>
        <w:spacing w:after="0" w:line="264" w:lineRule="auto"/>
        <w:rPr>
          <w:sz w:val="20"/>
          <w:szCs w:val="20"/>
          <w:color w:val="auto"/>
        </w:rPr>
      </w:pPr>
      <w:r>
        <w:rPr>
          <w:rFonts w:ascii="Arial" w:cs="Arial" w:eastAsia="Arial" w:hAnsi="Arial"/>
          <w:sz w:val="17"/>
          <w:szCs w:val="17"/>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w:t>
      </w:r>
    </w:p>
    <w:p>
      <w:pPr>
        <w:ind w:right="80"/>
        <w:spacing w:after="0" w:line="269" w:lineRule="auto"/>
        <w:rPr>
          <w:sz w:val="20"/>
          <w:szCs w:val="20"/>
          <w:color w:val="auto"/>
        </w:rPr>
      </w:pPr>
      <w:r>
        <w:rPr>
          <w:rFonts w:ascii="Arial" w:cs="Arial" w:eastAsia="Arial" w:hAnsi="Arial"/>
          <w:sz w:val="17"/>
          <w:szCs w:val="17"/>
          <w:color w:val="auto"/>
        </w:rPr>
        <w:t>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healthcare laws</w:t>
      </w:r>
    </w:p>
    <w:p>
      <w:pPr>
        <w:spacing w:after="0" w:line="119"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Coverage, pricing and reimbursement</w:t>
      </w:r>
    </w:p>
    <w:p>
      <w:pPr>
        <w:spacing w:after="0" w:line="119" w:lineRule="exact"/>
        <w:rPr>
          <w:sz w:val="20"/>
          <w:szCs w:val="20"/>
          <w:color w:val="auto"/>
        </w:rPr>
      </w:pPr>
    </w:p>
    <w:p>
      <w:pPr>
        <w:ind w:right="440" w:firstLine="433"/>
        <w:spacing w:after="0" w:line="300" w:lineRule="auto"/>
        <w:rPr>
          <w:sz w:val="20"/>
          <w:szCs w:val="20"/>
          <w:color w:val="auto"/>
        </w:rPr>
      </w:pPr>
      <w:r>
        <w:rPr>
          <w:rFonts w:ascii="Arial" w:cs="Arial" w:eastAsia="Arial" w:hAnsi="Arial"/>
          <w:sz w:val="17"/>
          <w:szCs w:val="17"/>
          <w:color w:val="auto"/>
        </w:rPr>
        <w:t>In addition, in many countries, the proposed pricing for a drug must be approved before it may be lawfully marketed. The requirements governing drug pricing and reimbursement vary widely from country to country.</w:t>
      </w:r>
    </w:p>
    <w:p>
      <w:pPr>
        <w:spacing w:after="0" w:line="141"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In the EU, governments influence the price of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 priced markets exert a commercial pressure on pricing within a country.</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Healthcare Reform</w:t>
      </w:r>
    </w:p>
    <w:p>
      <w:pPr>
        <w:spacing w:after="0" w:line="119"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The EU is also subject to political, economic and regulatory developments which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384" w:lineRule="exact"/>
        <w:rPr>
          <w:sz w:val="20"/>
          <w:szCs w:val="20"/>
          <w:color w:val="auto"/>
        </w:rPr>
      </w:pPr>
    </w:p>
    <w:p>
      <w:pPr>
        <w:ind w:right="160" w:firstLine="433"/>
        <w:spacing w:after="0" w:line="271" w:lineRule="auto"/>
        <w:rPr>
          <w:sz w:val="20"/>
          <w:szCs w:val="20"/>
          <w:color w:val="auto"/>
        </w:rPr>
      </w:pPr>
      <w:r>
        <w:rPr>
          <w:rFonts w:ascii="Arial" w:cs="Arial" w:eastAsia="Arial" w:hAnsi="Arial"/>
          <w:sz w:val="17"/>
          <w:szCs w:val="17"/>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 -priced countries. Reductions in the pricing of our medicinal products in one EU member state could affect the price in other EU member states and, thus, have a negative impact on our financial results.</w:t>
      </w:r>
    </w:p>
    <w:p>
      <w:pPr>
        <w:spacing w:after="0" w:line="166" w:lineRule="exact"/>
        <w:rPr>
          <w:sz w:val="20"/>
          <w:szCs w:val="20"/>
          <w:color w:val="auto"/>
        </w:rPr>
      </w:pPr>
    </w:p>
    <w:p>
      <w:pPr>
        <w:ind w:firstLine="433"/>
        <w:spacing w:after="0" w:line="270" w:lineRule="auto"/>
        <w:rPr>
          <w:sz w:val="20"/>
          <w:szCs w:val="20"/>
          <w:color w:val="auto"/>
        </w:rPr>
      </w:pPr>
      <w:r>
        <w:rPr>
          <w:rFonts w:ascii="Arial" w:cs="Arial" w:eastAsia="Arial" w:hAnsi="Arial"/>
          <w:sz w:val="17"/>
          <w:szCs w:val="17"/>
          <w:color w:val="auto"/>
        </w:rPr>
        <w:t>Health Technology Assessment, or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37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11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the Health Insurance Portability and Accountability Act of 1996 and regulations promulgated thereunder, or HIPAA, and federal and state consumer protection laws and regulations that govern the collection, use, disclosure, and protection of health-related and other personal information could apply now or in the future to our operations or the operations of our partners. In addition, certain state and non-U.S. laws, such as the California Consumer Privacy Act of 2018, as amended by the California Privacy Rights Act of 2020, collectively, the CCPA, and the General Data Protection Regulation, or GDPR, and the U.K.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 and regulations governing international operations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If we further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3"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by U.S. authorities that enforce the FCPA, including the Department of Justice, to be foreign officials. Certain payments to hospitals in connection with clinical trials and other work have been deemed to be improper payments to government officials and have led to FCPA enforcement actions.</w:t>
      </w:r>
    </w:p>
    <w:p>
      <w:pPr>
        <w:spacing w:after="0" w:line="167"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67" w:lineRule="exact"/>
        <w:rPr>
          <w:sz w:val="20"/>
          <w:szCs w:val="20"/>
          <w:color w:val="auto"/>
        </w:rPr>
      </w:pPr>
    </w:p>
    <w:p>
      <w:pPr>
        <w:ind w:right="80" w:firstLine="433"/>
        <w:spacing w:after="0" w:line="278"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Praxis, our mission is to help patients by delivering life-altering treatments faster and more effectively than has ever been done before.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Agnostic to the source of an idea, we work tirelessly to find the most practical solutions for patients as quickly and efficiently as possible.</w:t>
      </w:r>
    </w:p>
    <w:p>
      <w:pPr>
        <w:spacing w:after="0" w:line="208"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Our people, the patient communities we serve and their caregivers and families are at the forefront of our efforts. Our approach to building a robust clinical pipeline provides a forum for exploration and innovation where we are all involved in building the company together.</w:t>
      </w:r>
    </w:p>
    <w:p>
      <w:pPr>
        <w:spacing w:after="0" w:line="141" w:lineRule="exact"/>
        <w:rPr>
          <w:sz w:val="20"/>
          <w:szCs w:val="20"/>
          <w:color w:val="auto"/>
        </w:rPr>
      </w:pPr>
    </w:p>
    <w:p>
      <w:pPr>
        <w:ind w:right="280" w:firstLine="433"/>
        <w:spacing w:after="0" w:line="266" w:lineRule="auto"/>
        <w:rPr>
          <w:sz w:val="20"/>
          <w:szCs w:val="20"/>
          <w:color w:val="auto"/>
        </w:rPr>
      </w:pPr>
      <w:r>
        <w:rPr>
          <w:rFonts w:ascii="Arial" w:cs="Arial" w:eastAsia="Arial" w:hAnsi="Arial"/>
          <w:sz w:val="17"/>
          <w:szCs w:val="17"/>
          <w:color w:val="auto"/>
        </w:rPr>
        <w:t xml:space="preserve">As a flat and agile organization, each employee has an impact. Our ways of working are team-based and focused on co-creation. We respect all opinions and encourage diversity. Discrimination is never tolerated. We are dedicated to developing our culture and our employees through our company core values –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Curiosity</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 Our ability to deliver life-altering treatments to patients and families affected by and living with complex brain disorders is built on the foundation of our shared core values. More than just statements and ideas, our values provide structure for the way we work as a company and set the expectation for what we can achieve together. By living our values, our teams drive us to deliver positive results for the communities we serve.</w:t>
      </w:r>
    </w:p>
    <w:p>
      <w:pPr>
        <w:spacing w:after="0" w:line="16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It is the strength of our culture and career-defining opportunities that enable us to attract and retain incredible talent to Praxis. As of February 26, 2025, we have 116 employees and plan to grow as we continue to realize the potential of our pipeline. In order to ambitiously deliver results based on the depth of our pipeline, we plan to grow significantly. We provide development opportunities that will stretch and challenge employees to deliver more than they ever thought possible. To support them we offer a world-class portfolio of compensation and benefits, including medical, dental and vision plans, a discretionary bonus program structured to pay on a quarterly basis, 401k plan with match, wellness benefits, eligibility for equity awards and an employee stock purchase plan.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1"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Our Internet address is http://praxismedicines.com. Our Annual Reports on Form 10-K, Quarterly Reports on Form 10-Q, Current Reports on Form 8-K, including exhibits, proxy and information statements and amendments to those reports filed or furnished pursuant to Sections 13(a) and 15(d) of the Exchange Act are available through the “Investors + Media” portion of our website free of charge as soon as reasonably practicable after we electronically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file such material with, or furnish it to, the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116" w:right="5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Annual Report on Form 10-K, including our consolidated financial statements and the related notes appearing elsewhere in this Annual Report on Form 10-K and in our other filings with the Securities and Exchange Commission, or SEC,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event, the trading price of our common stock could decline, and you might lose all or part of your investment.</w:t>
      </w:r>
    </w:p>
    <w:p>
      <w:pPr>
        <w:spacing w:after="0" w:line="66" w:lineRule="exact"/>
        <w:rPr>
          <w:sz w:val="20"/>
          <w:szCs w:val="20"/>
          <w:color w:val="auto"/>
        </w:rPr>
      </w:pPr>
    </w:p>
    <w:p>
      <w:pPr>
        <w:ind w:right="5300"/>
        <w:spacing w:after="0" w:line="387" w:lineRule="auto"/>
        <w:rPr>
          <w:sz w:val="20"/>
          <w:szCs w:val="20"/>
          <w:color w:val="auto"/>
        </w:rPr>
      </w:pPr>
      <w:r>
        <w:rPr>
          <w:rFonts w:ascii="Arial" w:cs="Arial" w:eastAsia="Arial" w:hAnsi="Arial"/>
          <w:sz w:val="17"/>
          <w:szCs w:val="17"/>
          <w:b w:val="1"/>
          <w:bCs w:val="1"/>
          <w:color w:val="auto"/>
        </w:rPr>
        <w:t xml:space="preserve">Risks Related to Our Financial Position and Need for Additional Capital </w:t>
      </w:r>
      <w:r>
        <w:rPr>
          <w:rFonts w:ascii="Arial" w:cs="Arial" w:eastAsia="Arial" w:hAnsi="Arial"/>
          <w:sz w:val="17"/>
          <w:szCs w:val="17"/>
          <w:u w:val="single" w:color="auto"/>
          <w:color w:val="auto"/>
        </w:rPr>
        <w:t>Risks Related to Past Financial Condition</w:t>
      </w:r>
    </w:p>
    <w:p>
      <w:pPr>
        <w:spacing w:after="0" w:line="1"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We are a clinical-stage biopharmaceutical company and we have incurred significant losses since our inception. We anticipate that we will continue to incur significant losses for the foreseeable future.</w:t>
      </w:r>
    </w:p>
    <w:p>
      <w:pPr>
        <w:spacing w:after="0" w:line="2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stockholders’ equity and working capital. Our net losses were $182.8 million and $123.3 million for the years ended December 31, 2024 and 2023, respectively. As of December 31, 2024, we had an accumulated deficit of $836.7 million. We expect to continue to incur significant losses for the foreseeable future, and we expect these losses to increase as we continue our research and development of and seek regulatory approvals for our product candidates in our initial and potential additional indications as well as for other product candidates.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anticipate that our expenses will increase substantially if and as we:</w:t>
      </w:r>
    </w:p>
    <w:p>
      <w:pPr>
        <w:spacing w:after="0" w:line="119" w:lineRule="exact"/>
        <w:rPr>
          <w:sz w:val="20"/>
          <w:szCs w:val="20"/>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to develop and conduct clinical trials, including in expanded geographies internationally, for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initiate and continue research and development, including preclinical, clinical and discovery efforts for any future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to identify additional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regulatory approvals for our product candidates that may successfully complete clinical development;</w:t>
      </w:r>
    </w:p>
    <w:p>
      <w:pPr>
        <w:spacing w:after="0" w:line="119" w:lineRule="exact"/>
        <w:rPr>
          <w:rFonts w:ascii="Arial" w:cs="Arial" w:eastAsia="Arial" w:hAnsi="Arial"/>
          <w:sz w:val="17"/>
          <w:szCs w:val="17"/>
          <w:color w:val="auto"/>
        </w:rPr>
      </w:pPr>
    </w:p>
    <w:p>
      <w:pPr>
        <w:ind w:left="640" w:right="320" w:hanging="320"/>
        <w:spacing w:after="0" w:line="300"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help us comply with our obligations as a public company;</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hire and retain additional personnel, such as clinical, quality control, scientific, commercial and administrative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19" w:lineRule="exact"/>
        <w:rPr>
          <w:rFonts w:ascii="Arial" w:cs="Arial" w:eastAsia="Arial" w:hAnsi="Arial"/>
          <w:sz w:val="17"/>
          <w:szCs w:val="17"/>
          <w:color w:val="auto"/>
        </w:rPr>
      </w:pPr>
    </w:p>
    <w:p>
      <w:pPr>
        <w:ind w:left="640" w:right="240" w:hanging="320"/>
        <w:spacing w:after="0" w:line="300"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sales, marketing, distribution, manufacturing, supply chain and other commercial infrastructure in the future to commercialize various products for which we may obtain regulatory approval;</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research and development;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w:t>
      </w:r>
    </w:p>
    <w:p>
      <w:pPr>
        <w:spacing w:after="0" w:line="119"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Our expenses could increase beyond our expectations if we are required by the U.S. Food and Drug Administration, or the FDA, or other regulatory authorities to perform clinical trials in addition to those that we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currently expect, or if there are any delays in establishing appropriate manufacturing arrangements for or in completing our clinical trials or the development of any of our product candidates.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Future Financial Condition</w:t>
      </w:r>
    </w:p>
    <w:p>
      <w:pPr>
        <w:spacing w:after="0" w:line="119" w:lineRule="exact"/>
        <w:rPr>
          <w:sz w:val="20"/>
          <w:szCs w:val="20"/>
          <w:color w:val="auto"/>
        </w:rPr>
      </w:pPr>
    </w:p>
    <w:p>
      <w:pPr>
        <w:ind w:right="160"/>
        <w:spacing w:after="0" w:line="310"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20"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Our operations have consumed substantial amounts of cash since inception. We expect to continue to spend substantial amounts to continue the preclinical and clinical development of our current and future programs. If we are able to gain marketing approval for our product candidates, we will require significant additional amounts of cash in order to launch and commercialize such product candidates to the extent that such launch and commercialization are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19" w:lineRule="exact"/>
        <w:rPr>
          <w:sz w:val="20"/>
          <w:szCs w:val="20"/>
          <w:color w:val="auto"/>
        </w:rPr>
      </w:pPr>
    </w:p>
    <w:p>
      <w:pPr>
        <w:ind w:left="640" w:right="260" w:hanging="320"/>
        <w:spacing w:after="0" w:line="300"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current product candidates and other product candidates we may develop and pursue, including drug product manufacturing;</w:t>
      </w:r>
    </w:p>
    <w:p>
      <w:pPr>
        <w:spacing w:after="0" w:line="35" w:lineRule="exact"/>
        <w:rPr>
          <w:rFonts w:ascii="Arial" w:cs="Arial" w:eastAsia="Arial" w:hAnsi="Arial"/>
          <w:sz w:val="17"/>
          <w:szCs w:val="17"/>
          <w:color w:val="auto"/>
        </w:rPr>
      </w:pPr>
    </w:p>
    <w:p>
      <w:pPr>
        <w:ind w:left="640" w:right="440" w:hanging="320"/>
        <w:spacing w:after="0" w:line="300"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and uncertainty of, and the costs involved in, obtaining marketing approvals for our current product candidates, and other product candidates we may develop and pursue;</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future product candidates that we may pursue and their development requirements;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jurisdictions in which we plan to seek regulatory approvals;</w:t>
      </w:r>
    </w:p>
    <w:p>
      <w:pPr>
        <w:spacing w:after="0" w:line="119" w:lineRule="exact"/>
        <w:rPr>
          <w:rFonts w:ascii="Arial" w:cs="Arial" w:eastAsia="Arial" w:hAnsi="Arial"/>
          <w:sz w:val="17"/>
          <w:szCs w:val="17"/>
          <w:color w:val="auto"/>
        </w:rPr>
      </w:pPr>
    </w:p>
    <w:p>
      <w:pPr>
        <w:ind w:left="640" w:right="260" w:hanging="320"/>
        <w:spacing w:after="0" w:line="278"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approved, the costs of commercialization activities for our product candidates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55" w:lineRule="exact"/>
        <w:rPr>
          <w:rFonts w:ascii="Arial" w:cs="Arial" w:eastAsia="Arial" w:hAnsi="Arial"/>
          <w:sz w:val="17"/>
          <w:szCs w:val="17"/>
          <w:color w:val="auto"/>
        </w:rPr>
      </w:pPr>
    </w:p>
    <w:p>
      <w:pPr>
        <w:ind w:left="640" w:right="360" w:hanging="320"/>
        <w:spacing w:after="0" w:line="300"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subject to receipt of regulatory approval, revenue, if any, received from commercial sales of our product candidates for any approved indications or any other product candidates;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19"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and maintaining and protecting our intellectual property rights, including enforcing and defending intellectual property related claims;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ongoing costs of operating as a public company.</w:t>
      </w:r>
    </w:p>
    <w:p>
      <w:pPr>
        <w:spacing w:after="0" w:line="119"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61"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We believe that our current cash, cash equivalents and marketable securities will be sufficient to fund our operating expenditures and capital expenditure requirements into 2028.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61" w:lineRule="exact"/>
        <w:rPr>
          <w:sz w:val="20"/>
          <w:szCs w:val="20"/>
          <w:color w:val="auto"/>
        </w:rPr>
      </w:pPr>
    </w:p>
    <w:p>
      <w:pPr>
        <w:ind w:right="560"/>
        <w:spacing w:after="0" w:line="310"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product candidates.</w:t>
      </w:r>
    </w:p>
    <w:p>
      <w:pPr>
        <w:spacing w:after="0" w:line="20"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or any combination of the foregoing. In addition, we may seek additional capital due to favorable market conditions or strategic considerations, even if we believe that we have sufficient funds for our current or future operating plans.</w:t>
      </w:r>
    </w:p>
    <w:p>
      <w:pPr>
        <w:spacing w:after="0" w:line="36"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To the extent that we raise additional capital through the sale of common stock, convertible securities or other equity securities, our existing stockholders' ownership interests may be diluted, and the terms of these securities could include liquidation or other preferences and anti-dilution protections that could adversely affect the rights of our stockholders.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70" w:lineRule="exact"/>
        <w:rPr>
          <w:sz w:val="20"/>
          <w:szCs w:val="20"/>
          <w:color w:val="auto"/>
        </w:rPr>
      </w:pPr>
    </w:p>
    <w:p>
      <w:pPr>
        <w:ind w:right="180" w:firstLine="433"/>
        <w:spacing w:after="0" w:line="268" w:lineRule="auto"/>
        <w:rPr>
          <w:sz w:val="20"/>
          <w:szCs w:val="20"/>
          <w:color w:val="auto"/>
        </w:rPr>
      </w:pPr>
      <w:r>
        <w:rPr>
          <w:rFonts w:ascii="Arial" w:cs="Arial" w:eastAsia="Arial" w:hAnsi="Arial"/>
          <w:sz w:val="17"/>
          <w:szCs w:val="17"/>
          <w:color w:val="auto"/>
        </w:rPr>
        <w:t>If we raise additional funds through collaborations or marketing, distribution, licensing and royalty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63" w:lineRule="exact"/>
        <w:rPr>
          <w:sz w:val="20"/>
          <w:szCs w:val="20"/>
          <w:color w:val="auto"/>
        </w:rPr>
      </w:pPr>
    </w:p>
    <w:p>
      <w:pPr>
        <w:ind w:right="360"/>
        <w:spacing w:after="0" w:line="310" w:lineRule="auto"/>
        <w:rPr>
          <w:sz w:val="20"/>
          <w:szCs w:val="20"/>
          <w:color w:val="auto"/>
        </w:rPr>
      </w:pPr>
      <w:r>
        <w:rPr>
          <w:rFonts w:ascii="Arial" w:cs="Arial" w:eastAsia="Arial" w:hAnsi="Arial"/>
          <w:sz w:val="17"/>
          <w:szCs w:val="17"/>
          <w:b w:val="1"/>
          <w:bCs w:val="1"/>
          <w:i w:val="1"/>
          <w:iCs w:val="1"/>
          <w:color w:val="auto"/>
        </w:rPr>
        <w:t>We are a clinical-stage biopharmaceutical company with a very limited operating history and no products approved for commercial sale, which may make it difficult to evaluate our current business and predict our future success and viability.</w:t>
      </w:r>
    </w:p>
    <w:p>
      <w:pPr>
        <w:spacing w:after="0" w:line="20"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are a clinical-stage biopharmaceutical company, focused on translating genetic insights into the development of therapies for CNS disorders characterized by neuronal imbalance. We commenced operations in 2016, have no products approved for commercial sale and have not generated any revenue from product sales. Our operations have been focused on developing and conducting preclinical and clinical studies of our product candidates. To date,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Drug development is a highly uncertain undertaking and involves a substantial degree of risk.</w:t>
      </w:r>
    </w:p>
    <w:p>
      <w:pPr>
        <w:spacing w:after="0" w:line="119" w:lineRule="exact"/>
        <w:rPr>
          <w:sz w:val="20"/>
          <w:szCs w:val="20"/>
          <w:color w:val="auto"/>
        </w:rPr>
      </w:pPr>
    </w:p>
    <w:p>
      <w:pPr>
        <w:ind w:right="400" w:firstLine="433"/>
        <w:spacing w:after="0" w:line="271" w:lineRule="auto"/>
        <w:rPr>
          <w:sz w:val="20"/>
          <w:szCs w:val="20"/>
          <w:color w:val="auto"/>
        </w:rPr>
      </w:pPr>
      <w:r>
        <w:rPr>
          <w:rFonts w:ascii="Arial" w:cs="Arial" w:eastAsia="Arial" w:hAnsi="Arial"/>
          <w:sz w:val="17"/>
          <w:szCs w:val="17"/>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our product candidates. Our ability to generate revenue and achieve profitability depends on many factors, including:</w:t>
      </w:r>
    </w:p>
    <w:p>
      <w:pPr>
        <w:spacing w:after="0" w:line="61" w:lineRule="exact"/>
        <w:rPr>
          <w:sz w:val="20"/>
          <w:szCs w:val="20"/>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initiating and successfully completing research and preclinical and clinical development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regulatory approvals for product candidates for which we successfully complete clinical development and clinical trials, if any;</w:t>
      </w:r>
    </w:p>
    <w:p>
      <w:pPr>
        <w:spacing w:after="0" w:line="119" w:lineRule="exact"/>
        <w:rPr>
          <w:rFonts w:ascii="Arial" w:cs="Arial" w:eastAsia="Arial" w:hAnsi="Arial"/>
          <w:sz w:val="17"/>
          <w:szCs w:val="17"/>
          <w:color w:val="auto"/>
        </w:rPr>
      </w:pPr>
    </w:p>
    <w:p>
      <w:pPr>
        <w:ind w:left="640" w:right="240" w:hanging="320"/>
        <w:spacing w:after="0" w:line="278"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commercial demand of our product candidates;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identifying, assessing, acquiring and/or developing new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119" w:lineRule="exact"/>
        <w:rPr>
          <w:rFonts w:ascii="Arial" w:cs="Arial" w:eastAsia="Arial" w:hAnsi="Arial"/>
          <w:sz w:val="17"/>
          <w:szCs w:val="17"/>
          <w:color w:val="auto"/>
        </w:rPr>
      </w:pPr>
    </w:p>
    <w:p>
      <w:pPr>
        <w:ind w:left="640" w:right="300" w:hanging="320"/>
        <w:spacing w:after="0" w:line="300"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launching and successfully commercializing product candidates for which we obtain regulatory approval, if any, either by collaborating with a partner or, if launched independently, by establishing a sales, marketing and distribution infrastructure;</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an adequate price for our product candidates in the countries where our products are commercialized, if 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adequate reimbursement for our product candidates from payors;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viable treatment options;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receiving milestone and other payments under any future collaboration arrangements;</w:t>
      </w:r>
    </w:p>
    <w:p>
      <w:pPr>
        <w:spacing w:after="0" w:line="119" w:lineRule="exact"/>
        <w:rPr>
          <w:rFonts w:ascii="Arial" w:cs="Arial" w:eastAsia="Arial" w:hAnsi="Arial"/>
          <w:sz w:val="17"/>
          <w:szCs w:val="17"/>
          <w:color w:val="auto"/>
        </w:rPr>
      </w:pPr>
    </w:p>
    <w:p>
      <w:pPr>
        <w:ind w:left="640" w:right="24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maintaining, protecting, expanding and enforcing our portfolio of intellectual property rights, including patents, trade secrets and know-how;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11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64" w:lineRule="exact"/>
        <w:rPr>
          <w:sz w:val="20"/>
          <w:szCs w:val="20"/>
          <w:color w:val="auto"/>
        </w:rPr>
      </w:pPr>
    </w:p>
    <w:p>
      <w:pPr>
        <w:ind w:right="360"/>
        <w:spacing w:after="0" w:line="310" w:lineRule="auto"/>
        <w:rPr>
          <w:sz w:val="20"/>
          <w:szCs w:val="20"/>
          <w:color w:val="auto"/>
        </w:rPr>
      </w:pPr>
      <w:r>
        <w:rPr>
          <w:rFonts w:ascii="Arial" w:cs="Arial" w:eastAsia="Arial" w:hAnsi="Arial"/>
          <w:sz w:val="17"/>
          <w:szCs w:val="17"/>
          <w:b w:val="1"/>
          <w:bCs w:val="1"/>
          <w:i w:val="1"/>
          <w:iCs w:val="1"/>
          <w:color w:val="auto"/>
        </w:rPr>
        <w:t>We may expend our limited resources on programs that do not yield a successful product candidate or fail to capitalize on product candidates or indications that may be more profitable or for which there is a greater likelihood of success.</w:t>
      </w:r>
    </w:p>
    <w:p>
      <w:pPr>
        <w:spacing w:after="0" w:line="20"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We are currently evaluating (i) ulixacaltamide for the treatment of essential tremor, or ET, (ii) vormatrigine for the treatment of common epilepsies, including focal onset seizures and generalized epilepsy, (iii) relutrigine for the treatment of SCN2A development and epileptic encephalopathy, or SCN2A-DEE, SCN8A development and epileptic encephalopathy, or SCN8A-DEE, and broader DEEs; and (iv) elsunersen for the treatment of SCN2A-DEE. Our drug development strategy is to clinically test and seek regulatory approval for our product candidates in indications in which we believe we will be able to efficiently generate proof-of-concept data. If any of our product candidates is approved, we then intend to expand to clinical testing and potentially seek regulatory approvals in other neurological disease indications based on genetic and mechanistic overlap with the primary indication. However, even if our product candidates are able to gain regulatory approval in one indication, there is no guarantee that we will be able to gain regulatory approval in another indication or expand to other indications.</w:t>
      </w:r>
    </w:p>
    <w:p>
      <w:pPr>
        <w:spacing w:after="0" w:line="69"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In addition, we may focus resources on pursuing indications outside of neurology based on the same strategic approach (</w:t>
      </w:r>
      <w:r>
        <w:rPr>
          <w:rFonts w:ascii="Arial" w:cs="Arial" w:eastAsia="Arial" w:hAnsi="Arial"/>
          <w:sz w:val="17"/>
          <w:szCs w:val="17"/>
          <w:i w:val="1"/>
          <w:iCs w:val="1"/>
          <w:color w:val="auto"/>
        </w:rPr>
        <w:t>e.g.</w:t>
      </w:r>
      <w:r>
        <w:rPr>
          <w:rFonts w:ascii="Arial" w:cs="Arial" w:eastAsia="Arial" w:hAnsi="Arial"/>
          <w:sz w:val="17"/>
          <w:szCs w:val="17"/>
          <w:color w:val="auto"/>
        </w:rPr>
        <w:t>, human genetics, mechanistic rationale, the availability of translational tools, clinical development path, commercial opportunity) we utilize in determining on which of our discovery programs to focus.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Additionally, we may reprioritize product candidate development plans and activities at any time and delay or terminate development of any product candidates we identify.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neurological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76" w:lineRule="exact"/>
        <w:rPr>
          <w:sz w:val="20"/>
          <w:szCs w:val="20"/>
          <w:color w:val="auto"/>
        </w:rPr>
      </w:pPr>
    </w:p>
    <w:p>
      <w:pPr>
        <w:ind w:right="4500"/>
        <w:spacing w:after="0" w:line="387" w:lineRule="auto"/>
        <w:rPr>
          <w:sz w:val="20"/>
          <w:szCs w:val="20"/>
          <w:color w:val="auto"/>
        </w:rPr>
      </w:pPr>
      <w:r>
        <w:rPr>
          <w:rFonts w:ascii="Arial" w:cs="Arial" w:eastAsia="Arial" w:hAnsi="Arial"/>
          <w:sz w:val="17"/>
          <w:szCs w:val="17"/>
          <w:b w:val="1"/>
          <w:bCs w:val="1"/>
          <w:color w:val="auto"/>
        </w:rPr>
        <w:t xml:space="preserve">Risks Related to Research and Development and the Biopharmaceutical Industry </w:t>
      </w:r>
      <w:r>
        <w:rPr>
          <w:rFonts w:ascii="Arial" w:cs="Arial" w:eastAsia="Arial" w:hAnsi="Arial"/>
          <w:sz w:val="17"/>
          <w:szCs w:val="17"/>
          <w:u w:val="single" w:color="auto"/>
          <w:color w:val="auto"/>
        </w:rPr>
        <w:t>Risks Related to Preclinical and Clinical Development</w:t>
      </w:r>
    </w:p>
    <w:p>
      <w:pPr>
        <w:spacing w:after="0" w:line="1"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The development and commercialization of drug products is subject to extensive regulation, and the regulatory approval processes of the FDA and comparable foreign regulatory authorities are lengthy, time-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310" w:lineRule="auto"/>
        <w:rPr>
          <w:sz w:val="20"/>
          <w:szCs w:val="20"/>
          <w:color w:val="auto"/>
        </w:rPr>
      </w:pPr>
      <w:r>
        <w:rPr>
          <w:rFonts w:ascii="Arial" w:cs="Arial" w:eastAsia="Arial" w:hAnsi="Arial"/>
          <w:sz w:val="17"/>
          <w:szCs w:val="17"/>
          <w:b w:val="1"/>
          <w:bCs w:val="1"/>
          <w:i w:val="1"/>
          <w:iCs w:val="1"/>
          <w:color w:val="auto"/>
        </w:rPr>
        <w:t>consuming, and inherently unpredictable. If we are ultimately unable to obtain regulatory approval for our product candidates on a timely basis if at all, our business will be substantially harmed.</w:t>
      </w:r>
    </w:p>
    <w:p>
      <w:pPr>
        <w:spacing w:after="0" w:line="20"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In the United States, obtaining marketing approval for a new drug requires the submission of a New Drug Application, or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w:t>
      </w:r>
    </w:p>
    <w:p>
      <w:pPr>
        <w:spacing w:after="0" w:line="68"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We have not previously submitted an NDA to the FDA or similar marketing authorization application to comparable foreign authorities, for any product candidate, and we cannot be certain that any of our product candidates will receive regulatory approval. Obtaining approval of an NDA can be a lengthy, expensive, and uncertain process, and as a company we have no experience with the preparation of an NDA submission or any other marketing authorization application.</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product candidates could fail to receive regulatory approval for many reasons, including the following:</w:t>
      </w:r>
    </w:p>
    <w:p>
      <w:pPr>
        <w:spacing w:after="0" w:line="119" w:lineRule="exact"/>
        <w:rPr>
          <w:sz w:val="20"/>
          <w:szCs w:val="20"/>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119" w:lineRule="exact"/>
        <w:rPr>
          <w:rFonts w:ascii="Arial" w:cs="Arial" w:eastAsia="Arial" w:hAnsi="Arial"/>
          <w:sz w:val="17"/>
          <w:szCs w:val="17"/>
          <w:color w:val="auto"/>
        </w:rPr>
      </w:pPr>
    </w:p>
    <w:p>
      <w:pPr>
        <w:ind w:left="640" w:right="100" w:hanging="320"/>
        <w:spacing w:after="0" w:line="300"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for its proposed indication;</w:t>
      </w:r>
    </w:p>
    <w:p>
      <w:pPr>
        <w:spacing w:after="0" w:line="35" w:lineRule="exact"/>
        <w:rPr>
          <w:rFonts w:ascii="Arial" w:cs="Arial" w:eastAsia="Arial" w:hAnsi="Arial"/>
          <w:sz w:val="17"/>
          <w:szCs w:val="17"/>
          <w:color w:val="auto"/>
        </w:rPr>
      </w:pPr>
    </w:p>
    <w:p>
      <w:pPr>
        <w:ind w:left="640" w:right="640" w:hanging="320"/>
        <w:spacing w:after="0" w:line="300"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19"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w:t>
      </w:r>
    </w:p>
    <w:p>
      <w:pPr>
        <w:spacing w:after="0" w:line="55" w:lineRule="exact"/>
        <w:rPr>
          <w:rFonts w:ascii="Arial" w:cs="Arial" w:eastAsia="Arial" w:hAnsi="Arial"/>
          <w:sz w:val="17"/>
          <w:szCs w:val="17"/>
          <w:color w:val="auto"/>
        </w:rPr>
      </w:pPr>
    </w:p>
    <w:p>
      <w:pPr>
        <w:ind w:left="640" w:right="60" w:hanging="320"/>
        <w:spacing w:after="0" w:line="300"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our manufacturing processes or facilities or those of third-party manufacturers with which we contract for clinical and commercial supplies; and</w:t>
      </w:r>
    </w:p>
    <w:p>
      <w:pPr>
        <w:spacing w:after="0" w:line="35" w:lineRule="exact"/>
        <w:rPr>
          <w:rFonts w:ascii="Arial" w:cs="Arial" w:eastAsia="Arial" w:hAnsi="Arial"/>
          <w:sz w:val="17"/>
          <w:szCs w:val="17"/>
          <w:color w:val="auto"/>
        </w:rPr>
      </w:pPr>
    </w:p>
    <w:p>
      <w:pPr>
        <w:ind w:left="640" w:right="620" w:hanging="320"/>
        <w:spacing w:after="0" w:line="300"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36"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preclinical and 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market our products, if approved. Further, even if we believe the data collected from clinical trials of our product candidates are promising, such data may not be sufficient to support approval by the FDA or any comparable foreign regulatory authority.</w:t>
      </w:r>
    </w:p>
    <w:p>
      <w:pPr>
        <w:spacing w:after="0" w:line="73"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40"/>
        <w:spacing w:after="0" w:line="300" w:lineRule="auto"/>
        <w:rPr>
          <w:sz w:val="20"/>
          <w:szCs w:val="20"/>
          <w:color w:val="auto"/>
        </w:rPr>
      </w:pPr>
      <w:r>
        <w:rPr>
          <w:rFonts w:ascii="Arial" w:cs="Arial" w:eastAsia="Arial" w:hAnsi="Arial"/>
          <w:sz w:val="17"/>
          <w:szCs w:val="17"/>
          <w:color w:val="auto"/>
        </w:rPr>
        <w:t>commercialization of that product candidate. Any of the foregoing scenarios could materially harm the commercial prospects for our product candidates.</w:t>
      </w:r>
    </w:p>
    <w:p>
      <w:pPr>
        <w:spacing w:after="0" w:line="36"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In addition, the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68"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43" w:lineRule="exact"/>
        <w:rPr>
          <w:sz w:val="20"/>
          <w:szCs w:val="20"/>
          <w:color w:val="auto"/>
        </w:rPr>
      </w:pPr>
    </w:p>
    <w:p>
      <w:pPr>
        <w:ind w:right="60" w:firstLine="433"/>
        <w:spacing w:after="0" w:line="265"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pivotal clinical trials typically involve hundreds of patients, have significant costs and take years to complete. A product candidate can fail at any stage of testing, even after observing promising signs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w:t>
      </w:r>
    </w:p>
    <w:p>
      <w:pPr>
        <w:spacing w:after="0" w:line="279" w:lineRule="exact"/>
        <w:rPr>
          <w:sz w:val="20"/>
          <w:szCs w:val="20"/>
          <w:color w:val="auto"/>
        </w:rPr>
      </w:pPr>
    </w:p>
    <w:p>
      <w:pPr>
        <w:jc w:val="both"/>
        <w:ind w:right="180" w:firstLine="433"/>
        <w:spacing w:after="0" w:line="266" w:lineRule="auto"/>
        <w:rPr>
          <w:sz w:val="20"/>
          <w:szCs w:val="20"/>
          <w:color w:val="auto"/>
        </w:rPr>
      </w:pPr>
      <w:r>
        <w:rPr>
          <w:rFonts w:ascii="Arial" w:cs="Arial" w:eastAsia="Arial" w:hAnsi="Arial"/>
          <w:sz w:val="17"/>
          <w:szCs w:val="17"/>
          <w:color w:val="auto"/>
        </w:rPr>
        <w:t>There is typically an extremely high rate of attrition from the failure of product candidates proceeding through clinical trials. Certain of our product candidates failed to meet the primary endpoint in later stage clinical trials and we may in the future have product candidates that fail to show the desired safety and efficacy results in later stage clinical trials despite having progressed through preclinical studies and initial clinical trials. There can be no assurance that any of our future clinical trials will ultimately be successful or support further clinical development of our product candidates. The commencement and rate of completion of preclinical studies and clinical trials for a product candidate may be delayed by many factors, including, for example:</w:t>
      </w:r>
    </w:p>
    <w:p>
      <w:pPr>
        <w:spacing w:after="0" w:line="64" w:lineRule="exact"/>
        <w:rPr>
          <w:sz w:val="20"/>
          <w:szCs w:val="20"/>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generate sufficient preclinical or other in vivo or in vitro data to support the initiation of clinical studies;</w:t>
      </w:r>
    </w:p>
    <w:p>
      <w:pPr>
        <w:spacing w:after="0" w:line="119" w:lineRule="exact"/>
        <w:rPr>
          <w:rFonts w:ascii="Arial" w:cs="Arial" w:eastAsia="Arial" w:hAnsi="Arial"/>
          <w:sz w:val="17"/>
          <w:szCs w:val="17"/>
          <w:color w:val="auto"/>
        </w:rPr>
      </w:pPr>
    </w:p>
    <w:p>
      <w:pPr>
        <w:jc w:val="both"/>
        <w:ind w:left="640" w:right="60" w:hanging="320"/>
        <w:spacing w:after="0" w:line="278"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timely completion of preclinical laboratory tests, animal studies and formulation studies in accordance with the Good Laboratory Practice requirements and other applicable regulations of the U.S. Food and Drug Administration, or the FDA, and comparable foreign regulatory authorities;</w:t>
      </w:r>
    </w:p>
    <w:p>
      <w:pPr>
        <w:spacing w:after="0" w:line="5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obtaining approval from independent Institutional Review Boards, or IRBs, or ethics committees at the clinical sites we intend to utilize in our clinical trials;</w:t>
      </w:r>
    </w:p>
    <w:p>
      <w:pPr>
        <w:spacing w:after="0" w:line="35" w:lineRule="exact"/>
        <w:rPr>
          <w:rFonts w:ascii="Arial" w:cs="Arial" w:eastAsia="Arial" w:hAnsi="Arial"/>
          <w:sz w:val="17"/>
          <w:szCs w:val="17"/>
          <w:color w:val="auto"/>
        </w:rPr>
      </w:pPr>
    </w:p>
    <w:p>
      <w:pPr>
        <w:ind w:left="640" w:right="100" w:hanging="320"/>
        <w:spacing w:after="0" w:line="278"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 and obtaining regulatory authorization to commence clinical trials; 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identifying, recruiting and training suitable clinical investigators;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recruiting suitable patients to participate in our clinical trials;</w:t>
      </w:r>
    </w:p>
    <w:p>
      <w:pPr>
        <w:spacing w:after="0" w:line="119"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sufficient stable quantities of our product candidates for use in clinical trials or the inability to do any of the foregoing;</w:t>
      </w:r>
    </w:p>
    <w:p>
      <w:pPr>
        <w:spacing w:after="0" w:line="35" w:lineRule="exact"/>
        <w:rPr>
          <w:rFonts w:ascii="Arial" w:cs="Arial" w:eastAsia="Arial" w:hAnsi="Arial"/>
          <w:sz w:val="17"/>
          <w:szCs w:val="17"/>
          <w:color w:val="auto"/>
        </w:rPr>
      </w:pPr>
    </w:p>
    <w:p>
      <w:pPr>
        <w:ind w:left="640" w:right="60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imposition of a temporary or permanent clinical hold by regulatory authorities;</w:t>
      </w:r>
    </w:p>
    <w:p>
      <w:pPr>
        <w:spacing w:after="0" w:line="119" w:lineRule="exact"/>
        <w:rPr>
          <w:rFonts w:ascii="Arial" w:cs="Arial" w:eastAsia="Arial" w:hAnsi="Arial"/>
          <w:sz w:val="17"/>
          <w:szCs w:val="17"/>
          <w:color w:val="auto"/>
        </w:rPr>
      </w:pPr>
    </w:p>
    <w:p>
      <w:pPr>
        <w:ind w:left="640" w:right="22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developments on trials conducted by competitors for related technology that raises FDA or foreign regulatory authority concerns about risk to patients of the technology broadly, or if the FDA or a foreign</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regulatory authority finds that the investigational protocol or plan is clearly deficient to meet its stated objectives;</w:t>
      </w:r>
    </w:p>
    <w:p>
      <w:pPr>
        <w:spacing w:after="0" w:line="119" w:lineRule="exact"/>
        <w:rPr>
          <w:sz w:val="20"/>
          <w:szCs w:val="20"/>
          <w:color w:val="auto"/>
        </w:rPr>
      </w:pPr>
    </w:p>
    <w:p>
      <w:pPr>
        <w:ind w:left="640" w:right="12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recruiting, screening and enrolling patients and delays caused by patients withdrawing from clinical trials or failing to return for post-treatment follow-up;</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caused by operational issues at clinical sites or the use of a decentralized clinical trial model;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difficulty collaborating with patient groups and investigators;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by our CROs, other third parties or us to adhere to clinical trial protocols;</w:t>
      </w:r>
    </w:p>
    <w:p>
      <w:pPr>
        <w:spacing w:after="0" w:line="119" w:lineRule="exact"/>
        <w:rPr>
          <w:rFonts w:ascii="Arial" w:cs="Arial" w:eastAsia="Arial" w:hAnsi="Arial"/>
          <w:sz w:val="17"/>
          <w:szCs w:val="17"/>
          <w:color w:val="auto"/>
        </w:rPr>
      </w:pPr>
    </w:p>
    <w:p>
      <w:pPr>
        <w:ind w:left="640" w:right="50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perform in accordance with the FDA’s or any other regulatory authority’s Good Clinical Practice, or GCP, requirements, or applicable regulatory guidelines in other countries;</w:t>
      </w:r>
    </w:p>
    <w:p>
      <w:pPr>
        <w:spacing w:after="0" w:line="35"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 or occurrence of adverse events in trials of the same class of agents conducted by other companies;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to the clinical trial protocols;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clinical sites deviating from trial protocol or dropping out of a trial;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standard of care on which a clinical development plan was based, which may require new or additional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observation or analyses of resulting data;</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being greater than we anticipated;</w:t>
      </w:r>
    </w:p>
    <w:p>
      <w:pPr>
        <w:spacing w:after="0" w:line="119" w:lineRule="exact"/>
        <w:rPr>
          <w:rFonts w:ascii="Arial" w:cs="Arial" w:eastAsia="Arial" w:hAnsi="Arial"/>
          <w:sz w:val="17"/>
          <w:szCs w:val="17"/>
          <w:color w:val="auto"/>
        </w:rPr>
      </w:pPr>
    </w:p>
    <w:p>
      <w:pPr>
        <w:ind w:left="640" w:right="66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35" w:lineRule="exact"/>
        <w:rPr>
          <w:rFonts w:ascii="Arial" w:cs="Arial" w:eastAsia="Arial" w:hAnsi="Arial"/>
          <w:sz w:val="17"/>
          <w:szCs w:val="17"/>
          <w:color w:val="auto"/>
        </w:rPr>
      </w:pPr>
    </w:p>
    <w:p>
      <w:pPr>
        <w:ind w:left="640" w:right="36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transfer of manufacturing processes to larger-scale facilities operated by a contract development and manufacturing organization, or CDMO, and delays or failure by our CDMOs or us to make any necessary changes to such manufacturing process;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third parties being unwilling or unable to satisfy their contractual obligations to us.</w:t>
      </w:r>
    </w:p>
    <w:p>
      <w:pPr>
        <w:spacing w:after="0" w:line="11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Before commencing a clinical trial, the FDA or comparable foreign regulatory authorities could raise questions about or concerns with our proposed clinical protocol. For example, the FDA has previously issued clinical holds on certain of our product candidates, and we could not commence the respective clinical trial until such questions or concerns were resolved.</w:t>
      </w:r>
    </w:p>
    <w:p>
      <w:pPr>
        <w:spacing w:after="0" w:line="63"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we may need to amend clinical trial protocols that could require us to resubmit our clinical trial protocols to IRBs or ethics committees for reexamination, which may impact the costs, timing or successful completion of a clinical trial.</w:t>
      </w:r>
    </w:p>
    <w:p>
      <w:pPr>
        <w:spacing w:after="0" w:line="70"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Some of our trials are, have been, and may in the future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may interpret the information of the treated group more favorably given this knowledge. Therefore, it is possible that positive results observed in open-label trials will not be replicated in later placebo-controlled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w:t>
      </w:r>
    </w:p>
    <w:p>
      <w:pPr>
        <w:spacing w:after="0" w:line="61"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In addition, we plan to conduct clinical trials of certain of our product candidates, including ulixacaltamide, utilizing novel primary endpoints for which the FDA and other regulatory authorities may have limited experience in interpreting and reviewing. Although we have sought consensus with FDA and other regulatory authorities in connection with the design and implementation of our clinical studies, utilizing novel trial endpoints may increase the risk that the FDA and other regulatory authorities will consider the results from such trials, even if successful, insufficient to establish the safety or efficacy of our product candidates, which could require us to conduct additional studies beyond those we currently contemplate for our product candidates.</w:t>
      </w:r>
    </w:p>
    <w:p>
      <w:pPr>
        <w:spacing w:after="0" w:line="64"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Further, conducting clinical trials in foreign countries, such as the European Union, or EU,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1"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78"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68"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January 31, 2025, and all clinical trials (and related applications) are now fully subject to the provisions of the CTR. Compliance with the CTR requirements by us and our third-party service providers, such as CROs, may impact our developments plans. If we are slow or unable to adapt to changes in existing requirements or the adoption of new requirements or policies governing clinical trials, our development plans may be impacted.</w:t>
      </w:r>
    </w:p>
    <w:p>
      <w:pPr>
        <w:spacing w:after="0" w:line="279" w:lineRule="exact"/>
        <w:rPr>
          <w:sz w:val="20"/>
          <w:szCs w:val="20"/>
          <w:color w:val="auto"/>
        </w:rPr>
      </w:pPr>
    </w:p>
    <w:p>
      <w:pPr>
        <w:ind w:right="400"/>
        <w:spacing w:after="0" w:line="310"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340" w:firstLine="433"/>
        <w:spacing w:after="0" w:line="264"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w:t>
      </w:r>
    </w:p>
    <w:p>
      <w:pPr>
        <w:spacing w:after="0" w:line="265"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In addition, many compounds that have initially showed promise in clinical or earlier stage testing are later found to cause undesirable or unexpected side effects that prevented further development of the compound. Additionally, the composition of our product candidates or learnings in preclinical studies or clinical trials may result in contraindications for any product candidates for which we may obtain regulatory approval.</w:t>
      </w:r>
    </w:p>
    <w:p>
      <w:pPr>
        <w:spacing w:after="0" w:line="65"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If unacceptable side effects arise in the development of our product candidates, we, foreign regulatory authorities, or the FDA, the IRBs or DSMBs at the institutions in which our trials are conducted could suspend or terminate our preclinical studies or clinical trials or foreign regulatory authorities or the FDA could order us to cease preclinical studies or clinical trials or deny approval of our product candidates for any or all targeted indications.</w:t>
      </w:r>
    </w:p>
    <w:p>
      <w:pPr>
        <w:spacing w:after="0" w:line="61"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Treatment-emergent side effects that are deemed to be drug-related could also affect patient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63"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In addition to side effects caused by our product candidates, the administration process or related procedures of our product candidates could cause adverse side effects, such as the intrathecal or intravitreal administration process or related procedures for antisense oligonucleotide drugs, or ASOs. If any such adverse events occur, our clinical trials could be suspended or terminated. Even if we can demonstrate that adverse events are not product-related, such occurrences could affect patient recruitment or the ability of enrolled patients to complete the clinical trial. Additionally, other ASOs in clinical development utilizing intrathecal delivery could also generate data that could adversely affect the clinical, regulatory or commercial perception of our product candidates.</w:t>
      </w:r>
    </w:p>
    <w:p>
      <w:pPr>
        <w:spacing w:after="0" w:line="64"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Moreover, 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68" w:lineRule="exact"/>
        <w:rPr>
          <w:sz w:val="20"/>
          <w:szCs w:val="20"/>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contraindications;</w:t>
      </w:r>
    </w:p>
    <w:p>
      <w:pPr>
        <w:spacing w:after="0" w:line="119" w:lineRule="exact"/>
        <w:rPr>
          <w:rFonts w:ascii="Arial" w:cs="Arial" w:eastAsia="Arial" w:hAnsi="Arial"/>
          <w:sz w:val="17"/>
          <w:szCs w:val="17"/>
          <w:color w:val="auto"/>
        </w:rPr>
      </w:pPr>
    </w:p>
    <w:p>
      <w:pPr>
        <w:ind w:left="640" w:right="320" w:hanging="320"/>
        <w:spacing w:after="0" w:line="30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such product candidates are distributed or administered, or change the labeling of the product candidates;</w:t>
      </w:r>
    </w:p>
    <w:p>
      <w:pPr>
        <w:spacing w:after="0" w:line="35" w:lineRule="exact"/>
        <w:rPr>
          <w:rFonts w:ascii="Arial" w:cs="Arial" w:eastAsia="Arial" w:hAnsi="Arial"/>
          <w:sz w:val="17"/>
          <w:szCs w:val="17"/>
          <w:color w:val="auto"/>
        </w:rPr>
      </w:pPr>
    </w:p>
    <w:p>
      <w:pPr>
        <w:jc w:val="both"/>
        <w:ind w:left="640" w:right="160" w:hanging="320"/>
        <w:spacing w:after="0" w:line="278"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may require a Risk Evaluation and Mitigation Strategy, or REMS, plan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19" w:lineRule="exact"/>
        <w:rPr>
          <w:rFonts w:ascii="Arial" w:cs="Arial" w:eastAsia="Arial" w:hAnsi="Arial"/>
          <w:sz w:val="17"/>
          <w:szCs w:val="17"/>
          <w:color w:val="auto"/>
        </w:rPr>
      </w:pPr>
    </w:p>
    <w:p>
      <w:pPr>
        <w:ind w:left="640" w:right="220" w:hanging="320"/>
        <w:spacing w:after="0" w:line="30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a comparable foreign regulatory authority may require us to conduct additional clinical trials or costly post-marketing testing and surveillance to monitor the safety and efficacy of the product;</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 candidates;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600" w:firstLine="433"/>
        <w:spacing w:after="0" w:line="27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55" w:lineRule="exact"/>
        <w:rPr>
          <w:sz w:val="20"/>
          <w:szCs w:val="20"/>
          <w:color w:val="auto"/>
        </w:rPr>
      </w:pPr>
    </w:p>
    <w:p>
      <w:pPr>
        <w:ind w:right="720"/>
        <w:spacing w:after="0" w:line="310" w:lineRule="auto"/>
        <w:rPr>
          <w:sz w:val="20"/>
          <w:szCs w:val="20"/>
          <w:color w:val="auto"/>
        </w:rPr>
      </w:pPr>
      <w:r>
        <w:rPr>
          <w:rFonts w:ascii="Arial" w:cs="Arial" w:eastAsia="Arial" w:hAnsi="Arial"/>
          <w:sz w:val="17"/>
          <w:szCs w:val="17"/>
          <w:b w:val="1"/>
          <w:bCs w:val="1"/>
          <w:i w:val="1"/>
          <w:iCs w:val="1"/>
          <w:color w:val="auto"/>
        </w:rPr>
        <w:t>If we encounter difficulties enrolling patients in our future clinical trials, our clinical development activities could be delayed or otherwise adversely affected.</w:t>
      </w:r>
    </w:p>
    <w:p>
      <w:pPr>
        <w:spacing w:after="0" w:line="20"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We have, and may in the future,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Patient enrollment is affected by many factors, including:</w:t>
      </w:r>
    </w:p>
    <w:p>
      <w:pPr>
        <w:spacing w:after="0" w:line="119" w:lineRule="exact"/>
        <w:rPr>
          <w:sz w:val="20"/>
          <w:szCs w:val="20"/>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patient eligibility criteria defined in the protocol;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size and nature of the patient population;</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case clinical trials focused on rare disease, the small size of the patient population and the potential of a patient being undiagnosed or misdiagnosed;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9" w:lineRule="exact"/>
        <w:rPr>
          <w:rFonts w:ascii="Arial" w:cs="Arial" w:eastAsia="Arial" w:hAnsi="Arial"/>
          <w:sz w:val="17"/>
          <w:szCs w:val="17"/>
          <w:color w:val="auto"/>
        </w:rPr>
      </w:pPr>
    </w:p>
    <w:p>
      <w:pPr>
        <w:ind w:left="640" w:right="160" w:hanging="320"/>
        <w:spacing w:after="0" w:line="291"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260"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obtain and maintain patient consents;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9"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Such limitations can also impact the diversity of the patient pool, which may also adversely impact our clinical trials or results.</w:t>
      </w:r>
    </w:p>
    <w:p>
      <w:pPr>
        <w:spacing w:after="0" w:line="64" w:lineRule="exact"/>
        <w:rPr>
          <w:sz w:val="20"/>
          <w:szCs w:val="20"/>
          <w:color w:val="auto"/>
        </w:rPr>
      </w:pPr>
    </w:p>
    <w:p>
      <w:pPr>
        <w:ind w:firstLine="433"/>
        <w:spacing w:after="0" w:line="267" w:lineRule="auto"/>
        <w:rPr>
          <w:sz w:val="20"/>
          <w:szCs w:val="20"/>
          <w:color w:val="auto"/>
        </w:rPr>
      </w:pPr>
      <w:r>
        <w:rPr>
          <w:rFonts w:ascii="Arial" w:cs="Arial" w:eastAsia="Arial" w:hAnsi="Arial"/>
          <w:sz w:val="17"/>
          <w:szCs w:val="17"/>
          <w:color w:val="auto"/>
        </w:rPr>
        <w:t>Our inability to enroll a sufficient number or diversity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276"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0"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From time to time, we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reported. As a result, topline and preliminary data should be viewed with caution until the final data are available.</w:t>
      </w:r>
    </w:p>
    <w:p>
      <w:pPr>
        <w:spacing w:after="0" w:line="70"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From time to time, we disclose interim data from our preclinical studies and clinical trials. Interim data from clinical trials that we complete are subject to numerous risks, including statistical risks, methodological risks and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operational risks. If interim analyses suggest unexpected results, we may decide to modify the trial design, analytical methods or take other steps in response, which ultimately may or may not lead to a more favorable outcome. Adverse changes between interim data and final data could also significantly harm our business and prospects. Further, additional disclosure of interim data by us or by our competitors in the future could result in volatility in the price of our common stock.</w:t>
      </w:r>
    </w:p>
    <w:p>
      <w:pPr>
        <w:spacing w:after="0" w:line="61"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later, final or actual results, or if others, including the FDA and comparable foreign regulatory authorities, disagree with the conclusions reached, our ability to obtain approval for, and commercialize our product candidates may be harmed, which could harm our business, financial condition, results of operations and prospects.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markets for our product candidates may be smaller than we expect.</w:t>
      </w:r>
    </w:p>
    <w:p>
      <w:pPr>
        <w:spacing w:after="0" w:line="119"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Our estimates of the potential market opportunities in each of our platforms include several key assumptions based on our industry knowledge, industry publications and third-party research reports and other data sources and estimates. There can be no assurance that any of these assumptions are, or will remain, accurate. If the actual markets identified for our product candidates, or for any other product candidate we may develop in the future, is smaller than we expect, our revenues, if any, may be limited and it may be more difficult for us to achieve or maintain profitability.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in the future.</w:t>
      </w:r>
    </w:p>
    <w:p>
      <w:pPr>
        <w:spacing w:after="0" w:line="119" w:lineRule="exact"/>
        <w:rPr>
          <w:sz w:val="20"/>
          <w:szCs w:val="20"/>
          <w:color w:val="auto"/>
        </w:rPr>
      </w:pPr>
    </w:p>
    <w:p>
      <w:pPr>
        <w:ind w:right="100" w:firstLine="433"/>
        <w:spacing w:after="0" w:line="300" w:lineRule="auto"/>
        <w:rPr>
          <w:sz w:val="20"/>
          <w:szCs w:val="20"/>
          <w:color w:val="auto"/>
        </w:rPr>
      </w:pPr>
      <w:r>
        <w:rPr>
          <w:rFonts w:ascii="Arial" w:cs="Arial" w:eastAsia="Arial" w:hAnsi="Arial"/>
          <w:sz w:val="17"/>
          <w:szCs w:val="17"/>
          <w:color w:val="auto"/>
        </w:rPr>
        <w:t>Our research programs may initially show promise in identifying potential product candidates, yet fail to yield product candidates for clinical development or commercialization for a number of reasons, including:</w:t>
      </w:r>
    </w:p>
    <w:p>
      <w:pPr>
        <w:spacing w:after="0" w:line="36" w:lineRule="exact"/>
        <w:rPr>
          <w:sz w:val="20"/>
          <w:szCs w:val="20"/>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or pharmacokinetic properties that we desire; or</w:t>
      </w:r>
    </w:p>
    <w:p>
      <w:pPr>
        <w:spacing w:after="0" w:line="119"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36" w:lineRule="exact"/>
        <w:rPr>
          <w:sz w:val="20"/>
          <w:szCs w:val="20"/>
          <w:color w:val="auto"/>
        </w:rPr>
      </w:pPr>
    </w:p>
    <w:p>
      <w:pPr>
        <w:ind w:right="200" w:firstLine="433"/>
        <w:spacing w:after="0" w:line="278"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55"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b w:val="1"/>
          <w:bCs w:val="1"/>
          <w:i w:val="1"/>
          <w:iCs w:val="1"/>
          <w:color w:val="auto"/>
        </w:rPr>
        <w:t>We conduct clinical trials for our product candidates in the United States, Europe and other jurisdictions, and the FDA, the European Medicines Agency, or EMA, and applicable foreign regulatory authorities may not accept data from trials conducted outside those respective jurisdictions.</w:t>
      </w:r>
    </w:p>
    <w:p>
      <w:pPr>
        <w:spacing w:after="0" w:line="43"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acceptance of study data from preclinical studies and clinical trials conducted outside the United States may be subject to certain conditions for acceptance. For example, in cases where data from foreign clinical trials are intended to serve as the basis for marketing approval in the United States, regardless of whether the trials were subject to an IND,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review the clinical protocols for the trials, and therefore there is an additional potential risk that the FDA could determine that the trial design or protocol for a non-United States clinical trial was inadequate, which could require us to conduct additional clinical trials. Many foreign regulatory bodies, such as the EMA, have similar approval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63"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We obtained orphan drug designation for relutrigine and elsunersen and may plan to seek orphan drug designation for additional product candidates, but we may be unable to obtain or maintain such a designation or the benefits associated with orphan drug status, including marketing exclusivity, which may cause our revenue, if any, to be reduced.</w:t>
      </w:r>
    </w:p>
    <w:p>
      <w:pPr>
        <w:spacing w:after="0" w:line="43"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the United States,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Orphan drug designation must be requested and granted by the FDA before a new NDA is submitted. After the FDA grants orphan drug designation, it will disclose publicly the generic identity of the drug and its potential orphan use. In the EU, the European Commission grants orphan designation on the basis of the EMA’s Committee for Orphan Medicinal Products opinion.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75"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disease or condition for seven years, except in limited circumstances, such as a showing of clinical superiority to the product with orphan drug exclusivity or where the manufacturer is unable to assure sufficient product quantity. The applicable exclusivity period is ten years in the EU, but such exclusivity period can be reduced to six years if, at the end of the fifth year, a product no longer meets the criteria for orphan designation or if the product is sufficiently profitable that market exclusivity is no longer justified.</w:t>
      </w:r>
    </w:p>
    <w:p>
      <w:pPr>
        <w:spacing w:after="0" w:line="70"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The FDA granted orphan drug designation to relutrigine for the treatment of SCN2A-DEE and SCN8A-DEE, respectively, and to elsunersen for the treatment of SCN2A-DEE. We also obtained orphan designation in the EU for relutrigine for the treatment of SCN2A-DEE and SCN8A-DEE, and for elsunersen for the treatment of SCN2A-DEE. We may seek orphan drug designation for other current and future product candidates.</w:t>
      </w:r>
    </w:p>
    <w:p>
      <w:pPr>
        <w:spacing w:after="0" w:line="272"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However, during such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grants its consent; or (iii) if the marketing authorization holder of the orphan medicinal product is unable to supply sufficient quantities of product.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w:t>
      </w:r>
    </w:p>
    <w:p>
      <w:pPr>
        <w:spacing w:after="0" w:line="284" w:lineRule="exact"/>
        <w:rPr>
          <w:sz w:val="20"/>
          <w:szCs w:val="20"/>
          <w:color w:val="auto"/>
        </w:rPr>
      </w:pPr>
    </w:p>
    <w:p>
      <w:pPr>
        <w:ind w:right="320" w:firstLine="433"/>
        <w:spacing w:after="0" w:line="278"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same condition if such regulatory authority concludes that the later drug is clinically superior because it is shown to be safer, more effective or makes a major contribution to patient care. Orphan drug exclusivity may also be lost if the FDA or comparable foreign regulatory authority later determines that the initial request for designation was materially defective. In addition, orphan drug exclusivity does not prevent the FDA from approving competing drugs for the same or similar disease or condition containing a different active ingredient. In addition, if a subsequent drug is approved for marketing for the same or a similar disease or condition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68" w:lineRule="exact"/>
        <w:rPr>
          <w:sz w:val="20"/>
          <w:szCs w:val="20"/>
          <w:color w:val="auto"/>
        </w:rPr>
      </w:pPr>
    </w:p>
    <w:p>
      <w:pPr>
        <w:ind w:right="480"/>
        <w:spacing w:after="0" w:line="310" w:lineRule="auto"/>
        <w:rPr>
          <w:sz w:val="20"/>
          <w:szCs w:val="20"/>
          <w:color w:val="auto"/>
        </w:rPr>
      </w:pPr>
      <w:r>
        <w:rPr>
          <w:rFonts w:ascii="Arial" w:cs="Arial" w:eastAsia="Arial" w:hAnsi="Arial"/>
          <w:sz w:val="17"/>
          <w:szCs w:val="17"/>
          <w:b w:val="1"/>
          <w:bCs w:val="1"/>
          <w:i w:val="1"/>
          <w:iCs w:val="1"/>
          <w:color w:val="auto"/>
        </w:rPr>
        <w:t>We received rare pediatric disease designation for relutrigine and elsunersen. However, a marketing application for these product candidates, if approved, may not meet the eligibility criteria for a rare pediatric disease priority review voucher.</w:t>
      </w:r>
    </w:p>
    <w:p>
      <w:pPr>
        <w:spacing w:after="0" w:line="20"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In 2012,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70"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We received rare pediatric disease designation for relutrigine for the treatment of SCN2A-DEE, SCN8A-DEE and Dravet syndrome and for elsunersen for the treatment of SCN2A-DEE. Designation of a drug product as a product for a rare pediatric disease does not guarantee that a NDA for such drug product will meet the eligibility criteria for a rare pediatric disease priority review voucher at the time the application is approved. Under the Federal Food, Drug, and Cosmetic Act, or FDCA, we will need to request a rare pediatric disease priority review voucher in our original NDA for our product candidates for which we have received rare pediatric disease designation. The FDA may determine that a NDA for any such product candidates, if approved, do not meet the eligibility criteria for a priority review voucher.</w:t>
      </w:r>
    </w:p>
    <w:p>
      <w:pPr>
        <w:spacing w:after="0" w:line="64"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The authority for the FDA to award rare pediatric disease priority review vouchers for drug products after December 20, 2024 is currently limited to product candidates that receive rare pediatric disease designation on or prior to December 20, 2024, and the FDA may only award rare pediatric disease priority review vouchers through September 30, 2026. However, it is possible the authority for the FDA to award rare pediatric disease priority review vouchers will be further extended by Congress.</w:t>
      </w:r>
    </w:p>
    <w:p>
      <w:pPr>
        <w:spacing w:after="0" w:line="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received PRIME designation by the EMA for elsunersen and we may seek PRIME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26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70"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In November 2023, elsunersen was granted PRIME designation by the EMA’s Committee for Medicinal Products for Human Use, or CHMP, for the treatment of SCN2A-DEE. Acknowledging that elsunersen targets an unmet medical need, the EMA offers enhanced support in the development of the medicinal product through enhanced interaction and early dialogue to optimize our development plans and speed up regulatory evaluation in the EU. The PRIME designation does not, however, guarantee that the regulatory review process in the EU will be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shorter or less demanding. Neither does the PRIME designation guarantee that the European Commission will grant a marketing authorization for elsunersen.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Re</w:t>
      </w:r>
      <w:r>
        <w:rPr>
          <w:rFonts w:ascii="Arial" w:cs="Arial" w:eastAsia="Arial" w:hAnsi="Arial"/>
          <w:sz w:val="17"/>
          <w:szCs w:val="17"/>
          <w:color w:val="auto"/>
        </w:rPr>
        <w:t>g</w:t>
      </w:r>
      <w:r>
        <w:rPr>
          <w:rFonts w:ascii="Arial" w:cs="Arial" w:eastAsia="Arial" w:hAnsi="Arial"/>
          <w:sz w:val="17"/>
          <w:szCs w:val="17"/>
          <w:u w:val="single" w:color="auto"/>
          <w:color w:val="auto"/>
        </w:rPr>
        <w:t>ulatory Approval</w:t>
      </w:r>
    </w:p>
    <w:p>
      <w:pPr>
        <w:spacing w:after="0" w:line="119"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0"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comparable regulatory authorities in other jurisdictions, including Australia and Europe, must also approve the manufacturing, marketing and sale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also be approved for reimbursement before it can be approved for sale in that jurisdiction. In some cases, the price that we intend to charge for our products is also subject to governmental approval.</w:t>
      </w:r>
    </w:p>
    <w:p>
      <w:pPr>
        <w:spacing w:after="0" w:line="73"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61"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b w:val="1"/>
          <w:bCs w:val="1"/>
          <w:i w:val="1"/>
          <w:iCs w:val="1"/>
          <w:color w:val="auto"/>
        </w:rPr>
        <w:t>Our product candidates may be regulated as controlled substances, the making, use, sale, importation, exportation, and distribution of which are subject to significant regulation by the U.S. Drug Enforcement Administration, or DEA, and other regulatory agencies.</w:t>
      </w:r>
    </w:p>
    <w:p>
      <w:pPr>
        <w:spacing w:after="0" w:line="20"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Our product candidates may be classified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and regulations of the DEA.</w:t>
      </w:r>
    </w:p>
    <w:p>
      <w:pPr>
        <w:spacing w:after="0" w:line="55"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Prior to commercialization, centrally acting drugs, such as those we are developing, are generally subject to review and potential scheduling by the DEA. It is possible that our product candidates may be regulated by the DEA as controlled substances, which would subject such product candidates to additional restrictions regarding their manufacture, shipment, storage, sale and use, depending on the scheduling of the active ingredients, and may limit the commercial potential of any of our product candidates, if approved.</w:t>
      </w:r>
    </w:p>
    <w:p>
      <w:pPr>
        <w:spacing w:after="0" w:line="68" w:lineRule="exact"/>
        <w:rPr>
          <w:sz w:val="20"/>
          <w:szCs w:val="20"/>
          <w:color w:val="auto"/>
        </w:rPr>
      </w:pPr>
    </w:p>
    <w:p>
      <w:pPr>
        <w:ind w:right="380" w:firstLine="433"/>
        <w:spacing w:after="0" w:line="264" w:lineRule="auto"/>
        <w:rPr>
          <w:sz w:val="20"/>
          <w:szCs w:val="20"/>
          <w:color w:val="auto"/>
        </w:rPr>
      </w:pPr>
      <w:r>
        <w:rPr>
          <w:rFonts w:ascii="Arial" w:cs="Arial" w:eastAsia="Arial" w:hAnsi="Arial"/>
          <w:sz w:val="17"/>
          <w:szCs w:val="17"/>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 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68"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For any of our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shipment and disposal.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 candidates that are classified as controlled substances.</w:t>
      </w:r>
    </w:p>
    <w:p>
      <w:pPr>
        <w:spacing w:after="0" w:line="6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48"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by us and any collaborators in clinical trials may expose us to liability claims. We will face an even greater risk if product candidates are approved by regulatory authorities and introduced commercially. Product liability claims may be brought against us or our partners if any product candidate we develop allegedly causes injury or is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 care providers, biopharmaceutical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Even successful defense would require significant financial and management resources.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Regardless of the merits or eventual outcome, product liability claims may result in:</w:t>
      </w:r>
    </w:p>
    <w:p>
      <w:pPr>
        <w:spacing w:after="0" w:line="119" w:lineRule="exact"/>
        <w:rPr>
          <w:sz w:val="20"/>
          <w:szCs w:val="20"/>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decreased demand for any of our future approved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of clinical trial sites or entire trial programs;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litigation costs;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substantial monetary awards to, or costly settlements with, patients or other claimants;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 recalls or a change in the indications for which any approved drug products may be used;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management and scientific resources from our business operations;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to commercialize our product candidates.</w:t>
      </w:r>
    </w:p>
    <w:p>
      <w:pPr>
        <w:spacing w:after="0" w:line="119"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70" w:lineRule="exact"/>
        <w:rPr>
          <w:sz w:val="20"/>
          <w:szCs w:val="20"/>
          <w:color w:val="auto"/>
        </w:rPr>
      </w:pPr>
    </w:p>
    <w:p>
      <w:pPr>
        <w:ind w:right="40" w:firstLine="433"/>
        <w:spacing w:after="0" w:line="278" w:lineRule="auto"/>
        <w:rPr>
          <w:sz w:val="20"/>
          <w:szCs w:val="20"/>
          <w:color w:val="auto"/>
        </w:rPr>
      </w:pPr>
      <w:r>
        <w:rPr>
          <w:rFonts w:ascii="Arial" w:cs="Arial" w:eastAsia="Arial" w:hAnsi="Arial"/>
          <w:sz w:val="17"/>
          <w:szCs w:val="17"/>
          <w:color w:val="auto"/>
        </w:rPr>
        <w:t>Although we maintain product liability insurance coverage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48"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may face competition with respect to any product candidates that we seek to develop or commercialize in the future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61"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Specifically, we face competition with approved therapies for ET, such as propranolol, and off-label therapies, such as primidone; and sodium channel blocker or similar ion channel-targeting programs in development for common epilepsies, including those of SK-Pharma, Xenon Pharmaceuticals, and Biohaven Pharmaceuticals, as well as other programs in clinical development targeting other mechanisms of action including those from Lundbeck, and Stoke Therapeutics, and approved therapies including other existing ion channel blockers.</w:t>
      </w:r>
    </w:p>
    <w:p>
      <w:pPr>
        <w:spacing w:after="0" w:line="61" w:lineRule="exact"/>
        <w:rPr>
          <w:sz w:val="20"/>
          <w:szCs w:val="20"/>
          <w:color w:val="auto"/>
        </w:rPr>
      </w:pPr>
    </w:p>
    <w:p>
      <w:pPr>
        <w:ind w:right="280" w:firstLine="433"/>
        <w:spacing w:after="0" w:line="278" w:lineRule="auto"/>
        <w:rPr>
          <w:sz w:val="20"/>
          <w:szCs w:val="20"/>
          <w:color w:val="auto"/>
        </w:rPr>
      </w:pPr>
      <w:r>
        <w:rPr>
          <w:rFonts w:ascii="Arial" w:cs="Arial" w:eastAsia="Arial" w:hAnsi="Arial"/>
          <w:sz w:val="17"/>
          <w:szCs w:val="17"/>
          <w:color w:val="auto"/>
        </w:rPr>
        <w:t>If any of these competitors or competitors for our other product candidates receive FDA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Many of our current or potential competitors, either alone or with their strategic partners, have:</w:t>
      </w:r>
    </w:p>
    <w:p>
      <w:pPr>
        <w:spacing w:after="0" w:line="119" w:lineRule="exact"/>
        <w:rPr>
          <w:sz w:val="20"/>
          <w:szCs w:val="20"/>
          <w:color w:val="auto"/>
        </w:rPr>
      </w:pPr>
    </w:p>
    <w:p>
      <w:pPr>
        <w:ind w:left="640" w:right="840" w:hanging="320"/>
        <w:spacing w:after="0" w:line="300"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greater financial, technical and human resources than we have at every stage of the discovery, development, manufacture and commercialization of products;</w:t>
      </w:r>
    </w:p>
    <w:p>
      <w:pPr>
        <w:spacing w:after="0" w:line="35" w:lineRule="exact"/>
        <w:rPr>
          <w:rFonts w:ascii="Arial" w:cs="Arial" w:eastAsia="Arial" w:hAnsi="Arial"/>
          <w:sz w:val="17"/>
          <w:szCs w:val="17"/>
          <w:color w:val="auto"/>
        </w:rPr>
      </w:pPr>
    </w:p>
    <w:p>
      <w:pPr>
        <w:ind w:left="640" w:right="800" w:hanging="320"/>
        <w:spacing w:after="0" w:line="300"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more extensive experience in preclinical testing, conducting clinical trials, obtaining regulatory approvals, and in manufacturing, marketing and selling drug products;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products that have been approved or are in late stages of development;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collaborative arrangements in our target markets with leading companies and research institutions.</w:t>
      </w:r>
    </w:p>
    <w:p>
      <w:pPr>
        <w:spacing w:after="0" w:line="11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Mergers and acquisitions in the biopharmaceutical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282" w:lineRule="exact"/>
        <w:rPr>
          <w:sz w:val="20"/>
          <w:szCs w:val="20"/>
          <w:color w:val="auto"/>
        </w:rPr>
      </w:pPr>
    </w:p>
    <w:p>
      <w:pPr>
        <w:ind w:right="240" w:firstLine="433"/>
        <w:spacing w:after="0" w:line="271" w:lineRule="auto"/>
        <w:rPr>
          <w:sz w:val="20"/>
          <w:szCs w:val="20"/>
          <w:color w:val="auto"/>
        </w:rPr>
      </w:pPr>
      <w:r>
        <w:rPr>
          <w:rFonts w:ascii="Arial" w:cs="Arial" w:eastAsia="Arial" w:hAnsi="Arial"/>
          <w:sz w:val="17"/>
          <w:szCs w:val="17"/>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Post-Marketin</w:t>
      </w:r>
      <w:r>
        <w:rPr>
          <w:rFonts w:ascii="Arial" w:cs="Arial" w:eastAsia="Arial" w:hAnsi="Arial"/>
          <w:sz w:val="17"/>
          <w:szCs w:val="17"/>
          <w:color w:val="auto"/>
        </w:rPr>
        <w:t xml:space="preserve">g </w:t>
      </w:r>
      <w:r>
        <w:rPr>
          <w:rFonts w:ascii="Arial" w:cs="Arial" w:eastAsia="Arial" w:hAnsi="Arial"/>
          <w:sz w:val="17"/>
          <w:szCs w:val="17"/>
          <w:u w:val="single" w:color="auto"/>
          <w:color w:val="auto"/>
        </w:rPr>
        <w:t>Regulatory Requirements</w:t>
      </w:r>
    </w:p>
    <w:p>
      <w:pPr>
        <w:spacing w:after="0" w:line="119"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4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Even if the FDA or a comparable foreign regulatory authority approves any of our product candidates, we will be subject to ongoing regulatory requirements in the applicable jurisdictions for manufacturing, labeling, packaging, storage, advertising, promotion, sampling, record-keeping, conduct of post-marketing studies and submission of safety, efficacy and other post-market information. In addition, we will be subject to continued compliance with cGMP or similar regulatory requirements outside the United States and GCP requirements for any clinical trials that we conduct post-approval.</w:t>
      </w:r>
    </w:p>
    <w:p>
      <w:pPr>
        <w:spacing w:after="0" w:line="63"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Manufacturers and their facilities are required to comply with extensive regulatory authority requirements, including ensuring that quality control and manufacturing procedures conform to cGMP or other similar regulations. As such, we and our contract manufacturers will be subject to continual review and inspections to assess compliance with cGMP or similar regulatory requirements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63"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Similar requirements may apply in foreign jurisdictions. In addition, if the FDA or a comparable foreign regulatory authority approves our product candidates, we will have to comply with requirements including submissions of safety and other post-marketing information and reports and registration.</w:t>
      </w:r>
    </w:p>
    <w:p>
      <w:pPr>
        <w:spacing w:after="0" w:line="70"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In the United States and elsewhere, the FDA and foreign regulatory authorities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or similar program. Other potential consequences include, among other things:</w:t>
      </w:r>
    </w:p>
    <w:p>
      <w:pPr>
        <w:spacing w:after="0" w:line="64" w:lineRule="exact"/>
        <w:rPr>
          <w:sz w:val="20"/>
          <w:szCs w:val="20"/>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the manufacturing of our products, the approved manufacturers or the manufacturing process;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withdrawal of the product from the market or voluntary product recalls;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warning or untitled letters from the FDA or comparable notice of violations from foreign regulatory authorities;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suspensions of any of our ongoing clinical trials;</w:t>
      </w:r>
    </w:p>
    <w:p>
      <w:pPr>
        <w:spacing w:after="0" w:line="119"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refusal by the FDA or foreign regulatory authorities to approve pending applications or supplements to approved applications filed by us or suspension or withdrawal of marketing approvals;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consent decrees, injunctions or the imposition of civil or criminal penalties.</w:t>
      </w:r>
    </w:p>
    <w:p>
      <w:pPr>
        <w:spacing w:after="0" w:line="119" w:lineRule="exact"/>
        <w:rPr>
          <w:sz w:val="20"/>
          <w:szCs w:val="20"/>
          <w:color w:val="auto"/>
        </w:rPr>
      </w:pPr>
    </w:p>
    <w:p>
      <w:pPr>
        <w:jc w:val="both"/>
        <w:ind w:right="40" w:firstLine="433"/>
        <w:spacing w:after="0" w:line="278" w:lineRule="auto"/>
        <w:rPr>
          <w:sz w:val="20"/>
          <w:szCs w:val="20"/>
          <w:color w:val="auto"/>
        </w:rPr>
      </w:pPr>
      <w:r>
        <w:rPr>
          <w:rFonts w:ascii="Arial" w:cs="Arial" w:eastAsia="Arial" w:hAnsi="Arial"/>
          <w:sz w:val="17"/>
          <w:szCs w:val="17"/>
          <w:color w:val="auto"/>
        </w:rPr>
        <w:t>Violations of the FDCA relating to the promotion of prescription drugs may also lead to investigations alleging violations of federal and state health care fraud and abuse laws, as well as state consumer protection laws. Accordingly, to the extent we receive marketing approval for one or more of our product candidates, we and our</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third-party partners will continue to expend time, money and effort in all areas of regulatory compliance, including promotional and labeling compliance, manufacturing, production, product surveillance and quality control.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276"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63" w:lineRule="exact"/>
        <w:rPr>
          <w:sz w:val="20"/>
          <w:szCs w:val="20"/>
          <w:color w:val="auto"/>
        </w:rPr>
      </w:pPr>
    </w:p>
    <w:p>
      <w:pPr>
        <w:ind w:right="140"/>
        <w:spacing w:after="0" w:line="310" w:lineRule="auto"/>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20"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drug products. These regulations include standards and restrictions for direct-to-consumer advertising, industry-sponsored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w:t>
      </w:r>
    </w:p>
    <w:p>
      <w:pPr>
        <w:spacing w:after="0" w:line="61"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While physicians in the United States may choose, and are generally permitted, to prescribe products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Sales, Marketing and Competition</w:t>
      </w:r>
    </w:p>
    <w:p>
      <w:pPr>
        <w:spacing w:after="0" w:line="119" w:lineRule="exact"/>
        <w:rPr>
          <w:sz w:val="20"/>
          <w:szCs w:val="20"/>
          <w:color w:val="auto"/>
        </w:rPr>
      </w:pPr>
    </w:p>
    <w:p>
      <w:pPr>
        <w:ind w:right="260"/>
        <w:spacing w:after="0" w:line="310" w:lineRule="auto"/>
        <w:rPr>
          <w:sz w:val="20"/>
          <w:szCs w:val="20"/>
          <w:color w:val="auto"/>
        </w:rPr>
      </w:pPr>
      <w:r>
        <w:rPr>
          <w:rFonts w:ascii="Arial" w:cs="Arial" w:eastAsia="Arial" w:hAnsi="Arial"/>
          <w:sz w:val="17"/>
          <w:szCs w:val="17"/>
          <w:b w:val="1"/>
          <w:bCs w:val="1"/>
          <w:i w:val="1"/>
          <w:iCs w:val="1"/>
          <w:color w:val="auto"/>
        </w:rPr>
        <w:t>Our commercial success depends upon attaining significant market acceptance of our drug product candidates, if approved, among physicians, patients, third-party payors and other members of the medical community.</w:t>
      </w:r>
    </w:p>
    <w:p>
      <w:pPr>
        <w:spacing w:after="0" w:line="20"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19" w:lineRule="exact"/>
        <w:rPr>
          <w:sz w:val="20"/>
          <w:szCs w:val="20"/>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efficacy and potential advantages compared to alternative treatments;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relative convenience and ease of administration compared to alternative treatments;</w:t>
      </w:r>
    </w:p>
    <w:p>
      <w:pPr>
        <w:spacing w:after="0" w:line="119" w:lineRule="exact"/>
        <w:rPr>
          <w:rFonts w:ascii="Arial" w:cs="Arial" w:eastAsia="Arial" w:hAnsi="Arial"/>
          <w:sz w:val="17"/>
          <w:szCs w:val="17"/>
          <w:color w:val="auto"/>
        </w:rPr>
      </w:pPr>
    </w:p>
    <w:p>
      <w:pPr>
        <w:ind w:left="640" w:right="800" w:hanging="320"/>
        <w:spacing w:after="0" w:line="300"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right="460" w:hanging="320"/>
        <w:spacing w:after="0" w:line="300"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size of the market for such product candidate, based on the size of the patient subsets that we are targeting, in the territories for which we gain regulatory approval;</w:t>
      </w:r>
    </w:p>
    <w:p>
      <w:pPr>
        <w:spacing w:after="0" w:line="35"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recommendations with respect to our product candidates in guidelines published by various scientific organizations applicable to us and our product candidates;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strength of sales, marketing and distribution support;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any such marketing approval in relation to other product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restrictions on concomitant use of other medications;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support from patient advocacy groups;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to obtain sufficient third-party coverage and adequate reimbursement;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9" w:lineRule="exact"/>
        <w:rPr>
          <w:sz w:val="20"/>
          <w:szCs w:val="20"/>
          <w:color w:val="auto"/>
        </w:rPr>
      </w:pPr>
    </w:p>
    <w:p>
      <w:pPr>
        <w:ind w:firstLine="433"/>
        <w:spacing w:after="0" w:line="300" w:lineRule="auto"/>
        <w:rPr>
          <w:sz w:val="20"/>
          <w:szCs w:val="20"/>
          <w:color w:val="auto"/>
        </w:rPr>
      </w:pPr>
      <w:r>
        <w:rPr>
          <w:rFonts w:ascii="Arial" w:cs="Arial" w:eastAsia="Arial" w:hAnsi="Arial"/>
          <w:sz w:val="17"/>
          <w:szCs w:val="17"/>
          <w:color w:val="auto"/>
        </w:rPr>
        <w:t>If government and other third-party payors do not provide coverage and adequate reimbursement levels for any products we commercialize, market acceptance and commercial success would be reduced.</w:t>
      </w:r>
    </w:p>
    <w:p>
      <w:pPr>
        <w:spacing w:after="0" w:line="3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268"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w:t>
      </w:r>
      <w:r>
        <w:rPr>
          <w:rFonts w:ascii="Arial" w:cs="Arial" w:eastAsia="Arial" w:hAnsi="Arial"/>
          <w:sz w:val="17"/>
          <w:szCs w:val="17"/>
          <w:i w:val="1"/>
          <w:iCs w:val="1"/>
          <w:color w:val="auto"/>
        </w:rPr>
        <w:t>e.g.</w:t>
      </w:r>
      <w:r>
        <w:rPr>
          <w:rFonts w:ascii="Arial" w:cs="Arial" w:eastAsia="Arial" w:hAnsi="Arial"/>
          <w:sz w:val="17"/>
          <w:szCs w:val="17"/>
          <w:color w:val="auto"/>
        </w:rPr>
        <w:t>,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68" w:lineRule="exact"/>
        <w:rPr>
          <w:sz w:val="20"/>
          <w:szCs w:val="20"/>
          <w:color w:val="auto"/>
        </w:rPr>
      </w:pPr>
    </w:p>
    <w:p>
      <w:pPr>
        <w:jc w:val="both"/>
        <w:ind w:right="100" w:firstLine="433"/>
        <w:spacing w:after="0" w:line="278" w:lineRule="auto"/>
        <w:rPr>
          <w:sz w:val="20"/>
          <w:szCs w:val="20"/>
          <w:color w:val="auto"/>
        </w:rPr>
      </w:pPr>
      <w:r>
        <w:rPr>
          <w:rFonts w:ascii="Arial" w:cs="Arial" w:eastAsia="Arial" w:hAnsi="Arial"/>
          <w:sz w:val="17"/>
          <w:szCs w:val="17"/>
          <w:color w:val="auto"/>
        </w:rPr>
        <w:t>In the United States, the Centers for Medicare &amp; Medicaid Services, or CMS, an agency within the U.S. Department of Health and Human Services, or HHS, determines whether and to what extent new products will be covered and reimbursed under Medicare and private payors tend to follow CMS to a substantial degree. Factors payors consider in determining reimbursement are based on whether the product is:</w:t>
      </w:r>
    </w:p>
    <w:p>
      <w:pPr>
        <w:spacing w:after="0" w:line="55" w:lineRule="exact"/>
        <w:rPr>
          <w:sz w:val="20"/>
          <w:szCs w:val="20"/>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9" w:lineRule="exact"/>
        <w:rPr>
          <w:sz w:val="20"/>
          <w:szCs w:val="20"/>
          <w:color w:val="auto"/>
        </w:rPr>
      </w:pPr>
    </w:p>
    <w:p>
      <w:pPr>
        <w:ind w:right="20" w:firstLine="433"/>
        <w:spacing w:after="0" w:line="267"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276"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64"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11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some foreign countries, the proposed pricing for a drug must be approved before it may be lawfully marketed. The requirements governing drug pricing vary widely from country to country. For example, in the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Approaches between member states are diverging. For example, in France, effective market access will be supported by agreements with hospitals and products may be reimbursed by the Social Security Fund. The price of reimbursed medicines is negotiated with the Economic Committee for Health Products, or CEPS. There can be no assurance that any country that has price controls or reimbursement limitations for biopharmaceutical products will allow favorable reimbursement and pricing arrangements for any of our product candidates. Historically, products launched in the EU do not follow price structures of the United States and generally prices tend to be significantly lower.</w:t>
      </w:r>
    </w:p>
    <w:p>
      <w:pPr>
        <w:spacing w:after="0" w:line="75" w:lineRule="exact"/>
        <w:rPr>
          <w:sz w:val="20"/>
          <w:szCs w:val="20"/>
          <w:color w:val="auto"/>
        </w:rPr>
      </w:pPr>
    </w:p>
    <w:p>
      <w:pPr>
        <w:ind w:right="880"/>
        <w:spacing w:after="0" w:line="310" w:lineRule="auto"/>
        <w:rPr>
          <w:sz w:val="20"/>
          <w:szCs w:val="20"/>
          <w:color w:val="auto"/>
        </w:rPr>
      </w:pPr>
      <w:r>
        <w:rPr>
          <w:rFonts w:ascii="Arial" w:cs="Arial" w:eastAsia="Arial" w:hAnsi="Arial"/>
          <w:sz w:val="17"/>
          <w:szCs w:val="17"/>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2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order to market any products in the United States or Europe,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2" w:lineRule="exact"/>
        <w:rPr>
          <w:sz w:val="20"/>
          <w:szCs w:val="20"/>
          <w:color w:val="auto"/>
        </w:rPr>
      </w:pPr>
    </w:p>
    <w:p>
      <w:pPr>
        <w:ind w:right="300"/>
        <w:spacing w:after="0" w:line="310"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310" w:lineRule="auto"/>
        <w:rPr>
          <w:sz w:val="20"/>
          <w:szCs w:val="20"/>
          <w:color w:val="auto"/>
        </w:rPr>
      </w:pPr>
      <w:r>
        <w:rPr>
          <w:rFonts w:ascii="Arial" w:cs="Arial" w:eastAsia="Arial" w:hAnsi="Arial"/>
          <w:sz w:val="17"/>
          <w:szCs w:val="17"/>
          <w:b w:val="1"/>
          <w:bCs w:val="1"/>
          <w:i w:val="1"/>
          <w:iCs w:val="1"/>
          <w:color w:val="auto"/>
        </w:rPr>
        <w:t>we are unable to establish marketing and sales capabilities or enter into agreements with third parties to market and sell our product candidates, if approved, we may not be able to generate product revenue.</w:t>
      </w:r>
    </w:p>
    <w:p>
      <w:pPr>
        <w:spacing w:after="0" w:line="20"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Ongoing Regulatory and Legal Compliance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Healthcare and Related Laws</w:t>
      </w:r>
    </w:p>
    <w:p>
      <w:pPr>
        <w:spacing w:after="0" w:line="119"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43"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Although we do not currently have any products on the market, upon commercialization of our product candidates, if approved, we will be subject to additional healthcare statutory and regulatory requirements and oversight by federal and state governments in the United States as well as foreign governments in the jurisdictions in which we conduct our business. 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69" w:lineRule="exact"/>
        <w:rPr>
          <w:sz w:val="20"/>
          <w:szCs w:val="20"/>
          <w:color w:val="auto"/>
        </w:rPr>
      </w:pPr>
    </w:p>
    <w:p>
      <w:pPr>
        <w:ind w:right="420" w:firstLine="433"/>
        <w:spacing w:after="0" w:line="300" w:lineRule="auto"/>
        <w:rPr>
          <w:sz w:val="20"/>
          <w:szCs w:val="20"/>
          <w:color w:val="auto"/>
        </w:rPr>
      </w:pPr>
      <w:r>
        <w:rPr>
          <w:rFonts w:ascii="Arial" w:cs="Arial" w:eastAsia="Arial" w:hAnsi="Arial"/>
          <w:sz w:val="17"/>
          <w:szCs w:val="17"/>
          <w:color w:val="auto"/>
        </w:rPr>
        <w:t>The applicable federal, state and foreign healthcare laws and regulations laws that may affect our ability to operate include, but are not limited to:</w:t>
      </w:r>
    </w:p>
    <w:p>
      <w:pPr>
        <w:spacing w:after="0" w:line="36" w:lineRule="exact"/>
        <w:rPr>
          <w:sz w:val="20"/>
          <w:szCs w:val="20"/>
          <w:color w:val="auto"/>
        </w:rPr>
      </w:pPr>
    </w:p>
    <w:p>
      <w:pPr>
        <w:ind w:left="640" w:right="40" w:hanging="320"/>
        <w:spacing w:after="0" w:line="262"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remuneration is to induce referrals, the federal Anti-Kickback statute is violated.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69" w:lineRule="exact"/>
        <w:rPr>
          <w:rFonts w:ascii="Arial" w:cs="Arial" w:eastAsia="Arial" w:hAnsi="Arial"/>
          <w:sz w:val="17"/>
          <w:szCs w:val="17"/>
          <w:color w:val="auto"/>
        </w:rPr>
      </w:pPr>
    </w:p>
    <w:p>
      <w:pPr>
        <w:ind w:left="640" w:right="340" w:hanging="320"/>
        <w:spacing w:after="0" w:line="300"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and civil monetary penalty laws which prohibit, among other things, individuals or entities from knowingly presenting, or causing to be presented,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right="20"/>
        <w:spacing w:after="0" w:line="263" w:lineRule="auto"/>
        <w:rPr>
          <w:sz w:val="20"/>
          <w:szCs w:val="20"/>
          <w:color w:val="auto"/>
        </w:rPr>
      </w:pPr>
      <w:r>
        <w:rPr>
          <w:rFonts w:ascii="Arial" w:cs="Arial" w:eastAsia="Arial" w:hAnsi="Arial"/>
          <w:sz w:val="17"/>
          <w:szCs w:val="17"/>
          <w:color w:val="auto"/>
        </w:rPr>
        <w:t>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In addition,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w:t>
      </w:r>
    </w:p>
    <w:p>
      <w:pPr>
        <w:spacing w:after="0" w:line="70" w:lineRule="exact"/>
        <w:rPr>
          <w:sz w:val="20"/>
          <w:szCs w:val="20"/>
          <w:color w:val="auto"/>
        </w:rPr>
      </w:pPr>
    </w:p>
    <w:p>
      <w:pPr>
        <w:ind w:left="640" w:right="180" w:hanging="320"/>
        <w:spacing w:after="0" w:line="262"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72" w:lineRule="exact"/>
        <w:rPr>
          <w:rFonts w:ascii="Arial" w:cs="Arial" w:eastAsia="Arial" w:hAnsi="Arial"/>
          <w:sz w:val="17"/>
          <w:szCs w:val="17"/>
          <w:color w:val="auto"/>
        </w:rPr>
      </w:pPr>
    </w:p>
    <w:p>
      <w:pPr>
        <w:ind w:left="640" w:right="80" w:hanging="320"/>
        <w:spacing w:after="0" w:line="266"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Payments Sunshine Act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certain non-physician providers including physician providers including physician assistants and nurse practitioners, and teaching hospitals, as well as ownership and investment interests held by the physicians and their immediate family members;</w:t>
      </w:r>
    </w:p>
    <w:p>
      <w:pPr>
        <w:spacing w:after="0" w:line="63" w:lineRule="exact"/>
        <w:rPr>
          <w:rFonts w:ascii="Arial" w:cs="Arial" w:eastAsia="Arial" w:hAnsi="Arial"/>
          <w:sz w:val="17"/>
          <w:szCs w:val="17"/>
          <w:color w:val="auto"/>
        </w:rPr>
      </w:pPr>
    </w:p>
    <w:p>
      <w:pPr>
        <w:ind w:left="640" w:right="40" w:hanging="320"/>
        <w:spacing w:after="0" w:line="300"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 and</w:t>
      </w:r>
    </w:p>
    <w:p>
      <w:pPr>
        <w:spacing w:after="0" w:line="35" w:lineRule="exact"/>
        <w:rPr>
          <w:rFonts w:ascii="Arial" w:cs="Arial" w:eastAsia="Arial" w:hAnsi="Arial"/>
          <w:sz w:val="17"/>
          <w:szCs w:val="17"/>
          <w:color w:val="auto"/>
        </w:rPr>
      </w:pPr>
    </w:p>
    <w:p>
      <w:pPr>
        <w:ind w:left="640" w:hanging="320"/>
        <w:spacing w:after="0" w:line="263"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and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w:t>
      </w:r>
    </w:p>
    <w:p>
      <w:pPr>
        <w:spacing w:after="0" w:line="70"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70" w:lineRule="exact"/>
        <w:rPr>
          <w:sz w:val="20"/>
          <w:szCs w:val="20"/>
          <w:color w:val="auto"/>
        </w:rPr>
      </w:pPr>
    </w:p>
    <w:p>
      <w:pPr>
        <w:jc w:val="both"/>
        <w:ind w:right="360" w:firstLine="433"/>
        <w:spacing w:after="0" w:line="271"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w:t>
      </w:r>
    </w:p>
    <w:p>
      <w:pPr>
        <w:spacing w:after="0" w:line="61"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63"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6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4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perceptions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79"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In Europe, the GDPR took effect in May 2018. The GDPR imposes stringent requirements on entities that process personal data of individuals in the European Economic Area, or EEA. These requirements include, for example, establishing a legal basis for processing, providing notice to data subjects about how personal data is collected and processed, developing procedures to vindicate expanded data subject rights, implementing appropriate technical and organizational measures to safeguard personal data, introducing the obligation to notify data protection regulators or supervisory authorities (and in certain cases, affected individuals) of significant data breaches, imposing limitations on retention of personal data, maintaining a record of data processing and complying with the principal of accountability and the obligation to demonstrate compliance through policies, procedures, training and audit. In addition, the GDPR establishes obligations for entities that process “special categories” of personal data, such as health data. Nearly all clinical trials involve the processing of these “special categories” of personal data, and processing of personal data collected during the course of clinical trials is therefore subject to heightened protections under the GDPR. Violations of the GDPR can lead to potential fines of up to €20 million or 4% of the annual global revenues of the noncompliant undertaking, whichever is greater.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78" w:lineRule="exact"/>
        <w:rPr>
          <w:sz w:val="20"/>
          <w:szCs w:val="20"/>
          <w:color w:val="auto"/>
        </w:rPr>
      </w:pPr>
    </w:p>
    <w:p>
      <w:pPr>
        <w:ind w:right="80" w:firstLine="433"/>
        <w:spacing w:after="0" w:line="300" w:lineRule="auto"/>
        <w:rPr>
          <w:sz w:val="20"/>
          <w:szCs w:val="20"/>
          <w:color w:val="auto"/>
        </w:rPr>
      </w:pPr>
      <w:r>
        <w:rPr>
          <w:rFonts w:ascii="Arial" w:cs="Arial" w:eastAsia="Arial" w:hAnsi="Arial"/>
          <w:sz w:val="17"/>
          <w:szCs w:val="17"/>
          <w:color w:val="auto"/>
        </w:rPr>
        <w:t>Among other requirements, the GDPR regulates transfers of personal data subject to the GDPR to third countries that have not been found to provide adequate protection to such personal data, including the United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States, and the efficacy and longevity of current transfer mechanisms between the EEA and the United States remains uncertain. Case law from the Court of Justice of the European Union, or the CJEU, states that reliance on the standard contractual clauses, or SCCs — a standard form of contract approved by the European Commission as an adequate personal data transfer mechanism — alone may not necessarily be sufficient in all circumstances. Use of the SCCs must now be assessed on a case-by-case basis. The European Commission adopted its Adequacy Decision in relation to the new EU-U.S. Data Privacy Framework, or DPF, on July 10, 2023, rendering the DPF effective as a GDPR transfer mechanism to U.S. entities self-certified under the DPF. The existing legal complexity and uncertainty regarding international personal data transfers may continue, and in particular, the DPF Adequacy Decision could be challenged and international transfers to the United States and to other jurisdictions more generally could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72" w:lineRule="exact"/>
        <w:rPr>
          <w:sz w:val="20"/>
          <w:szCs w:val="20"/>
          <w:color w:val="auto"/>
        </w:rPr>
      </w:pPr>
    </w:p>
    <w:p>
      <w:pPr>
        <w:ind w:right="80" w:firstLine="433"/>
        <w:spacing w:after="0" w:line="270" w:lineRule="auto"/>
        <w:rPr>
          <w:sz w:val="20"/>
          <w:szCs w:val="20"/>
          <w:color w:val="auto"/>
        </w:rPr>
      </w:pPr>
      <w:r>
        <w:rPr>
          <w:rFonts w:ascii="Arial" w:cs="Arial" w:eastAsia="Arial" w:hAnsi="Arial"/>
          <w:sz w:val="17"/>
          <w:szCs w:val="17"/>
          <w:color w:val="auto"/>
        </w:rPr>
        <w:t>Further, since January 2021, we may also be subject to the UK GDPR, which, together with the UK Data Protection Act 2018, retains the GDPR in UK national law. The UK GDPR mirrors the fines under the GDPR, meaning the potential of parallel fines of up to the greater of £17.5 million or 4% of a non-compliant undertaking's global annual revenue for the preceding financial year. On October 12, 2023, the UK Extension to the DPF came into effect (as approve by the UK government) as a data transfer mechanism from the UK to U.S. entities self-certified under the DPF.</w:t>
      </w:r>
    </w:p>
    <w:p>
      <w:pPr>
        <w:spacing w:after="0" w:line="274"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In the United States, HIPAA establishes a set of national privacy and security standards for the protection of individually identifiable health information, including protected health information, or PHI, by health plans, certain health care clearinghouses and health 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as well as their covered subcontractors. While we do not believe that we are currently acting as a covered entity or business associate under HIPAA, we may receive individually identifiable health information from these entities. Failure to receive this information properly could subject us to HIPAA’s criminal penalties. Further, any person may be prosecuted under HIPAA’s criminal provisions either directly or under aiding-and-abetting or conspiracy principles.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6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Various states have also implemented similar privacy laws and regulations, such as the California Confidentiality of Medical Information Act, or the CMIA, that impose restrictive requirements regulating the use and disclosure of health information and other personally identifiable information. In addition to imposing fines and penalties, some of these state laws afford private rights of action to individuals who believe their personal information has been misused. California’s patient privacy laws, for example, provide for significant penalties and permit injured parties to sue for damages. In addition to the CMIA, California also enacted the CCPA, which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been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the CCPA or other domestic privacy and data protection laws, any liability from failure to comply with the requirements of these laws could adversely affect our financial condition.</w:t>
      </w:r>
    </w:p>
    <w:p>
      <w:pPr>
        <w:spacing w:after="0" w:line="282"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In addition, we use artificial intelligence, or AI, machine learning, and automated decision-making technologies, collectively, AI Technologies, in our business from time to time.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the impact future laws, regulations, standards, or market perception of their requirements may have on our business and may not always be able to anticipate how to respond to these laws or regulations.</w:t>
      </w:r>
    </w:p>
    <w:p>
      <w:pPr>
        <w:spacing w:after="0" w:line="36"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70"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The legislative and regulatory landscape for privacy and data security continues to evolve, and there has been an increasing focus on privacy and data security issues which may affect our business. Any failure or perceived failure by us or our employees, representatives, contractors, consultants, collaborators, or other third parties to comply with current and future laws and regulations could result in government enforcement actions (including the imposition of significant penalties), criminal and/or civil liability for us and our officers and directors, private litigation and/or adverse publicity that negatively affects our business.</w:t>
      </w:r>
    </w:p>
    <w:p>
      <w:pPr>
        <w:spacing w:after="0" w:line="70" w:lineRule="exact"/>
        <w:rPr>
          <w:sz w:val="20"/>
          <w:szCs w:val="20"/>
          <w:color w:val="auto"/>
        </w:rPr>
      </w:pPr>
    </w:p>
    <w:p>
      <w:pPr>
        <w:ind w:right="420"/>
        <w:spacing w:after="0" w:line="310" w:lineRule="auto"/>
        <w:rPr>
          <w:sz w:val="20"/>
          <w:szCs w:val="20"/>
          <w:color w:val="auto"/>
        </w:rPr>
      </w:pPr>
      <w:r>
        <w:rPr>
          <w:rFonts w:ascii="Arial" w:cs="Arial" w:eastAsia="Arial" w:hAnsi="Arial"/>
          <w:sz w:val="17"/>
          <w:szCs w:val="17"/>
          <w:b w:val="1"/>
          <w:bCs w:val="1"/>
          <w:i w:val="1"/>
          <w:iCs w:val="1"/>
          <w:color w:val="auto"/>
        </w:rPr>
        <w:t>Ongoing healthcare legislative and regulatory reform measures may have a material adverse effect on our business and results of operations.</w:t>
      </w:r>
    </w:p>
    <w:p>
      <w:pPr>
        <w:spacing w:after="0" w:line="20"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 care is financed by both governmental and private insurers, and significantly impacted the U.S. biopharmaceutical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which was replaced by a new manufacturer discount program on January 1, 2025 (as discussed below), in which manufacturers were required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69" w:lineRule="exact"/>
        <w:rPr>
          <w:sz w:val="20"/>
          <w:szCs w:val="20"/>
          <w:color w:val="auto"/>
        </w:rPr>
      </w:pPr>
    </w:p>
    <w:p>
      <w:pPr>
        <w:jc w:val="both"/>
        <w:ind w:right="20" w:firstLine="433"/>
        <w:spacing w:after="0" w:line="278"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recent judicial challenge to the ACA brought by several states without specifically ruling on the constitutionality of the ACA. Thus, the ACA will remain in effect in its current form.</w:t>
      </w:r>
    </w:p>
    <w:p>
      <w:pPr>
        <w:spacing w:after="0" w:line="55"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 Moreover, on March 11, 2021, the American Rescue Plan Act of 2021 was signed into law, which eliminated the statutory Medicaid drug rebate cap for single source and innovator multiple source drugs, beginning January 1, 2024. The rebate was previously capped at 100% of a drug's average manufacturer price.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Payment methodologies may also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By way of example, in August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on January 1,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These provisions started to take effect progressively starting in fiscal year 2023. On August 15, 2024, HHS announced the agreed-upon prices for the first ten drugs that are subject to price negotiations, which take effect in January 2026. HHS will select up to fifteen additional products covered under Part D for negotiation in 2025. Each year thereafter, more Part B and Part D products will become subject to the HHS price negotiation program.</w:t>
      </w:r>
    </w:p>
    <w:p>
      <w:pPr>
        <w:spacing w:after="0" w:line="287"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70"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6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b w:val="1"/>
          <w:bCs w:val="1"/>
          <w:i w:val="1"/>
          <w:iCs w:val="1"/>
          <w:color w:val="auto"/>
        </w:rPr>
        <w:t>In the United States, 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ability of the FDA and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and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w:t>
      </w:r>
    </w:p>
    <w:p>
      <w:pPr>
        <w:spacing w:after="0" w:line="69" w:lineRule="exact"/>
        <w:rPr>
          <w:sz w:val="20"/>
          <w:szCs w:val="20"/>
          <w:color w:val="auto"/>
        </w:rPr>
      </w:pPr>
    </w:p>
    <w:p>
      <w:pPr>
        <w:ind w:right="160" w:firstLine="433"/>
        <w:spacing w:after="0" w:line="271" w:lineRule="auto"/>
        <w:rPr>
          <w:sz w:val="20"/>
          <w:szCs w:val="20"/>
          <w:color w:val="auto"/>
        </w:rPr>
      </w:pPr>
      <w:r>
        <w:rPr>
          <w:rFonts w:ascii="Arial" w:cs="Arial" w:eastAsia="Arial" w:hAnsi="Arial"/>
          <w:sz w:val="17"/>
          <w:szCs w:val="17"/>
          <w:color w:val="auto"/>
        </w:rPr>
        <w:t>Separately, in response to the COVID-19 pandemic, the FDA postponed most inspections of domestic and foreign manufacturing facilities at various points. If a prolonged government shutdown occurs, or if global health concerns hinder or prevent the FDA or other regulatory authorities from conducting their regular inspections, reviews, or other regulatory activities, it could significantly impact the ability of the FDA or other regulatory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80"/>
        <w:spacing w:after="0" w:line="386" w:lineRule="auto"/>
        <w:rPr>
          <w:sz w:val="20"/>
          <w:szCs w:val="20"/>
          <w:color w:val="auto"/>
        </w:rPr>
      </w:pPr>
      <w:r>
        <w:rPr>
          <w:rFonts w:ascii="Arial" w:cs="Arial" w:eastAsia="Arial" w:hAnsi="Arial"/>
          <w:sz w:val="17"/>
          <w:szCs w:val="17"/>
          <w:color w:val="auto"/>
        </w:rPr>
        <w:t xml:space="preserve">authorities to timely review and process our regulatory submissions, which could have a material adverse effect on our business. </w:t>
      </w:r>
      <w:r>
        <w:rPr>
          <w:rFonts w:ascii="Arial" w:cs="Arial" w:eastAsia="Arial" w:hAnsi="Arial"/>
          <w:sz w:val="17"/>
          <w:szCs w:val="17"/>
          <w:u w:val="single" w:color="auto"/>
          <w:color w:val="auto"/>
        </w:rPr>
        <w:t>Risks Related to International Re</w:t>
      </w:r>
      <w:r>
        <w:rPr>
          <w:rFonts w:ascii="Arial" w:cs="Arial" w:eastAsia="Arial" w:hAnsi="Arial"/>
          <w:sz w:val="17"/>
          <w:szCs w:val="17"/>
          <w:color w:val="auto"/>
        </w:rPr>
        <w:t>g</w:t>
      </w:r>
      <w:r>
        <w:rPr>
          <w:rFonts w:ascii="Arial" w:cs="Arial" w:eastAsia="Arial" w:hAnsi="Arial"/>
          <w:sz w:val="17"/>
          <w:szCs w:val="17"/>
          <w:u w:val="single" w:color="auto"/>
          <w:color w:val="auto"/>
        </w:rPr>
        <w:t>ulations</w:t>
      </w:r>
    </w:p>
    <w:p>
      <w:pPr>
        <w:spacing w:after="0" w:line="1"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EU drug marketing and reimbursement regulations may materially affect our ability to market and receive coverage for our products in the European member states.</w:t>
      </w:r>
    </w:p>
    <w:p>
      <w:pPr>
        <w:spacing w:after="0" w:line="20"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68" w:lineRule="exact"/>
        <w:rPr>
          <w:sz w:val="20"/>
          <w:szCs w:val="20"/>
          <w:color w:val="auto"/>
        </w:rPr>
      </w:pPr>
    </w:p>
    <w:p>
      <w:pPr>
        <w:ind w:right="100" w:firstLine="433"/>
        <w:spacing w:after="0" w:line="270"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laws of EU member states, and in respect of the United Kingdom (which is longer a member of the EU), the U.K. Bribery Act of 2010. Infringement of these laws could result in substantial fines and imprisonment.</w:t>
      </w:r>
    </w:p>
    <w:p>
      <w:pPr>
        <w:spacing w:after="0" w:line="274"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must often be subject to a prior notification and/or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63"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addition,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6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systems vary significantly by country, and many countries have instituted price ceilings on specific products and therapies.</w:t>
      </w:r>
    </w:p>
    <w:p>
      <w:pPr>
        <w:spacing w:after="0" w:line="11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In December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w:t>
      </w:r>
      <w:r>
        <w:rPr>
          <w:rFonts w:ascii="Arial" w:cs="Arial" w:eastAsia="Arial" w:hAnsi="Arial"/>
          <w:sz w:val="17"/>
          <w:szCs w:val="17"/>
          <w:i w:val="1"/>
          <w:iCs w:val="1"/>
          <w:color w:val="auto"/>
        </w:rPr>
        <w:t>e.g.</w:t>
      </w:r>
      <w:r>
        <w:rPr>
          <w:rFonts w:ascii="Arial" w:cs="Arial" w:eastAsia="Arial" w:hAnsi="Arial"/>
          <w:sz w:val="17"/>
          <w:szCs w:val="17"/>
          <w:color w:val="auto"/>
        </w:rPr>
        <w:t>, economic, social, ethical) aspects of health technology, and making decisions on pricing and reimbursement.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laws and regulations governing international operations could negatively impact or restrict our operations.</w:t>
      </w:r>
    </w:p>
    <w:p>
      <w:pPr>
        <w:spacing w:after="0" w:line="119" w:lineRule="exact"/>
        <w:rPr>
          <w:sz w:val="20"/>
          <w:szCs w:val="20"/>
          <w:color w:val="auto"/>
        </w:rPr>
      </w:pPr>
    </w:p>
    <w:p>
      <w:pPr>
        <w:ind w:right="220" w:firstLine="433"/>
        <w:spacing w:after="0" w:line="264" w:lineRule="auto"/>
        <w:rPr>
          <w:sz w:val="20"/>
          <w:szCs w:val="20"/>
          <w:color w:val="auto"/>
        </w:rPr>
      </w:pPr>
      <w:r>
        <w:rPr>
          <w:rFonts w:ascii="Arial" w:cs="Arial" w:eastAsia="Arial" w:hAnsi="Arial"/>
          <w:sz w:val="17"/>
          <w:szCs w:val="17"/>
          <w:color w:val="auto"/>
        </w:rPr>
        <w:t>For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68"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w:t>
      </w:r>
    </w:p>
    <w:p>
      <w:pPr>
        <w:spacing w:after="0" w:line="6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continue and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63"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 The SEC also may suspend or bar issuers from trading securities on U.S. exchanges for violations of the FCPA’s accounting provisions.</w:t>
      </w:r>
    </w:p>
    <w:p>
      <w:pPr>
        <w:spacing w:after="0" w:line="64"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20" w:lineRule="exact"/>
        <w:rPr>
          <w:sz w:val="20"/>
          <w:szCs w:val="20"/>
          <w:color w:val="auto"/>
        </w:rPr>
      </w:pPr>
    </w:p>
    <w:p>
      <w:pPr>
        <w:ind w:right="160" w:firstLine="433"/>
        <w:spacing w:after="0" w:line="27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Certain of these laws impose joint and several liability, including in some instances regardless of fault or legality at</w:t>
      </w: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time of occurrence.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4" w:lineRule="exact"/>
        <w:rPr>
          <w:sz w:val="20"/>
          <w:szCs w:val="20"/>
          <w:color w:val="auto"/>
        </w:rPr>
      </w:pPr>
    </w:p>
    <w:p>
      <w:pPr>
        <w:ind w:right="180" w:firstLine="433"/>
        <w:spacing w:after="0" w:line="278" w:lineRule="auto"/>
        <w:rPr>
          <w:sz w:val="20"/>
          <w:szCs w:val="20"/>
          <w:color w:val="auto"/>
        </w:rPr>
      </w:pPr>
      <w:r>
        <w:rPr>
          <w:rFonts w:ascii="Arial" w:cs="Arial" w:eastAsia="Arial" w:hAnsi="Arial"/>
          <w:sz w:val="17"/>
          <w:szCs w:val="17"/>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55"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 trend has generally been for such laws and regulations, and associated interpretations, to become more stringent over time. For example, various policymakers have adopted or are considering adopting, requirements for various climate- or other sustainability-related disclosures or other actions. Environmental laws and regulations may impair our research, development or production efforts. In addition, failure to comply with these laws and regulations may result in substantial fines, penalties or other sanctions.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Licensed Intellectual Property</w:t>
      </w:r>
    </w:p>
    <w:p>
      <w:pPr>
        <w:spacing w:after="0" w:line="119"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20"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Our business depends in large part on obtaining and maintaining patent, trademark and trade secret protection of our proprietary technologies and our product candidates, their respective components, synthetic intermediates,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or obtain, maintain and/or enforce patents or trademarks that may issue or be registered based on our applications, at a reasonable cost or in a timely manner. In addition, our pending and future patent applications may not result in issued patents that protect our technology or products, in whole or in part, or may not effectively prevent others from commercializing competitive technologies and products. Changes in either patent laws or interpretation of patent laws in the United States and other countries may diminish the value of our patents or narrow the scope of our patent protection. Further, we may not pursue, obtain, or maintain patent protection in all relevant markets.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69" w:lineRule="exact"/>
        <w:rPr>
          <w:sz w:val="20"/>
          <w:szCs w:val="20"/>
          <w:color w:val="auto"/>
        </w:rPr>
      </w:pPr>
    </w:p>
    <w:p>
      <w:pPr>
        <w:ind w:right="180" w:firstLine="433"/>
        <w:spacing w:after="0" w:line="264"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that we hold with respect to our product candidates is threatened, it could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dissuade companies from collaborating with us to develop new or improved products and threaten our ability to commercialize our product candidates. Further, if we encounter delays in our clinical trials, the period of time during which we could market our product candidates under patent protection would be reduced.</w:t>
      </w:r>
    </w:p>
    <w:p>
      <w:pPr>
        <w:spacing w:after="0" w:line="55"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36"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64"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279"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2" w:lineRule="exact"/>
        <w:rPr>
          <w:sz w:val="20"/>
          <w:szCs w:val="20"/>
          <w:color w:val="auto"/>
        </w:rPr>
      </w:pPr>
    </w:p>
    <w:p>
      <w:pPr>
        <w:ind w:right="580" w:firstLine="433"/>
        <w:spacing w:after="0" w:line="300"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5" w:lineRule="exact"/>
        <w:rPr>
          <w:sz w:val="20"/>
          <w:szCs w:val="20"/>
          <w:color w:val="auto"/>
        </w:rPr>
      </w:pPr>
    </w:p>
    <w:p>
      <w:pPr>
        <w:ind w:left="640" w:right="40" w:hanging="320"/>
        <w:spacing w:after="0" w:line="243"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121" w:lineRule="exact"/>
        <w:rPr>
          <w:rFonts w:ascii="Arial" w:cs="Arial" w:eastAsia="Arial" w:hAnsi="Arial"/>
          <w:sz w:val="21"/>
          <w:szCs w:val="21"/>
          <w:color w:val="auto"/>
        </w:rPr>
      </w:pPr>
    </w:p>
    <w:p>
      <w:pPr>
        <w:ind w:left="640" w:right="300" w:hanging="320"/>
        <w:spacing w:after="0" w:line="243"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right="800" w:hanging="320"/>
        <w:spacing w:after="0" w:line="243"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3"/>
        </w:numPr>
        <w:rPr>
          <w:rFonts w:ascii="Arial" w:cs="Arial" w:eastAsia="Arial" w:hAnsi="Arial"/>
          <w:sz w:val="21"/>
          <w:szCs w:val="21"/>
          <w:color w:val="auto"/>
        </w:rPr>
      </w:pPr>
      <w:r>
        <w:rPr>
          <w:rFonts w:ascii="Arial" w:cs="Arial" w:eastAsia="Arial" w:hAnsi="Arial"/>
          <w:sz w:val="17"/>
          <w:szCs w:val="17"/>
          <w:color w:val="auto"/>
        </w:rPr>
        <w:t>it is possible that our pending patent applications will not result in issued patents;</w:t>
      </w:r>
    </w:p>
    <w:p>
      <w:pPr>
        <w:spacing w:after="0" w:line="123" w:lineRule="exact"/>
        <w:rPr>
          <w:rFonts w:ascii="Arial" w:cs="Arial" w:eastAsia="Arial" w:hAnsi="Arial"/>
          <w:sz w:val="21"/>
          <w:szCs w:val="21"/>
          <w:color w:val="auto"/>
        </w:rPr>
      </w:pPr>
    </w:p>
    <w:p>
      <w:pPr>
        <w:ind w:left="640" w:right="100" w:hanging="320"/>
        <w:spacing w:after="0" w:line="259"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94" w:lineRule="exact"/>
        <w:rPr>
          <w:rFonts w:ascii="Arial" w:cs="Arial" w:eastAsia="Arial" w:hAnsi="Arial"/>
          <w:sz w:val="21"/>
          <w:szCs w:val="21"/>
          <w:color w:val="auto"/>
        </w:rPr>
      </w:pPr>
    </w:p>
    <w:p>
      <w:pPr>
        <w:ind w:left="620" w:hanging="300"/>
        <w:spacing w:after="0"/>
        <w:tabs>
          <w:tab w:leader="none" w:pos="620" w:val="left"/>
        </w:tabs>
        <w:numPr>
          <w:ilvl w:val="0"/>
          <w:numId w:val="33"/>
        </w:numPr>
        <w:rPr>
          <w:rFonts w:ascii="Arial" w:cs="Arial" w:eastAsia="Arial" w:hAnsi="Arial"/>
          <w:sz w:val="21"/>
          <w:szCs w:val="21"/>
          <w:color w:val="auto"/>
        </w:rPr>
      </w:pPr>
      <w:r>
        <w:rPr>
          <w:rFonts w:ascii="Arial" w:cs="Arial" w:eastAsia="Arial" w:hAnsi="Arial"/>
          <w:sz w:val="17"/>
          <w:szCs w:val="17"/>
          <w:color w:val="auto"/>
        </w:rPr>
        <w:t>it is possible that others may circumvent our owned or in-licensed patents;</w:t>
      </w:r>
    </w:p>
    <w:p>
      <w:pPr>
        <w:spacing w:after="0" w:line="123" w:lineRule="exact"/>
        <w:rPr>
          <w:rFonts w:ascii="Arial" w:cs="Arial" w:eastAsia="Arial" w:hAnsi="Arial"/>
          <w:sz w:val="21"/>
          <w:szCs w:val="21"/>
          <w:color w:val="auto"/>
        </w:rPr>
      </w:pPr>
    </w:p>
    <w:p>
      <w:pPr>
        <w:ind w:left="640" w:right="660" w:hanging="320"/>
        <w:spacing w:after="0" w:line="243"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121" w:lineRule="exact"/>
        <w:rPr>
          <w:rFonts w:ascii="Arial" w:cs="Arial" w:eastAsia="Arial" w:hAnsi="Arial"/>
          <w:sz w:val="21"/>
          <w:szCs w:val="21"/>
          <w:color w:val="auto"/>
        </w:rPr>
      </w:pPr>
    </w:p>
    <w:p>
      <w:pPr>
        <w:ind w:left="640" w:right="120" w:hanging="320"/>
        <w:spacing w:after="0" w:line="243"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3"/>
        </w:numPr>
        <w:rPr>
          <w:rFonts w:ascii="Arial" w:cs="Arial" w:eastAsia="Arial" w:hAnsi="Arial"/>
          <w:sz w:val="21"/>
          <w:szCs w:val="21"/>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23" w:lineRule="exact"/>
        <w:rPr>
          <w:rFonts w:ascii="Arial" w:cs="Arial" w:eastAsia="Arial" w:hAnsi="Arial"/>
          <w:sz w:val="21"/>
          <w:szCs w:val="21"/>
          <w:color w:val="auto"/>
        </w:rPr>
      </w:pPr>
    </w:p>
    <w:p>
      <w:pPr>
        <w:ind w:left="640" w:hanging="320"/>
        <w:spacing w:after="0" w:line="259"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our owned or in-licensed issued patents may not provide us with any competitive advantages, may be narrowed in scope, or may be held invalid or unenforceable as a result of legal challenges by third parties;</w:t>
      </w:r>
    </w:p>
    <w:p>
      <w:pPr>
        <w:spacing w:after="0" w:line="105" w:lineRule="exact"/>
        <w:rPr>
          <w:rFonts w:ascii="Arial" w:cs="Arial" w:eastAsia="Arial" w:hAnsi="Arial"/>
          <w:sz w:val="21"/>
          <w:szCs w:val="21"/>
          <w:color w:val="auto"/>
        </w:rPr>
      </w:pPr>
    </w:p>
    <w:p>
      <w:pPr>
        <w:ind w:left="640" w:right="280" w:hanging="320"/>
        <w:spacing w:after="0" w:line="249"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17" w:lineRule="exact"/>
        <w:rPr>
          <w:rFonts w:ascii="Arial" w:cs="Arial" w:eastAsia="Arial" w:hAnsi="Arial"/>
          <w:sz w:val="21"/>
          <w:szCs w:val="21"/>
          <w:color w:val="auto"/>
        </w:rPr>
      </w:pPr>
    </w:p>
    <w:p>
      <w:pPr>
        <w:jc w:val="both"/>
        <w:ind w:left="640" w:right="100" w:hanging="320"/>
        <w:spacing w:after="0" w:line="249"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7" w:lineRule="exact"/>
        <w:rPr>
          <w:rFonts w:ascii="Arial" w:cs="Arial" w:eastAsia="Arial" w:hAnsi="Arial"/>
          <w:sz w:val="21"/>
          <w:szCs w:val="21"/>
          <w:color w:val="auto"/>
        </w:rPr>
      </w:pPr>
    </w:p>
    <w:p>
      <w:pPr>
        <w:ind w:left="640" w:right="40" w:hanging="320"/>
        <w:spacing w:after="0" w:line="243"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we have engaged in scientific collaborations in the past, and are likely to continue to do so in the future. Such collaborators may develop adjacent or competing products to ours that are outside the scope of our patents;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3"/>
        </w:numPr>
        <w:rPr>
          <w:rFonts w:ascii="Arial" w:cs="Arial" w:eastAsia="Arial" w:hAnsi="Arial"/>
          <w:sz w:val="21"/>
          <w:szCs w:val="21"/>
          <w:color w:val="auto"/>
        </w:rPr>
      </w:pPr>
      <w:r>
        <w:rPr>
          <w:rFonts w:ascii="Arial" w:cs="Arial" w:eastAsia="Arial" w:hAnsi="Arial"/>
          <w:sz w:val="17"/>
          <w:szCs w:val="17"/>
          <w:color w:val="auto"/>
        </w:rPr>
        <w:t>we may not develop additional proprietary technologies for which we can obtain patent protection;</w:t>
      </w:r>
    </w:p>
    <w:p>
      <w:pPr>
        <w:spacing w:after="0" w:line="123" w:lineRule="exact"/>
        <w:rPr>
          <w:rFonts w:ascii="Arial" w:cs="Arial" w:eastAsia="Arial" w:hAnsi="Arial"/>
          <w:sz w:val="21"/>
          <w:szCs w:val="21"/>
          <w:color w:val="auto"/>
        </w:rPr>
      </w:pPr>
    </w:p>
    <w:p>
      <w:pPr>
        <w:ind w:left="640" w:right="460" w:hanging="320"/>
        <w:spacing w:after="0" w:line="243"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it is possible that product candidates or diagnostic tests that we develop may be covered by third parties’ patents or other exclusive rights; or</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3"/>
        </w:numPr>
        <w:rPr>
          <w:rFonts w:ascii="Arial" w:cs="Arial" w:eastAsia="Arial" w:hAnsi="Arial"/>
          <w:sz w:val="21"/>
          <w:szCs w:val="21"/>
          <w:color w:val="auto"/>
        </w:rPr>
      </w:pPr>
      <w:r>
        <w:rPr>
          <w:rFonts w:ascii="Arial" w:cs="Arial" w:eastAsia="Arial" w:hAnsi="Arial"/>
          <w:sz w:val="17"/>
          <w:szCs w:val="17"/>
          <w:color w:val="auto"/>
        </w:rPr>
        <w:t>the patents of others may have an adverse effect on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 and Collaboration A</w:t>
      </w:r>
      <w:r>
        <w:rPr>
          <w:rFonts w:ascii="Arial" w:cs="Arial" w:eastAsia="Arial" w:hAnsi="Arial"/>
          <w:sz w:val="17"/>
          <w:szCs w:val="17"/>
          <w:color w:val="auto"/>
        </w:rPr>
        <w:t>g</w:t>
      </w:r>
      <w:r>
        <w:rPr>
          <w:rFonts w:ascii="Arial" w:cs="Arial" w:eastAsia="Arial" w:hAnsi="Arial"/>
          <w:sz w:val="17"/>
          <w:szCs w:val="17"/>
          <w:u w:val="single" w:color="auto"/>
          <w:color w:val="auto"/>
        </w:rPr>
        <w:t>reements</w:t>
      </w:r>
    </w:p>
    <w:p>
      <w:pPr>
        <w:spacing w:after="0" w:line="119"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We have entered into, and may enter into, license or other collaboration agreements that impose certain obligations on us. If we fail to comply with our obligations under such agreements with third parties or otherwise experience disruptions to our business relationships with our current or future licensors, we could lose rights that may be important to our business.</w:t>
      </w:r>
    </w:p>
    <w:p>
      <w:pPr>
        <w:spacing w:after="0" w:line="43"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In connection with our efforts to expand our pipeline of product candidates, we have entered into and may further enter into certain licenses or other collaboration agreements in the future pertaining to the in-license of rights to additional candidates. Such agreements may impose various reporting,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 or to pursue other remedies.</w:t>
      </w:r>
    </w:p>
    <w:p>
      <w:pPr>
        <w:spacing w:after="0" w:line="63"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We may not be able to obtain licenses at a reasonable cost or on reasonable terms, if at all. Furthermore, if we lose intellectual property rights licensed under existing agreements or fail to obtain future licenses, we may be required to expend considerable time and resources to develop or license replacement technology. If we are unable to do so, we may be unable to develop or commercialize the affected proprietary technologies and product candidates, which could harm our business significantly. Third-party patents may exist which might be enforced against our current or future proprietary technologies and product candidates, resulting in either an injunction</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prohibiting our sales, or, with respect to our sales, an obligation on our part to pay royalties and/or other forms of compensation to third parties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47" w:lineRule="exact"/>
        <w:rPr>
          <w:sz w:val="20"/>
          <w:szCs w:val="20"/>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the scope of rights granted under the license agreement and other interpretation-related issues;</w:t>
      </w:r>
    </w:p>
    <w:p>
      <w:pPr>
        <w:spacing w:after="0" w:line="123" w:lineRule="exact"/>
        <w:rPr>
          <w:rFonts w:ascii="Arial" w:cs="Arial" w:eastAsia="Arial" w:hAnsi="Arial"/>
          <w:sz w:val="21"/>
          <w:szCs w:val="21"/>
          <w:color w:val="auto"/>
        </w:rPr>
      </w:pPr>
    </w:p>
    <w:p>
      <w:pPr>
        <w:ind w:left="640" w:right="2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the sublicensing of patent and other rights under our collaborative development relationships;</w:t>
      </w:r>
    </w:p>
    <w:p>
      <w:pPr>
        <w:spacing w:after="0" w:line="125" w:lineRule="exact"/>
        <w:rPr>
          <w:rFonts w:ascii="Arial" w:cs="Arial" w:eastAsia="Arial" w:hAnsi="Arial"/>
          <w:sz w:val="21"/>
          <w:szCs w:val="21"/>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23" w:lineRule="exact"/>
        <w:rPr>
          <w:rFonts w:ascii="Arial" w:cs="Arial" w:eastAsia="Arial" w:hAnsi="Arial"/>
          <w:sz w:val="21"/>
          <w:szCs w:val="21"/>
          <w:color w:val="auto"/>
        </w:rPr>
      </w:pPr>
    </w:p>
    <w:p>
      <w:pPr>
        <w:ind w:left="640" w:right="70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the priority of invention of patented technology.</w:t>
      </w:r>
    </w:p>
    <w:p>
      <w:pPr>
        <w:spacing w:after="0" w:line="85"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could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78"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If any of our current or future licensors fail to obtain and maintain patent or other protection for the proprietary intellectual property we license from them, we could lose our rights to the intellectual property, these patents and applications may not be prosecuted and enforced in a manner consistent with the best interests of our business and our competitors could market competing products using the intellectual property. In the event we breach any of our obligations related to such prosecution, we may incur significant liability to our licensing partners, including loss of our right to prosecute the licensed patent applications or early termination of the license by our licensor. We also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licensed from third parties may be subject to retained rights.</w:t>
      </w:r>
    </w:p>
    <w:p>
      <w:pPr>
        <w:spacing w:after="0" w:line="119" w:lineRule="exact"/>
        <w:rPr>
          <w:sz w:val="20"/>
          <w:szCs w:val="20"/>
          <w:color w:val="auto"/>
        </w:rPr>
      </w:pPr>
    </w:p>
    <w:p>
      <w:pPr>
        <w:ind w:right="200" w:firstLine="433"/>
        <w:spacing w:after="0" w:line="268" w:lineRule="auto"/>
        <w:rPr>
          <w:sz w:val="20"/>
          <w:szCs w:val="20"/>
          <w:color w:val="auto"/>
        </w:rPr>
      </w:pPr>
      <w:r>
        <w:rPr>
          <w:rFonts w:ascii="Arial" w:cs="Arial" w:eastAsia="Arial" w:hAnsi="Arial"/>
          <w:sz w:val="17"/>
          <w:szCs w:val="17"/>
          <w:color w:val="auto"/>
        </w:rPr>
        <w:t>Any license we may enter into could provide for the retention by the licensor of certain rights under their agreements with us, including for example,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any future licensors will limit their use of the technology to these uses, and we may incur substantial expenses to enforce our rights to our licensed technology in the event of misuse.</w:t>
      </w:r>
    </w:p>
    <w:p>
      <w:pPr>
        <w:spacing w:after="0" w:line="63" w:lineRule="exact"/>
        <w:rPr>
          <w:sz w:val="20"/>
          <w:szCs w:val="20"/>
          <w:color w:val="auto"/>
        </w:rPr>
      </w:pPr>
    </w:p>
    <w:p>
      <w:pPr>
        <w:ind w:right="120" w:firstLine="433"/>
        <w:spacing w:after="0" w:line="265" w:lineRule="auto"/>
        <w:rPr>
          <w:sz w:val="20"/>
          <w:szCs w:val="20"/>
          <w:color w:val="auto"/>
        </w:rPr>
      </w:pPr>
      <w:r>
        <w:rPr>
          <w:rFonts w:ascii="Arial" w:cs="Arial" w:eastAsia="Arial" w:hAnsi="Arial"/>
          <w:sz w:val="17"/>
          <w:szCs w:val="17"/>
          <w:color w:val="auto"/>
        </w:rPr>
        <w:t>In addition, the U.S. government retains certain rights in inventions produced with its financial assistance under the Patent and Trademark Law Amendments Act, or the Bayh-Dole Act. The U.S.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The Bayh-Dole Act also imposes other obligations, including the requirement that products covered by the government funded patents be manufactured in the United</w:t>
      </w:r>
    </w:p>
    <w:p>
      <w:pPr>
        <w:spacing w:after="0" w:line="3"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States. We sometimes collaborate with academic institutions to accelerate our preclinical research or development. In the future, we may own or license technology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which is critical to our business that is developed in whole or in part with federal funds subject to the Bayh-Dole Act. If the federal government exercises its rights under the Bayh-Dole Act, our ability to enforce or otherwise exploit patents covering such technology may be adversely affected.</w:t>
      </w:r>
    </w:p>
    <w:p>
      <w:pPr>
        <w:spacing w:after="0" w:line="55"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i w:val="1"/>
          <w:iCs w:val="1"/>
          <w:color w:val="auto"/>
        </w:rPr>
        <w:t>We may rely on trade secrets and proprietary know-how, which can be difficult to trace and enforce and, if we are unable to protect the confidentiality of our trade secrets and proprietary know-how, our business and competitive position would be harmed.</w:t>
      </w:r>
    </w:p>
    <w:p>
      <w:pPr>
        <w:spacing w:after="0" w:line="2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Additionally, because we expect to rely on third parties in the development and manufacture of our product candidates, we must, at times, share trade secrets with them.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w:t>
      </w:r>
    </w:p>
    <w:p>
      <w:pPr>
        <w:spacing w:after="0" w:line="72"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61"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Potential Third-Party Claims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3"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We also may be subject to, or threatened with, other third-party claims relating to alleged infringement of intellectual property or other proprietary rights, including breach of nondisclosure, nonuse, noncompetition and non-solicitation provisions, intellectual property assignment and ownership, and misuse or misappropriation of intellectual property, trade secrets and other confidential information, among others. If a court of competent</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60"/>
        <w:spacing w:after="0" w:line="278" w:lineRule="auto"/>
        <w:rPr>
          <w:sz w:val="20"/>
          <w:szCs w:val="20"/>
          <w:color w:val="auto"/>
        </w:rPr>
      </w:pPr>
      <w:r>
        <w:rPr>
          <w:rFonts w:ascii="Arial" w:cs="Arial" w:eastAsia="Arial" w:hAnsi="Arial"/>
          <w:sz w:val="17"/>
          <w:szCs w:val="17"/>
          <w:color w:val="auto"/>
        </w:rPr>
        <w:t>jurisdiction finds us liable for any such claims, we may be prohibited from using certain intellectual property, trade secrets and confidential information, effectively blocking our ability to seek patent protection for our inventions and slowing or halting the progress of our clinical development and commercialization efforts.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59" w:lineRule="exact"/>
        <w:rPr>
          <w:sz w:val="20"/>
          <w:szCs w:val="20"/>
          <w:color w:val="auto"/>
        </w:rPr>
      </w:pPr>
    </w:p>
    <w:p>
      <w:pPr>
        <w:ind w:left="640" w:right="20" w:hanging="320"/>
        <w:spacing w:after="0" w:line="243" w:lineRule="auto"/>
        <w:tabs>
          <w:tab w:leader="none" w:pos="635" w:val="left"/>
        </w:tabs>
        <w:numPr>
          <w:ilvl w:val="0"/>
          <w:numId w:val="35"/>
        </w:numPr>
        <w:rPr>
          <w:rFonts w:ascii="Arial" w:cs="Arial" w:eastAsia="Arial" w:hAnsi="Arial"/>
          <w:sz w:val="21"/>
          <w:szCs w:val="21"/>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21" w:lineRule="exact"/>
        <w:rPr>
          <w:rFonts w:ascii="Arial" w:cs="Arial" w:eastAsia="Arial" w:hAnsi="Arial"/>
          <w:sz w:val="21"/>
          <w:szCs w:val="21"/>
          <w:color w:val="auto"/>
        </w:rPr>
      </w:pPr>
    </w:p>
    <w:p>
      <w:pPr>
        <w:ind w:left="640" w:right="180" w:hanging="320"/>
        <w:spacing w:after="0" w:line="249" w:lineRule="auto"/>
        <w:tabs>
          <w:tab w:leader="none" w:pos="635" w:val="left"/>
        </w:tabs>
        <w:numPr>
          <w:ilvl w:val="0"/>
          <w:numId w:val="35"/>
        </w:numPr>
        <w:rPr>
          <w:rFonts w:ascii="Arial" w:cs="Arial" w:eastAsia="Arial" w:hAnsi="Arial"/>
          <w:sz w:val="21"/>
          <w:szCs w:val="21"/>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17" w:lineRule="exact"/>
        <w:rPr>
          <w:rFonts w:ascii="Arial" w:cs="Arial" w:eastAsia="Arial" w:hAnsi="Arial"/>
          <w:sz w:val="21"/>
          <w:szCs w:val="21"/>
          <w:color w:val="auto"/>
        </w:rPr>
      </w:pPr>
    </w:p>
    <w:p>
      <w:pPr>
        <w:ind w:left="640" w:right="700" w:hanging="320"/>
        <w:spacing w:after="0" w:line="259" w:lineRule="auto"/>
        <w:tabs>
          <w:tab w:leader="none" w:pos="635" w:val="left"/>
        </w:tabs>
        <w:numPr>
          <w:ilvl w:val="0"/>
          <w:numId w:val="35"/>
        </w:numPr>
        <w:rPr>
          <w:rFonts w:ascii="Arial" w:cs="Arial" w:eastAsia="Arial" w:hAnsi="Arial"/>
          <w:sz w:val="21"/>
          <w:szCs w:val="21"/>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05" w:lineRule="exact"/>
        <w:rPr>
          <w:rFonts w:ascii="Arial" w:cs="Arial" w:eastAsia="Arial" w:hAnsi="Arial"/>
          <w:sz w:val="21"/>
          <w:szCs w:val="21"/>
          <w:color w:val="auto"/>
        </w:rPr>
      </w:pPr>
    </w:p>
    <w:p>
      <w:pPr>
        <w:jc w:val="both"/>
        <w:ind w:left="640" w:right="120" w:hanging="320"/>
        <w:spacing w:after="0" w:line="249" w:lineRule="auto"/>
        <w:tabs>
          <w:tab w:leader="none" w:pos="635" w:val="left"/>
        </w:tabs>
        <w:numPr>
          <w:ilvl w:val="0"/>
          <w:numId w:val="35"/>
        </w:numPr>
        <w:rPr>
          <w:rFonts w:ascii="Arial" w:cs="Arial" w:eastAsia="Arial" w:hAnsi="Arial"/>
          <w:sz w:val="21"/>
          <w:szCs w:val="21"/>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117" w:lineRule="exact"/>
        <w:rPr>
          <w:rFonts w:ascii="Arial" w:cs="Arial" w:eastAsia="Arial" w:hAnsi="Arial"/>
          <w:sz w:val="21"/>
          <w:szCs w:val="21"/>
          <w:color w:val="auto"/>
        </w:rPr>
      </w:pPr>
    </w:p>
    <w:p>
      <w:pPr>
        <w:ind w:left="640" w:right="460" w:hanging="320"/>
        <w:spacing w:after="0" w:line="243" w:lineRule="auto"/>
        <w:tabs>
          <w:tab w:leader="none" w:pos="635" w:val="left"/>
        </w:tabs>
        <w:numPr>
          <w:ilvl w:val="0"/>
          <w:numId w:val="35"/>
        </w:numPr>
        <w:rPr>
          <w:rFonts w:ascii="Arial" w:cs="Arial" w:eastAsia="Arial" w:hAnsi="Arial"/>
          <w:sz w:val="21"/>
          <w:szCs w:val="21"/>
          <w:color w:val="auto"/>
        </w:rPr>
      </w:pPr>
      <w:r>
        <w:rPr>
          <w:rFonts w:ascii="Arial" w:cs="Arial" w:eastAsia="Arial" w:hAnsi="Arial"/>
          <w:sz w:val="17"/>
          <w:szCs w:val="17"/>
          <w:color w:val="auto"/>
        </w:rPr>
        <w:t>redesigning our product candidates or processes so that they do not infringe, which may not be possible or may require substantial monetary expenditures and time.</w:t>
      </w:r>
    </w:p>
    <w:p>
      <w:pPr>
        <w:spacing w:after="0" w:line="82"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4"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If we are found to infringe a third-party’s intellectual property rights, we could be forced, including by court order, to cease developing, manufacturing or commercializing the infringing technologies, product candidates or products. Alternatively, we may be required to obtain a license from such third-party in order to use the infringing technology and continue developing, manufacturing or marketing the infringing technologies, product candidates or products. However, we may not be able to obtain any required license on commercially reasonable terms or at all. Even if we were able to obtain a license, it could be non-exclusive, thereby giving our competitors access to the same technologies licensed to us. A finding of infringement could prevent us from commercializing our technologies, product candidates or products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72"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or otherwise arising from the collaboration.</w:t>
      </w:r>
    </w:p>
    <w:p>
      <w:pPr>
        <w:spacing w:after="0" w:line="20"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We collaborate with various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in a collaborator’s study, in cases where written agreements either do or do not exist, we may be limited in our ability to capitalize on the market potential of these inventions or developments.</w:t>
      </w:r>
    </w:p>
    <w:p>
      <w:pPr>
        <w:spacing w:after="0" w:line="36"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Additionally, our licensors may have relied on third-party consultants or collaborators or on funds from third parties, such as the U.S. government, such that our licensors are not the sole and exclusive owners of the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claims challenging the inventorship or ownership of our patents and other intellectual property.</w:t>
      </w:r>
    </w:p>
    <w:p>
      <w:pPr>
        <w:spacing w:after="0" w:line="11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may be subject to claims that employees, former employees or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not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or portion of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69"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In addition, while we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competitive position, business, financial conditions, results of operations, and prospects.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19"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There may be third-party patents of which we are currently unaware with claims to compounds, compositions of matter, materials, formulations, methods of manufacture or methods of use that encompass the composition, use or manufacture of our product candidates. There may be currently pending patent applications of which we are currently unaware which may later result in issued patents that our product candidates or their use or manufacture may infringe. It is also possible that patents owned by third parties of which we are aware, but which we do not believe are relevant to our product candidates and other proprietary technologies we may develop, could be found to be infringed by our product candidates.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8"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120"/>
        <w:spacing w:after="0" w:line="268" w:lineRule="auto"/>
        <w:rPr>
          <w:sz w:val="20"/>
          <w:szCs w:val="20"/>
          <w:color w:val="auto"/>
        </w:rPr>
      </w:pPr>
      <w:r>
        <w:rPr>
          <w:rFonts w:ascii="Arial" w:cs="Arial" w:eastAsia="Arial" w:hAnsi="Arial"/>
          <w:sz w:val="17"/>
          <w:szCs w:val="17"/>
          <w:color w:val="auto"/>
        </w:rPr>
        <w:t>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63" w:lineRule="exact"/>
        <w:rPr>
          <w:sz w:val="20"/>
          <w:szCs w:val="20"/>
          <w:color w:val="auto"/>
        </w:rPr>
      </w:pPr>
    </w:p>
    <w:p>
      <w:pPr>
        <w:ind w:right="1120"/>
        <w:spacing w:after="0" w:line="31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or misappropriated trade secrets.</w:t>
      </w:r>
    </w:p>
    <w:p>
      <w:pPr>
        <w:spacing w:after="0" w:line="20"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 court could also prohibit us from using technologies or features that are essential to our product candidates, if such technologies or features are found to incorporate or be derived from the trade secrets or other proprietary information of the former employers.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19"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3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compounds, compositions, formulations,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compounds, compositions formulations, methods of use or processes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83"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different or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64"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other intellectual property, or the patents or intellectual property of our licensors, which could be expensive, time-consuming and unsuccessful.</w:t>
      </w:r>
    </w:p>
    <w:p>
      <w:pPr>
        <w:spacing w:after="0" w:line="20"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Competitors or other third parties may infringe our patents, trademarks, copyrights or other intellectual property, or the intellectual property of our current or future licensors. To counter infringement or unauthorized use, we may be required to file infringement claims, which can be expensive and time-consuming and divert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addition, in any infringement proceeding, a court may decide that one or more of our patents is not valid or is unenforceable, in whole or in part, and that we do not have the right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5"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ex-parte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64"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or, in some cases, not at all,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6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260"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70" w:lineRule="exact"/>
        <w:rPr>
          <w:sz w:val="20"/>
          <w:szCs w:val="20"/>
          <w:color w:val="auto"/>
        </w:rPr>
      </w:pPr>
    </w:p>
    <w:p>
      <w:pPr>
        <w:ind w:right="220" w:firstLine="433"/>
        <w:spacing w:after="0" w:line="271"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Patent Laws and Protection</w:t>
      </w:r>
    </w:p>
    <w:p>
      <w:pPr>
        <w:spacing w:after="0" w:line="119" w:lineRule="exact"/>
        <w:rPr>
          <w:sz w:val="20"/>
          <w:szCs w:val="20"/>
          <w:color w:val="auto"/>
        </w:rPr>
      </w:pPr>
    </w:p>
    <w:p>
      <w:pPr>
        <w:jc w:val="both"/>
        <w:ind w:right="80"/>
        <w:spacing w:after="0" w:line="283"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Periodic maintenance fees, renewal fees, annuities fees and various other governmental fees on any issued patent and/or patent application are due to be paid to the USPTO and foreign patent agencies in several stages over the lifetime of the patent and/or patent application.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patents, if issued, covering our product candidates could be found invalid or unenforceable if challenged in court or the USPTO.</w:t>
      </w:r>
    </w:p>
    <w:p>
      <w:pPr>
        <w:spacing w:after="0" w:line="11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patent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business,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conditions,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55"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 xml:space="preserve">Third parties may also raise similar claims before administrative bodies in the United States or abroad, even outside the context of litigation. Such mechanisms include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280"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Likewise, our current licensed or owned patents are expected to expire between 2029 and 2043,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Our current licensed or owned pending patent applications covering our proprietary technologies or our product candidates that if issued as patents are expected to expire from 2029 through 2043, without taking into account any possible patent term adjustments or extensions. However, we cannot be assured that the USPTO or relevant foreign patent offices will grant any of these patent applications not already granted or that a court will uphold any patents already issued.</w:t>
      </w:r>
    </w:p>
    <w:p>
      <w:pPr>
        <w:spacing w:after="0" w:line="70"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i w:val="1"/>
          <w:iCs w:val="1"/>
          <w:color w:val="auto"/>
        </w:rPr>
        <w:t>Changes in patent law in the United States and in foreign jurisdictions could diminish the value of patents in general, thereby impairing our ability to protect our products.</w:t>
      </w:r>
    </w:p>
    <w:p>
      <w:pPr>
        <w:spacing w:after="0" w:line="2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Our success is heavily dependent on intellectual property, particularly patents. Obtaining and enforcing patents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72"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inter-parties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64"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Further, on June 1, 2023, the European Union Patent Package, or the EU Patent Package, regulations were implemented with the goal of providing a single pan-European Unitary Patent and a new European Unified Patent Court, or UPC, for litigation involving European patents.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 but doing so may preclude us from realizing the benefits of the UPC. Moreover, if we do not meet all of the formalities and requirements for opt-out under the UPC, our future European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1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3"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w:t>
      </w:r>
    </w:p>
    <w:p>
      <w:pPr>
        <w:spacing w:after="0" w:line="63" w:lineRule="exact"/>
        <w:rPr>
          <w:sz w:val="20"/>
          <w:szCs w:val="20"/>
          <w:color w:val="auto"/>
        </w:rPr>
      </w:pPr>
    </w:p>
    <w:p>
      <w:pPr>
        <w:ind w:right="180" w:firstLine="433"/>
        <w:spacing w:after="0" w:line="264" w:lineRule="auto"/>
        <w:rPr>
          <w:sz w:val="20"/>
          <w:szCs w:val="20"/>
          <w:color w:val="auto"/>
        </w:rPr>
      </w:pPr>
      <w:r>
        <w:rPr>
          <w:rFonts w:ascii="Arial" w:cs="Arial" w:eastAsia="Arial" w:hAnsi="Arial"/>
          <w:sz w:val="17"/>
          <w:szCs w:val="17"/>
          <w:color w:val="auto"/>
        </w:rPr>
        <w:t>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8"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technologies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8" w:lineRule="exact"/>
        <w:rPr>
          <w:sz w:val="20"/>
          <w:szCs w:val="20"/>
          <w:color w:val="auto"/>
        </w:rPr>
      </w:pPr>
    </w:p>
    <w:p>
      <w:pPr>
        <w:ind w:right="600"/>
        <w:spacing w:after="0" w:line="31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20"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w:t>
      </w:r>
    </w:p>
    <w:p>
      <w:pPr>
        <w:spacing w:after="0" w:line="72" w:lineRule="exact"/>
        <w:rPr>
          <w:sz w:val="20"/>
          <w:szCs w:val="20"/>
          <w:color w:val="auto"/>
        </w:rPr>
      </w:pPr>
    </w:p>
    <w:p>
      <w:pPr>
        <w:ind w:right="160"/>
        <w:spacing w:after="0" w:line="31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0"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Our current or future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that may be costly and time-consuming,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tradenames.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 Parties Generally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We rely on third parties to assist in conducting our preclinical studies and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4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have relied upon and plan to continue to rely on third parties, such as laboratories, CROs, clinical data management organizations, medical institutions and clinical investigators, to conduct our preclinical studies and clinical trials and expect to rely on these third parties to conduct preclinical studies and clinical trials of any other product candidate that we develop. Any of these third parties may terminate their engagements with us under certain circumstances. We may not be able to enter into alternative arrangements or do so on commercially reasonable terms. Moreover, delays may occur, which could negatively impact our ability to meet our expected clinical development timelines and harm our business, financial condition and prospects.</w:t>
      </w:r>
    </w:p>
    <w:p>
      <w:pPr>
        <w:spacing w:after="0" w:line="64"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Although our reliance on these third parties for preclinical and clinical development activities limits our control over these activities, we remain responsible for ensuring that each of our preclinical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73"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79" w:lineRule="exact"/>
        <w:rPr>
          <w:sz w:val="20"/>
          <w:szCs w:val="20"/>
          <w:color w:val="auto"/>
        </w:rPr>
      </w:pPr>
    </w:p>
    <w:p>
      <w:pPr>
        <w:ind w:right="160" w:firstLine="433"/>
        <w:spacing w:after="0" w:line="264" w:lineRule="auto"/>
        <w:rPr>
          <w:sz w:val="20"/>
          <w:szCs w:val="20"/>
          <w:color w:val="auto"/>
        </w:rPr>
      </w:pPr>
      <w:r>
        <w:rPr>
          <w:rFonts w:ascii="Arial" w:cs="Arial" w:eastAsia="Arial" w:hAnsi="Arial"/>
          <w:sz w:val="17"/>
          <w:szCs w:val="17"/>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preclinical and clinical development timelines. Although we carefully manage our relationships with third 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68" w:lineRule="exact"/>
        <w:rPr>
          <w:sz w:val="20"/>
          <w:szCs w:val="20"/>
          <w:color w:val="auto"/>
        </w:rPr>
      </w:pPr>
    </w:p>
    <w:p>
      <w:pPr>
        <w:ind w:right="380" w:firstLine="433"/>
        <w:spacing w:after="0" w:line="278" w:lineRule="auto"/>
        <w:rPr>
          <w:sz w:val="20"/>
          <w:szCs w:val="20"/>
          <w:color w:val="auto"/>
        </w:rPr>
      </w:pPr>
      <w:r>
        <w:rPr>
          <w:rFonts w:ascii="Arial" w:cs="Arial" w:eastAsia="Arial" w:hAnsi="Arial"/>
          <w:sz w:val="17"/>
          <w:szCs w:val="17"/>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Manufacturers</w:t>
      </w:r>
    </w:p>
    <w:p>
      <w:pPr>
        <w:spacing w:after="0" w:line="119"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43"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guidance of members of our organization.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55" w:lineRule="exact"/>
        <w:rPr>
          <w:sz w:val="20"/>
          <w:szCs w:val="20"/>
          <w:color w:val="auto"/>
        </w:rPr>
      </w:pPr>
    </w:p>
    <w:p>
      <w:pPr>
        <w:ind w:right="160" w:firstLine="433"/>
        <w:spacing w:after="0" w:line="271"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61" w:lineRule="exact"/>
        <w:rPr>
          <w:sz w:val="20"/>
          <w:szCs w:val="20"/>
          <w:color w:val="auto"/>
        </w:rPr>
      </w:pPr>
    </w:p>
    <w:p>
      <w:pPr>
        <w:ind w:left="640" w:right="360" w:hanging="320"/>
        <w:spacing w:after="0" w:line="278"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termination or nonrenewal of arrangements or agreements by our third-party contractors at a time that is costly or inconvenient for us;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breach by the third-party contractors of our agreements with them;</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failure of third-party contractors to comply with applicable regulatory requirements;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specifications;</w:t>
      </w:r>
    </w:p>
    <w:p>
      <w:pPr>
        <w:spacing w:after="0" w:line="119" w:lineRule="exact"/>
        <w:rPr>
          <w:rFonts w:ascii="Arial" w:cs="Arial" w:eastAsia="Arial" w:hAnsi="Arial"/>
          <w:sz w:val="17"/>
          <w:szCs w:val="17"/>
          <w:color w:val="auto"/>
        </w:rPr>
      </w:pPr>
    </w:p>
    <w:p>
      <w:pPr>
        <w:ind w:left="640" w:right="340" w:hanging="320"/>
        <w:spacing w:after="0" w:line="300"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mislabeling of clinical supplies, potentially resulting in the wrong dose amounts being supplied or study drug or placebo not being properly identified;</w:t>
      </w:r>
    </w:p>
    <w:p>
      <w:pPr>
        <w:spacing w:after="0" w:line="35" w:lineRule="exact"/>
        <w:rPr>
          <w:rFonts w:ascii="Arial" w:cs="Arial" w:eastAsia="Arial" w:hAnsi="Arial"/>
          <w:sz w:val="17"/>
          <w:szCs w:val="17"/>
          <w:color w:val="auto"/>
        </w:rPr>
      </w:pPr>
    </w:p>
    <w:p>
      <w:pPr>
        <w:ind w:left="640" w:right="560" w:hanging="320"/>
        <w:spacing w:after="0" w:line="300"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clinical supplies not being delivered to clinical sites on time and at expected cost due to inflationary impacts, leading to clinical trial interruptions, or of drug supplies not being distributed to commercial vendors in a timely manner, resulting in lost sales;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misappropriation of our proprietary information, including our trade secrets and know-how.</w:t>
      </w:r>
    </w:p>
    <w:p>
      <w:pPr>
        <w:spacing w:after="0" w:line="119"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We do not have complete control over all aspects of the manufacturing process of, and are dependent on, our contract manufacturing partners for compliance with cGMP or similar regulations for manufacturing both active drug substances and finished drug products. Third-party manufacturers may not be able to comply with cGMP or similar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approval for the use of their manufacturing facilities in connection with any of our product candidates that may receive marketing approval.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69"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6"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43"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 party manufacturers are not able to optimize their manufacturing processes to increase the product yield for our product candidates, or if they are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Suppliers</w:t>
      </w:r>
    </w:p>
    <w:p>
      <w:pPr>
        <w:spacing w:after="0" w:line="119" w:lineRule="exact"/>
        <w:rPr>
          <w:sz w:val="20"/>
          <w:szCs w:val="20"/>
          <w:color w:val="auto"/>
        </w:rPr>
      </w:pPr>
    </w:p>
    <w:p>
      <w:pPr>
        <w:jc w:val="both"/>
        <w:ind w:right="80"/>
        <w:spacing w:after="0" w:line="310" w:lineRule="auto"/>
        <w:rPr>
          <w:sz w:val="20"/>
          <w:szCs w:val="20"/>
          <w:color w:val="auto"/>
        </w:rPr>
      </w:pPr>
      <w:r>
        <w:rPr>
          <w:rFonts w:ascii="Arial" w:cs="Arial" w:eastAsia="Arial" w:hAnsi="Arial"/>
          <w:sz w:val="17"/>
          <w:szCs w:val="17"/>
          <w:b w:val="1"/>
          <w:bCs w:val="1"/>
          <w:i w:val="1"/>
          <w:iCs w:val="1"/>
          <w:color w:val="auto"/>
        </w:rPr>
        <w:t>We depend on third-party suppliers for key raw materials used in our manufacturing processes, some of which are our sole source of supply, and the loss of these third-party suppliers or their inability to supply us with adequate raw materials could harm our business.</w:t>
      </w:r>
    </w:p>
    <w:p>
      <w:pPr>
        <w:spacing w:after="0" w:line="20"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We rely on our CDMOs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CDMOs’ acquisition of raw materials needed to produce our product candidates. Any significant delay in the supply of a product candidate or the raw material components thereof for an ongoing clinical trial due to a manufacturer’s need to replace a third-party supplier of raw materials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the commercial launch of our product candidates would be delayed or there would be a shortage in supply, which would impair our ability to generate revenues from the sale of our product candidates.</w:t>
      </w:r>
    </w:p>
    <w:p>
      <w:pPr>
        <w:spacing w:after="0" w:line="70" w:lineRule="exact"/>
        <w:rPr>
          <w:sz w:val="20"/>
          <w:szCs w:val="20"/>
          <w:color w:val="auto"/>
        </w:rPr>
      </w:pPr>
    </w:p>
    <w:p>
      <w:pPr>
        <w:ind w:right="220" w:firstLine="433"/>
        <w:spacing w:after="0" w:line="268" w:lineRule="auto"/>
        <w:rPr>
          <w:sz w:val="20"/>
          <w:szCs w:val="20"/>
          <w:color w:val="auto"/>
        </w:rPr>
      </w:pPr>
      <w:r>
        <w:rPr>
          <w:rFonts w:ascii="Arial" w:cs="Arial" w:eastAsia="Arial" w:hAnsi="Arial"/>
          <w:sz w:val="17"/>
          <w:szCs w:val="17"/>
          <w:color w:val="auto"/>
        </w:rPr>
        <w:t>Furthermore, for those third-party suppliers who may be our sole source of supply of certain materials, we may not have arrangements in place for a redundant or second-source supply of any such materials in the event any of our current suppliers cease their operations for any reason. Establishing additional or replacement suppliers for the raw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63"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b w:val="1"/>
          <w:bCs w:val="1"/>
          <w:i w:val="1"/>
          <w:iCs w:val="1"/>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43"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have, and may seek in the future, third-party collaborators for the research, development and commercialization of certain of the product candidates we may develop. For example, we have a collaboration with Ionis Pharmaceuticals, Inc. to further our development of product candidates and to enhance our research efforts directed to developing a product candidate for the treatment of epilepsy. Our likely collaborators for any other collaboration arrangements include large and mid-size pharmaceutical companies, regional and national pharmaceutical companies, biotechnology companies and academic institutions, such as The Florey Institute of Neuroscience.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Collaborations involving our research programs, or any product candidates we may develop, pose the following risks to us:</w:t>
      </w:r>
    </w:p>
    <w:p>
      <w:pPr>
        <w:spacing w:after="0" w:line="119" w:lineRule="exact"/>
        <w:rPr>
          <w:sz w:val="20"/>
          <w:szCs w:val="20"/>
          <w:color w:val="auto"/>
        </w:rPr>
      </w:pPr>
    </w:p>
    <w:p>
      <w:pPr>
        <w:ind w:left="620" w:hanging="30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19" w:lineRule="exact"/>
        <w:rPr>
          <w:rFonts w:ascii="Arial" w:cs="Arial" w:eastAsia="Arial" w:hAnsi="Arial"/>
          <w:sz w:val="17"/>
          <w:szCs w:val="17"/>
          <w:color w:val="auto"/>
        </w:rPr>
      </w:pPr>
    </w:p>
    <w:p>
      <w:pPr>
        <w:ind w:left="640" w:right="340" w:hanging="320"/>
        <w:spacing w:after="0" w:line="271"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61" w:lineRule="exact"/>
        <w:rPr>
          <w:rFonts w:ascii="Arial" w:cs="Arial" w:eastAsia="Arial" w:hAnsi="Arial"/>
          <w:sz w:val="17"/>
          <w:szCs w:val="17"/>
          <w:color w:val="auto"/>
        </w:rPr>
      </w:pPr>
    </w:p>
    <w:p>
      <w:pPr>
        <w:ind w:left="640" w:right="480" w:hanging="320"/>
        <w:spacing w:after="0" w:line="278"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55"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need the cooperation of our collaborators to enforce or defend any intellectual property we contribute to or that arises out of our collaborations, which may not be provided to us;</w:t>
      </w:r>
    </w:p>
    <w:p>
      <w:pPr>
        <w:spacing w:after="0" w:line="35"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control certain interactions with regulatory authorities, which may impact our ability to obtain and maintain regulatory approval of our products candidates;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right="6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55" w:lineRule="exact"/>
        <w:rPr>
          <w:rFonts w:ascii="Arial" w:cs="Arial" w:eastAsia="Arial" w:hAnsi="Arial"/>
          <w:sz w:val="17"/>
          <w:szCs w:val="17"/>
          <w:color w:val="auto"/>
        </w:rPr>
      </w:pPr>
    </w:p>
    <w:p>
      <w:pPr>
        <w:ind w:left="640" w:right="28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5" w:lineRule="exact"/>
        <w:rPr>
          <w:rFonts w:ascii="Arial" w:cs="Arial" w:eastAsia="Arial" w:hAnsi="Arial"/>
          <w:sz w:val="17"/>
          <w:szCs w:val="17"/>
          <w:color w:val="auto"/>
        </w:rPr>
      </w:pPr>
    </w:p>
    <w:p>
      <w:pPr>
        <w:ind w:left="640" w:right="40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7"/>
          <w:szCs w:val="17"/>
          <w:color w:val="auto"/>
        </w:rPr>
      </w:pPr>
    </w:p>
    <w:p>
      <w:pPr>
        <w:ind w:left="640" w:right="28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restrict us from researching, developing or commercializing certain products or technologies without their involvement;</w:t>
      </w:r>
    </w:p>
    <w:p>
      <w:pPr>
        <w:spacing w:after="0" w:line="119" w:lineRule="exact"/>
        <w:rPr>
          <w:rFonts w:ascii="Arial" w:cs="Arial" w:eastAsia="Arial" w:hAnsi="Arial"/>
          <w:sz w:val="17"/>
          <w:szCs w:val="17"/>
          <w:color w:val="auto"/>
        </w:rPr>
      </w:pPr>
    </w:p>
    <w:p>
      <w:pPr>
        <w:ind w:left="640" w:right="68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 candidates may not commit sufficient resources to the marketing and distribution of such product candidates;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35" w:lineRule="exact"/>
        <w:rPr>
          <w:rFonts w:ascii="Arial" w:cs="Arial" w:eastAsia="Arial" w:hAnsi="Arial"/>
          <w:sz w:val="17"/>
          <w:szCs w:val="17"/>
          <w:color w:val="auto"/>
        </w:rPr>
      </w:pPr>
    </w:p>
    <w:p>
      <w:pPr>
        <w:ind w:left="640" w:right="46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key personnel at our collaborators may leave, which could negatively impact our ability to productively work with our collaborators;</w:t>
      </w:r>
    </w:p>
    <w:p>
      <w:pPr>
        <w:spacing w:after="0" w:line="119" w:lineRule="exact"/>
        <w:rPr>
          <w:rFonts w:ascii="Arial" w:cs="Arial" w:eastAsia="Arial" w:hAnsi="Arial"/>
          <w:sz w:val="17"/>
          <w:szCs w:val="17"/>
          <w:color w:val="auto"/>
        </w:rPr>
      </w:pPr>
    </w:p>
    <w:p>
      <w:pPr>
        <w:ind w:left="640" w:right="56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collaborations may require us to incur short and long-term expenditures, issue securities that dilute our stockholders or disrupt our management and business;</w:t>
      </w:r>
    </w:p>
    <w:p>
      <w:pPr>
        <w:spacing w:after="0" w:line="35" w:lineRule="exact"/>
        <w:rPr>
          <w:rFonts w:ascii="Arial" w:cs="Arial" w:eastAsia="Arial" w:hAnsi="Arial"/>
          <w:sz w:val="17"/>
          <w:szCs w:val="17"/>
          <w:color w:val="auto"/>
        </w:rPr>
      </w:pPr>
    </w:p>
    <w:p>
      <w:pPr>
        <w:ind w:left="640" w:right="14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our collaborators do not satisfy their obligations under our agreements with them, or if they terminate our collaborations with them, we may not be able to develop or commercialize product candidates as planned;</w:t>
      </w:r>
    </w:p>
    <w:p>
      <w:pPr>
        <w:spacing w:after="0" w:line="35" w:lineRule="exact"/>
        <w:rPr>
          <w:rFonts w:ascii="Arial" w:cs="Arial" w:eastAsia="Arial" w:hAnsi="Arial"/>
          <w:sz w:val="17"/>
          <w:szCs w:val="17"/>
          <w:color w:val="auto"/>
        </w:rPr>
      </w:pPr>
    </w:p>
    <w:p>
      <w:pPr>
        <w:jc w:val="both"/>
        <w:ind w:left="640" w:right="10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55" w:lineRule="exact"/>
        <w:rPr>
          <w:rFonts w:ascii="Arial" w:cs="Arial" w:eastAsia="Arial" w:hAnsi="Arial"/>
          <w:sz w:val="17"/>
          <w:szCs w:val="17"/>
          <w:color w:val="auto"/>
        </w:rPr>
      </w:pPr>
    </w:p>
    <w:p>
      <w:pPr>
        <w:ind w:left="640" w:right="4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55" w:lineRule="exact"/>
        <w:rPr>
          <w:rFonts w:ascii="Arial" w:cs="Arial" w:eastAsia="Arial" w:hAnsi="Arial"/>
          <w:sz w:val="17"/>
          <w:szCs w:val="17"/>
          <w:color w:val="auto"/>
        </w:rPr>
      </w:pPr>
    </w:p>
    <w:p>
      <w:pPr>
        <w:ind w:left="640" w:right="10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55"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on acceptable terms or at all. If we do not have sufficient funds, we may not be able to further develop product candidates or bring them to market and generate product revenue.</w:t>
      </w:r>
    </w:p>
    <w:p>
      <w:pPr>
        <w:spacing w:after="0" w:line="36"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75" w:lineRule="exact"/>
        <w:rPr>
          <w:sz w:val="20"/>
          <w:szCs w:val="20"/>
          <w:color w:val="auto"/>
        </w:rPr>
      </w:pPr>
    </w:p>
    <w:p>
      <w:pPr>
        <w:ind w:right="800"/>
        <w:spacing w:after="0" w:line="310" w:lineRule="auto"/>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 or alliances.</w:t>
      </w:r>
    </w:p>
    <w:p>
      <w:pPr>
        <w:spacing w:after="0" w:line="20"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Our Business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Business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economic, political, regulatory and other risks associated with international operations.</w:t>
      </w:r>
    </w:p>
    <w:p>
      <w:pPr>
        <w:spacing w:after="0" w:line="119" w:lineRule="exact"/>
        <w:rPr>
          <w:sz w:val="20"/>
          <w:szCs w:val="20"/>
          <w:color w:val="auto"/>
        </w:rPr>
      </w:pPr>
    </w:p>
    <w:p>
      <w:pPr>
        <w:ind w:right="200" w:firstLine="433"/>
        <w:spacing w:after="0" w:line="300"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36" w:lineRule="exact"/>
        <w:rPr>
          <w:sz w:val="20"/>
          <w:szCs w:val="20"/>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non-U.S. economies and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differing and changing regulatory requirements in non-U.S. countries;</w:t>
      </w:r>
    </w:p>
    <w:p>
      <w:pPr>
        <w:spacing w:after="0" w:line="119" w:lineRule="exact"/>
        <w:rPr>
          <w:rFonts w:ascii="Arial" w:cs="Arial" w:eastAsia="Arial" w:hAnsi="Arial"/>
          <w:sz w:val="17"/>
          <w:szCs w:val="17"/>
          <w:color w:val="auto"/>
        </w:rPr>
      </w:pPr>
    </w:p>
    <w:p>
      <w:pPr>
        <w:ind w:left="640" w:right="80" w:hanging="320"/>
        <w:spacing w:after="0" w:line="266"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 including our ability to prosecute or maintain patents in Russia due to the sanctions imposed by the United States and other countries on Russia as a result of Russia’s invasion of Ukraine and our ability to enforce patents due to Russia's March 2022 decree that allows the use of inventions, utility models and industrial designs that are held by intellectual property owners from "unfriendly countries," including the United States, without the consent of or payment of any compensation to such owners;</w:t>
      </w:r>
    </w:p>
    <w:p>
      <w:pPr>
        <w:spacing w:after="0" w:line="63"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difficulties in compliance with non-U.S. laws and regulations;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non-U.S. regulations and customs, tariffs and trade barriers;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non-U.S. currency exchange rates and currency controls;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negative consequences from changes in tax laws;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119" w:lineRule="exact"/>
        <w:rPr>
          <w:rFonts w:ascii="Arial" w:cs="Arial" w:eastAsia="Arial" w:hAnsi="Arial"/>
          <w:sz w:val="17"/>
          <w:szCs w:val="17"/>
          <w:color w:val="auto"/>
        </w:rPr>
      </w:pPr>
    </w:p>
    <w:p>
      <w:pPr>
        <w:ind w:left="640" w:right="500" w:hanging="320"/>
        <w:spacing w:after="0" w:line="300"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potential liability under the Foreign Corrupt Practices Act, U.K. Bribery Act of 2010 or comparable foreign laws, including expanded sanctions imposed by the United States and other countries on Russia due to Russia's invasion of Ukraine;</w:t>
      </w:r>
    </w:p>
    <w:p>
      <w:pPr>
        <w:spacing w:after="0" w:line="35" w:lineRule="exact"/>
        <w:rPr>
          <w:rFonts w:ascii="Arial" w:cs="Arial" w:eastAsia="Arial" w:hAnsi="Arial"/>
          <w:sz w:val="17"/>
          <w:szCs w:val="17"/>
          <w:color w:val="auto"/>
        </w:rPr>
      </w:pPr>
    </w:p>
    <w:p>
      <w:pPr>
        <w:ind w:left="640" w:right="440" w:hanging="320"/>
        <w:spacing w:after="0" w:line="300"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such as Russia's invasion of Ukraine, natural disasters including earthquakes, typhoons, floods and fires, or health epidemics such as COVID-19; and</w:t>
      </w:r>
    </w:p>
    <w:p>
      <w:pPr>
        <w:spacing w:after="0" w:line="35" w:lineRule="exact"/>
        <w:rPr>
          <w:rFonts w:ascii="Arial" w:cs="Arial" w:eastAsia="Arial" w:hAnsi="Arial"/>
          <w:sz w:val="17"/>
          <w:szCs w:val="17"/>
          <w:color w:val="auto"/>
        </w:rPr>
      </w:pPr>
    </w:p>
    <w:p>
      <w:pPr>
        <w:ind w:left="640" w:right="140" w:hanging="320"/>
        <w:spacing w:after="0" w:line="300"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cyberattacks, which are growing in frequency, sophistication and intensity, and are becoming increasingly difficult to detect, including an increased likelihood that Russia's invasion of Ukraine could result in more cyberattacks or cybersecurity incidents.</w:t>
      </w:r>
    </w:p>
    <w:p>
      <w:pPr>
        <w:spacing w:after="0" w:line="36" w:lineRule="exact"/>
        <w:rPr>
          <w:sz w:val="20"/>
          <w:szCs w:val="20"/>
          <w:color w:val="auto"/>
        </w:rPr>
      </w:pPr>
    </w:p>
    <w:p>
      <w:pPr>
        <w:ind w:right="340" w:firstLine="433"/>
        <w:spacing w:after="0" w:line="300" w:lineRule="auto"/>
        <w:rPr>
          <w:sz w:val="20"/>
          <w:szCs w:val="20"/>
          <w:color w:val="auto"/>
        </w:rPr>
      </w:pPr>
      <w:r>
        <w:rPr>
          <w:rFonts w:ascii="Arial" w:cs="Arial" w:eastAsia="Arial" w:hAnsi="Arial"/>
          <w:sz w:val="17"/>
          <w:szCs w:val="17"/>
          <w:color w:val="auto"/>
        </w:rPr>
        <w:t>These and other risks associated with our planned international operations may materially adversely affect our ability to attain profitable operations.</w:t>
      </w:r>
    </w:p>
    <w:p>
      <w:pPr>
        <w:spacing w:after="0" w:line="36" w:lineRule="exact"/>
        <w:rPr>
          <w:sz w:val="20"/>
          <w:szCs w:val="20"/>
          <w:color w:val="auto"/>
        </w:rPr>
      </w:pPr>
    </w:p>
    <w:p>
      <w:pPr>
        <w:ind w:right="440"/>
        <w:spacing w:after="0" w:line="310"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health epidemics or other business interruptions and our business continuity and disaster recovery plans may not adequately protect us from a serious disaster.</w:t>
      </w:r>
    </w:p>
    <w:p>
      <w:pPr>
        <w:spacing w:after="0" w:line="20"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Natural disasters or health epidemics could severely disrupt our operations, and have a material adverse impact on our business, results of operations, financial condition, and prospects. If a natural disaster, power outage, health epidemic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 The extent to which these events will impact our business will depend on future developments, which are highly uncertain and cannot be predicted, including with regard to their impact on economic conditions and social activity, including with respect to inflationary pressures and supply chain shortages and disruptions, among others.</w:t>
      </w:r>
    </w:p>
    <w:p>
      <w:pPr>
        <w:spacing w:after="0" w:line="279"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For example, since December 2019, several novel strains of coronavirus have been identified and continue to spread globally, including in the United States, and the disease they cause, COVID-19, has been declared a pandemic by the World Health Organization. At present, we are not experiencing significant impact or delays from the COVID-19 pandemic on our business, operations and, if our product candidates are approved, commercialization plans. The extent to which the COVID-19 pandemic impacts our business will depend on future developments, which are highly uncertain and cannot be predicted, including new information which may emerge concerning the severity of the novel coronavirus strains, and of any future-identified novel coronavirus strains, the effectiveness of actions taken in the United States and other countries to contain the coronavirus strains or treat their impact, including the adoption and effectiveness of vaccines and vaccine distribution efforts and the extent and duration of the pandemic's impact on economic conditions and social activity, including with respect to inflationary pressures and supply chain shortages and disruptions, among others.</w:t>
      </w:r>
    </w:p>
    <w:p>
      <w:pPr>
        <w:spacing w:after="0" w:line="73"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Climate change and other environmental or social pressures are expected to increase the frequency or intensity of certain such events, and to contribute to chronic effects (e.g., sea-level rise or changes in meteorological or hydrological patterns), which may result in various adverse impacts to our business or those of third parties upon whom we depend, including in ways that may not be known to us. Increasing stakeholder scrutiny on such environmental and social matters may also require us to incur costs or otherwise devote resources to address such issues, and any failure to successfully navigate such considerations may also adversely impact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Employees</w:t>
      </w:r>
    </w:p>
    <w:p>
      <w:pPr>
        <w:spacing w:after="0" w:line="119"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i w:val="1"/>
          <w:iCs w:val="1"/>
          <w:color w:val="auto"/>
        </w:rPr>
        <w:t>We depend heavily on our executive officers, principal consultants and others, and the loss of their services would materially harm our business.</w:t>
      </w:r>
    </w:p>
    <w:p>
      <w:pPr>
        <w:spacing w:after="0" w:line="2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Our success depends, and will likely continue to depend, upon our ability to retain the services of our current executive officers, principal consultants and others, including Marcio Souza, our President and Chief Executive Officer, and Timothy Kelly, our Chief Financial Officer. We have entered into employment agreements with Mr. Souza and Mr. Kelly, but they may terminate their employment with us at any time. The loss of their services might impede the achievement of our research, development and commercialization objectives. We do not maintain “key person” insurance for any of our executives or other employees.</w:t>
      </w:r>
    </w:p>
    <w:p>
      <w:pPr>
        <w:spacing w:after="0" w:line="63" w:lineRule="exact"/>
        <w:rPr>
          <w:sz w:val="20"/>
          <w:szCs w:val="20"/>
          <w:color w:val="auto"/>
        </w:rPr>
      </w:pPr>
    </w:p>
    <w:p>
      <w:pPr>
        <w:ind w:right="180" w:firstLine="433"/>
        <w:spacing w:after="0" w:line="278"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managerial, scientific and medical personnel. Our industry has experienced significant demand for, and a high rate of turnover of, management personnel in recent years. Replacing executive officers or</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36"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55" w:lineRule="exact"/>
        <w:rPr>
          <w:sz w:val="20"/>
          <w:szCs w:val="20"/>
          <w:color w:val="auto"/>
        </w:rPr>
      </w:pPr>
    </w:p>
    <w:p>
      <w:pPr>
        <w:ind w:right="540" w:firstLine="433"/>
        <w:spacing w:after="0" w:line="278" w:lineRule="auto"/>
        <w:rPr>
          <w:sz w:val="20"/>
          <w:szCs w:val="20"/>
          <w:color w:val="auto"/>
        </w:rPr>
      </w:pPr>
      <w:r>
        <w:rPr>
          <w:rFonts w:ascii="Arial" w:cs="Arial" w:eastAsia="Arial" w:hAnsi="Arial"/>
          <w:sz w:val="17"/>
          <w:szCs w:val="17"/>
          <w:color w:val="auto"/>
        </w:rPr>
        <w:t>In addition, we have a limited number of employees to manage and operate our business. We cannot ensure that we will be able to maintain adequate staff to develop our product candidates, to run our operations or accomplish our objectives. If we are unable to maintain adequate staffing levels, our business and operations could be materially adversely affected.</w:t>
      </w:r>
    </w:p>
    <w:p>
      <w:pPr>
        <w:spacing w:after="0" w:line="55"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61"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43"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w:t>
      </w:r>
    </w:p>
    <w:p>
      <w:pPr>
        <w:spacing w:after="0" w:line="55" w:lineRule="exact"/>
        <w:rPr>
          <w:sz w:val="20"/>
          <w:szCs w:val="20"/>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regulatory authorities, including those laws requiring the reporting of true, complete and accurate information to such authorities;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manufacturing standards;</w:t>
      </w:r>
    </w:p>
    <w:p>
      <w:pPr>
        <w:spacing w:after="0" w:line="119" w:lineRule="exact"/>
        <w:rPr>
          <w:rFonts w:ascii="Arial" w:cs="Arial" w:eastAsia="Arial" w:hAnsi="Arial"/>
          <w:sz w:val="17"/>
          <w:szCs w:val="17"/>
          <w:color w:val="auto"/>
        </w:rPr>
      </w:pPr>
    </w:p>
    <w:p>
      <w:pPr>
        <w:ind w:left="640" w:right="720" w:hanging="320"/>
        <w:spacing w:after="0" w:line="300"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federal and state healthcare fraud and abuse laws and regulations and similar laws and regulations established and enforced by comparable non-U.S. regulatory authorities;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laws that require the accurate reporting of financial information or data.</w:t>
      </w:r>
    </w:p>
    <w:p>
      <w:pPr>
        <w:spacing w:after="0" w:line="119" w:lineRule="exact"/>
        <w:rPr>
          <w:sz w:val="20"/>
          <w:szCs w:val="20"/>
          <w:color w:val="auto"/>
        </w:rPr>
      </w:pPr>
    </w:p>
    <w:p>
      <w:pPr>
        <w:ind w:right="180" w:firstLine="433"/>
        <w:spacing w:after="0" w:line="261" w:lineRule="auto"/>
        <w:rPr>
          <w:sz w:val="20"/>
          <w:szCs w:val="20"/>
          <w:color w:val="auto"/>
        </w:rPr>
      </w:pPr>
      <w:r>
        <w:rPr>
          <w:rFonts w:ascii="Arial" w:cs="Arial" w:eastAsia="Arial" w:hAnsi="Arial"/>
          <w:sz w:val="17"/>
          <w:szCs w:val="17"/>
          <w:color w:val="auto"/>
        </w:rPr>
        <w:t>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75" w:lineRule="exact"/>
        <w:rPr>
          <w:sz w:val="20"/>
          <w:szCs w:val="20"/>
          <w:color w:val="auto"/>
        </w:rPr>
      </w:pPr>
    </w:p>
    <w:p>
      <w:pPr>
        <w:ind w:right="100"/>
        <w:spacing w:after="0" w:line="310" w:lineRule="auto"/>
        <w:rPr>
          <w:sz w:val="20"/>
          <w:szCs w:val="20"/>
          <w:color w:val="auto"/>
        </w:rPr>
      </w:pPr>
      <w:r>
        <w:rPr>
          <w:rFonts w:ascii="Arial" w:cs="Arial" w:eastAsia="Arial" w:hAnsi="Arial"/>
          <w:sz w:val="17"/>
          <w:szCs w:val="17"/>
          <w:b w:val="1"/>
          <w:bCs w:val="1"/>
          <w:i w:val="1"/>
          <w:iCs w:val="1"/>
          <w:color w:val="auto"/>
        </w:rPr>
        <w:t>We expect to expand our organization, and as a result, we may encounter difficulties in managing our growth, which could disrupt our operations.</w:t>
      </w:r>
    </w:p>
    <w:p>
      <w:pPr>
        <w:spacing w:after="0" w:line="20" w:lineRule="exact"/>
        <w:rPr>
          <w:sz w:val="20"/>
          <w:szCs w:val="20"/>
          <w:color w:val="auto"/>
        </w:rPr>
      </w:pPr>
    </w:p>
    <w:p>
      <w:pPr>
        <w:ind w:right="140" w:firstLine="433"/>
        <w:spacing w:after="0" w:line="264"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Data Privacy and Cybersecurity</w:t>
      </w:r>
    </w:p>
    <w:p>
      <w:pPr>
        <w:spacing w:after="0" w:line="119"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b w:val="1"/>
          <w:bCs w:val="1"/>
          <w:i w:val="1"/>
          <w:iCs w:val="1"/>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43"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We, our collaborators, our CROs, third-party logistics providers, distributors and other contractors and consultants utilize information technology, or IT, systems and networks to process, transmit and store electronic information in connection with our business activities. As use of digital technologies has increased, our IT systems and those of such third parties, are increasingly vulnerable to attack, damage and interruption from natural disasters, terrorism, war, telecommunication and electrical failures, hacking, cyber incidents, including third parties gaining access to employee accounts using stolen or inferred credentials, malicious code, malware, viruses (e.g., ransomware), spamming, phishing attacks and other social engineering schemes, employee theft or misuse, human error, fraud, denial or degradation of service attacks, and sophisticated nation-state and nation-state-supported actors or other deliberate attacks and attempts to gain unauthorized access to IT systems and networks, as such attacks have increased in frequency and sophistication. Attacks upon IT systems are also increasing in their levels of persistence and intensity, and are being conducted by sophisticated and organized groups and individuals with a wide range of motives and expertise. We may also face increased cybersecurity risks due to our reliance on internet technology and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85"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do not believe that we have experienced any such system failure, accident or security breach to date, if such an event were to occur and cause interruptions in our operations, it could result in a material disruption of our business operations and drug development programs. These threats pose a risk to the security of our, our collaborators’, our CROs’, third-party logistics providers’, distributors’ and other contractors’ and consultants’ systems and networks, and the confidentiality, availability and integrity of our data. There can be no assurance that our cybersecurity risk management program and processes, including our policies, controls or procedures, will be fully implemented, complied with or successful in preventing cyberattacks or other IT disruptions, or in mitigating their effects. Similarly, there can be no assurance that our collaborators, CROs, third-party logistics providers, distributors and other contractors and consultants will be successful in protecting our clinical and other data that is stored on their systems. Further, the costs associated with the investigation, remediation and potential notification of a breach to counterparties and data subjects could be material.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 Our insurance coverage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320"/>
        <w:spacing w:after="0" w:line="283" w:lineRule="auto"/>
        <w:rPr>
          <w:sz w:val="20"/>
          <w:szCs w:val="20"/>
          <w:color w:val="auto"/>
        </w:rPr>
      </w:pPr>
      <w:r>
        <w:rPr>
          <w:rFonts w:ascii="Arial" w:cs="Arial" w:eastAsia="Arial" w:hAnsi="Arial"/>
          <w:sz w:val="17"/>
          <w:szCs w:val="17"/>
          <w:b w:val="1"/>
          <w:bCs w:val="1"/>
          <w:i w:val="1"/>
          <w:iCs w:val="1"/>
          <w:color w:val="auto"/>
        </w:rPr>
        <w:t>We rely on a set of cloud-based software services and access these services via the Internet for the vast majority of our computing, storage, bandwidth and other services. Any disruption of or interference with our use of our cloud-based services would negatively affect our operations and could seriously harm our business.</w:t>
      </w:r>
    </w:p>
    <w:p>
      <w:pPr>
        <w:spacing w:after="0" w:line="43"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We use several distributed computing infrastructure platforms for business operations, or what is commonly referred to as “cloud” computing services and we access these services via the Internet. Any transition of the cloud services currently provided by an existing vendor to another cloud provider would be difficult to implement and will cause us to incur significant time and expense. Given this, any significant disruption of or interference with our use of these cloud computing services would negatively impact our operations and our business would be seriously harmed. If our employees or partners are not able to access our cloud computing services or encounter difficulties in doing so, we may experience business disruption. The level of service provided by our cloud computing vendors, including the ability to secure our confidential information and the confidential information of third parties that is shared with us, may also impact the perception of our company and could seriously harm our business and reputation and create liability for us. If a cloud computing service that we use experiences interruptions in service regularly or for a prolonged basis, or other similar issues, our business could be seriously harmed.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a cloud computing service may take actions beyond our control that could seriously harm our business, including:</w:t>
      </w:r>
    </w:p>
    <w:p>
      <w:pPr>
        <w:spacing w:after="0" w:line="119" w:lineRule="exact"/>
        <w:rPr>
          <w:sz w:val="20"/>
          <w:szCs w:val="20"/>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discontinuing or limiting our access to its platform;</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increasing pricing terms;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terminating or seeking to terminate our contractual relationship altogether; 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modifying or interpreting its terms of service or other policies in a manner that impacts our ability to run our business and operations.</w:t>
      </w:r>
    </w:p>
    <w:p>
      <w:pPr>
        <w:spacing w:after="0" w:line="119" w:lineRule="exact"/>
        <w:rPr>
          <w:sz w:val="20"/>
          <w:szCs w:val="20"/>
          <w:color w:val="auto"/>
        </w:rPr>
      </w:pPr>
    </w:p>
    <w:p>
      <w:pPr>
        <w:ind w:right="80" w:firstLine="433"/>
        <w:spacing w:after="0" w:line="278" w:lineRule="auto"/>
        <w:rPr>
          <w:sz w:val="20"/>
          <w:szCs w:val="20"/>
          <w:color w:val="auto"/>
        </w:rPr>
      </w:pPr>
      <w:r>
        <w:rPr>
          <w:rFonts w:ascii="Arial" w:cs="Arial" w:eastAsia="Arial" w:hAnsi="Arial"/>
          <w:sz w:val="17"/>
          <w:szCs w:val="17"/>
          <w:color w:val="auto"/>
        </w:rPr>
        <w:t>Our cloud computing services have broad discretion to change and interpret its terms of service and other policies with respect to us, and those actions may be unfavorable to us. Our cloud computing services may also alter how we are able to process data on the platform. If a cloud computing services makes changes or interpretations that are unfavorable to us, our business could be seriously harmed.</w:t>
      </w:r>
    </w:p>
    <w:p>
      <w:pPr>
        <w:spacing w:after="0" w:line="55"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Our efforts to protect the information shared with us may be unsuccessful due to the actions of third parties, software bugs or other technical malfunctions, employee error or malfeasance or other factors. In addition, third parties may attempt to fraudulently induce employees or users to disclose information to gain access to our data or third-party data entrusted to us. If any of these events occur, our or third-party information could be accessed or disclosed improperly. Some partners or collaborators may store information that we share with them on their own computing system. If these third parties fail to implement adequate data-security practices or fail to comply with our policies, our data may be improperly accessed or disclosed. And even if these third parties take all of these steps, their networks may still suffer a breach, which could compromise our data.</w:t>
      </w:r>
    </w:p>
    <w:p>
      <w:pPr>
        <w:spacing w:after="0" w:line="279"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Any incidents where our information is accessed without authorization, or is improperly used, or incidents that violate our policies, could damage our reputation and our brand and diminish our competitive position. In addition, affected parties or government authorities could initiate legal or regulatory action against us over those incidents, which could cause us to incur significant expense and liability or result in orders or consent decrees forcing us to modify our business practices. Concerns over our privacy practices, whether actual or unfounded, could damage our reputation and brand and deter users, advertisers and partners from using our products and services. Any of these occurrences could seriously harm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Tax Laws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Legislation or other changes in tax laws could adversely affect our business and financial condition.</w:t>
      </w:r>
    </w:p>
    <w:p>
      <w:pPr>
        <w:spacing w:after="0" w:line="119"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The legislation, regulations and rules regarding U.S. federal, state and local and non-U.S. taxation are constantly under review by persons involved in the legislative process and by the Internal Revenue Service and the U.S. Treasury Department and by state and local and non-U.S. tax agencies. Changes to tax laws (which changes may have retroactive application) could adversely affect us or holders of our common stock. Changes have been made to applicable tax laws from time to time and changes are expected to occur in the future as a result of recent U.S. presidential and congressional elections.</w:t>
      </w:r>
    </w:p>
    <w:p>
      <w:pPr>
        <w:spacing w:after="0" w:line="63" w:lineRule="exact"/>
        <w:rPr>
          <w:sz w:val="20"/>
          <w:szCs w:val="20"/>
          <w:color w:val="auto"/>
        </w:rPr>
      </w:pPr>
    </w:p>
    <w:p>
      <w:pPr>
        <w:jc w:val="both"/>
        <w:ind w:right="360" w:firstLine="433"/>
        <w:spacing w:after="0" w:line="278" w:lineRule="auto"/>
        <w:rPr>
          <w:sz w:val="20"/>
          <w:szCs w:val="20"/>
          <w:color w:val="auto"/>
        </w:rPr>
      </w:pPr>
      <w:r>
        <w:rPr>
          <w:rFonts w:ascii="Arial" w:cs="Arial" w:eastAsia="Arial" w:hAnsi="Arial"/>
          <w:sz w:val="17"/>
          <w:szCs w:val="17"/>
          <w:color w:val="auto"/>
        </w:rPr>
        <w:t>It cannot be predicted whether, when, in what form or with what effective dates changes in tax laws, regulations or rules promulgated or issued under existing or new tax laws may take place. Any such changes could result in an increase in our or our shareholders’ tax liability or require changes in the manner in which we operate in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20"/>
        <w:spacing w:after="0" w:line="300" w:lineRule="auto"/>
        <w:rPr>
          <w:sz w:val="20"/>
          <w:szCs w:val="20"/>
          <w:color w:val="auto"/>
        </w:rPr>
      </w:pPr>
      <w:r>
        <w:rPr>
          <w:rFonts w:ascii="Arial" w:cs="Arial" w:eastAsia="Arial" w:hAnsi="Arial"/>
          <w:sz w:val="17"/>
          <w:szCs w:val="17"/>
          <w:color w:val="auto"/>
        </w:rPr>
        <w:t>order to minimize or mitigate any adverse effects of changes in tax law or in the interpretation thereof. If any such changes are enacted or implemented, we are currently unable to predict the ultimate impact on our business or holders of our common stock.</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U.S. federal and state net operating loss carryforwards and certain other tax attributes may be limited.</w:t>
      </w:r>
    </w:p>
    <w:p>
      <w:pPr>
        <w:spacing w:after="0" w:line="119" w:lineRule="exact"/>
        <w:rPr>
          <w:sz w:val="20"/>
          <w:szCs w:val="20"/>
          <w:color w:val="auto"/>
        </w:rPr>
      </w:pPr>
    </w:p>
    <w:p>
      <w:pPr>
        <w:jc w:val="both"/>
        <w:ind w:right="80" w:firstLine="433"/>
        <w:spacing w:after="0" w:line="278" w:lineRule="auto"/>
        <w:rPr>
          <w:sz w:val="20"/>
          <w:szCs w:val="20"/>
          <w:color w:val="auto"/>
        </w:rPr>
      </w:pPr>
      <w:r>
        <w:rPr>
          <w:rFonts w:ascii="Arial" w:cs="Arial" w:eastAsia="Arial" w:hAnsi="Arial"/>
          <w:sz w:val="17"/>
          <w:szCs w:val="17"/>
          <w:color w:val="auto"/>
        </w:rPr>
        <w:t>Our ability to use our U.S. federal and state net operating losses and tax credits is dependent upon our generation of future taxable income and income tax liabilities. We cannot predict with certainty when, or whether, we will generate sufficient taxable income or income tax liabilities to use any or all of our net operating losses or tax credits.</w:t>
      </w:r>
    </w:p>
    <w:p>
      <w:pPr>
        <w:spacing w:after="0" w:line="55"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Our U.S. federal net operating losses generated in tax years beginning before January 1, 2018, and state net operating losses subject to expiration, will carry forward to offset future taxable income, if any, until such net operating losses expire. Such U.S. federal and state net operating losses could expire unused and be unavailable to offset future taxable income. Our U.S. federal net operating losses generated in tax years beginning after December 31, 2017 are not subject to expiration and may be carried forward indefinitely. However, such U.S. federal net operating losses may only be used to offset 80% of taxable income in each taxable year for U.S. federal income tax purposes. As a result, we may be required to pay U.S. federal income taxes in future years even if we generated net losses for U.S. federal income tax purposes in prior years. Although our U.S. federal and state tax credits generally will carry forward and be available to offset future income tax liabilities, certain of such tax credits may be subject to expiration. Accordingly, our U.S. federal and state net operating losses and tax credits subject to expiration could expire unused.</w:t>
      </w:r>
    </w:p>
    <w:p>
      <w:pPr>
        <w:spacing w:after="0" w:line="73"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In addition, both our current and future U.S. federal net operating losses and U.S. federal tax credits may be subject to limitation under Sections 382 and 383 of the United States Internal Revenue Code of 1986, as amended, or the Code. Under Sections 382 and 383 of the Code, if a corporation undergoes an “ownership change,” generally defined as a greater than 50 percentage point change (by value) in its equity ownership by certain stockholders or groups of stockholders over a rolling three-year period, the corporation’s ability to use its pre-change U.S. federal net operating losses and U.S. federal tax credits to offset its post-change U.S. federal taxable income or U.S. federal income tax liabilities may be limited. We have not conducted a study to assess whether a change of control has occurred or whether there have been multiple changes of control since inception, and our existing U.S. federal net operating losses and U.S. federal tax credits may be subject to limitations arising from previous ownership changes. In addition, future changes in our stock ownership, many of which are outside of our control, could result in an ownership change. Our net operating losses and tax credits may be similarly limited under state law.</w:t>
      </w:r>
    </w:p>
    <w:p>
      <w:pPr>
        <w:spacing w:after="0" w:line="73"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We have established a full valuation allowance against our U.S. federal and state deferred tax assets due to the uncertainty surrounding the realization of such assets.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Investment in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stock has been and may in the future be volatile, and you could lose all or part of your investment.</w:t>
      </w:r>
    </w:p>
    <w:p>
      <w:pPr>
        <w:spacing w:after="0" w:line="119" w:lineRule="exact"/>
        <w:rPr>
          <w:sz w:val="20"/>
          <w:szCs w:val="20"/>
          <w:color w:val="auto"/>
        </w:rPr>
      </w:pPr>
    </w:p>
    <w:p>
      <w:pPr>
        <w:jc w:val="both"/>
        <w:ind w:right="240" w:firstLine="433"/>
        <w:spacing w:after="0" w:line="278"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has been subject to wide fluctuations in response to various factors, some of which are beyond our control, including limited trading volume. In addition to the factors discussed in this “Risk Factors” section, factors that may affect the trading price of our common stock include:</w:t>
      </w:r>
    </w:p>
    <w:p>
      <w:pPr>
        <w:spacing w:after="0" w:line="55" w:lineRule="exact"/>
        <w:rPr>
          <w:sz w:val="20"/>
          <w:szCs w:val="20"/>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commencement, enrollment, completion or results of our current clinical trials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delay in identifying and advancing a clinical candidate for our other programs;</w:t>
      </w:r>
    </w:p>
    <w:p>
      <w:pPr>
        <w:spacing w:after="0" w:line="119"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adverse results or delays, suspensions or terminations in future preclinical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any of our product candidates or the failure of a regulatory authority to accept data from preclinical studies or clinical trials conducted in other countries;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 candidates, including but not limited to clinical trial requirements for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adverse developments concerning our manufacturers;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any approved product or inability to do so at acceptable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inability to establish collaborations, if needed;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failure to commercialize our product candidates, if approved;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introduction of new products or services offered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variations in quarterly operating results;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cash position;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failure to meet the estimates and projections of the investment community or that we may otherwise provide to the public;</w:t>
      </w:r>
    </w:p>
    <w:p>
      <w:pPr>
        <w:spacing w:after="0" w:line="119"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product candidates in particular, or positive or negative recommendations or withdrawal of research coverage by securities analysts;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structure of the healthcare payment systems;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 in the future;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accounting practices;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ineffectiveness of our internal controls;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11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and general economic conditions. Broad market and industry factors have negatively affected and may continue to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64" w:lineRule="exact"/>
        <w:rPr>
          <w:sz w:val="20"/>
          <w:szCs w:val="20"/>
          <w:color w:val="auto"/>
        </w:rPr>
      </w:pPr>
    </w:p>
    <w:p>
      <w:pPr>
        <w:ind w:right="100"/>
        <w:spacing w:after="0" w:line="31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20"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may never obtain research coverage by industry or financial analysts. If no securities or industry analysts commence coverage of our company, the trading price for our stock would likely be negatively impacted. In the event securities or industry analysts initiate coverage, if one or more of</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19" w:lineRule="exact"/>
        <w:rPr>
          <w:sz w:val="20"/>
          <w:szCs w:val="20"/>
          <w:color w:val="auto"/>
        </w:rPr>
      </w:pPr>
    </w:p>
    <w:p>
      <w:pPr>
        <w:ind w:right="220" w:firstLine="433"/>
        <w:spacing w:after="0" w:line="271"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61"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b w:val="1"/>
          <w:bCs w:val="1"/>
          <w:i w:val="1"/>
          <w:iCs w:val="1"/>
          <w:color w:val="auto"/>
        </w:rPr>
        <w:t>Future issuances of our common stock or the issuance of shares of common stock upon the exercise or conversion of securities that are exercisable or convertible into shares of common stock, such as our pre-funded warrants, or upon the exercise or vesting of incentive awards, may result in dilution for our stockholders.</w:t>
      </w:r>
    </w:p>
    <w:p>
      <w:pPr>
        <w:spacing w:after="0" w:line="43" w:lineRule="exact"/>
        <w:rPr>
          <w:sz w:val="20"/>
          <w:szCs w:val="20"/>
          <w:color w:val="auto"/>
        </w:rPr>
      </w:pPr>
    </w:p>
    <w:p>
      <w:pPr>
        <w:ind w:right="140" w:firstLine="433"/>
        <w:spacing w:after="0" w:line="264" w:lineRule="auto"/>
        <w:rPr>
          <w:sz w:val="20"/>
          <w:szCs w:val="20"/>
          <w:color w:val="auto"/>
        </w:rPr>
      </w:pPr>
      <w:r>
        <w:rPr>
          <w:rFonts w:ascii="Arial" w:cs="Arial" w:eastAsia="Arial" w:hAnsi="Arial"/>
          <w:sz w:val="17"/>
          <w:szCs w:val="17"/>
          <w:color w:val="auto"/>
        </w:rPr>
        <w:t>We have needed and anticipate we will need additional capital in the future to continue our planned operations. To the extent that we raise additional capital by issuing equity securities, our stockholders may experience substantial dilution. We may sell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68"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As of December 31, 2024, we have outstanding pre-funded warrants to purchase 1,125,818 shares of common stock at an exercise price of $0.0001 per share,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could result in dilution to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70" w:lineRule="exact"/>
        <w:rPr>
          <w:sz w:val="20"/>
          <w:szCs w:val="20"/>
          <w:color w:val="auto"/>
        </w:rPr>
      </w:pPr>
    </w:p>
    <w:p>
      <w:pPr>
        <w:ind w:right="780"/>
        <w:spacing w:after="0" w:line="310"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will dilute all other stockholders.</w:t>
      </w:r>
    </w:p>
    <w:p>
      <w:pPr>
        <w:spacing w:after="0" w:line="2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Arial" w:cs="Arial" w:eastAsia="Arial" w:hAnsi="Arial"/>
          <w:sz w:val="17"/>
          <w:szCs w:val="17"/>
          <w:i w:val="1"/>
          <w:iCs w:val="1"/>
          <w:color w:val="auto"/>
        </w:rPr>
        <w:t>.</w:t>
      </w:r>
    </w:p>
    <w:p>
      <w:pPr>
        <w:spacing w:after="0" w:line="63" w:lineRule="exact"/>
        <w:rPr>
          <w:sz w:val="20"/>
          <w:szCs w:val="20"/>
          <w:color w:val="auto"/>
        </w:rPr>
      </w:pPr>
    </w:p>
    <w:p>
      <w:pPr>
        <w:ind w:right="460"/>
        <w:spacing w:after="0" w:line="310" w:lineRule="auto"/>
        <w:rPr>
          <w:sz w:val="20"/>
          <w:szCs w:val="20"/>
          <w:color w:val="auto"/>
        </w:rPr>
      </w:pPr>
      <w:r>
        <w:rPr>
          <w:rFonts w:ascii="Arial" w:cs="Arial" w:eastAsia="Arial" w:hAnsi="Arial"/>
          <w:sz w:val="17"/>
          <w:szCs w:val="17"/>
          <w:b w:val="1"/>
          <w:bCs w:val="1"/>
          <w:i w:val="1"/>
          <w:iCs w:val="1"/>
          <w:color w:val="auto"/>
        </w:rPr>
        <w:t>Our executive officers and directors and principal stockholders own a significant percentage of our stock and will be able to exert significant influence over matters subject to stockholder approval.</w:t>
      </w:r>
    </w:p>
    <w:p>
      <w:pPr>
        <w:spacing w:after="0" w:line="20"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Based on shares outstanding as of December 31, 2024, our executive officers and directors, combined with our stockholders who own more than 5% of our outstanding common stock and their affiliates, beneficially hold, in the aggregate, approximately 52.3% of our outstanding voting stock. These stockholders, acting together, would be able to exert significant influence over all matters requiring stockholder approval. The concentration of voting power among these stockholders may have an adverse effect on the price of our common stock. This concentration of ownership control may adversely affect the market price of our common stock by:</w:t>
      </w:r>
    </w:p>
    <w:p>
      <w:pPr>
        <w:spacing w:after="0" w:line="63" w:lineRule="exact"/>
        <w:rPr>
          <w:sz w:val="20"/>
          <w:szCs w:val="20"/>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delaying, deferring or preventing a change in control;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entrenching our management and the board of directors;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that other stockholders may desire; and/or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340" w:firstLine="320"/>
        <w:spacing w:after="0" w:line="386" w:lineRule="auto"/>
        <w:tabs>
          <w:tab w:leader="none" w:pos="62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discouraging a potential acquirer from making a tender offer or otherwise attempting to obtain control of us. </w:t>
      </w:r>
      <w:r>
        <w:rPr>
          <w:rFonts w:ascii="Arial" w:cs="Arial" w:eastAsia="Arial" w:hAnsi="Arial"/>
          <w:sz w:val="17"/>
          <w:szCs w:val="17"/>
          <w:u w:val="single" w:color="auto"/>
          <w:color w:val="auto"/>
        </w:rPr>
        <w:t>Risks Related to Our Controls and Reporting Requirements</w:t>
      </w:r>
    </w:p>
    <w:p>
      <w:pPr>
        <w:spacing w:after="0" w:line="1" w:lineRule="exact"/>
        <w:rPr>
          <w:sz w:val="20"/>
          <w:szCs w:val="20"/>
          <w:color w:val="auto"/>
        </w:rPr>
      </w:pPr>
    </w:p>
    <w:p>
      <w:pPr>
        <w:ind w:right="680"/>
        <w:spacing w:after="0" w:line="310" w:lineRule="auto"/>
        <w:rPr>
          <w:sz w:val="20"/>
          <w:szCs w:val="20"/>
          <w:color w:val="auto"/>
        </w:rPr>
      </w:pPr>
      <w:r>
        <w:rPr>
          <w:rFonts w:ascii="Arial" w:cs="Arial" w:eastAsia="Arial" w:hAnsi="Arial"/>
          <w:sz w:val="17"/>
          <w:szCs w:val="17"/>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20"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 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69"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0"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3"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68"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override of the controls. Accordingly, because of the inherent limitations in our control system, misstatements or insufficient disclosures due to error or fraud may occur and not be detected.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over the use of our cash and cash equivalents and may not use them effectively.</w:t>
      </w:r>
    </w:p>
    <w:p>
      <w:pPr>
        <w:spacing w:after="0" w:line="11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Our management has broad discretion to use our cash and cash equivalents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and cash equivalents in a manner that does not produce income or that loses value.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Charter and Bylaws</w:t>
      </w:r>
    </w:p>
    <w:p>
      <w:pPr>
        <w:spacing w:after="0" w:line="119"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3" w:lineRule="exact"/>
        <w:rPr>
          <w:sz w:val="20"/>
          <w:szCs w:val="20"/>
          <w:color w:val="auto"/>
        </w:rPr>
      </w:pPr>
    </w:p>
    <w:p>
      <w:pPr>
        <w:jc w:val="both"/>
        <w:ind w:right="140" w:firstLine="433"/>
        <w:spacing w:after="0" w:line="27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5" w:lineRule="exact"/>
        <w:rPr>
          <w:sz w:val="20"/>
          <w:szCs w:val="20"/>
          <w:color w:val="auto"/>
        </w:rPr>
      </w:pPr>
    </w:p>
    <w:p>
      <w:pPr>
        <w:ind w:left="640" w:right="80" w:hanging="320"/>
        <w:spacing w:after="0" w:line="300"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35" w:lineRule="exact"/>
        <w:rPr>
          <w:rFonts w:ascii="Arial" w:cs="Arial" w:eastAsia="Arial" w:hAnsi="Arial"/>
          <w:sz w:val="17"/>
          <w:szCs w:val="17"/>
          <w:color w:val="auto"/>
        </w:rPr>
      </w:pPr>
    </w:p>
    <w:p>
      <w:pPr>
        <w:ind w:left="640" w:right="520" w:hanging="320"/>
        <w:spacing w:after="0" w:line="300"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35" w:lineRule="exact"/>
        <w:rPr>
          <w:rFonts w:ascii="Arial" w:cs="Arial" w:eastAsia="Arial" w:hAnsi="Arial"/>
          <w:sz w:val="17"/>
          <w:szCs w:val="17"/>
          <w:color w:val="auto"/>
        </w:rPr>
      </w:pPr>
    </w:p>
    <w:p>
      <w:pPr>
        <w:ind w:left="640" w:right="140" w:hanging="320"/>
        <w:spacing w:after="0" w:line="300"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9"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55" w:lineRule="exact"/>
        <w:rPr>
          <w:rFonts w:ascii="Arial" w:cs="Arial" w:eastAsia="Arial" w:hAnsi="Arial"/>
          <w:sz w:val="17"/>
          <w:szCs w:val="17"/>
          <w:color w:val="auto"/>
        </w:rPr>
      </w:pPr>
    </w:p>
    <w:p>
      <w:pPr>
        <w:ind w:left="640" w:right="280" w:hanging="320"/>
        <w:spacing w:after="0" w:line="300"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35" w:lineRule="exact"/>
        <w:rPr>
          <w:rFonts w:ascii="Arial" w:cs="Arial" w:eastAsia="Arial" w:hAnsi="Arial"/>
          <w:sz w:val="17"/>
          <w:szCs w:val="17"/>
          <w:color w:val="auto"/>
        </w:rPr>
      </w:pPr>
    </w:p>
    <w:p>
      <w:pPr>
        <w:ind w:left="640" w:right="400" w:hanging="320"/>
        <w:spacing w:after="0" w:line="300"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36"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0"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3"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DGCL, our amended and restated certificate of incorporation or our bylaws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each case, as they may be amended from time to time) or (iv) any action asserting a claim that is governed by the internal affairs doctrine, in each case subject to the Court of Chancery having personal jurisdiction over the indispensable parties named as defendants therein; provided, however, that this exclusive forum provision will not apply to any causes of action arising under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specify that unless we consent in writing to the selection of an alternate forum, the federal district courts of the United States shall be the exclusive forum for the resolution of any complaint asserting a cause of action arising under the Securities Act. Any person or entity purchasing or otherwise acquiring any interest in shares of our common stock is deemed to have notice of and consented to the foregoing provisions. We recognize that the forum selection clause in our bylaws may impose additional litigation costs on stockholders in pursuing any such claims.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enforceability of similar choice of forum provisions in other companies’ governing documents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Strategy</w:t>
      </w:r>
    </w:p>
    <w:p>
      <w:pPr>
        <w:spacing w:after="0" w:line="121" w:lineRule="exact"/>
        <w:rPr>
          <w:sz w:val="20"/>
          <w:szCs w:val="20"/>
          <w:color w:val="auto"/>
        </w:rPr>
      </w:pPr>
    </w:p>
    <w:p>
      <w:pPr>
        <w:ind w:right="80" w:firstLine="433"/>
        <w:spacing w:after="0" w:line="300" w:lineRule="auto"/>
        <w:rPr>
          <w:sz w:val="20"/>
          <w:szCs w:val="20"/>
          <w:color w:val="auto"/>
        </w:rPr>
      </w:pPr>
      <w:r>
        <w:rPr>
          <w:rFonts w:ascii="Arial" w:cs="Arial" w:eastAsia="Arial" w:hAnsi="Arial"/>
          <w:sz w:val="17"/>
          <w:szCs w:val="17"/>
          <w:color w:val="auto"/>
        </w:rPr>
        <w:t>We have developed and implemented a cybersecurity risk management program intended to protect the confidentiality, integrity and availability of our critical systems and information. Our cybersecurity risk-management program includes a cybersecurity incident response plan.</w:t>
      </w:r>
    </w:p>
    <w:p>
      <w:pPr>
        <w:spacing w:after="0" w:line="141"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We design and assess our program based on the National Institute of Standards and Technology Cybersecurity Framework, or NIST CSF, also integrating security best practices typically used to support the Health Insurance Portability and Accountability Act, or HIPAA, and General Data Protection Regulation, or GDPR, implementations. We use the NIST CSF and such security best practices as a guide to help us monitor, identify, assess and manage cybersecurity risks relevant to our business; however, this does not imply that we meet any particular technical standards, specifications or compliance requirements.</w:t>
      </w:r>
    </w:p>
    <w:p>
      <w:pPr>
        <w:spacing w:after="0" w:line="167" w:lineRule="exact"/>
        <w:rPr>
          <w:sz w:val="20"/>
          <w:szCs w:val="20"/>
          <w:color w:val="auto"/>
        </w:rPr>
      </w:pPr>
    </w:p>
    <w:p>
      <w:pPr>
        <w:ind w:right="520" w:firstLine="433"/>
        <w:spacing w:after="0" w:line="278" w:lineRule="auto"/>
        <w:rPr>
          <w:sz w:val="20"/>
          <w:szCs w:val="20"/>
          <w:color w:val="auto"/>
        </w:rPr>
      </w:pPr>
      <w:r>
        <w:rPr>
          <w:rFonts w:ascii="Arial" w:cs="Arial" w:eastAsia="Arial" w:hAnsi="Arial"/>
          <w:sz w:val="17"/>
          <w:szCs w:val="17"/>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Key elements of our cybersecurity risk management program include but are not limited to:</w:t>
      </w:r>
    </w:p>
    <w:p>
      <w:pPr>
        <w:spacing w:after="0" w:line="172" w:lineRule="exact"/>
        <w:rPr>
          <w:sz w:val="20"/>
          <w:szCs w:val="20"/>
          <w:color w:val="auto"/>
        </w:rPr>
      </w:pPr>
    </w:p>
    <w:p>
      <w:pPr>
        <w:ind w:left="620" w:hanging="300"/>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risk assessments designed to help identify material risks from cybersecurity threats to our critical systems and information;</w:t>
      </w:r>
    </w:p>
    <w:p>
      <w:pPr>
        <w:spacing w:after="0" w:line="171" w:lineRule="exact"/>
        <w:rPr>
          <w:rFonts w:ascii="Arial" w:cs="Arial" w:eastAsia="Arial" w:hAnsi="Arial"/>
          <w:sz w:val="17"/>
          <w:szCs w:val="17"/>
          <w:color w:val="auto"/>
        </w:rPr>
      </w:pPr>
    </w:p>
    <w:p>
      <w:pPr>
        <w:ind w:left="640" w:right="620" w:hanging="320"/>
        <w:spacing w:after="0" w:line="300"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adoption of various cybersecurity software, including but not limited to cloud-based malware, ransomware and antivirus software, phishing monitoring and artificial intelligence-based anomaly detection;</w:t>
      </w:r>
    </w:p>
    <w:p>
      <w:pPr>
        <w:spacing w:after="0" w:line="88"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security team principally responsible for managing (1) our cybersecurity risk-assessment processes, (2) our security controls, and (3) our response to cybersecurity incidents;</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use of external service providers, where appropriate, to assess, test or otherwise assist with aspects of our security processes;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cybersecurity awareness training of our employees, incident response personnel and senior management;</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cybersecurity incident response plan that includes procedures for responding to cybersecurity incidents;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security audits and a third-party risk assessment process for key service providers, suppliers and vendors.</w:t>
      </w:r>
    </w:p>
    <w:p>
      <w:pPr>
        <w:spacing w:after="0" w:line="224"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Factor—Risks Related to Data Privacy and Cybersecurity—Cyberattacks or other failures in our telecommunications or information technology, or IT,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21"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Our Board of Directors considers cybersecurity risk as part of its risk oversight function and has delegated to the Audit Committee oversight of cybersecurity and risks, including oversight of management’s implementation of our cybersecurity risk management program. The Audit Committee receives periodic reports from management on our cybersecurity risks. In addition, management updates the Audit Committee, when it deems appropriate, regarding cybersecurity incidents it considers to be significant or potentially significant. The Audit Committee reports to the full Board regarding its activities, including those related to cybersecurity.</w:t>
      </w:r>
    </w:p>
    <w:p>
      <w:pPr>
        <w:spacing w:after="0" w:line="167"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We have an internal cybersecurity team, reporting to our Chief Financial Officer, who is responsible for (i) managing our overall cybersecurity risk-management program; (ii) assessing and managing our risks from cybersecurity threats; and (iii) overseeing retained cybersecurity consultants and providers for additional external expertise. This internal team is led by our Vice President of Information Technology, who has over 20 years of experience managing cybersecurity, systems architecture and complex data operations for biotechnology and pharmaceutical companies. Additional team members have between 12 to 15 years of experience each in cybersecurity, IT management and cloud architecture. The internal team works closely with external network operations and cybersecurity teams who provide 24/7 network operations and cybersecurity review and response capabilities.</w:t>
      </w:r>
    </w:p>
    <w:p>
      <w:pPr>
        <w:spacing w:after="0" w:line="173"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We have an Executive Compliance Committee consisting of executive officers and members from senior management across the regulatory, quality, legal, finance and people operations functions that takes steps to stay informed about and monitor efforts to prevent, detect, mitigate and remediate cybersecurity risks and incidents through various means, which includes updates from our internal cybersecurity team, as relevant; review of any threat intelligence and other information obtained from governmental, public or private sources, including external consultants engaged by us; and alerts and reports produced by security tools deployed in the IT environment.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21" w:lineRule="exact"/>
        <w:rPr>
          <w:sz w:val="20"/>
          <w:szCs w:val="20"/>
          <w:color w:val="auto"/>
        </w:rPr>
      </w:pPr>
    </w:p>
    <w:p>
      <w:pPr>
        <w:jc w:val="both"/>
        <w:ind w:right="20" w:firstLine="433"/>
        <w:spacing w:after="0" w:line="278" w:lineRule="auto"/>
        <w:rPr>
          <w:sz w:val="20"/>
          <w:szCs w:val="20"/>
          <w:color w:val="auto"/>
        </w:rPr>
      </w:pPr>
      <w:r>
        <w:rPr>
          <w:rFonts w:ascii="Arial" w:cs="Arial" w:eastAsia="Arial" w:hAnsi="Arial"/>
          <w:sz w:val="17"/>
          <w:szCs w:val="17"/>
          <w:color w:val="auto"/>
        </w:rPr>
        <w:t>We sublease a facility containing 25,445 square feet of office space, which is located at 99 High Street, Boston, Massachusetts 02110. Our sublease expires on January 31, 2026. We believe that our current facility is sufficient to meet our current and near-term needs and that, should it be needed, suitable additional space will be available.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1"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We are not currently a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PART II</w:t>
      </w:r>
    </w:p>
    <w:p>
      <w:pPr>
        <w:spacing w:after="0" w:line="329" w:lineRule="exact"/>
        <w:rPr>
          <w:sz w:val="20"/>
          <w:szCs w:val="20"/>
          <w:color w:val="auto"/>
        </w:rPr>
      </w:pPr>
    </w:p>
    <w:p>
      <w:pPr>
        <w:ind w:right="1220"/>
        <w:spacing w:after="0" w:line="452" w:lineRule="auto"/>
        <w:rPr>
          <w:sz w:val="20"/>
          <w:szCs w:val="20"/>
          <w:color w:val="auto"/>
        </w:rPr>
      </w:pPr>
      <w:r>
        <w:rPr>
          <w:rFonts w:ascii="Arial" w:cs="Arial" w:eastAsia="Arial" w:hAnsi="Arial"/>
          <w:sz w:val="17"/>
          <w:szCs w:val="17"/>
          <w:b w:val="1"/>
          <w:bCs w:val="1"/>
          <w:color w:val="auto"/>
        </w:rPr>
        <w:t xml:space="preserve">Item 5. Market for Registrant's Common Equity, Related Stockholder Matters and Issuer Purchases of Equity Securities </w:t>
      </w:r>
      <w:r>
        <w:rPr>
          <w:rFonts w:ascii="Arial" w:cs="Arial" w:eastAsia="Arial" w:hAnsi="Arial"/>
          <w:sz w:val="17"/>
          <w:szCs w:val="17"/>
          <w:b w:val="1"/>
          <w:bCs w:val="1"/>
          <w:i w:val="1"/>
          <w:iCs w:val="1"/>
          <w:color w:val="auto"/>
        </w:rPr>
        <w:t>Certain Information Regarding the Trading of Our Common Stock</w:t>
      </w:r>
    </w:p>
    <w:p>
      <w:pPr>
        <w:ind w:left="440"/>
        <w:spacing w:after="0"/>
        <w:rPr>
          <w:sz w:val="20"/>
          <w:szCs w:val="20"/>
          <w:color w:val="auto"/>
        </w:rPr>
      </w:pPr>
      <w:r>
        <w:rPr>
          <w:rFonts w:ascii="Arial" w:cs="Arial" w:eastAsia="Arial" w:hAnsi="Arial"/>
          <w:sz w:val="17"/>
          <w:szCs w:val="17"/>
          <w:color w:val="auto"/>
        </w:rPr>
        <w:t>Our common stock trades under the symbol “PRAX” on the Nasdaq Global Select Market.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Our Common Stock</w:t>
      </w:r>
    </w:p>
    <w:p>
      <w:pPr>
        <w:spacing w:after="0" w:line="119"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As of February 26, 2025, there were approximately two holders of record of shares of our common stock. The actual number of stockholders is greater than this number of record holders, and includes stockholders who are beneficial owners, but whose shares are held in street name by brokers and other nominees.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119"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did not make any sales of unregistered securities during the three months ended December 31, 2024.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were no repurchases of shares of common stock made during the three months ended December 31, 2024.</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1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financing needs,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As noted in our Company Overview in Part I of this report, 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16" w:lineRule="exact"/>
        <w:rPr>
          <w:sz w:val="20"/>
          <w:szCs w:val="20"/>
          <w:color w:val="auto"/>
        </w:rPr>
      </w:pPr>
    </w:p>
    <w:p>
      <w:pPr>
        <w:ind w:left="640" w:right="440" w:hanging="320"/>
        <w:spacing w:after="0" w:line="300"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Cerebrum</w:t>
      </w:r>
      <w:r>
        <w:rPr>
          <w:rFonts w:ascii="Arial" w:cs="Arial" w:eastAsia="Arial" w:hAnsi="Arial"/>
          <w:sz w:val="17"/>
          <w:szCs w:val="17"/>
          <w:color w:val="auto"/>
        </w:rPr>
        <w:t>™, our small molecule platform, utilizes deep understanding of neuronal excitability and neuronal networks and applies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of computational and experimental tools to develop orally available precision therapies</w:t>
      </w:r>
    </w:p>
    <w:p>
      <w:pPr>
        <w:spacing w:after="0" w:line="88" w:lineRule="exact"/>
        <w:rPr>
          <w:rFonts w:ascii="Arial" w:cs="Arial" w:eastAsia="Arial" w:hAnsi="Arial"/>
          <w:sz w:val="17"/>
          <w:szCs w:val="17"/>
          <w:color w:val="auto"/>
        </w:rPr>
      </w:pPr>
    </w:p>
    <w:p>
      <w:pPr>
        <w:ind w:left="640" w:right="500" w:hanging="320"/>
        <w:spacing w:after="0" w:line="300"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Solidus</w:t>
      </w:r>
      <w:r>
        <w:rPr>
          <w:rFonts w:ascii="Arial" w:cs="Arial" w:eastAsia="Arial" w:hAnsi="Arial"/>
          <w:sz w:val="17"/>
          <w:szCs w:val="17"/>
          <w:color w:val="auto"/>
        </w:rPr>
        <w:t>™, our antisense oligonucleotide, or ASO, platform, is an efficient, targeted precision medicine discovery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 anchored on a proprietary, computational methodology</w:t>
      </w:r>
    </w:p>
    <w:p>
      <w:pPr>
        <w:spacing w:after="0" w:line="141"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166"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For our most advanced product candidate under the Cerebrum™ platform, ulixacaltamide, our Phase 3 Essential3 clinical trials in essential tremor, or ET, are ongoing. A pre-planned interim analysis of Study 1 was conducted in the first quarter of 2025. The Independent Data Monitoring Committee, or IDMC, overseeing the interim analysis of Study 1 of the Essential3 program has provided Praxis with the outcome of such analysis. Based on the predefined decision framework for Study 1, the IDMC has recommended that the study be stopped for futility, due to the results being unlikely to meet the primary efficacy endpoint under the parameters set by the statistical model. The committee also indicated that some underlying assumptions of the statistical model might have influenced this outcome and encouraged us to explore alternative analysis methods. Given the advanced state of enrollment for both Study 1 and Study 2 in the Essential3 program, and in the context of the advice received by the IDMC, we have decided to continue both studies to completion, with topline results expected in the third quarter of 2025. The decision about whether the data supports the submission of an NDA will be made after analyzing the final results for Study 1 and Study 2.</w:t>
      </w:r>
    </w:p>
    <w:p>
      <w:pPr>
        <w:spacing w:after="0" w:line="178"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Within our vormatrigine program (formerly known as PRAX-628), we announced positive results from our Photo-Paroxysmal Response ("PPR") study in the first quarter of 2024, and have initiated or plan to initiate four studies to generate patient eligibility, efficacy, safety and pharmacokinetics (PK) data for the program. We initiated the EMPOWER study, an observational study of vormatrigine in patients with epilepsy, in the third quarter of 2024, and initiated or plan to initiate three efficacy studies. The first efficacy study, RADIANT, is an open label eight-week study in patients with focal onset seizures or generalized epilepsy that is currently enrolling, with topline results expected by mid-year 2025. We have also initiated the POWER1 study, a double-blind, placebo-controlled, 12-week study in focal onset seizures, with topline results expected in the second half of 2025, and plan to begin enrollment in the POWER2 study, a third efficacy study, in the second half of 2025. Within our relutrigine program (formerly known as PRAX-562), we announced positive topline results from the first cohort of our EMBOLD study in the third quarter of 2024 and have initiated enrollment of the second cohort, with topline results expected in the first half of 2026. We also plan to initiate the EMERALD study in a broader developmental and epileptic encephalopathies, or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DEE, patient population by mid-year 2025. For our most advanced product candidate under the Solidus™ platform, elsunersen (formerly known as PRAX-222), we shared results from Part 1 of the EMBRAVE study in the fourth quarter of 2023. We are currently enrolling the second cohort of the EMBRAVE study in Brazil, with topline results expected in the first half of 2026, and plan to initiate EMBRAVE3, a Phase 3 registrational study, by mid-year 2025. For further details on our business, refer to the Business section of Part I of this report.</w:t>
      </w:r>
    </w:p>
    <w:p>
      <w:pPr>
        <w:spacing w:after="0" w:line="166"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6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net losses of $182.8 million and $123.3 million for the years ended December 31, 2024 and 2023, respectively. As of December 31, 2024, we had an accumulated deficit of $836.7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25" w:lineRule="exact"/>
        <w:rPr>
          <w:sz w:val="20"/>
          <w:szCs w:val="20"/>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advance our lead product candidate, ulixacaltamide, through completion of the Phase 3 Essential3 clinical trial program for ET;</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advance relutrigine (formally PRAX-562) in the EMBOLD and EMERALD clinical trials;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advance vormatrigine (formerly PRAX-628) in efficacy clinical trials for focal onset seizures or generalized epilepsy;</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advance elsunersen (formerly PRAX-222) into the pivotal stage of the program;</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advance our preclinical candidates to clinical trials;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further invest in our pipeline;</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further invest in our manufacturing capabilities;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seek regulatory approval for our product candidates;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maintain, expand, protect and defend our IP portfolio;</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acquire or in-license technology;</w:t>
      </w:r>
    </w:p>
    <w:p>
      <w:pPr>
        <w:spacing w:after="0" w:line="171" w:lineRule="exact"/>
        <w:rPr>
          <w:rFonts w:ascii="Arial" w:cs="Arial" w:eastAsia="Arial" w:hAnsi="Arial"/>
          <w:sz w:val="17"/>
          <w:szCs w:val="17"/>
          <w:color w:val="auto"/>
        </w:rPr>
      </w:pPr>
    </w:p>
    <w:p>
      <w:pPr>
        <w:ind w:left="800" w:right="60" w:hanging="323"/>
        <w:spacing w:after="0" w:line="300" w:lineRule="auto"/>
        <w:tabs>
          <w:tab w:leader="none" w:pos="7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 and</w:t>
      </w:r>
    </w:p>
    <w:p>
      <w:pPr>
        <w:spacing w:after="0" w:line="88" w:lineRule="exact"/>
        <w:rPr>
          <w:rFonts w:ascii="Arial" w:cs="Arial" w:eastAsia="Arial" w:hAnsi="Arial"/>
          <w:sz w:val="17"/>
          <w:szCs w:val="17"/>
          <w:color w:val="auto"/>
        </w:rPr>
      </w:pPr>
    </w:p>
    <w:p>
      <w:pPr>
        <w:ind w:left="780" w:hanging="303"/>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when needed, increase our headcount to support our development efforts and any future commercialization efforts.</w:t>
      </w:r>
    </w:p>
    <w:p>
      <w:pPr>
        <w:spacing w:after="0" w:line="224"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80" w:firstLine="433"/>
        <w:spacing w:after="0" w:line="271"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66"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In November 2021, we entered into an Open Market Sale Agreement, or the 2021 Sales Agreement, with Jefferies LLC, or Jefferies, to provide for the offering, issuance and sale of up to an aggregate amount of $125.0 million of common stock from time to time in at-the-market offerings for which Jefferies acted as sales agent. We terminated the 2021 Sales Agreement in June 2023. During the year ended December 31, 2023, we issued and sold an aggregate of 952,794 shares under the 2021 Sales Agreement for aggregate net proceeds of $24.1 million, after deducting commissions and offering expenses payable by us.</w:t>
      </w:r>
    </w:p>
    <w:p>
      <w:pPr>
        <w:spacing w:after="0" w:line="167"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In June 2023, we completed a public offering of: (i) an aggregate of 4,296,646 shares of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The purchase price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us. As of December 31, 2024, all warrants associated with this offering were exercised on a cashless basis with no proceeds received by us.</w:t>
      </w:r>
    </w:p>
    <w:p>
      <w:pPr>
        <w:spacing w:after="0" w:line="17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December 2023, we entered into an Open Market Sale Agreement, or the 2023 Sales Agreement, with Jefferies, to provide for the offering, issuance and sale of up to an aggregate amount of $75.0 million of common stock from time to time in at-the-market offerings. The 2023 Sales Agreement was terminated in January 2024. During the year ended December 31, 2024, we issued and sold an aggregate of 192,190 shares under the 2023 Sales Agreement for aggregate net proceeds of $5.3 million, after deducting commissions and offering expenses payable by us. During the year ended December 31, 2023, we issued and sold an aggregate of 212,453 shares under the 2023 Sales Agreement for aggregate net proceeds of $4.0 million, after deducting commissions and offering expenses payable by us.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January 2024, we completed a public offering of: (i) an aggregate of 3,802,025 shares of our common stock at a public offering price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$35.50 per share, including the underwriters' full exercise of their option to purchase 633,750 additional shares of common stock, and (ii) pre-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funded warrants to purchase 1,056,725 shares of common stock at a public offering price of $35.4999 per share of common stock underlying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warrants. The purchase price per share for each pre-funded warrant represents the per share offering price for the common stock, less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$0.0001 per share exercise price of each underlying share. Total net proceeds generated from the offering were approximately $161.6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after deducting underwriting discounts, commissions and other offering expenses payable by us. As of December 31, 2024, 152,145 warrants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this offering were exercised on a cashless basis with no cash proceeds received by us.</w:t>
      </w:r>
    </w:p>
    <w:p>
      <w:pPr>
        <w:spacing w:after="0" w:line="208"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In March 2024, we entered into an Open Market Sale Agreement, or the March 2024 Sales Agreement, with Jefferies, to provide for the offering, issuance, and sale of up to an aggregate amount of $150.0 million of common stock from time to time in at-the-market offerings. During the year ended December 31, 2024, we issued and sold an aggregate of 1,614,975 shares under the March 2024 Sales Agreement for aggregate net proceeds of $113.1 million, after deducting commissions and offering expenses payable by us.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April 2024, we completed a public offering of: (i) an aggregate of 3,849,558 shares of our common stock at a public offering price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$56.50 per share, including the underwriters' full exercise of their option to purchase 530,973 additional shares of common stock, and (ii) pre-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funded warrants to purchase 221,238 shares of common stock at a public offering price of $56.4999 per share of common stock underlying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warrants. The purchase price per share for each pre-funded warrant represents the per share offering price for the common stock, less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$0.0001 per share exercise price of each underlying share. Total net proceeds generated from the offering were approximately $216.0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after deducting underwriting discounts, commissions and other offering expenses payable by us.</w:t>
      </w:r>
    </w:p>
    <w:p>
      <w:pPr>
        <w:spacing w:after="0" w:line="208" w:lineRule="exact"/>
        <w:rPr>
          <w:sz w:val="20"/>
          <w:szCs w:val="20"/>
          <w:color w:val="auto"/>
        </w:rPr>
      </w:pPr>
    </w:p>
    <w:p>
      <w:pPr>
        <w:ind w:right="40" w:firstLine="433"/>
        <w:spacing w:after="0" w:line="278" w:lineRule="auto"/>
        <w:rPr>
          <w:sz w:val="20"/>
          <w:szCs w:val="20"/>
          <w:color w:val="auto"/>
        </w:rPr>
      </w:pPr>
      <w:r>
        <w:rPr>
          <w:rFonts w:ascii="Arial" w:cs="Arial" w:eastAsia="Arial" w:hAnsi="Arial"/>
          <w:sz w:val="17"/>
          <w:szCs w:val="17"/>
          <w:color w:val="auto"/>
        </w:rPr>
        <w:t>In December 2024, we entered into an amendment to the March 2024 Sales Agreement with Jefferies, to provide for the offering, issuance, and sale of up to an aggregate amount of $250.0 million of common stock from time to time in at-the-market offerings. During the year ended December 31, 2024, we issued and sold an aggregate</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of 16,487 shares under the amended March 2024 Sales Agreement for aggregate net proceeds of $1.0 million, after deducting commissions and offering expenses payable by us.</w:t>
      </w:r>
    </w:p>
    <w:p>
      <w:pPr>
        <w:spacing w:after="0" w:line="141"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As of December 31, 2024, we had cash, cash equivalents and marketable securities of $469.5 million. We expect that our cash, cash equivalents, and marketable securities as of December 31, 2024 will be sufficient to fund our operating expenditures and capital expenditure requirements necessary to advance our research efforts and clinical trials into 2028. The analysis included consideration of our current financial needs and ongoing research and development plans. We have based this estimate on assumptions that may provide to be wrong, and we could exhaust our available capital resources sooner than we expect. See “—Liquidity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19"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On November 28, 2023, we filed a Certificate of Amendment to our Amended and Restated Certificate of Incorporation with the Secretary of State of the State of Delaware to effect a 1-for-15 reverse stock split of our common stock, or the Reverse Stock Split. The Reverse Stock Split became effective at 5:00 p.m., Eastern Time, on November 28, 2023, or the Effective Time.</w:t>
      </w:r>
    </w:p>
    <w:p>
      <w:pPr>
        <w:spacing w:after="0" w:line="160"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As a result of the Reverse Stock Split, every 15 shares of our issued and outstanding common stock were automatically reclassified into one validly issued, fully-paid and non-assessable share of common stock, subject to the treatment of fractional shares as described below, without any action on the part of the holders thereof. The Reverse Stock Split did not affect the number of authorized shares of common stock or the par value of the common stock.</w:t>
      </w:r>
    </w:p>
    <w:p>
      <w:pPr>
        <w:spacing w:after="0" w:line="166"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No fractional shares were issued in connection with the Reverse Stock Split. Stockholders who would otherwise be entitled to receive fractional shares as a result of the Reverse Stock Split were entitled to a cash payment in lieu thereof at a price equal to the fraction to which the stockholder would otherwise be entitled multiplied by the closing price per share of the common stock (as adjusted for the Reverse Stock Split) on the Nasdaq Global Select Market on November 28, 2023, the last trading day immediately preceding the Effective Time.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ind w:right="160" w:firstLine="433"/>
        <w:spacing w:after="0" w:line="267" w:lineRule="auto"/>
        <w:rPr>
          <w:sz w:val="20"/>
          <w:szCs w:val="20"/>
          <w:color w:val="auto"/>
        </w:rPr>
      </w:pPr>
      <w:r>
        <w:rPr>
          <w:rFonts w:ascii="Arial" w:cs="Arial" w:eastAsia="Arial" w:hAnsi="Arial"/>
          <w:sz w:val="17"/>
          <w:szCs w:val="17"/>
          <w:color w:val="auto"/>
        </w:rPr>
        <w:t>We have not generated any revenue from the sale of products since inception and do not expect to generate any revenue from the sale of products for several years, if at all. As discussed in Note 9 to our audited consolidated financial statements, we entered into an Option and License Agreement, or the Collaboration Agreement, with UCB Biopharma SRL, or UCB, in December 2022. We recognized $8.6 million and $2.4 million, respectively, of collaboration revenue from the Collaboration Agreement during the years ended December 31, 2024 and 2023. In December 2024, UCB exercised its option to in-license global development and commercialization rights under the terms of the Collaboration Agreement.</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9"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The nature of our business and primary focus of our activities generate a significant amount of research and development costs. Research and development expenses represent costs incurred by us for the following:</w:t>
      </w:r>
    </w:p>
    <w:p>
      <w:pPr>
        <w:spacing w:after="0" w:line="88" w:lineRule="exact"/>
        <w:rPr>
          <w:sz w:val="20"/>
          <w:szCs w:val="20"/>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costs to develop our portfolio;</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discovery efforts leading to development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clinical development costs for our product candidates; and</w:t>
      </w:r>
    </w:p>
    <w:p>
      <w:pPr>
        <w:spacing w:after="0" w:line="171" w:lineRule="exact"/>
        <w:rPr>
          <w:rFonts w:ascii="Arial" w:cs="Arial" w:eastAsia="Arial" w:hAnsi="Arial"/>
          <w:sz w:val="17"/>
          <w:szCs w:val="17"/>
          <w:color w:val="auto"/>
        </w:rPr>
      </w:pPr>
    </w:p>
    <w:p>
      <w:pPr>
        <w:ind w:left="440" w:right="5540" w:hanging="120"/>
        <w:spacing w:after="0" w:line="450" w:lineRule="auto"/>
        <w:tabs>
          <w:tab w:leader="none" w:pos="632"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costs to develop our manufacturing technology and infrastructure. The costs above comprise the following categories: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personnel-related expenses, including salaries, benefits and stock-based compensation expense;</w:t>
      </w:r>
    </w:p>
    <w:p>
      <w:pPr>
        <w:spacing w:after="0" w:line="171" w:lineRule="exact"/>
        <w:rPr>
          <w:rFonts w:ascii="Arial" w:cs="Arial" w:eastAsia="Arial" w:hAnsi="Arial"/>
          <w:sz w:val="17"/>
          <w:szCs w:val="17"/>
          <w:color w:val="auto"/>
        </w:rPr>
      </w:pPr>
    </w:p>
    <w:p>
      <w:pPr>
        <w:ind w:left="640" w:right="260" w:hanging="320"/>
        <w:spacing w:after="0" w:line="300"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such as consultants, investigative sites and CROs, that conduct our preclinical and clinical studies and in-licensing arrangements;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costs incurred to maintain compliance with regulatory requirements;</w:t>
      </w:r>
    </w:p>
    <w:p>
      <w:pPr>
        <w:spacing w:after="0" w:line="171"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costs incurred with third-party contract development and manufacturing organizations to acquire, develop and manufacture materials for preclinical and clinical studies; and</w:t>
      </w:r>
    </w:p>
    <w:p>
      <w:pPr>
        <w:spacing w:after="0" w:line="88" w:lineRule="exact"/>
        <w:rPr>
          <w:rFonts w:ascii="Arial" w:cs="Arial" w:eastAsia="Arial" w:hAnsi="Arial"/>
          <w:sz w:val="17"/>
          <w:szCs w:val="17"/>
          <w:color w:val="auto"/>
        </w:rPr>
      </w:pPr>
    </w:p>
    <w:p>
      <w:pPr>
        <w:ind w:left="640" w:right="700" w:hanging="320"/>
        <w:spacing w:after="0" w:line="300"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depreciation, amortization and other direct and allocated expenses, including rent and other operating costs, such as information technology, incurred as a result of our research and development activities.</w:t>
      </w:r>
    </w:p>
    <w:p>
      <w:pPr>
        <w:spacing w:after="0" w:line="141"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69" w:lineRule="exact"/>
        <w:rPr>
          <w:sz w:val="20"/>
          <w:szCs w:val="20"/>
          <w:color w:val="auto"/>
        </w:rPr>
      </w:pPr>
    </w:p>
    <w:p>
      <w:pPr>
        <w:ind w:right="400" w:firstLine="433"/>
        <w:spacing w:after="0" w:line="268" w:lineRule="auto"/>
        <w:rPr>
          <w:sz w:val="20"/>
          <w:szCs w:val="20"/>
          <w:color w:val="auto"/>
        </w:rPr>
      </w:pPr>
      <w:r>
        <w:rPr>
          <w:rFonts w:ascii="Arial" w:cs="Arial" w:eastAsia="Arial" w:hAnsi="Arial"/>
          <w:sz w:val="17"/>
          <w:szCs w:val="17"/>
          <w:color w:val="auto"/>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67" w:lineRule="exact"/>
        <w:rPr>
          <w:sz w:val="20"/>
          <w:szCs w:val="20"/>
          <w:color w:val="auto"/>
        </w:rPr>
      </w:pPr>
    </w:p>
    <w:p>
      <w:pPr>
        <w:ind w:right="380" w:firstLine="433"/>
        <w:spacing w:after="0" w:line="300" w:lineRule="auto"/>
        <w:rPr>
          <w:sz w:val="20"/>
          <w:szCs w:val="20"/>
          <w:color w:val="auto"/>
        </w:rPr>
      </w:pPr>
      <w:r>
        <w:rPr>
          <w:rFonts w:ascii="Arial" w:cs="Arial" w:eastAsia="Arial" w:hAnsi="Arial"/>
          <w:sz w:val="17"/>
          <w:szCs w:val="17"/>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79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31,680</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19,009</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28,904</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7,173</w:t>
            </w: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86,766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67"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14" w:lineRule="exact"/>
        <w:rPr>
          <w:sz w:val="20"/>
          <w:szCs w:val="20"/>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add and retain key research and development personnel;</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timing and progress of preclinical and clinical development activities;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number and scope of preclinical and clinical programs we decide to pursue;</w:t>
      </w:r>
    </w:p>
    <w:p>
      <w:pPr>
        <w:spacing w:after="0" w:line="171" w:lineRule="exact"/>
        <w:rPr>
          <w:rFonts w:ascii="Arial" w:cs="Arial" w:eastAsia="Arial" w:hAnsi="Arial"/>
          <w:sz w:val="17"/>
          <w:szCs w:val="17"/>
          <w:color w:val="auto"/>
        </w:rPr>
      </w:pPr>
    </w:p>
    <w:p>
      <w:pPr>
        <w:ind w:left="640" w:right="600" w:hanging="320"/>
        <w:spacing w:after="0" w:line="300" w:lineRule="auto"/>
        <w:tabs>
          <w:tab w:leader="none" w:pos="6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successfully complete clinical trials with safety, tolerability and efficacy profiles that are satisfactory to the FDA or any comparable foreign regulatory authority;</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successfully develop, obtain regulatory approval for, and then successfully commercialize, our product candidates;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successful enrollment in and completion of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associated with the development of any additional product candidates we identify in-house or acquire through collaborations;</w:t>
      </w:r>
    </w:p>
    <w:p>
      <w:pPr>
        <w:spacing w:after="0" w:line="171" w:lineRule="exact"/>
        <w:rPr>
          <w:rFonts w:ascii="Arial" w:cs="Arial" w:eastAsia="Arial" w:hAnsi="Arial"/>
          <w:sz w:val="17"/>
          <w:szCs w:val="17"/>
          <w:color w:val="auto"/>
        </w:rPr>
      </w:pPr>
    </w:p>
    <w:p>
      <w:pPr>
        <w:ind w:left="640" w:right="580" w:hanging="320"/>
        <w:spacing w:after="0" w:line="300" w:lineRule="auto"/>
        <w:tabs>
          <w:tab w:leader="none" w:pos="6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discover, develop and utilize biomarkers to demonstrate target engagement, pathway engagement and the impact on disease progression of our product candidates;</w:t>
      </w:r>
    </w:p>
    <w:p>
      <w:pPr>
        <w:spacing w:after="0" w:line="88" w:lineRule="exact"/>
        <w:rPr>
          <w:rFonts w:ascii="Arial" w:cs="Arial" w:eastAsia="Arial" w:hAnsi="Arial"/>
          <w:sz w:val="17"/>
          <w:szCs w:val="17"/>
          <w:color w:val="auto"/>
        </w:rPr>
      </w:pPr>
    </w:p>
    <w:p>
      <w:pPr>
        <w:ind w:left="640" w:right="340" w:hanging="320"/>
        <w:spacing w:after="0" w:line="300" w:lineRule="auto"/>
        <w:tabs>
          <w:tab w:leader="none" w:pos="6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establish and maintain agreements with third-party manufacturers for clinical supply for our clinical trials and commercial manufacturing, if our product candidates are approved;</w:t>
      </w:r>
    </w:p>
    <w:p>
      <w:pPr>
        <w:spacing w:after="0" w:line="88" w:lineRule="exact"/>
        <w:rPr>
          <w:rFonts w:ascii="Arial" w:cs="Arial" w:eastAsia="Arial" w:hAnsi="Arial"/>
          <w:sz w:val="17"/>
          <w:szCs w:val="17"/>
          <w:color w:val="auto"/>
        </w:rPr>
      </w:pPr>
    </w:p>
    <w:p>
      <w:pPr>
        <w:ind w:left="640" w:right="580" w:hanging="320"/>
        <w:spacing w:after="0" w:line="300" w:lineRule="auto"/>
        <w:tabs>
          <w:tab w:leader="none" w:pos="6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terms and timing of any collaboration, license or other arrangement, including the terms and timing of any milestone payments thereunder;</w:t>
      </w:r>
    </w:p>
    <w:p>
      <w:pPr>
        <w:spacing w:after="0" w:line="88" w:lineRule="exact"/>
        <w:rPr>
          <w:rFonts w:ascii="Arial" w:cs="Arial" w:eastAsia="Arial" w:hAnsi="Arial"/>
          <w:sz w:val="17"/>
          <w:szCs w:val="17"/>
          <w:color w:val="auto"/>
        </w:rPr>
      </w:pPr>
    </w:p>
    <w:p>
      <w:pPr>
        <w:ind w:left="640" w:right="440" w:hanging="320"/>
        <w:spacing w:after="0" w:line="300" w:lineRule="auto"/>
        <w:tabs>
          <w:tab w:leader="none" w:pos="6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obtain and maintain patent, trade secret and other IP protection and regulatory exclusivity for our product candidates, if approved;</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receipt of marketing approvals from applicable regulatory authorities;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commercialize products, if approved, whether alone or in collaboration with others;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continued acceptable safety profiles of our product candidates.</w:t>
      </w:r>
    </w:p>
    <w:p>
      <w:pPr>
        <w:spacing w:after="0" w:line="224" w:lineRule="exact"/>
        <w:rPr>
          <w:sz w:val="20"/>
          <w:szCs w:val="20"/>
          <w:color w:val="auto"/>
        </w:rPr>
      </w:pPr>
    </w:p>
    <w:p>
      <w:pPr>
        <w:ind w:right="200" w:firstLine="433"/>
        <w:spacing w:after="0" w:line="266" w:lineRule="auto"/>
        <w:rPr>
          <w:sz w:val="20"/>
          <w:szCs w:val="20"/>
          <w:color w:val="auto"/>
        </w:rPr>
      </w:pPr>
      <w:r>
        <w:rPr>
          <w:rFonts w:ascii="Arial" w:cs="Arial" w:eastAsia="Arial" w:hAnsi="Arial"/>
          <w:sz w:val="17"/>
          <w:szCs w:val="17"/>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383"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19"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Other income, net consists of interest income from our cash, cash equivalents and marketable securities and amortization of investment premiums and discounts.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Since our inception, we have not recorded any U.S. federal or state income tax benefits for the net losses we have incurred in each year or for our earned research and development tax credits due to our uncertainty of realizing a benefit from those items. As of December 31, 2024 and 2023, we had U.S. federal and state net operating loss carryforwards which may be available to offset future taxable income and which begin to expire in 2035. As of December 31, 2024 and 2023, we also had federal and state research and development tax credit carryforwards which may be available to offset future income tax liabilities and which begin to expire in 2032.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433"/>
        <w:spacing w:after="0" w:line="278" w:lineRule="auto"/>
        <w:rPr>
          <w:sz w:val="20"/>
          <w:szCs w:val="20"/>
          <w:color w:val="auto"/>
        </w:rPr>
      </w:pPr>
      <w:r>
        <w:rPr>
          <w:rFonts w:ascii="Arial" w:cs="Arial" w:eastAsia="Arial" w:hAnsi="Arial"/>
          <w:sz w:val="17"/>
          <w:szCs w:val="17"/>
          <w:color w:val="auto"/>
        </w:rPr>
        <w:t>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years ended December 31, 2024 and 2023.</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2024 and 2023</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consolidated statements of operations for each period presented (in thousands):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160" w:type="dxa"/>
            <w:vAlign w:val="bottom"/>
          </w:tcPr>
          <w:p>
            <w:pPr>
              <w:jc w:val="right"/>
              <w:ind w:right="341"/>
              <w:spacing w:after="0"/>
              <w:rPr>
                <w:sz w:val="20"/>
                <w:szCs w:val="20"/>
                <w:color w:val="auto"/>
              </w:rPr>
            </w:pPr>
            <w:r>
              <w:rPr>
                <w:rFonts w:ascii="Arial" w:cs="Arial" w:eastAsia="Arial" w:hAnsi="Arial"/>
                <w:sz w:val="16"/>
                <w:szCs w:val="16"/>
                <w:b w:val="1"/>
                <w:bCs w:val="1"/>
                <w:color w:val="auto"/>
              </w:rPr>
              <w:t>Change</w:t>
            </w:r>
          </w:p>
        </w:tc>
      </w:tr>
      <w:tr>
        <w:trPr>
          <w:trHeight w:val="203"/>
        </w:trPr>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86,766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65,647</w:t>
            </w:r>
          </w:p>
        </w:tc>
      </w:tr>
      <w:tr>
        <w:trPr>
          <w:trHeight w:val="209"/>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42,054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14,251</w:t>
            </w:r>
          </w:p>
        </w:tc>
      </w:tr>
      <w:tr>
        <w:trPr>
          <w:trHeight w:val="204"/>
        </w:trPr>
        <w:tc>
          <w:tcPr>
            <w:tcW w:w="6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208,718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128,820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79,898</w:t>
            </w:r>
          </w:p>
        </w:tc>
      </w:tr>
      <w:tr>
        <w:trPr>
          <w:trHeight w:val="202"/>
        </w:trPr>
        <w:tc>
          <w:tcPr>
            <w:tcW w:w="67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(200,165)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(126,373)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(73,792)</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9"/>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3,096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14,250</w:t>
            </w:r>
          </w:p>
        </w:tc>
      </w:tr>
      <w:tr>
        <w:trPr>
          <w:trHeight w:val="203"/>
        </w:trPr>
        <w:tc>
          <w:tcPr>
            <w:tcW w:w="6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income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3,096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r>
      <w:tr>
        <w:trPr>
          <w:trHeight w:val="204"/>
        </w:trPr>
        <w:tc>
          <w:tcPr>
            <w:tcW w:w="6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(182,819)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(123,277)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(59,542)</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Revenue</w:t>
      </w:r>
    </w:p>
    <w:p>
      <w:pPr>
        <w:spacing w:after="0" w:line="119" w:lineRule="exact"/>
        <w:rPr>
          <w:sz w:val="20"/>
          <w:szCs w:val="20"/>
          <w:color w:val="auto"/>
        </w:rPr>
      </w:pPr>
    </w:p>
    <w:p>
      <w:pPr>
        <w:ind w:right="60" w:firstLine="433"/>
        <w:spacing w:after="0" w:line="267" w:lineRule="auto"/>
        <w:rPr>
          <w:sz w:val="20"/>
          <w:szCs w:val="20"/>
          <w:color w:val="auto"/>
        </w:rPr>
      </w:pPr>
      <w:r>
        <w:rPr>
          <w:rFonts w:ascii="Arial" w:cs="Arial" w:eastAsia="Arial" w:hAnsi="Arial"/>
          <w:sz w:val="17"/>
          <w:szCs w:val="17"/>
          <w:color w:val="auto"/>
        </w:rPr>
        <w:t>The $6.1 million increase in collaboration revenue is associated with an increase in revenue recorded under the Collaboration Agreement with UCB that was executed in December 2022. In December 2024, UCB exercised its option to in-license global development and commercialization rights for a development candidate as part of the Collaboration Agreement. Upon notice of the exercise, we recognized a $6.0 million option exercise fee, and also recognized the remaining $2.6 million of collaboration revenue associated with the $5.0 million up front payment earned upon execution of the Collaboration Agreement. We have no further research service obligations under the terms of the Collaboration Agreement.</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119" w:lineRule="exact"/>
        <w:rPr>
          <w:sz w:val="20"/>
          <w:szCs w:val="20"/>
          <w:color w:val="auto"/>
        </w:rPr>
      </w:pPr>
    </w:p>
    <w:p>
      <w:pPr>
        <w:ind w:right="60" w:firstLine="433"/>
        <w:spacing w:after="0" w:line="300" w:lineRule="auto"/>
        <w:rPr>
          <w:sz w:val="20"/>
          <w:szCs w:val="20"/>
          <w:color w:val="auto"/>
        </w:rPr>
      </w:pPr>
      <w:r>
        <w:rPr>
          <w:rFonts w:ascii="Arial" w:cs="Arial" w:eastAsia="Arial" w:hAnsi="Arial"/>
          <w:sz w:val="17"/>
          <w:szCs w:val="17"/>
          <w:color w:val="auto"/>
        </w:rPr>
        <w:t>The following table summarizes our research and development expenses for each period presented, along with the changes in those items (in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160" w:type="dxa"/>
            <w:vAlign w:val="bottom"/>
          </w:tcPr>
          <w:p>
            <w:pPr>
              <w:jc w:val="right"/>
              <w:ind w:right="341"/>
              <w:spacing w:after="0"/>
              <w:rPr>
                <w:sz w:val="20"/>
                <w:szCs w:val="20"/>
                <w:color w:val="auto"/>
              </w:rPr>
            </w:pPr>
            <w:r>
              <w:rPr>
                <w:rFonts w:ascii="Arial" w:cs="Arial" w:eastAsia="Arial" w:hAnsi="Arial"/>
                <w:sz w:val="16"/>
                <w:szCs w:val="16"/>
                <w:b w:val="1"/>
                <w:bCs w:val="1"/>
                <w:color w:val="auto"/>
              </w:rPr>
              <w:t>Change</w:t>
            </w:r>
          </w:p>
        </w:tc>
      </w:tr>
      <w:tr>
        <w:trPr>
          <w:trHeight w:val="203"/>
        </w:trPr>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31,680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61,911</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Solidus™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19,009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(13,271)</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14,503</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7,173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152,413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86,766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65,647</w:t>
            </w:r>
          </w:p>
        </w:tc>
      </w:tr>
    </w:tbl>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$65.6 million increase in research and development expenses was primarily attributable to the following:</w:t>
      </w:r>
    </w:p>
    <w:p>
      <w:pPr>
        <w:spacing w:after="0" w:line="172" w:lineRule="exact"/>
        <w:rPr>
          <w:sz w:val="20"/>
          <w:szCs w:val="20"/>
          <w:color w:val="auto"/>
        </w:rPr>
      </w:pPr>
    </w:p>
    <w:p>
      <w:pPr>
        <w:ind w:left="620" w:hanging="300"/>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$61.9 million increase in expense related to our Cerebrum™ platform, driven primarily by:</w:t>
      </w:r>
    </w:p>
    <w:p>
      <w:pPr>
        <w:spacing w:after="0" w:line="171" w:lineRule="exact"/>
        <w:rPr>
          <w:rFonts w:ascii="Arial" w:cs="Arial" w:eastAsia="Arial" w:hAnsi="Arial"/>
          <w:sz w:val="17"/>
          <w:szCs w:val="17"/>
          <w:color w:val="auto"/>
        </w:rPr>
      </w:pPr>
    </w:p>
    <w:p>
      <w:pPr>
        <w:ind w:left="1260" w:right="80" w:hanging="311"/>
        <w:spacing w:after="0" w:line="300" w:lineRule="auto"/>
        <w:tabs>
          <w:tab w:leader="none" w:pos="1256" w:val="left"/>
        </w:tabs>
        <w:numPr>
          <w:ilvl w:val="1"/>
          <w:numId w:val="56"/>
        </w:numPr>
        <w:rPr>
          <w:rFonts w:ascii="Arial" w:cs="Arial" w:eastAsia="Arial" w:hAnsi="Arial"/>
          <w:sz w:val="17"/>
          <w:szCs w:val="17"/>
          <w:color w:val="auto"/>
        </w:rPr>
      </w:pPr>
      <w:r>
        <w:rPr>
          <w:rFonts w:ascii="Arial" w:cs="Arial" w:eastAsia="Arial" w:hAnsi="Arial"/>
          <w:sz w:val="17"/>
          <w:szCs w:val="17"/>
          <w:color w:val="auto"/>
        </w:rPr>
        <w:t>$49.8 million increase in spend for our ulixacaltamide program, primarily due to Essential3 study spend and Phase 1 trial spend, partially offset by completion of the Essential1 study in the prior year;</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60" w:right="860" w:hanging="311"/>
        <w:spacing w:after="0" w:line="300" w:lineRule="auto"/>
        <w:tabs>
          <w:tab w:leader="none" w:pos="1256" w:val="left"/>
        </w:tabs>
        <w:numPr>
          <w:ilvl w:val="1"/>
          <w:numId w:val="57"/>
        </w:numPr>
        <w:rPr>
          <w:rFonts w:ascii="Arial" w:cs="Arial" w:eastAsia="Arial" w:hAnsi="Arial"/>
          <w:sz w:val="17"/>
          <w:szCs w:val="17"/>
          <w:color w:val="auto"/>
        </w:rPr>
      </w:pPr>
      <w:r>
        <w:rPr>
          <w:rFonts w:ascii="Arial" w:cs="Arial" w:eastAsia="Arial" w:hAnsi="Arial"/>
          <w:sz w:val="17"/>
          <w:szCs w:val="17"/>
          <w:color w:val="auto"/>
        </w:rPr>
        <w:t>$11.4 million increase in spend for our vormatrigine program, primarily driven by spend for our ENERGY program and manufacturing-related spend;</w:t>
      </w:r>
    </w:p>
    <w:p>
      <w:pPr>
        <w:spacing w:after="0" w:line="88" w:lineRule="exact"/>
        <w:rPr>
          <w:rFonts w:ascii="Arial" w:cs="Arial" w:eastAsia="Arial" w:hAnsi="Arial"/>
          <w:sz w:val="17"/>
          <w:szCs w:val="17"/>
          <w:color w:val="auto"/>
        </w:rPr>
      </w:pPr>
    </w:p>
    <w:p>
      <w:pPr>
        <w:ind w:left="1260" w:right="420" w:hanging="311"/>
        <w:spacing w:after="0" w:line="300" w:lineRule="auto"/>
        <w:tabs>
          <w:tab w:leader="none" w:pos="1256" w:val="left"/>
        </w:tabs>
        <w:numPr>
          <w:ilvl w:val="1"/>
          <w:numId w:val="57"/>
        </w:numPr>
        <w:rPr>
          <w:rFonts w:ascii="Arial" w:cs="Arial" w:eastAsia="Arial" w:hAnsi="Arial"/>
          <w:sz w:val="17"/>
          <w:szCs w:val="17"/>
          <w:color w:val="auto"/>
        </w:rPr>
      </w:pPr>
      <w:r>
        <w:rPr>
          <w:rFonts w:ascii="Arial" w:cs="Arial" w:eastAsia="Arial" w:hAnsi="Arial"/>
          <w:sz w:val="17"/>
          <w:szCs w:val="17"/>
          <w:color w:val="auto"/>
        </w:rPr>
        <w:t>$2.3 million increase in spend for our relutrigine program, primarily related to EMBOLD Phase 2 clinical trial spend; partially offset by</w:t>
      </w:r>
    </w:p>
    <w:p>
      <w:pPr>
        <w:spacing w:after="0" w:line="88" w:lineRule="exact"/>
        <w:rPr>
          <w:rFonts w:ascii="Arial" w:cs="Arial" w:eastAsia="Arial" w:hAnsi="Arial"/>
          <w:sz w:val="17"/>
          <w:szCs w:val="17"/>
          <w:color w:val="auto"/>
        </w:rPr>
      </w:pPr>
    </w:p>
    <w:p>
      <w:pPr>
        <w:ind w:left="1260" w:hanging="311"/>
        <w:spacing w:after="0"/>
        <w:tabs>
          <w:tab w:leader="none" w:pos="12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$1.6 million decrease in activities for our earlier stage assets;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$14.5 million increase in personnel-related costs mainly due to increased headcount and stock-based compensation expense;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$2.5 million increase in indirect expenses, primarily driven by increased consulting spend to support operations; partially offset by</w:t>
      </w:r>
    </w:p>
    <w:p>
      <w:pPr>
        <w:spacing w:after="0" w:line="171" w:lineRule="exact"/>
        <w:rPr>
          <w:rFonts w:ascii="Arial" w:cs="Arial" w:eastAsia="Arial" w:hAnsi="Arial"/>
          <w:sz w:val="17"/>
          <w:szCs w:val="17"/>
          <w:color w:val="auto"/>
        </w:rPr>
      </w:pPr>
    </w:p>
    <w:p>
      <w:pPr>
        <w:ind w:left="640" w:right="40" w:hanging="320"/>
        <w:spacing w:after="0" w:line="291" w:lineRule="auto"/>
        <w:tabs>
          <w:tab w:leader="none" w:pos="6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$13.3 million decrease in expense related to our Solidus™ platform, primarily related to our elsunersen program, driven by a $6.9 million milestone payment to Ionis Pharmaceuticals Inc. upon initiation of our EMBRAVE study in the prior year, as well as prior year study activity.</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$14.3 million increase in general and administrative expenses was primarily attributable to the following:</w:t>
      </w:r>
    </w:p>
    <w:p>
      <w:pPr>
        <w:spacing w:after="0" w:line="172" w:lineRule="exact"/>
        <w:rPr>
          <w:sz w:val="20"/>
          <w:szCs w:val="20"/>
          <w:color w:val="auto"/>
        </w:rPr>
      </w:pPr>
    </w:p>
    <w:p>
      <w:pPr>
        <w:ind w:left="620" w:hanging="300"/>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$11.7 million increase in personnel-related costs mainly due to increased stock-based compensation expense;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$1.7 million increase in professional fees;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$0.9 million increase in other general and administrative expenses, none of which were individually significant.</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9" w:lineRule="exact"/>
        <w:rPr>
          <w:sz w:val="20"/>
          <w:szCs w:val="20"/>
          <w:color w:val="auto"/>
        </w:rPr>
      </w:pPr>
    </w:p>
    <w:p>
      <w:pPr>
        <w:jc w:val="both"/>
        <w:ind w:right="320" w:firstLine="433"/>
        <w:spacing w:after="0" w:line="278" w:lineRule="auto"/>
        <w:rPr>
          <w:sz w:val="20"/>
          <w:szCs w:val="20"/>
          <w:color w:val="auto"/>
        </w:rPr>
      </w:pPr>
      <w:r>
        <w:rPr>
          <w:rFonts w:ascii="Arial" w:cs="Arial" w:eastAsia="Arial" w:hAnsi="Arial"/>
          <w:sz w:val="17"/>
          <w:szCs w:val="17"/>
          <w:color w:val="auto"/>
        </w:rPr>
        <w:t>Since our inception, we have incurred significant losses in each period. We have not yet commercialized any of our product candidates, which are in various phases of preclinical and clinical development, and we may not generate revenue from sales of any products for several years, if at all.</w:t>
      </w:r>
    </w:p>
    <w:p>
      <w:pPr>
        <w:spacing w:after="0" w:line="16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 registration statement. From inception through December 31, 2024, we have raised $1.1 billion in aggregate cash proceeds from such transactions, net of issuance costs. As of December 31, 2024, we had cash, cash equivalents, and marketable securities of $469.5 million.</w:t>
      </w:r>
    </w:p>
    <w:p>
      <w:pPr>
        <w:spacing w:after="0" w:line="167" w:lineRule="exact"/>
        <w:rPr>
          <w:sz w:val="20"/>
          <w:szCs w:val="20"/>
          <w:color w:val="auto"/>
        </w:rPr>
      </w:pPr>
    </w:p>
    <w:p>
      <w:pPr>
        <w:ind w:right="260" w:firstLine="433"/>
        <w:spacing w:after="0" w:line="268" w:lineRule="auto"/>
        <w:rPr>
          <w:sz w:val="20"/>
          <w:szCs w:val="20"/>
          <w:color w:val="auto"/>
        </w:rPr>
      </w:pPr>
      <w:r>
        <w:rPr>
          <w:rFonts w:ascii="Arial" w:cs="Arial" w:eastAsia="Arial" w:hAnsi="Arial"/>
          <w:sz w:val="17"/>
          <w:szCs w:val="17"/>
          <w:color w:val="auto"/>
        </w:rPr>
        <w:t>In November 2021, we entered into the 2021 Sales Agreement with Jefferies to provide for the offering, issuance and sale of up to an aggregate amount of $125.0 million of common stock from time to time in at-the-market offerings for which Jefferies acted as sales agent. We terminated the 2021 Sales Agreement in June 2023. During the year ended December 31, 2023, we issued and sold an aggregate of 952,794 shares under the 2021 Sales Agreement for aggregate net proceeds of $24.1 million, after deducting commissions and offering expenses payable by us.</w:t>
      </w:r>
    </w:p>
    <w:p>
      <w:pPr>
        <w:spacing w:after="0" w:line="167"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In June 2023, we completed a public offering of: (i) an aggregate of 4,296,646 shares of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The purchase price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us. As of December 31, 2024, all warrants associated with this offering were exercised on a cashless basis with no proceeds received by us.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December 2023, we entered into the 2023 Sales Agreement with Jefferies to provide for the offering, issuance and sale of up to an aggregate amount of $75.0 million of common stock from time to time in at-the-market offerings. The 2023 Sales Agreement was terminated in January 2024. During the year ended December 31, 2024, we issued and sold an aggregate of 192,190 shares under the 2023 Sales Agreement for aggregate net proceeds of $ 5.3 million, after deducting commissions and offering expenses payable by us. During the year ended December 31, 2023, we issued and sold an aggregate of 212,453 shares under the 2023 Sales Agreement for aggregate net proceeds of $4.0 million, after deducting commissions and offering expenses payable by us.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January 2024, we completed a public offering of: (i) an aggregate of 3,802,025 shares of our common stock at a public offering price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$35.50 per share, including the underwriters' full exercise of their option to purchase 633,750 additional shares of common stock, and (ii) pre-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funded warrants to purchase 1,056,725 shares of common stock at a public offering price of $35.4999 per share of common stock underlying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warrants. The purchase price per share for each pre-funded warrant represents the per share offering price for the common stock, less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$0.0001 per share exercise price of each underlying share. Total net proceeds generated from the offering were approximately $161.6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after deducting underwriting discounts, commissions and other offering expenses payable by us. As of December 31, 2024, 152,145 warrants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this offering were exercised on a cashless basis with no cash proceeds received by us.</w:t>
      </w:r>
    </w:p>
    <w:p>
      <w:pPr>
        <w:spacing w:after="0" w:line="208"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In March 2024, we entered into the March 2024 Sales Agreement with Jefferies to provide for the offering, issuance and sale of up to an aggregate amount of $150.0 million of common stock from time to time in at-the-market offerings. During the year ended December 31, 2024, we issued and sold an aggregate of 1,614,975 shares under the March 2024 Sales Agreement for aggregate net proceeds of $113.1 million, after deducting commissions and offering expenses payable by us.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April 2024, we completed a public offering of: (i) an aggregate of 3,849,558 shares of our common stock at a public offering price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$56.50 per share, including the underwriters' full exercise of their option to purchase 530,973 additional shares of common stock, and (ii) pre-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funded warrants to purchase 221,238 shares of common stock at a public offering price of $56.4999 per share of common stock underlying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warrants. The purchase price per share for each pre-funded warrant represents the per share offering price for the common stock, less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$0.0001 per share exercise price of each underlying share. Total net proceeds generated from the offering were approximately $216.0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after deducting underwriting discounts, commissions and other offering expenses payable by us.</w:t>
      </w:r>
    </w:p>
    <w:p>
      <w:pPr>
        <w:spacing w:after="0" w:line="208"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In December 2024, we entered into an amendment to the March 2024 Sales Agreement with Jefferies to provide for the offering, issuance and sale of up to an aggregate amount of $250.0 million of common stock from time to time in at-the-market offerings. During the year ended December 31, 2024, we issued and sold an aggregate of 16,487 shares under the amended March 2024 Sales Agreement for aggregate net proceeds of $1.0 million, after deducting commissions and offering expenses payable by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regarding our cash flows for each period presented (in thousands):</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7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78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2023</w:t>
            </w:r>
          </w:p>
        </w:tc>
      </w:tr>
      <w:tr>
        <w:trPr>
          <w:trHeight w:val="19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9"/>
        </w:trPr>
        <w:tc>
          <w:tcPr>
            <w:tcW w:w="788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421"/>
              <w:spacing w:after="0"/>
              <w:rPr>
                <w:sz w:val="20"/>
                <w:szCs w:val="20"/>
                <w:color w:val="auto"/>
              </w:rPr>
            </w:pPr>
            <w:r>
              <w:rPr>
                <w:rFonts w:ascii="Arial" w:cs="Arial" w:eastAsia="Arial" w:hAnsi="Arial"/>
                <w:sz w:val="16"/>
                <w:szCs w:val="16"/>
                <w:color w:val="auto"/>
                <w:w w:val="99"/>
              </w:rPr>
              <w:t>(131,757)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(111,136)</w:t>
            </w:r>
          </w:p>
        </w:tc>
      </w:tr>
      <w:tr>
        <w:trPr>
          <w:trHeight w:val="211"/>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421"/>
              <w:spacing w:after="0"/>
              <w:rPr>
                <w:sz w:val="20"/>
                <w:szCs w:val="20"/>
                <w:color w:val="auto"/>
              </w:rPr>
            </w:pPr>
            <w:r>
              <w:rPr>
                <w:rFonts w:ascii="Arial" w:cs="Arial" w:eastAsia="Arial" w:hAnsi="Arial"/>
                <w:sz w:val="16"/>
                <w:szCs w:val="16"/>
                <w:color w:val="auto"/>
                <w:w w:val="99"/>
              </w:rPr>
              <w:t>(248,494)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38,950</w:t>
            </w:r>
          </w:p>
        </w:tc>
      </w:tr>
      <w:tr>
        <w:trPr>
          <w:trHeight w:val="20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421"/>
              <w:spacing w:after="0"/>
              <w:rPr>
                <w:sz w:val="20"/>
                <w:szCs w:val="20"/>
                <w:color w:val="auto"/>
              </w:rPr>
            </w:pPr>
            <w:r>
              <w:rPr>
                <w:rFonts w:ascii="Arial" w:cs="Arial" w:eastAsia="Arial" w:hAnsi="Arial"/>
                <w:sz w:val="16"/>
                <w:szCs w:val="16"/>
                <w:color w:val="auto"/>
                <w:w w:val="96"/>
              </w:rPr>
              <w:t>514,323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91,871</w:t>
            </w:r>
          </w:p>
        </w:tc>
      </w:tr>
      <w:tr>
        <w:trPr>
          <w:trHeight w:val="22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6"/>
                <w:szCs w:val="16"/>
                <w:color w:val="auto"/>
                <w:w w:val="96"/>
              </w:rPr>
              <w:t>134,072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19,685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9"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Our cash flows from operating activities are greatly influenced by our use of cash for operating expenses and working capital requirements to support the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33"/>
        <w:spacing w:after="0" w:line="278" w:lineRule="auto"/>
        <w:rPr>
          <w:sz w:val="20"/>
          <w:szCs w:val="20"/>
          <w:color w:val="auto"/>
        </w:rPr>
      </w:pPr>
      <w:r>
        <w:rPr>
          <w:rFonts w:ascii="Arial" w:cs="Arial" w:eastAsia="Arial" w:hAnsi="Arial"/>
          <w:sz w:val="17"/>
          <w:szCs w:val="17"/>
          <w:color w:val="auto"/>
        </w:rPr>
        <w:t>During the year ended December 31, 2024, net cash used in operating activities of $ 131.8 million was primarily due to our $182.8 million net loss and $10.9 million in changes in operating assets and liabilities primarily related to an increase in accrued expenses and accounts payable, partially offset by $40.1 million of non-cash charges primarily related to stock-based compensation.</w:t>
      </w:r>
    </w:p>
    <w:p>
      <w:pPr>
        <w:spacing w:after="0" w:line="160"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During the year ended December 31, 2023, net cash used in operating activities of $111.1 million was primarily due to our $123.3 million net loss and $14.0 million in changes in operating assets and liabilities primarily related to a decrease in accrued expenses and accounts payable, partially offset by $26.2 million of non-cash charges primarily related to stock-based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19" w:lineRule="exact"/>
        <w:rPr>
          <w:sz w:val="20"/>
          <w:szCs w:val="20"/>
          <w:color w:val="auto"/>
        </w:rPr>
      </w:pPr>
    </w:p>
    <w:p>
      <w:pPr>
        <w:ind w:right="800" w:firstLine="433"/>
        <w:spacing w:after="0" w:line="300" w:lineRule="auto"/>
        <w:rPr>
          <w:sz w:val="20"/>
          <w:szCs w:val="20"/>
          <w:color w:val="auto"/>
        </w:rPr>
      </w:pPr>
      <w:r>
        <w:rPr>
          <w:rFonts w:ascii="Arial" w:cs="Arial" w:eastAsia="Arial" w:hAnsi="Arial"/>
          <w:sz w:val="17"/>
          <w:szCs w:val="17"/>
          <w:color w:val="auto"/>
        </w:rPr>
        <w:t>During the year ended December 31, 2024, net cash used in investing activities of $248.5 million primarily related to purchases of marketable securities, partially offset by maturities of marketable securities.</w:t>
      </w:r>
    </w:p>
    <w:p>
      <w:pPr>
        <w:spacing w:after="0" w:line="141" w:lineRule="exact"/>
        <w:rPr>
          <w:sz w:val="20"/>
          <w:szCs w:val="20"/>
          <w:color w:val="auto"/>
        </w:rPr>
      </w:pPr>
    </w:p>
    <w:p>
      <w:pPr>
        <w:ind w:right="620" w:firstLine="433"/>
        <w:spacing w:after="0" w:line="300" w:lineRule="auto"/>
        <w:rPr>
          <w:sz w:val="20"/>
          <w:szCs w:val="20"/>
          <w:color w:val="auto"/>
        </w:rPr>
      </w:pPr>
      <w:r>
        <w:rPr>
          <w:rFonts w:ascii="Arial" w:cs="Arial" w:eastAsia="Arial" w:hAnsi="Arial"/>
          <w:sz w:val="17"/>
          <w:szCs w:val="17"/>
          <w:color w:val="auto"/>
        </w:rPr>
        <w:t>During the year ended December 31, 2023, net cash provided by investing activities of $39.0 million primarily related to maturities of marketable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9" w:lineRule="exact"/>
        <w:rPr>
          <w:sz w:val="20"/>
          <w:szCs w:val="20"/>
          <w:color w:val="auto"/>
        </w:rPr>
      </w:pPr>
    </w:p>
    <w:p>
      <w:pPr>
        <w:jc w:val="both"/>
        <w:ind w:right="240" w:firstLine="433"/>
        <w:spacing w:after="0" w:line="278" w:lineRule="auto"/>
        <w:rPr>
          <w:sz w:val="20"/>
          <w:szCs w:val="20"/>
          <w:color w:val="auto"/>
        </w:rPr>
      </w:pPr>
      <w:r>
        <w:rPr>
          <w:rFonts w:ascii="Arial" w:cs="Arial" w:eastAsia="Arial" w:hAnsi="Arial"/>
          <w:sz w:val="17"/>
          <w:szCs w:val="17"/>
          <w:color w:val="auto"/>
        </w:rPr>
        <w:t>During the year ended December 31, 2024, net cash provided by financing activities of $514.3 million consisted primarily of net proceeds from our January 2024 and April 2024 follow-on public offerings, our at-the-market offerings and our collaboration and license agreement with Tenacia.</w:t>
      </w:r>
    </w:p>
    <w:p>
      <w:pPr>
        <w:spacing w:after="0" w:line="160" w:lineRule="exact"/>
        <w:rPr>
          <w:sz w:val="20"/>
          <w:szCs w:val="20"/>
          <w:color w:val="auto"/>
        </w:rPr>
      </w:pPr>
    </w:p>
    <w:p>
      <w:pPr>
        <w:ind w:right="340" w:firstLine="433"/>
        <w:spacing w:after="0" w:line="300" w:lineRule="auto"/>
        <w:rPr>
          <w:sz w:val="20"/>
          <w:szCs w:val="20"/>
          <w:color w:val="auto"/>
        </w:rPr>
      </w:pPr>
      <w:r>
        <w:rPr>
          <w:rFonts w:ascii="Arial" w:cs="Arial" w:eastAsia="Arial" w:hAnsi="Arial"/>
          <w:sz w:val="17"/>
          <w:szCs w:val="17"/>
          <w:color w:val="auto"/>
        </w:rPr>
        <w:t>During the year ended December 31, 2023, net cash provided by financing activities of $91.9 million consisted primarily of net proceeds from our June 2023 follow-on public offering of $63.4 million and from at-the-market offerings of $28.2 million.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of Operation and Future Funding Requirements</w:t>
      </w:r>
    </w:p>
    <w:p>
      <w:pPr>
        <w:spacing w:after="0" w:line="119" w:lineRule="exact"/>
        <w:rPr>
          <w:sz w:val="20"/>
          <w:szCs w:val="20"/>
          <w:color w:val="auto"/>
        </w:rPr>
      </w:pPr>
    </w:p>
    <w:p>
      <w:pPr>
        <w:ind w:right="280" w:firstLine="433"/>
        <w:spacing w:after="0" w:line="278"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08" w:lineRule="exact"/>
        <w:rPr>
          <w:sz w:val="20"/>
          <w:szCs w:val="20"/>
          <w:color w:val="auto"/>
        </w:rPr>
      </w:pPr>
    </w:p>
    <w:p>
      <w:pPr>
        <w:ind w:left="620" w:hanging="300"/>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advance the clinical development of our clinical-stage product candidates within our Cerebrum™ and Solidus™ platforms;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advance the development of any additional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potential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make strategic investments in manufacturing capabilities;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maintain our IP portfolio and opportunistically acquire complementary IP;</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seek to obtain regulatory approvals for our product candidates;</w:t>
      </w:r>
    </w:p>
    <w:p>
      <w:pPr>
        <w:spacing w:after="0" w:line="171" w:lineRule="exact"/>
        <w:rPr>
          <w:rFonts w:ascii="Arial" w:cs="Arial" w:eastAsia="Arial" w:hAnsi="Arial"/>
          <w:sz w:val="17"/>
          <w:szCs w:val="17"/>
          <w:color w:val="auto"/>
        </w:rPr>
      </w:pPr>
    </w:p>
    <w:p>
      <w:pPr>
        <w:ind w:left="640" w:right="400" w:hanging="320"/>
        <w:spacing w:after="0" w:line="300" w:lineRule="auto"/>
        <w:tabs>
          <w:tab w:leader="none" w:pos="6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establish a sales, marketing, technology and distribution infrastructure and scale-up manufacturing capabilities to commercialize any products for which we may obtain regulatory approval;</w:t>
      </w:r>
    </w:p>
    <w:p>
      <w:pPr>
        <w:spacing w:after="0" w:line="35" w:lineRule="exact"/>
        <w:rPr>
          <w:rFonts w:ascii="Arial" w:cs="Arial" w:eastAsia="Arial" w:hAnsi="Arial"/>
          <w:sz w:val="17"/>
          <w:szCs w:val="17"/>
          <w:color w:val="auto"/>
        </w:rPr>
      </w:pPr>
    </w:p>
    <w:p>
      <w:pPr>
        <w:jc w:val="both"/>
        <w:ind w:left="640" w:right="160" w:hanging="320"/>
        <w:spacing w:after="0" w:line="300" w:lineRule="auto"/>
        <w:tabs>
          <w:tab w:leader="none" w:pos="6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35"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experience any delays or encounter any issues with any of the above, including but not limited to failed studies, complex results, safety issues or other regulatory challenges.</w:t>
      </w:r>
    </w:p>
    <w:p>
      <w:pPr>
        <w:spacing w:after="0" w:line="141"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We are unable to estimate the exact amount of our working capital requirements, but based on our current operating plan, we believe that our current cash, cash equivalents and marketable securities will be sufficient to fund our operating expenditures and capital expenditure requirements into 2028. However, we have based this estimate on assumptions that may prove to be wrong and we could exhaust our capital resources sooner than we expect.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14" w:lineRule="exact"/>
        <w:rPr>
          <w:sz w:val="20"/>
          <w:szCs w:val="20"/>
          <w:color w:val="auto"/>
        </w:rPr>
      </w:pPr>
    </w:p>
    <w:p>
      <w:pPr>
        <w:ind w:left="780" w:hanging="303"/>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studies and clinical trials for our platforms and product candidates;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and technologies that we develop or may in-license;</w:t>
      </w:r>
    </w:p>
    <w:p>
      <w:pPr>
        <w:spacing w:after="0" w:line="171" w:lineRule="exact"/>
        <w:rPr>
          <w:rFonts w:ascii="Arial" w:cs="Arial" w:eastAsia="Arial" w:hAnsi="Arial"/>
          <w:sz w:val="17"/>
          <w:szCs w:val="17"/>
          <w:color w:val="auto"/>
        </w:rPr>
      </w:pPr>
    </w:p>
    <w:p>
      <w:pPr>
        <w:ind w:left="800" w:right="340" w:hanging="323"/>
        <w:spacing w:after="0" w:line="300" w:lineRule="auto"/>
        <w:tabs>
          <w:tab w:leader="none" w:pos="79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manufacturing, marketing, sales and distribution, for any of our product candidates for which we receive marketing approval;</w:t>
      </w:r>
    </w:p>
    <w:p>
      <w:pPr>
        <w:spacing w:after="0" w:line="88" w:lineRule="exact"/>
        <w:rPr>
          <w:rFonts w:ascii="Arial" w:cs="Arial" w:eastAsia="Arial" w:hAnsi="Arial"/>
          <w:sz w:val="17"/>
          <w:szCs w:val="17"/>
          <w:color w:val="auto"/>
        </w:rPr>
      </w:pPr>
    </w:p>
    <w:p>
      <w:pPr>
        <w:ind w:left="800" w:right="360" w:hanging="323"/>
        <w:spacing w:after="0" w:line="300" w:lineRule="auto"/>
        <w:tabs>
          <w:tab w:leader="none" w:pos="79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88" w:lineRule="exact"/>
        <w:rPr>
          <w:rFonts w:ascii="Arial" w:cs="Arial" w:eastAsia="Arial" w:hAnsi="Arial"/>
          <w:sz w:val="17"/>
          <w:szCs w:val="17"/>
          <w:color w:val="auto"/>
        </w:rPr>
      </w:pPr>
    </w:p>
    <w:p>
      <w:pPr>
        <w:ind w:left="800" w:right="60" w:hanging="323"/>
        <w:spacing w:after="0" w:line="300" w:lineRule="auto"/>
        <w:tabs>
          <w:tab w:leader="none" w:pos="79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IP rights and defending any IP-related claims;</w:t>
      </w:r>
    </w:p>
    <w:p>
      <w:pPr>
        <w:spacing w:after="0" w:line="88" w:lineRule="exact"/>
        <w:rPr>
          <w:rFonts w:ascii="Arial" w:cs="Arial" w:eastAsia="Arial" w:hAnsi="Arial"/>
          <w:sz w:val="17"/>
          <w:szCs w:val="17"/>
          <w:color w:val="auto"/>
        </w:rPr>
      </w:pPr>
    </w:p>
    <w:p>
      <w:pPr>
        <w:ind w:left="780" w:hanging="303"/>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continuation of our existing licensing arrangements and entry into new collaborations and licensing arrangements;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we incur in maintaining business operations;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any product candidates for which we receive marketing approval;</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 and</w:t>
      </w:r>
    </w:p>
    <w:p>
      <w:pPr>
        <w:spacing w:after="0" w:line="171" w:lineRule="exact"/>
        <w:rPr>
          <w:rFonts w:ascii="Arial" w:cs="Arial" w:eastAsia="Arial" w:hAnsi="Arial"/>
          <w:sz w:val="17"/>
          <w:szCs w:val="17"/>
          <w:color w:val="auto"/>
        </w:rPr>
      </w:pPr>
    </w:p>
    <w:p>
      <w:pPr>
        <w:ind w:left="800" w:right="20" w:hanging="323"/>
        <w:spacing w:after="0" w:line="278" w:lineRule="auto"/>
        <w:tabs>
          <w:tab w:leader="none" w:pos="79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60"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w:t>
      </w:r>
    </w:p>
    <w:p>
      <w:pPr>
        <w:spacing w:after="0" w:line="2"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from sales of products that we do not expect to be commercially available for many years, if ever. Accordingly, we will need to obtain substantial additional funds to achieve our business objectives.</w:t>
      </w:r>
    </w:p>
    <w:p>
      <w:pPr>
        <w:spacing w:after="0" w:line="157"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73"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1"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We have entered into certain agreements under which we have incurred or may in the future incur obligations and commitments that could have a material impact on our capital resources.</w:t>
      </w:r>
    </w:p>
    <w:p>
      <w:pPr>
        <w:spacing w:after="0" w:line="141" w:lineRule="exact"/>
        <w:rPr>
          <w:sz w:val="20"/>
          <w:szCs w:val="20"/>
          <w:color w:val="auto"/>
        </w:rPr>
      </w:pPr>
    </w:p>
    <w:p>
      <w:pPr>
        <w:ind w:right="560" w:firstLine="433"/>
        <w:spacing w:after="0" w:line="300" w:lineRule="auto"/>
        <w:rPr>
          <w:sz w:val="20"/>
          <w:szCs w:val="20"/>
          <w:color w:val="auto"/>
        </w:rPr>
      </w:pPr>
      <w:r>
        <w:rPr>
          <w:rFonts w:ascii="Arial" w:cs="Arial" w:eastAsia="Arial" w:hAnsi="Arial"/>
          <w:sz w:val="17"/>
          <w:szCs w:val="17"/>
          <w:color w:val="auto"/>
        </w:rPr>
        <w:t>We sublease building space in Boston, Massachusetts. Our sublease will expire on January 31, 2026. As of December 31, 2024, our operating lease commitments for the remainder of the lease term were $1.4 million.</w:t>
      </w:r>
    </w:p>
    <w:p>
      <w:pPr>
        <w:spacing w:after="0" w:line="141"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In addition, we have entered into collaboration and license agreements with RogCon Inc., or RogCon, and Ionis Pharmaceuticals, Inc., or Ionis, under which we could be obligated to pay certain fees, milestone payments and cost reimbursements.</w:t>
      </w:r>
    </w:p>
    <w:p>
      <w:pPr>
        <w:spacing w:after="0" w:line="141"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Under our license agreement with RogCon, we are obligated to reimburse RogCon for its out-of-pocket costs incurred for activities performed under the license agreement. Additionally, we may be obligated to pay RogCon a milestone payment of $3.0 million and profit share payments. The $3.0 million milestone payment is due when the first profit share payment has become due and payable and certain contingent payments have become due and payable to Ionis under our collaboration agreement with Ionis. The profit share payments are based on a low-double-digit percentage of net profits, depending on sales volume. Either party may terminate the license agreement for material breach or insolvency of the other party. Additionally, we may terminate for convenience with prior notice to RogCon. See “Business—License Agreements— License Agreement with RogCon.”</w:t>
      </w:r>
    </w:p>
    <w:p>
      <w:pPr>
        <w:spacing w:after="0" w:line="173"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Under our collaboration agreement with Ionis, we reimbursed Ionis for identifying a development candidate and conducting an investigational new drug application, or IND, enabling toxicology study, as well as out of pocket costs incurred by Ionis related to research activities. Ionis granted us an exclusive option to obtain the rights and license to further develop and commercialize the development candidate in the field of epilepsy and neurodevelopmental disorders, other than Dravet Syndrome, following the results of the IND-enabling toxicology study. We exercised this exclusive option in January 2022 and paid a $2.0 million license fee. In July 2023, upon initiation of the elsunersen EMBRAVE study in the second quarter of 2023, we paid a milestone payment of $6.9 million to Ionis. Ionis may be entitled to additional development milestone payments, additional milestone payments, and sales royalties or sublicense fees. We may be required to make additional payments to Ionis including development milestone payments, additional milestone payments and sales royalties or sublicense fees. Either party may terminate the collaboration agreement upon material breach or insolvency of the other party. Ionis may terminate if we fail to achieve a performance milestone. See “Business—License Agreements—Ionis Collaboration Agreement.”</w:t>
      </w:r>
    </w:p>
    <w:p>
      <w:pPr>
        <w:spacing w:after="0" w:line="174"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We have also entered into multiple agreements with third parties under which we may be obligated to make future development, regulatory and commercial milestone payments and royalty payments on future sales of specified product candidates. Payments under these agreements generally become due and payable upon achievement of such milestones and sales. When the achievement of these milestones or sales have not occurred, such contingencies are not recorded in our financial statements.</w:t>
      </w:r>
    </w:p>
    <w:p>
      <w:pPr>
        <w:spacing w:after="0" w:line="166"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We have agreements with certain vendors for various services, including services related to clinical operations and support, for which we are not contractually able to terminate for convenience and avoid any and all future obligations to the vendors. Under such agreements, we are contractually obligated to make certain payments to vendors to reimburse them for their unrecoverable outlays incurred prior to cancellation. The exact amounts of such obligations are dependent on the timing of termination and the exact terms of the relevant agreement and cannot be reasonably estimated.</w:t>
      </w:r>
    </w:p>
    <w:p>
      <w:pPr>
        <w:spacing w:after="0" w:line="167"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In addition, we enter into indemnification agreements and agreements containing indemnification provisions in the ordinary course of business. Pursuant to these agreements, we agree to indemnify, hold harmless and reimburse the indemnified party for losses suffered or incurred by the indemnified party, generally our business collaborators, in connection with any U.S. patent or any copyright or other IP infringement claim by any third party with respect to our product candidates. The term of these indemnification agreements is generally perpetual upon execution of the agreement. The maximum potential amount of future payments we could be required to make under these indemnification agreements cannot be reasonably estimated.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firstLine="433"/>
        <w:spacing w:after="0" w:line="264"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and Related Accruals and Prepaids</w:t>
      </w:r>
    </w:p>
    <w:p>
      <w:pPr>
        <w:spacing w:after="0" w:line="119"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activities, including personnel-related expenses such as salaries, benefits and stock-based compensation expense; materials; supplies; manufacturing and external costs related to outside vendors engaged to conduct both preclinical studies and clinical trials; and the allocable portions of facility costs, such as rent, utilities, depreciation and general support services. All costs associated with research and development activities are expensed as incurred.</w:t>
      </w:r>
    </w:p>
    <w:p>
      <w:pPr>
        <w:spacing w:after="0" w:line="16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and prepaid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in determining our accrued and prepaid research and development expenses as of each balance sheet date in our financial statements based on facts and circumstances known to us at that time. When evaluating the adequacy of the accrued liabilities and prepaid expenses, we analyze progress of the studies or trials related to these services, including the phase or completion of events, invoices received and contracted costs. Examples of estimated accrued and prepaid research and development expenses include fees paid to:</w:t>
      </w:r>
    </w:p>
    <w:p>
      <w:pPr>
        <w:spacing w:after="0" w:line="125" w:lineRule="exact"/>
        <w:rPr>
          <w:sz w:val="20"/>
          <w:szCs w:val="20"/>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CROs in connection with performing research services and preclinical and clinical studies;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investigative sites or other providers in connection with preclinical and clinical studies;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vendors in connection with preclinical and clinical development activities; and</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vendors related to product manufacturing, development and distribution of preclinical and clinical supplies.</w:t>
      </w:r>
    </w:p>
    <w:p>
      <w:pPr>
        <w:spacing w:after="0" w:line="224"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The financial terms of our agreements with CROs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milestones. In expensing service fees, we estimate the time period over which services will be performed, enrollment of patients, number of sites activated and the level of effort expended in each period. If the actual timing of the performance of services or the level of effort varies from our estimate, we adjust the expense accordingly. Significant judgments and estimates are made in determining the accrued and prepaid research and development expenses at the end of any reporting period.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firstLine="433"/>
        <w:spacing w:after="0" w:line="278" w:lineRule="auto"/>
        <w:rPr>
          <w:sz w:val="20"/>
          <w:szCs w:val="20"/>
          <w:color w:val="auto"/>
        </w:rPr>
      </w:pPr>
      <w:r>
        <w:rPr>
          <w:rFonts w:ascii="Arial" w:cs="Arial" w:eastAsia="Arial" w:hAnsi="Arial"/>
          <w:sz w:val="17"/>
          <w:szCs w:val="17"/>
          <w:color w:val="auto"/>
        </w:rPr>
        <w:t>We have reviewed all recently issued standards and have determined that, other than as disclosed in Note 2 to our consolidated financial statements appearing elsewhere in this Annual Report on Form 10-K, such standards will not have a material impact on our consolidated financial statements or do not otherwise apply to our current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1" w:lineRule="exact"/>
        <w:rPr>
          <w:sz w:val="20"/>
          <w:szCs w:val="20"/>
          <w:color w:val="auto"/>
        </w:rPr>
      </w:pPr>
    </w:p>
    <w:p>
      <w:pPr>
        <w:ind w:firstLine="433"/>
        <w:spacing w:after="0" w:line="300" w:lineRule="auto"/>
        <w:rPr>
          <w:sz w:val="20"/>
          <w:szCs w:val="20"/>
          <w:color w:val="auto"/>
        </w:rPr>
      </w:pPr>
      <w:r>
        <w:rPr>
          <w:rFonts w:ascii="Arial" w:cs="Arial" w:eastAsia="Arial" w:hAnsi="Arial"/>
          <w:sz w:val="17"/>
          <w:szCs w:val="17"/>
          <w:color w:val="auto"/>
        </w:rPr>
        <w:t>We are not required to provide the information required by this Item 7A until our Quarterly Report on Form 10-Q for the first quarter after the fiscal year in which it is determined that we are no longer a smaller reporting company.</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52" w:lineRule="exact"/>
        <w:rPr>
          <w:sz w:val="20"/>
          <w:szCs w:val="20"/>
          <w:color w:val="auto"/>
        </w:rPr>
      </w:pPr>
    </w:p>
    <w:p>
      <w:pPr>
        <w:ind w:right="260" w:firstLine="433"/>
        <w:spacing w:after="0" w:line="300" w:lineRule="auto"/>
        <w:rPr>
          <w:sz w:val="20"/>
          <w:szCs w:val="20"/>
          <w:color w:val="auto"/>
        </w:rPr>
      </w:pPr>
      <w:r>
        <w:rPr>
          <w:rFonts w:ascii="Arial" w:cs="Arial" w:eastAsia="Arial" w:hAnsi="Arial"/>
          <w:sz w:val="17"/>
          <w:szCs w:val="17"/>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rPr>
              <w:t>Page</w:t>
            </w: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20" w:type="dxa"/>
            <w:vAlign w:val="bottom"/>
            <w:shd w:val="clear" w:color="auto" w:fill="CCEEFF"/>
          </w:tcPr>
          <w:p>
            <w:pPr>
              <w:spacing w:after="0"/>
              <w:rPr>
                <w:sz w:val="15"/>
                <w:szCs w:val="15"/>
                <w:color w:val="auto"/>
              </w:rPr>
            </w:pPr>
          </w:p>
        </w:tc>
        <w:tc>
          <w:tcPr>
            <w:tcW w:w="10300" w:type="dxa"/>
            <w:vAlign w:val="bottom"/>
            <w:gridSpan w:val="6"/>
            <w:shd w:val="clear" w:color="auto" w:fill="CCEEFF"/>
          </w:tcPr>
          <w:p>
            <w:pPr>
              <w:spacing w:after="0" w:line="184" w:lineRule="exact"/>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42)</w:t>
            </w:r>
          </w:p>
        </w:tc>
        <w:tc>
          <w:tcPr>
            <w:tcW w:w="900" w:type="dxa"/>
            <w:vAlign w:val="bottom"/>
            <w:gridSpan w:val="3"/>
            <w:shd w:val="clear" w:color="auto" w:fill="CCEEFF"/>
          </w:tcPr>
          <w:p>
            <w:pPr>
              <w:jc w:val="center"/>
              <w:spacing w:after="0" w:line="184" w:lineRule="exact"/>
              <w:rPr>
                <w:sz w:val="20"/>
                <w:szCs w:val="20"/>
                <w:color w:val="auto"/>
              </w:rPr>
            </w:pPr>
            <w:r>
              <w:rPr>
                <w:rFonts w:ascii="Arial" w:cs="Arial" w:eastAsia="Arial" w:hAnsi="Arial"/>
                <w:sz w:val="17"/>
                <w:szCs w:val="17"/>
                <w:color w:val="0000FF"/>
              </w:rPr>
              <w:t>101</w:t>
            </w:r>
          </w:p>
        </w:tc>
        <w:tc>
          <w:tcPr>
            <w:tcW w:w="20" w:type="dxa"/>
            <w:vAlign w:val="bottom"/>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5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2300" w:type="dxa"/>
            <w:vAlign w:val="bottom"/>
          </w:tcPr>
          <w:p>
            <w:pPr>
              <w:spacing w:after="0" w:line="184" w:lineRule="exact"/>
              <w:rPr>
                <w:sz w:val="20"/>
                <w:szCs w:val="20"/>
                <w:color w:val="auto"/>
              </w:rPr>
            </w:pPr>
            <w:r>
              <w:rPr>
                <w:rFonts w:ascii="Arial" w:cs="Arial" w:eastAsia="Arial" w:hAnsi="Arial"/>
                <w:sz w:val="17"/>
                <w:szCs w:val="17"/>
                <w:color w:val="0000FF"/>
              </w:rPr>
              <w:t>Consolidated Balance Sheets</w:t>
            </w:r>
          </w:p>
        </w:tc>
        <w:tc>
          <w:tcPr>
            <w:tcW w:w="2180" w:type="dxa"/>
            <w:vAlign w:val="bottom"/>
            <w:gridSpan w:val="4"/>
          </w:tcPr>
          <w:p>
            <w:pPr>
              <w:spacing w:after="0"/>
              <w:rPr>
                <w:sz w:val="15"/>
                <w:szCs w:val="15"/>
                <w:color w:val="auto"/>
              </w:rPr>
            </w:pPr>
          </w:p>
        </w:tc>
        <w:tc>
          <w:tcPr>
            <w:tcW w:w="5820" w:type="dxa"/>
            <w:vAlign w:val="bottom"/>
          </w:tcPr>
          <w:p>
            <w:pPr>
              <w:spacing w:after="0"/>
              <w:rPr>
                <w:sz w:val="15"/>
                <w:szCs w:val="15"/>
                <w:color w:val="auto"/>
              </w:rPr>
            </w:pPr>
          </w:p>
        </w:tc>
        <w:tc>
          <w:tcPr>
            <w:tcW w:w="900" w:type="dxa"/>
            <w:vAlign w:val="bottom"/>
            <w:gridSpan w:val="3"/>
          </w:tcPr>
          <w:p>
            <w:pPr>
              <w:jc w:val="center"/>
              <w:spacing w:after="0" w:line="184" w:lineRule="exact"/>
              <w:rPr>
                <w:sz w:val="20"/>
                <w:szCs w:val="20"/>
                <w:color w:val="auto"/>
              </w:rPr>
            </w:pPr>
            <w:r>
              <w:rPr>
                <w:rFonts w:ascii="Arial" w:cs="Arial" w:eastAsia="Arial" w:hAnsi="Arial"/>
                <w:sz w:val="17"/>
                <w:szCs w:val="17"/>
                <w:color w:val="0000FF"/>
              </w:rPr>
              <w:t>103</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120" w:type="dxa"/>
            <w:vAlign w:val="bottom"/>
            <w:tcBorders>
              <w:right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0000FF"/>
              </w:rPr>
              <w:t>Consolidated Statements of Operations</w:t>
            </w:r>
          </w:p>
        </w:tc>
        <w:tc>
          <w:tcPr>
            <w:tcW w:w="7180" w:type="dxa"/>
            <w:vAlign w:val="bottom"/>
            <w:gridSpan w:val="4"/>
            <w:shd w:val="clear" w:color="auto" w:fill="CCEEFF"/>
          </w:tcPr>
          <w:p>
            <w:pPr>
              <w:spacing w:after="0"/>
              <w:rPr>
                <w:sz w:val="16"/>
                <w:szCs w:val="16"/>
                <w:color w:val="auto"/>
              </w:rPr>
            </w:pPr>
          </w:p>
        </w:tc>
        <w:tc>
          <w:tcPr>
            <w:tcW w:w="90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rPr>
              <w:t>104</w:t>
            </w: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3840" w:type="dxa"/>
            <w:vAlign w:val="bottom"/>
            <w:gridSpan w:val="4"/>
          </w:tcPr>
          <w:p>
            <w:pPr>
              <w:spacing w:after="0" w:line="184" w:lineRule="exact"/>
              <w:rPr>
                <w:sz w:val="20"/>
                <w:szCs w:val="20"/>
                <w:color w:val="auto"/>
              </w:rPr>
            </w:pPr>
            <w:r>
              <w:rPr>
                <w:rFonts w:ascii="Arial" w:cs="Arial" w:eastAsia="Arial" w:hAnsi="Arial"/>
                <w:sz w:val="17"/>
                <w:szCs w:val="17"/>
                <w:color w:val="0000FF"/>
              </w:rPr>
              <w:t>Consolidated Statements of Comprehensive Loss</w:t>
            </w:r>
          </w:p>
        </w:tc>
        <w:tc>
          <w:tcPr>
            <w:tcW w:w="6460" w:type="dxa"/>
            <w:vAlign w:val="bottom"/>
            <w:gridSpan w:val="2"/>
          </w:tcPr>
          <w:p>
            <w:pPr>
              <w:spacing w:after="0"/>
              <w:rPr>
                <w:sz w:val="15"/>
                <w:szCs w:val="15"/>
                <w:color w:val="auto"/>
              </w:rPr>
            </w:pPr>
          </w:p>
        </w:tc>
        <w:tc>
          <w:tcPr>
            <w:tcW w:w="900" w:type="dxa"/>
            <w:vAlign w:val="bottom"/>
            <w:gridSpan w:val="3"/>
          </w:tcPr>
          <w:p>
            <w:pPr>
              <w:jc w:val="center"/>
              <w:spacing w:after="0" w:line="184" w:lineRule="exact"/>
              <w:rPr>
                <w:sz w:val="20"/>
                <w:szCs w:val="20"/>
                <w:color w:val="auto"/>
              </w:rPr>
            </w:pPr>
            <w:r>
              <w:rPr>
                <w:rFonts w:ascii="Arial" w:cs="Arial" w:eastAsia="Arial" w:hAnsi="Arial"/>
                <w:sz w:val="17"/>
                <w:szCs w:val="17"/>
                <w:color w:val="0000FF"/>
              </w:rPr>
              <w:t>105</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840" w:type="dxa"/>
            <w:vAlign w:val="bottom"/>
            <w:tcBorders>
              <w:right w:val="single" w:sz="8" w:color="CCEEFF"/>
            </w:tcBorders>
            <w:gridSpan w:val="4"/>
            <w:shd w:val="clear" w:color="auto" w:fill="CCEEFF"/>
          </w:tcPr>
          <w:p>
            <w:pPr>
              <w:spacing w:after="0" w:line="194" w:lineRule="exact"/>
              <w:rPr>
                <w:sz w:val="20"/>
                <w:szCs w:val="20"/>
                <w:color w:val="auto"/>
              </w:rPr>
            </w:pPr>
            <w:r>
              <w:rPr>
                <w:rFonts w:ascii="Arial" w:cs="Arial" w:eastAsia="Arial" w:hAnsi="Arial"/>
                <w:sz w:val="17"/>
                <w:szCs w:val="17"/>
                <w:color w:val="0000FF"/>
              </w:rPr>
              <w:t>Consolidated Statements of Stockholders’ Equity</w:t>
            </w:r>
          </w:p>
        </w:tc>
        <w:tc>
          <w:tcPr>
            <w:tcW w:w="6460" w:type="dxa"/>
            <w:vAlign w:val="bottom"/>
            <w:gridSpan w:val="2"/>
            <w:shd w:val="clear" w:color="auto" w:fill="CCEEFF"/>
          </w:tcPr>
          <w:p>
            <w:pPr>
              <w:spacing w:after="0"/>
              <w:rPr>
                <w:sz w:val="16"/>
                <w:szCs w:val="16"/>
                <w:color w:val="auto"/>
              </w:rPr>
            </w:pPr>
          </w:p>
        </w:tc>
        <w:tc>
          <w:tcPr>
            <w:tcW w:w="90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rPr>
              <w:t>106</w:t>
            </w: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tcBorders>
              <w:right w:val="single" w:sz="8" w:color="CCEEFF"/>
            </w:tcBorders>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3120" w:type="dxa"/>
            <w:vAlign w:val="bottom"/>
            <w:gridSpan w:val="2"/>
          </w:tcPr>
          <w:p>
            <w:pPr>
              <w:spacing w:after="0" w:line="184" w:lineRule="exact"/>
              <w:rPr>
                <w:sz w:val="20"/>
                <w:szCs w:val="20"/>
                <w:color w:val="auto"/>
              </w:rPr>
            </w:pPr>
            <w:r>
              <w:rPr>
                <w:rFonts w:ascii="Arial" w:cs="Arial" w:eastAsia="Arial" w:hAnsi="Arial"/>
                <w:sz w:val="17"/>
                <w:szCs w:val="17"/>
                <w:color w:val="0000FF"/>
              </w:rPr>
              <w:t>Consolidated Statements of Cash Flows</w:t>
            </w:r>
          </w:p>
        </w:tc>
        <w:tc>
          <w:tcPr>
            <w:tcW w:w="720" w:type="dxa"/>
            <w:vAlign w:val="bottom"/>
            <w:gridSpan w:val="2"/>
          </w:tcPr>
          <w:p>
            <w:pPr>
              <w:spacing w:after="0"/>
              <w:rPr>
                <w:sz w:val="15"/>
                <w:szCs w:val="15"/>
                <w:color w:val="auto"/>
              </w:rPr>
            </w:pPr>
          </w:p>
        </w:tc>
        <w:tc>
          <w:tcPr>
            <w:tcW w:w="6460" w:type="dxa"/>
            <w:vAlign w:val="bottom"/>
            <w:gridSpan w:val="2"/>
          </w:tcPr>
          <w:p>
            <w:pPr>
              <w:spacing w:after="0"/>
              <w:rPr>
                <w:sz w:val="15"/>
                <w:szCs w:val="15"/>
                <w:color w:val="auto"/>
              </w:rPr>
            </w:pPr>
          </w:p>
        </w:tc>
        <w:tc>
          <w:tcPr>
            <w:tcW w:w="900" w:type="dxa"/>
            <w:vAlign w:val="bottom"/>
            <w:gridSpan w:val="3"/>
          </w:tcPr>
          <w:p>
            <w:pPr>
              <w:jc w:val="center"/>
              <w:spacing w:after="0" w:line="184" w:lineRule="exact"/>
              <w:rPr>
                <w:sz w:val="20"/>
                <w:szCs w:val="20"/>
                <w:color w:val="auto"/>
              </w:rPr>
            </w:pPr>
            <w:r>
              <w:rPr>
                <w:rFonts w:ascii="Arial" w:cs="Arial" w:eastAsia="Arial" w:hAnsi="Arial"/>
                <w:sz w:val="17"/>
                <w:szCs w:val="17"/>
                <w:color w:val="0000FF"/>
              </w:rPr>
              <w:t>109</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20" w:type="dxa"/>
            <w:vAlign w:val="bottom"/>
            <w:shd w:val="clear" w:color="auto" w:fill="CCEEFF"/>
          </w:tcPr>
          <w:p>
            <w:pPr>
              <w:spacing w:after="0"/>
              <w:rPr>
                <w:sz w:val="18"/>
                <w:szCs w:val="18"/>
                <w:color w:val="auto"/>
              </w:rPr>
            </w:pPr>
          </w:p>
        </w:tc>
        <w:tc>
          <w:tcPr>
            <w:tcW w:w="10300" w:type="dxa"/>
            <w:vAlign w:val="bottom"/>
            <w:gridSpan w:val="6"/>
            <w:shd w:val="clear" w:color="auto" w:fill="CCEEFF"/>
          </w:tcPr>
          <w:p>
            <w:pPr>
              <w:spacing w:after="0" w:line="194" w:lineRule="exact"/>
              <w:rPr>
                <w:sz w:val="20"/>
                <w:szCs w:val="20"/>
                <w:color w:val="auto"/>
              </w:rPr>
            </w:pPr>
            <w:r>
              <w:rPr>
                <w:rFonts w:ascii="Arial" w:cs="Arial" w:eastAsia="Arial" w:hAnsi="Arial"/>
                <w:sz w:val="17"/>
                <w:szCs w:val="17"/>
                <w:color w:val="0000FF"/>
              </w:rPr>
              <w:t>Notes to Consolidated Financial Statements</w:t>
            </w:r>
          </w:p>
        </w:tc>
        <w:tc>
          <w:tcPr>
            <w:tcW w:w="600" w:type="dxa"/>
            <w:vAlign w:val="bottom"/>
            <w:tcBorders>
              <w:right w:val="single" w:sz="8" w:color="CCEEFF"/>
            </w:tcBorders>
            <w:gridSpan w:val="2"/>
            <w:shd w:val="clear" w:color="auto" w:fill="CCEEFF"/>
          </w:tcPr>
          <w:p>
            <w:pPr>
              <w:jc w:val="center"/>
              <w:ind w:left="193"/>
              <w:spacing w:after="0" w:line="194" w:lineRule="exact"/>
              <w:rPr>
                <w:sz w:val="20"/>
                <w:szCs w:val="20"/>
                <w:color w:val="auto"/>
              </w:rPr>
            </w:pPr>
            <w:r>
              <w:rPr>
                <w:rFonts w:ascii="Arial" w:cs="Arial" w:eastAsia="Arial" w:hAnsi="Arial"/>
                <w:sz w:val="17"/>
                <w:szCs w:val="17"/>
                <w:color w:val="0000FF"/>
                <w:w w:val="98"/>
              </w:rPr>
              <w:t>110</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30"/>
        </w:trPr>
        <w:tc>
          <w:tcPr>
            <w:tcW w:w="20" w:type="dxa"/>
            <w:vAlign w:val="bottom"/>
            <w:tcBorders>
              <w:top w:val="single" w:sz="8" w:color="CCEEFF"/>
            </w:tcBorders>
          </w:tcPr>
          <w:p>
            <w:pPr>
              <w:spacing w:after="0"/>
              <w:rPr>
                <w:sz w:val="24"/>
                <w:szCs w:val="24"/>
                <w:color w:val="auto"/>
              </w:rPr>
            </w:pPr>
          </w:p>
        </w:tc>
        <w:tc>
          <w:tcPr>
            <w:tcW w:w="3400" w:type="dxa"/>
            <w:vAlign w:val="bottom"/>
            <w:tcBorders>
              <w:top w:val="single" w:sz="8" w:color="0000FF"/>
            </w:tcBorders>
            <w:gridSpan w:val="3"/>
          </w:tcPr>
          <w:p>
            <w:pPr>
              <w:spacing w:after="0"/>
              <w:rPr>
                <w:sz w:val="24"/>
                <w:szCs w:val="24"/>
                <w:color w:val="auto"/>
              </w:rPr>
            </w:pPr>
          </w:p>
        </w:tc>
        <w:tc>
          <w:tcPr>
            <w:tcW w:w="6900" w:type="dxa"/>
            <w:vAlign w:val="bottom"/>
            <w:tcBorders>
              <w:top w:val="single" w:sz="8" w:color="CCEEFF"/>
            </w:tcBorders>
            <w:gridSpan w:val="3"/>
          </w:tcPr>
          <w:p>
            <w:pPr>
              <w:jc w:val="right"/>
              <w:ind w:right="4560"/>
              <w:spacing w:after="0"/>
              <w:rPr>
                <w:sz w:val="20"/>
                <w:szCs w:val="20"/>
                <w:color w:val="auto"/>
              </w:rPr>
            </w:pPr>
            <w:r>
              <w:rPr>
                <w:rFonts w:ascii="Arial" w:cs="Arial" w:eastAsia="Arial" w:hAnsi="Arial"/>
                <w:sz w:val="17"/>
                <w:szCs w:val="17"/>
                <w:color w:val="auto"/>
              </w:rPr>
              <w:t>100</w:t>
            </w:r>
          </w:p>
        </w:tc>
        <w:tc>
          <w:tcPr>
            <w:tcW w:w="300" w:type="dxa"/>
            <w:vAlign w:val="bottom"/>
            <w:tcBorders>
              <w:top w:val="single" w:sz="8" w:color="CCEE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Praxis Precision Medicines, Inc.</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audited the accompanying consolidated balance sheets of Praxis Precision Medicines, Inc. (the Company) as of December 31, 2024 and 2023, the related consolidated statements of operations,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28, 2025 expressed an unqualified opinion thereon.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5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line="244" w:lineRule="auto"/>
        <w:framePr w:w="9340" w:h="997" w:wrap="auto" w:vAnchor="page" w:hAnchor="page" w:x="2200" w:y="4099"/>
        <w:rPr>
          <w:rFonts w:ascii="Arial" w:cs="Arial" w:eastAsia="Arial" w:hAnsi="Arial"/>
          <w:sz w:val="17"/>
          <w:szCs w:val="17"/>
          <w:color w:val="auto"/>
        </w:rPr>
      </w:pPr>
      <w:r>
        <w:rPr>
          <w:rFonts w:ascii="Arial" w:cs="Arial" w:eastAsia="Arial" w:hAnsi="Arial"/>
          <w:sz w:val="17"/>
          <w:szCs w:val="17"/>
          <w:color w:val="auto"/>
        </w:rPr>
        <w:t>Auditing the Company’s accrued and prepaid research and development costs for the Cerebrum Platform costs was complex, as accounting for the costs associated with these studies or clinical trials required subjective estimates of the level of services performed and the associated costs incurred by vendors. Furthermore, due to the duration of the Company’s Cerebrum Platform research and development costs, and the timing of information received from third parties, the actual amounts incurred are not typically known at the time the consolidated financial statements are issued.</w:t>
      </w:r>
    </w:p>
    <w:p>
      <w:pPr>
        <w:spacing w:after="0" w:line="226" w:lineRule="auto"/>
        <w:framePr w:w="10980" w:h="184" w:wrap="auto" w:vAnchor="page" w:hAnchor="page" w:x="300" w:y="5673"/>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How We Addressed the </w:t>
      </w:r>
      <w:r>
        <w:rPr>
          <w:rFonts w:ascii="Arial" w:cs="Arial" w:eastAsia="Arial" w:hAnsi="Arial"/>
          <w:sz w:val="17"/>
          <w:szCs w:val="17"/>
          <w:color w:val="auto"/>
        </w:rPr>
        <w:t>We obtained an understanding, evaluated the design, and tested the operating effectiveness of internal controls over</w:t>
      </w:r>
    </w:p>
    <w:p>
      <w:pPr>
        <w:spacing w:after="0" w:line="252" w:lineRule="auto"/>
        <w:framePr w:w="1540" w:h="131" w:wrap="auto" w:vAnchor="page" w:hAnchor="page" w:x="300" w:y="5961"/>
        <w:rPr>
          <w:rFonts w:ascii="Arial" w:cs="Arial" w:eastAsia="Arial" w:hAnsi="Arial"/>
          <w:sz w:val="17"/>
          <w:szCs w:val="17"/>
          <w:i w:val="1"/>
          <w:iCs w:val="1"/>
          <w:color w:val="auto"/>
        </w:rPr>
      </w:pPr>
      <w:r>
        <w:rPr>
          <w:rFonts w:ascii="Arial" w:cs="Arial" w:eastAsia="Arial" w:hAnsi="Arial"/>
          <w:sz w:val="34"/>
          <w:szCs w:val="34"/>
          <w:i w:val="1"/>
          <w:iCs w:val="1"/>
          <w:color w:val="auto"/>
          <w:vertAlign w:val="subscript"/>
        </w:rPr>
        <w:t>Matter in Our Audit</w:t>
      </w:r>
    </w:p>
    <w:p>
      <w:pPr>
        <w:spacing w:after="0" w:line="252" w:lineRule="auto"/>
        <w:framePr w:w="9300" w:h="2466" w:wrap="auto" w:vAnchor="page" w:hAnchor="page" w:x="2200" w:y="5883"/>
        <w:rPr>
          <w:rFonts w:ascii="Arial" w:cs="Arial" w:eastAsia="Arial" w:hAnsi="Arial"/>
          <w:sz w:val="17"/>
          <w:szCs w:val="17"/>
          <w:i w:val="1"/>
          <w:iCs w:val="1"/>
          <w:color w:val="auto"/>
        </w:rPr>
      </w:pPr>
      <w:r>
        <w:rPr>
          <w:rFonts w:ascii="Arial" w:cs="Arial" w:eastAsia="Arial" w:hAnsi="Arial"/>
          <w:sz w:val="17"/>
          <w:szCs w:val="17"/>
          <w:i w:val="1"/>
          <w:iCs w:val="1"/>
          <w:color w:val="auto"/>
        </w:rPr>
        <w:t>accrued and prepaid research and development costs for the Cerebrum Platform, including assessing management’s controls over the significant judgments and estimates regarding costs incurred or level of effort expended by vendors. To evaluate the accrued and prepaid research and development costs for the Cerebrum Platform research and development costs, our audit procedures included, among others, testing the accuracy and completeness of the underlying data used in the estimates and evaluating the significant judgments and estimates made by management to determine the recorded accruals and prepayments. To test the significant judgments and estimates, we discussed the progress of research and development activities with the Company’s research and development personnel that oversee the research and development projects and inspected the Company’s contracts with vendors and pending change orders to assess the impact on amounts recorded. In addition, we inspected information obtained by the Company from vendors, which included the vendors’ estimate of costs incurred to date. We also obtained vendor confirmations, analyzed fluctuations in accruals by vendor and by trial throughout the period subject to audit, evaluated the costs incurred per trial, site and/or patient for reasonableness and tested subsequent invoices received from vendors.</w:t>
      </w:r>
    </w:p>
    <w:p>
      <w:pPr>
        <w:spacing w:after="0" w:line="194" w:lineRule="auto"/>
        <w:framePr w:w="1780" w:h="158" w:wrap="auto" w:vAnchor="page" w:hAnchor="page" w:x="280" w:y="8991"/>
        <w:rPr>
          <w:rFonts w:ascii="Arial" w:cs="Arial" w:eastAsia="Arial" w:hAnsi="Arial"/>
          <w:sz w:val="17"/>
          <w:szCs w:val="17"/>
          <w:i w:val="1"/>
          <w:iCs w:val="1"/>
          <w:color w:val="auto"/>
        </w:rPr>
      </w:pPr>
      <w:r>
        <w:rPr>
          <w:rFonts w:ascii="Arial" w:cs="Arial" w:eastAsia="Arial" w:hAnsi="Arial"/>
          <w:sz w:val="17"/>
          <w:szCs w:val="17"/>
          <w:i w:val="1"/>
          <w:iCs w:val="1"/>
          <w:color w:val="auto"/>
        </w:rPr>
        <w:t>/s/ Ernst &amp; Young LLP</w:t>
      </w:r>
    </w:p>
    <w:p>
      <w:pPr>
        <w:spacing w:after="0" w:line="225" w:lineRule="auto"/>
        <w:framePr w:w="4320" w:h="368" w:wrap="auto" w:vAnchor="page" w:hAnchor="page" w:x="280" w:y="9436"/>
        <w:rPr>
          <w:rFonts w:ascii="Arial" w:cs="Arial" w:eastAsia="Arial" w:hAnsi="Arial"/>
          <w:sz w:val="17"/>
          <w:szCs w:val="17"/>
          <w:i w:val="1"/>
          <w:iCs w:val="1"/>
          <w:color w:val="auto"/>
        </w:rPr>
      </w:pPr>
      <w:r>
        <w:rPr>
          <w:rFonts w:ascii="Arial" w:cs="Arial" w:eastAsia="Arial" w:hAnsi="Arial"/>
          <w:sz w:val="17"/>
          <w:szCs w:val="17"/>
          <w:i w:val="1"/>
          <w:iCs w:val="1"/>
          <w:color w:val="auto"/>
        </w:rPr>
        <w:t>We have served as the Company’s auditor since 2019. Boston, Massachusetts</w:t>
      </w:r>
    </w:p>
    <w:p>
      <w:pPr>
        <w:spacing w:after="0" w:line="194" w:lineRule="auto"/>
        <w:framePr w:w="1520" w:h="158" w:wrap="auto" w:vAnchor="page" w:hAnchor="page" w:x="280" w:y="9843"/>
        <w:rPr>
          <w:rFonts w:ascii="Arial" w:cs="Arial" w:eastAsia="Arial" w:hAnsi="Arial"/>
          <w:sz w:val="17"/>
          <w:szCs w:val="17"/>
          <w:i w:val="1"/>
          <w:iCs w:val="1"/>
          <w:color w:val="auto"/>
        </w:rPr>
      </w:pPr>
      <w:r>
        <w:rPr>
          <w:rFonts w:ascii="Arial" w:cs="Arial" w:eastAsia="Arial" w:hAnsi="Arial"/>
          <w:sz w:val="17"/>
          <w:szCs w:val="17"/>
          <w:i w:val="1"/>
          <w:iCs w:val="1"/>
          <w:color w:val="auto"/>
        </w:rPr>
        <w:t>February 28, 2025</w:t>
      </w:r>
    </w:p>
    <w:p>
      <w:pPr>
        <w:spacing w:after="0" w:line="206" w:lineRule="auto"/>
        <w:framePr w:w="360" w:h="158" w:wrap="auto" w:vAnchor="page" w:hAnchor="page" w:x="5760" w:y="10590"/>
        <w:rPr>
          <w:rFonts w:ascii="Arial" w:cs="Arial" w:eastAsia="Arial" w:hAnsi="Arial"/>
          <w:sz w:val="16"/>
          <w:szCs w:val="16"/>
          <w:i w:val="1"/>
          <w:iCs w:val="1"/>
          <w:color w:val="auto"/>
        </w:rPr>
      </w:pPr>
      <w:r>
        <w:rPr>
          <w:rFonts w:ascii="Arial" w:cs="Arial" w:eastAsia="Arial" w:hAnsi="Arial"/>
          <w:sz w:val="16"/>
          <w:szCs w:val="16"/>
          <w:i w:val="1"/>
          <w:iCs w:val="1"/>
          <w:color w:val="auto"/>
        </w:rPr>
        <w:t>102</w:t>
      </w:r>
    </w:p>
    <w:p>
      <w:pPr>
        <w:spacing w:after="0" w:line="253" w:lineRule="auto"/>
        <w:framePr w:w="9340" w:h="2466" w:wrap="auto" w:vAnchor="page" w:hAnchor="page" w:x="2200" w:y="1345"/>
        <w:rPr>
          <w:rFonts w:ascii="Arial" w:cs="Arial" w:eastAsia="Arial" w:hAnsi="Arial"/>
          <w:sz w:val="17"/>
          <w:szCs w:val="17"/>
          <w:i w:val="1"/>
          <w:iCs w:val="1"/>
          <w:color w:val="auto"/>
        </w:rPr>
      </w:pPr>
      <w:r>
        <w:rPr>
          <w:rFonts w:ascii="Arial" w:cs="Arial" w:eastAsia="Arial" w:hAnsi="Arial"/>
          <w:sz w:val="17"/>
          <w:szCs w:val="17"/>
          <w:i w:val="1"/>
          <w:iCs w:val="1"/>
          <w:color w:val="auto"/>
        </w:rPr>
        <w:t>The Company’s accrued costs for research and development expenses totaled $13.4 million at December 31, 2024, including accruals related to the Company’s Cerebrum Platform research and development costs. In addition, the Company’s prepaid expenses and other current assets were $11.8 million which included amounts that were paid in advance of services incurred pursuant to the Cerebrum Platform research and development costs. As discussed in Note 2 to the consolidated financial statements, the Company analyzes the progress of the studies or clinical trials, including the phase or completion of events, invoices received and contracted costs. Significant judgments and estimates are made in determining the accrued and prepaid balances at the end of any reporting period for the Company’s Cerebrum Platform research and development costs. The Company is required to estimate such accruals and prepaids using judgment based on certain information, including actual costs incurred or level of effort expended, as provided by its vendors. Payments for such activities are based on the terms of the individual arrangements, which may differ from the pattern of costs incurred, and are reflected on the consolidated balance sheet within accrued or prepaid expenses and other current assets.</w:t>
      </w: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83"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7"/>
          <w:szCs w:val="17"/>
          <w:b w:val="1"/>
          <w:bCs w:val="1"/>
          <w:color w:val="auto"/>
        </w:rPr>
        <w:t>Cerebrum Platform Accrued and Prepaid Research and Development Costs</w:t>
      </w:r>
    </w:p>
    <w:p>
      <w:pPr>
        <w:spacing w:after="0" w:line="200" w:lineRule="exact"/>
        <w:rPr>
          <w:rFonts w:ascii="Arial" w:cs="Arial" w:eastAsia="Arial" w:hAnsi="Arial"/>
          <w:sz w:val="17"/>
          <w:szCs w:val="17"/>
          <w:i w:val="1"/>
          <w:iCs w:val="1"/>
          <w:color w:val="auto"/>
        </w:rPr>
      </w:pPr>
    </w:p>
    <w:p>
      <w:pPr>
        <w:ind w:left="20"/>
        <w:spacing w:after="0"/>
        <w:rPr>
          <w:sz w:val="20"/>
          <w:szCs w:val="20"/>
          <w:color w:val="auto"/>
        </w:rPr>
      </w:pPr>
      <w:r>
        <w:rPr>
          <w:rFonts w:ascii="Arial" w:cs="Arial" w:eastAsia="Arial" w:hAnsi="Arial"/>
          <w:sz w:val="17"/>
          <w:szCs w:val="17"/>
          <w:i w:val="1"/>
          <w:iCs w:val="1"/>
          <w:color w:val="auto"/>
        </w:rPr>
        <w:t>Description of the</w:t>
      </w:r>
    </w:p>
    <w:p>
      <w:pPr>
        <w:spacing w:after="0" w:line="67" w:lineRule="exact"/>
        <w:rPr>
          <w:rFonts w:ascii="Arial" w:cs="Arial" w:eastAsia="Arial" w:hAnsi="Arial"/>
          <w:sz w:val="17"/>
          <w:szCs w:val="17"/>
          <w:i w:val="1"/>
          <w:iCs w:val="1"/>
          <w:color w:val="auto"/>
        </w:rPr>
      </w:pPr>
    </w:p>
    <w:p>
      <w:pPr>
        <w:ind w:left="20"/>
        <w:spacing w:after="0"/>
        <w:rPr>
          <w:sz w:val="20"/>
          <w:szCs w:val="20"/>
          <w:color w:val="auto"/>
        </w:rPr>
      </w:pPr>
      <w:r>
        <w:rPr>
          <w:rFonts w:ascii="Arial" w:cs="Arial" w:eastAsia="Arial" w:hAnsi="Arial"/>
          <w:sz w:val="17"/>
          <w:szCs w:val="17"/>
          <w:i w:val="1"/>
          <w:iCs w:val="1"/>
          <w:color w:val="auto"/>
        </w:rPr>
        <w:t>Matter</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-8890</wp:posOffset>
            </wp:positionH>
            <wp:positionV relativeFrom="paragraph">
              <wp:posOffset>5761355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81,300</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177,195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02"/>
        </w:trPr>
        <w:tc>
          <w:tcPr>
            <w:tcW w:w="80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404,372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84,880</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76,961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12,528</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5,815</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deferred revenue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02"/>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37,550</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15,749</w:t>
            </w:r>
          </w:p>
        </w:tc>
        <w:tc>
          <w:tcPr>
            <w:tcW w:w="0" w:type="dxa"/>
            <w:vAlign w:val="bottom"/>
          </w:tcPr>
          <w:p>
            <w:pPr>
              <w:spacing w:after="0"/>
              <w:rPr>
                <w:sz w:val="1"/>
                <w:szCs w:val="1"/>
                <w:color w:val="auto"/>
              </w:rPr>
            </w:pPr>
          </w:p>
        </w:tc>
      </w:tr>
      <w:tr>
        <w:trPr>
          <w:trHeight w:val="19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deferred revenue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02"/>
        </w:trPr>
        <w:tc>
          <w:tcPr>
            <w:tcW w:w="8060" w:type="dxa"/>
            <w:vAlign w:val="bottom"/>
          </w:tcPr>
          <w:p>
            <w:pPr>
              <w:ind w:left="44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37,660</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18,279</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8)</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060" w:type="dxa"/>
            <w:vAlign w:val="bottom"/>
            <w:shd w:val="clear" w:color="auto" w:fill="CCEEFF"/>
          </w:tcPr>
          <w:p>
            <w:pPr>
              <w:ind w:left="240"/>
              <w:spacing w:after="0" w:line="160"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3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December 31, 2024 and December 31, 2023</w:t>
            </w:r>
          </w:p>
        </w:tc>
        <w:tc>
          <w:tcPr>
            <w:tcW w:w="3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60" w:type="dxa"/>
            <w:vAlign w:val="bottom"/>
          </w:tcPr>
          <w:p>
            <w:pPr>
              <w:ind w:left="240"/>
              <w:spacing w:after="0" w:line="158" w:lineRule="exact"/>
              <w:rPr>
                <w:sz w:val="20"/>
                <w:szCs w:val="20"/>
                <w:color w:val="auto"/>
              </w:rPr>
            </w:pPr>
            <w:r>
              <w:rPr>
                <w:rFonts w:ascii="Arial" w:cs="Arial" w:eastAsia="Arial" w:hAnsi="Arial"/>
                <w:sz w:val="16"/>
                <w:szCs w:val="16"/>
                <w:color w:val="auto"/>
                <w:w w:val="99"/>
              </w:rPr>
              <w:t>Common stock, $0.0001 par value; 150,000,000 shares authorized; 19,422,358 shares issued and outstanding</w:t>
            </w:r>
          </w:p>
        </w:tc>
        <w:tc>
          <w:tcPr>
            <w:tcW w:w="3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8"/>
        </w:trPr>
        <w:tc>
          <w:tcPr>
            <w:tcW w:w="8060" w:type="dxa"/>
            <w:vAlign w:val="bottom"/>
          </w:tcPr>
          <w:p>
            <w:pPr>
              <w:ind w:left="240"/>
              <w:spacing w:after="0"/>
              <w:rPr>
                <w:sz w:val="20"/>
                <w:szCs w:val="20"/>
                <w:color w:val="auto"/>
              </w:rPr>
            </w:pPr>
            <w:r>
              <w:rPr>
                <w:rFonts w:ascii="Arial" w:cs="Arial" w:eastAsia="Arial" w:hAnsi="Arial"/>
                <w:sz w:val="16"/>
                <w:szCs w:val="16"/>
                <w:color w:val="auto"/>
              </w:rPr>
              <w:t>as of December 31, 2024, and 8,791,877 shares issued and outstanding as of December 31, 2023</w:t>
            </w: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1,281,522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723,577</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other comprehensive gain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(836,740)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(653,921)</w:t>
            </w:r>
          </w:p>
        </w:tc>
        <w:tc>
          <w:tcPr>
            <w:tcW w:w="0" w:type="dxa"/>
            <w:vAlign w:val="bottom"/>
          </w:tcPr>
          <w:p>
            <w:pPr>
              <w:spacing w:after="0"/>
              <w:rPr>
                <w:sz w:val="1"/>
                <w:szCs w:val="1"/>
                <w:color w:val="auto"/>
              </w:rPr>
            </w:pPr>
          </w:p>
        </w:tc>
      </w:tr>
      <w:tr>
        <w:trPr>
          <w:trHeight w:val="202"/>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445,450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2023</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8,553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152,413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86,766</w:t>
            </w:r>
          </w:p>
        </w:tc>
      </w:tr>
      <w:tr>
        <w:trPr>
          <w:trHeight w:val="20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56,305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42,054</w:t>
            </w:r>
          </w:p>
        </w:tc>
      </w:tr>
      <w:tr>
        <w:trPr>
          <w:trHeight w:val="204"/>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208,718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128,820</w:t>
            </w: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(200,165)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(126,373)</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17,346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r>
      <w:tr>
        <w:trPr>
          <w:trHeight w:val="203"/>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income</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17,346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(182,819)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(123,277)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8020" w:type="dxa"/>
            <w:vAlign w:val="bottom"/>
          </w:tcPr>
          <w:p>
            <w:pPr>
              <w:ind w:left="20"/>
              <w:spacing w:after="0" w:line="182" w:lineRule="exact"/>
              <w:rPr>
                <w:sz w:val="20"/>
                <w:szCs w:val="20"/>
                <w:color w:val="auto"/>
              </w:rPr>
            </w:pPr>
            <w:r>
              <w:rPr>
                <w:rFonts w:ascii="Arial" w:cs="Arial" w:eastAsia="Arial" w:hAnsi="Arial"/>
                <w:sz w:val="16"/>
                <w:szCs w:val="16"/>
                <w:color w:val="auto"/>
              </w:rPr>
              <w:t>Weighted average common shares outstanding, basic and diluted</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17,906,794</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6,594,316</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2023</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(182,819)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(123,277)</w:t>
            </w:r>
          </w:p>
        </w:tc>
      </w:tr>
      <w:tr>
        <w:trPr>
          <w:trHeight w:val="20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unrealized gain (loss) on marketable securities, net of tax</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(182,165)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(123,104)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left="3380"/>
        <w:spacing w:after="0" w:line="413" w:lineRule="auto"/>
        <w:rPr>
          <w:sz w:val="20"/>
          <w:szCs w:val="20"/>
          <w:color w:val="auto"/>
        </w:rPr>
      </w:pPr>
      <w:r>
        <w:rPr>
          <w:rFonts w:ascii="Arial" w:cs="Arial" w:eastAsia="Arial" w:hAnsi="Arial"/>
          <w:sz w:val="17"/>
          <w:szCs w:val="17"/>
          <w:b w:val="1"/>
          <w:bCs w:val="1"/>
          <w:color w:val="auto"/>
        </w:rPr>
        <w:t>PRAXIS PRECISION MEDICINES, INC. CONSOLIDATED STATEMENTS OF STOCKHOLDERS’ EQUITY (Amounts in thousands, except share data)</w:t>
      </w:r>
    </w:p>
    <w:p>
      <w:pPr>
        <w:spacing w:after="0" w:line="252"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2"/>
                <w:szCs w:val="12"/>
                <w:color w:val="auto"/>
              </w:rPr>
            </w:pPr>
          </w:p>
        </w:tc>
        <w:tc>
          <w:tcPr>
            <w:tcW w:w="780" w:type="dxa"/>
            <w:vAlign w:val="bottom"/>
            <w:vMerge w:val="restart"/>
          </w:tcPr>
          <w:p>
            <w:pPr>
              <w:jc w:val="center"/>
              <w:ind w:right="11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8"/>
        </w:trPr>
        <w:tc>
          <w:tcPr>
            <w:tcW w:w="5020" w:type="dxa"/>
            <w:vAlign w:val="bottom"/>
          </w:tcPr>
          <w:p>
            <w:pPr>
              <w:spacing w:after="0"/>
              <w:rPr>
                <w:sz w:val="10"/>
                <w:szCs w:val="10"/>
                <w:color w:val="auto"/>
              </w:rPr>
            </w:pPr>
          </w:p>
        </w:tc>
        <w:tc>
          <w:tcPr>
            <w:tcW w:w="1800" w:type="dxa"/>
            <w:vAlign w:val="bottom"/>
            <w:gridSpan w:val="3"/>
            <w:vMerge w:val="restart"/>
          </w:tcPr>
          <w:p>
            <w:pPr>
              <w:jc w:val="right"/>
              <w:ind w:right="279"/>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rPr>
              <w:t>Other</w:t>
            </w: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020" w:type="dxa"/>
            <w:vAlign w:val="bottom"/>
          </w:tcPr>
          <w:p>
            <w:pPr>
              <w:spacing w:after="0"/>
              <w:rPr>
                <w:sz w:val="8"/>
                <w:szCs w:val="8"/>
                <w:color w:val="auto"/>
              </w:rPr>
            </w:pPr>
          </w:p>
        </w:tc>
        <w:tc>
          <w:tcPr>
            <w:tcW w:w="180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220"/>
              <w:spacing w:after="0" w:line="98"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8"/>
                <w:szCs w:val="8"/>
                <w:color w:val="auto"/>
              </w:rPr>
            </w:pPr>
          </w:p>
        </w:tc>
        <w:tc>
          <w:tcPr>
            <w:tcW w:w="960" w:type="dxa"/>
            <w:vAlign w:val="bottom"/>
            <w:gridSpan w:val="2"/>
          </w:tcPr>
          <w:p>
            <w:pPr>
              <w:jc w:val="center"/>
              <w:ind w:right="160"/>
              <w:spacing w:after="0" w:line="98" w:lineRule="exact"/>
              <w:rPr>
                <w:sz w:val="20"/>
                <w:szCs w:val="20"/>
                <w:color w:val="auto"/>
              </w:rPr>
            </w:pPr>
            <w:r>
              <w:rPr>
                <w:rFonts w:ascii="Arial" w:cs="Arial" w:eastAsia="Arial" w:hAnsi="Arial"/>
                <w:sz w:val="11"/>
                <w:szCs w:val="11"/>
                <w:b w:val="1"/>
                <w:bCs w:val="1"/>
                <w:color w:val="auto"/>
              </w:rPr>
              <w:t>Accumulated</w:t>
            </w:r>
          </w:p>
        </w:tc>
        <w:tc>
          <w:tcPr>
            <w:tcW w:w="1060" w:type="dxa"/>
            <w:vAlign w:val="bottom"/>
            <w:gridSpan w:val="3"/>
          </w:tcPr>
          <w:p>
            <w:pPr>
              <w:ind w:left="40"/>
              <w:spacing w:after="0" w:line="98" w:lineRule="exact"/>
              <w:rPr>
                <w:sz w:val="20"/>
                <w:szCs w:val="20"/>
                <w:color w:val="auto"/>
              </w:rPr>
            </w:pPr>
            <w:r>
              <w:rPr>
                <w:rFonts w:ascii="Arial" w:cs="Arial" w:eastAsia="Arial" w:hAnsi="Arial"/>
                <w:sz w:val="11"/>
                <w:szCs w:val="11"/>
                <w:b w:val="1"/>
                <w:bCs w:val="1"/>
                <w:color w:val="auto"/>
              </w:rPr>
              <w:t>Comprehensive</w:t>
            </w:r>
          </w:p>
        </w:tc>
        <w:tc>
          <w:tcPr>
            <w:tcW w:w="960" w:type="dxa"/>
            <w:vAlign w:val="bottom"/>
            <w:gridSpan w:val="2"/>
          </w:tcPr>
          <w:p>
            <w:pPr>
              <w:jc w:val="center"/>
              <w:spacing w:after="0" w:line="98"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Capital</w:t>
            </w:r>
          </w:p>
        </w:tc>
        <w:tc>
          <w:tcPr>
            <w:tcW w:w="8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Gain (Loss)</w:t>
            </w:r>
          </w:p>
        </w:tc>
        <w:tc>
          <w:tcPr>
            <w:tcW w:w="180" w:type="dxa"/>
            <w:vAlign w:val="bottom"/>
          </w:tcPr>
          <w:p>
            <w:pPr>
              <w:spacing w:after="0"/>
              <w:rPr>
                <w:sz w:val="15"/>
                <w:szCs w:val="15"/>
                <w:color w:val="auto"/>
              </w:rPr>
            </w:pPr>
          </w:p>
        </w:tc>
        <w:tc>
          <w:tcPr>
            <w:tcW w:w="780" w:type="dxa"/>
            <w:vAlign w:val="bottom"/>
          </w:tcPr>
          <w:p>
            <w:pPr>
              <w:jc w:val="center"/>
              <w:ind w:right="11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68"/>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8,791,877</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723,577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(653,921)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69,669</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14,475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14,475</w:t>
            </w:r>
          </w:p>
        </w:tc>
        <w:tc>
          <w:tcPr>
            <w:tcW w:w="0" w:type="dxa"/>
            <w:vAlign w:val="bottom"/>
          </w:tcPr>
          <w:p>
            <w:pPr>
              <w:spacing w:after="0"/>
              <w:rPr>
                <w:sz w:val="1"/>
                <w:szCs w:val="1"/>
                <w:color w:val="auto"/>
              </w:rPr>
            </w:pPr>
          </w:p>
        </w:tc>
      </w:tr>
      <w:tr>
        <w:trPr>
          <w:trHeight w:val="123"/>
        </w:trPr>
        <w:tc>
          <w:tcPr>
            <w:tcW w:w="5020" w:type="dxa"/>
            <w:vAlign w:val="bottom"/>
            <w:shd w:val="clear" w:color="auto" w:fill="CCEEFF"/>
          </w:tcPr>
          <w:p>
            <w:pPr>
              <w:ind w:left="20"/>
              <w:spacing w:after="0" w:line="123" w:lineRule="exact"/>
              <w:rPr>
                <w:sz w:val="20"/>
                <w:szCs w:val="20"/>
                <w:color w:val="auto"/>
              </w:rPr>
            </w:pPr>
            <w:r>
              <w:rPr>
                <w:rFonts w:ascii="Arial" w:cs="Arial" w:eastAsia="Arial" w:hAnsi="Arial"/>
                <w:sz w:val="12"/>
                <w:szCs w:val="12"/>
                <w:color w:val="auto"/>
              </w:rPr>
              <w:t>Issuance of common stock from follow-on public offering and accompanying pre-funded</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warrants, net of underwriting discounts, commissions and offering costs of $10,836</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3,802,025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161,649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161,649</w:t>
            </w:r>
          </w:p>
        </w:tc>
        <w:tc>
          <w:tcPr>
            <w:tcW w:w="0" w:type="dxa"/>
            <w:vAlign w:val="bottom"/>
          </w:tcPr>
          <w:p>
            <w:pPr>
              <w:spacing w:after="0"/>
              <w:rPr>
                <w:sz w:val="1"/>
                <w:szCs w:val="1"/>
                <w:color w:val="auto"/>
              </w:rPr>
            </w:pPr>
          </w:p>
        </w:tc>
      </w:tr>
      <w:tr>
        <w:trPr>
          <w:trHeight w:val="118"/>
        </w:trPr>
        <w:tc>
          <w:tcPr>
            <w:tcW w:w="5020" w:type="dxa"/>
            <w:vAlign w:val="bottom"/>
          </w:tcPr>
          <w:p>
            <w:pPr>
              <w:ind w:left="20"/>
              <w:spacing w:after="0" w:line="118" w:lineRule="exact"/>
              <w:rPr>
                <w:sz w:val="20"/>
                <w:szCs w:val="20"/>
                <w:color w:val="auto"/>
              </w:rPr>
            </w:pPr>
            <w:r>
              <w:rPr>
                <w:rFonts w:ascii="Arial" w:cs="Arial" w:eastAsia="Arial" w:hAnsi="Arial"/>
                <w:sz w:val="12"/>
                <w:szCs w:val="12"/>
                <w:color w:val="auto"/>
              </w:rPr>
              <w:t>Issuance of common stock from at-the-market public offerings, net of issuance and</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0"/>
              <w:spacing w:after="0"/>
              <w:rPr>
                <w:sz w:val="20"/>
                <w:szCs w:val="20"/>
                <w:color w:val="auto"/>
              </w:rPr>
            </w:pPr>
            <w:r>
              <w:rPr>
                <w:rFonts w:ascii="Arial" w:cs="Arial" w:eastAsia="Arial" w:hAnsi="Arial"/>
                <w:sz w:val="12"/>
                <w:szCs w:val="12"/>
                <w:color w:val="auto"/>
              </w:rPr>
              <w:t>commission costs of $376</w:t>
            </w:r>
          </w:p>
        </w:tc>
        <w:tc>
          <w:tcPr>
            <w:tcW w:w="980" w:type="dxa"/>
            <w:vAlign w:val="bottom"/>
          </w:tcPr>
          <w:p>
            <w:pPr>
              <w:jc w:val="right"/>
              <w:spacing w:after="0"/>
              <w:rPr>
                <w:sz w:val="20"/>
                <w:szCs w:val="20"/>
                <w:color w:val="auto"/>
              </w:rPr>
            </w:pPr>
            <w:r>
              <w:rPr>
                <w:rFonts w:ascii="Arial" w:cs="Arial" w:eastAsia="Arial" w:hAnsi="Arial"/>
                <w:sz w:val="12"/>
                <w:szCs w:val="12"/>
                <w:color w:val="auto"/>
              </w:rPr>
              <w:t>209,852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6,169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6,169</w:t>
            </w:r>
          </w:p>
        </w:tc>
        <w:tc>
          <w:tcPr>
            <w:tcW w:w="0" w:type="dxa"/>
            <w:vAlign w:val="bottom"/>
          </w:tcPr>
          <w:p>
            <w:pPr>
              <w:spacing w:after="0"/>
              <w:rPr>
                <w:sz w:val="1"/>
                <w:szCs w:val="1"/>
                <w:color w:val="auto"/>
              </w:rPr>
            </w:pPr>
          </w:p>
        </w:tc>
      </w:tr>
      <w:tr>
        <w:trPr>
          <w:trHeight w:val="178"/>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from a collaboration and license agreement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443,253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17,265</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11,095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3,634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gain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(39,553)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(39,553)</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13,258,047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923,141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(693,474)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229,683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5,878</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5,878</w:t>
            </w:r>
          </w:p>
        </w:tc>
        <w:tc>
          <w:tcPr>
            <w:tcW w:w="0" w:type="dxa"/>
            <w:vAlign w:val="bottom"/>
          </w:tcPr>
          <w:p>
            <w:pPr>
              <w:spacing w:after="0"/>
              <w:rPr>
                <w:sz w:val="1"/>
                <w:szCs w:val="1"/>
                <w:color w:val="auto"/>
              </w:rPr>
            </w:pPr>
          </w:p>
        </w:tc>
      </w:tr>
      <w:tr>
        <w:trPr>
          <w:trHeight w:val="123"/>
        </w:trPr>
        <w:tc>
          <w:tcPr>
            <w:tcW w:w="5020" w:type="dxa"/>
            <w:vAlign w:val="bottom"/>
            <w:shd w:val="clear" w:color="auto" w:fill="CCEEFF"/>
          </w:tcPr>
          <w:p>
            <w:pPr>
              <w:ind w:left="20"/>
              <w:spacing w:after="0" w:line="123" w:lineRule="exact"/>
              <w:rPr>
                <w:sz w:val="20"/>
                <w:szCs w:val="20"/>
                <w:color w:val="auto"/>
              </w:rPr>
            </w:pPr>
            <w:r>
              <w:rPr>
                <w:rFonts w:ascii="Arial" w:cs="Arial" w:eastAsia="Arial" w:hAnsi="Arial"/>
                <w:sz w:val="12"/>
                <w:szCs w:val="12"/>
                <w:color w:val="auto"/>
              </w:rPr>
              <w:t>Issuance of common stock from follow-on public offering and accompanying pre-funded</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warrants, net of underwriting discounts, commissions and offering costs of $14,013</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3,849,558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215,987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215,988</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from exercise of pre-funded warrants</w:t>
            </w:r>
          </w:p>
        </w:tc>
        <w:tc>
          <w:tcPr>
            <w:tcW w:w="980" w:type="dxa"/>
            <w:vAlign w:val="bottom"/>
          </w:tcPr>
          <w:p>
            <w:pPr>
              <w:jc w:val="right"/>
              <w:spacing w:after="0"/>
              <w:rPr>
                <w:sz w:val="20"/>
                <w:szCs w:val="20"/>
                <w:color w:val="auto"/>
              </w:rPr>
            </w:pPr>
            <w:r>
              <w:rPr>
                <w:rFonts w:ascii="Arial" w:cs="Arial" w:eastAsia="Arial" w:hAnsi="Arial"/>
                <w:sz w:val="12"/>
                <w:szCs w:val="12"/>
                <w:color w:val="auto"/>
              </w:rPr>
              <w:t>622,123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25,146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726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148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gain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(32,677)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(32,677)</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17,755,506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1,145,308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(726,151)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419,100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12,432</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12,432</w:t>
            </w:r>
          </w:p>
        </w:tc>
        <w:tc>
          <w:tcPr>
            <w:tcW w:w="0" w:type="dxa"/>
            <w:vAlign w:val="bottom"/>
          </w:tcPr>
          <w:p>
            <w:pPr>
              <w:spacing w:after="0"/>
              <w:rPr>
                <w:sz w:val="1"/>
                <w:szCs w:val="1"/>
                <w:color w:val="auto"/>
              </w:rPr>
            </w:pPr>
          </w:p>
        </w:tc>
      </w:tr>
      <w:tr>
        <w:trPr>
          <w:trHeight w:val="123"/>
        </w:trPr>
        <w:tc>
          <w:tcPr>
            <w:tcW w:w="5020" w:type="dxa"/>
            <w:vAlign w:val="bottom"/>
            <w:shd w:val="clear" w:color="auto" w:fill="CCEEFF"/>
          </w:tcPr>
          <w:p>
            <w:pPr>
              <w:ind w:left="20"/>
              <w:spacing w:after="0" w:line="123" w:lineRule="exact"/>
              <w:rPr>
                <w:sz w:val="20"/>
                <w:szCs w:val="20"/>
                <w:color w:val="auto"/>
              </w:rPr>
            </w:pPr>
            <w:r>
              <w:rPr>
                <w:rFonts w:ascii="Arial" w:cs="Arial" w:eastAsia="Arial" w:hAnsi="Arial"/>
                <w:sz w:val="12"/>
                <w:szCs w:val="12"/>
                <w:color w:val="auto"/>
              </w:rPr>
              <w:t>Issuance of common stock from at-the-market public offerings, net of issuance and</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commission costs of $70</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25,189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from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4,971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gain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1,402</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(51,910)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(51,910)</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17,785,697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1,159,382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(778,061)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382,666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8,575</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8,575</w:t>
            </w:r>
          </w:p>
        </w:tc>
        <w:tc>
          <w:tcPr>
            <w:tcW w:w="0" w:type="dxa"/>
            <w:vAlign w:val="bottom"/>
          </w:tcPr>
          <w:p>
            <w:pPr>
              <w:spacing w:after="0"/>
              <w:rPr>
                <w:sz w:val="1"/>
                <w:szCs w:val="1"/>
                <w:color w:val="auto"/>
              </w:rPr>
            </w:pPr>
          </w:p>
        </w:tc>
      </w:tr>
      <w:tr>
        <w:trPr>
          <w:trHeight w:val="123"/>
        </w:trPr>
        <w:tc>
          <w:tcPr>
            <w:tcW w:w="5020" w:type="dxa"/>
            <w:vAlign w:val="bottom"/>
            <w:shd w:val="clear" w:color="auto" w:fill="CCEEFF"/>
          </w:tcPr>
          <w:p>
            <w:pPr>
              <w:ind w:left="20"/>
              <w:spacing w:after="0" w:line="123" w:lineRule="exact"/>
              <w:rPr>
                <w:sz w:val="20"/>
                <w:szCs w:val="20"/>
                <w:color w:val="auto"/>
              </w:rPr>
            </w:pPr>
            <w:r>
              <w:rPr>
                <w:rFonts w:ascii="Arial" w:cs="Arial" w:eastAsia="Arial" w:hAnsi="Arial"/>
                <w:sz w:val="12"/>
                <w:szCs w:val="12"/>
                <w:color w:val="auto"/>
              </w:rPr>
              <w:t>Issuance of common stock from at-the-market public offerings, net of issuance and</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commission costs of $2,812</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1,588,611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111,748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111,748</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tcPr>
          <w:p>
            <w:pPr>
              <w:jc w:val="right"/>
              <w:spacing w:after="0"/>
              <w:rPr>
                <w:sz w:val="20"/>
                <w:szCs w:val="20"/>
                <w:color w:val="auto"/>
              </w:rPr>
            </w:pPr>
            <w:r>
              <w:rPr>
                <w:rFonts w:ascii="Arial" w:cs="Arial" w:eastAsia="Arial" w:hAnsi="Arial"/>
                <w:sz w:val="12"/>
                <w:szCs w:val="12"/>
                <w:color w:val="auto"/>
              </w:rPr>
              <w:t>6,235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from exercise of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36,424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1,741</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7,603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Change in unrealized gain (loss) on marketable securities,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(677)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(677)</w:t>
            </w: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(58,679)</w:t>
            </w:r>
          </w:p>
        </w:tc>
        <w:tc>
          <w:tcPr>
            <w:tcW w:w="0" w:type="dxa"/>
            <w:vAlign w:val="bottom"/>
          </w:tcPr>
          <w:p>
            <w:pPr>
              <w:spacing w:after="0"/>
              <w:rPr>
                <w:sz w:val="1"/>
                <w:szCs w:val="1"/>
                <w:color w:val="auto"/>
              </w:rPr>
            </w:pPr>
          </w:p>
        </w:tc>
      </w:tr>
      <w:tr>
        <w:trPr>
          <w:trHeight w:val="168"/>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19,422,358</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1,281,522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(836,740)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654</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445,450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80" w:right="2500"/>
        <w:spacing w:after="0" w:line="413" w:lineRule="auto"/>
        <w:rPr>
          <w:sz w:val="20"/>
          <w:szCs w:val="20"/>
          <w:color w:val="auto"/>
        </w:rPr>
      </w:pPr>
      <w:r>
        <w:rPr>
          <w:rFonts w:ascii="Arial" w:cs="Arial" w:eastAsia="Arial" w:hAnsi="Arial"/>
          <w:sz w:val="17"/>
          <w:szCs w:val="17"/>
          <w:b w:val="1"/>
          <w:bCs w:val="1"/>
          <w:color w:val="auto"/>
        </w:rPr>
        <w:t>PRAXIS PRECISION MEDICINES, INC. CONSOLIDATED STATEMENTS OF STOCKHOLDERS’ EQUITY (continued) (Amounts in thousands, except share data)</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2"/>
                <w:szCs w:val="12"/>
                <w:color w:val="auto"/>
              </w:rPr>
            </w:pPr>
          </w:p>
        </w:tc>
        <w:tc>
          <w:tcPr>
            <w:tcW w:w="780" w:type="dxa"/>
            <w:vAlign w:val="bottom"/>
            <w:vMerge w:val="restart"/>
          </w:tcPr>
          <w:p>
            <w:pPr>
              <w:jc w:val="center"/>
              <w:ind w:right="11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8"/>
        </w:trPr>
        <w:tc>
          <w:tcPr>
            <w:tcW w:w="4920" w:type="dxa"/>
            <w:vAlign w:val="bottom"/>
          </w:tcPr>
          <w:p>
            <w:pPr>
              <w:spacing w:after="0"/>
              <w:rPr>
                <w:sz w:val="10"/>
                <w:szCs w:val="10"/>
                <w:color w:val="auto"/>
              </w:rPr>
            </w:pPr>
          </w:p>
        </w:tc>
        <w:tc>
          <w:tcPr>
            <w:tcW w:w="1800" w:type="dxa"/>
            <w:vAlign w:val="bottom"/>
            <w:gridSpan w:val="3"/>
            <w:vMerge w:val="restart"/>
          </w:tcPr>
          <w:p>
            <w:pPr>
              <w:jc w:val="right"/>
              <w:ind w:right="279"/>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9"/>
              </w:rPr>
              <w:t>Other</w:t>
            </w: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920" w:type="dxa"/>
            <w:vAlign w:val="bottom"/>
          </w:tcPr>
          <w:p>
            <w:pPr>
              <w:spacing w:after="0"/>
              <w:rPr>
                <w:sz w:val="8"/>
                <w:szCs w:val="8"/>
                <w:color w:val="auto"/>
              </w:rPr>
            </w:pPr>
          </w:p>
        </w:tc>
        <w:tc>
          <w:tcPr>
            <w:tcW w:w="180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240"/>
              <w:spacing w:after="0" w:line="98"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8"/>
                <w:szCs w:val="8"/>
                <w:color w:val="auto"/>
              </w:rPr>
            </w:pPr>
          </w:p>
        </w:tc>
        <w:tc>
          <w:tcPr>
            <w:tcW w:w="960" w:type="dxa"/>
            <w:vAlign w:val="bottom"/>
            <w:gridSpan w:val="2"/>
          </w:tcPr>
          <w:p>
            <w:pPr>
              <w:jc w:val="center"/>
              <w:ind w:right="180"/>
              <w:spacing w:after="0" w:line="98" w:lineRule="exact"/>
              <w:rPr>
                <w:sz w:val="20"/>
                <w:szCs w:val="20"/>
                <w:color w:val="auto"/>
              </w:rPr>
            </w:pPr>
            <w:r>
              <w:rPr>
                <w:rFonts w:ascii="Arial" w:cs="Arial" w:eastAsia="Arial" w:hAnsi="Arial"/>
                <w:sz w:val="11"/>
                <w:szCs w:val="11"/>
                <w:b w:val="1"/>
                <w:bCs w:val="1"/>
                <w:color w:val="auto"/>
              </w:rPr>
              <w:t>Accumulated</w:t>
            </w:r>
          </w:p>
        </w:tc>
        <w:tc>
          <w:tcPr>
            <w:tcW w:w="1060" w:type="dxa"/>
            <w:vAlign w:val="bottom"/>
            <w:gridSpan w:val="3"/>
          </w:tcPr>
          <w:p>
            <w:pPr>
              <w:ind w:left="20"/>
              <w:spacing w:after="0" w:line="98" w:lineRule="exact"/>
              <w:rPr>
                <w:sz w:val="20"/>
                <w:szCs w:val="20"/>
                <w:color w:val="auto"/>
              </w:rPr>
            </w:pPr>
            <w:r>
              <w:rPr>
                <w:rFonts w:ascii="Arial" w:cs="Arial" w:eastAsia="Arial" w:hAnsi="Arial"/>
                <w:sz w:val="11"/>
                <w:szCs w:val="11"/>
                <w:b w:val="1"/>
                <w:bCs w:val="1"/>
                <w:color w:val="auto"/>
              </w:rPr>
              <w:t>Comprehensive</w:t>
            </w:r>
          </w:p>
        </w:tc>
        <w:tc>
          <w:tcPr>
            <w:tcW w:w="960" w:type="dxa"/>
            <w:vAlign w:val="bottom"/>
            <w:gridSpan w:val="2"/>
          </w:tcPr>
          <w:p>
            <w:pPr>
              <w:jc w:val="center"/>
              <w:spacing w:after="0" w:line="98"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77"/>
        </w:trPr>
        <w:tc>
          <w:tcPr>
            <w:tcW w:w="492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15"/>
                <w:szCs w:val="15"/>
                <w:color w:val="auto"/>
              </w:rPr>
            </w:pPr>
          </w:p>
        </w:tc>
        <w:tc>
          <w:tcPr>
            <w:tcW w:w="780" w:type="dxa"/>
            <w:vAlign w:val="bottom"/>
          </w:tcPr>
          <w:p>
            <w:pPr>
              <w:jc w:val="center"/>
              <w:ind w:right="13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8"/>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3,292,163</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606,918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(530,644)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76,106</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7,593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7,593</w:t>
            </w:r>
          </w:p>
        </w:tc>
        <w:tc>
          <w:tcPr>
            <w:tcW w:w="0" w:type="dxa"/>
            <w:vAlign w:val="bottom"/>
          </w:tcPr>
          <w:p>
            <w:pPr>
              <w:spacing w:after="0"/>
              <w:rPr>
                <w:sz w:val="1"/>
                <w:szCs w:val="1"/>
                <w:color w:val="auto"/>
              </w:rPr>
            </w:pPr>
          </w:p>
        </w:tc>
      </w:tr>
      <w:tr>
        <w:trPr>
          <w:trHeight w:val="123"/>
        </w:trPr>
        <w:tc>
          <w:tcPr>
            <w:tcW w:w="4920" w:type="dxa"/>
            <w:vAlign w:val="bottom"/>
            <w:shd w:val="clear" w:color="auto" w:fill="CCEEFF"/>
          </w:tcPr>
          <w:p>
            <w:pPr>
              <w:spacing w:after="0" w:line="123" w:lineRule="exact"/>
              <w:rPr>
                <w:sz w:val="20"/>
                <w:szCs w:val="20"/>
                <w:color w:val="auto"/>
              </w:rPr>
            </w:pPr>
            <w:r>
              <w:rPr>
                <w:rFonts w:ascii="Arial" w:cs="Arial" w:eastAsia="Arial" w:hAnsi="Arial"/>
                <w:sz w:val="12"/>
                <w:szCs w:val="12"/>
                <w:color w:val="auto"/>
              </w:rPr>
              <w:t>Issuance of common stock from at-the-market public offerings net of commission costs of</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$560</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560,253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18,096</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11,516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2,970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Change in unrealized gain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(37,455)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(37,455)</w:t>
            </w:r>
          </w:p>
        </w:tc>
        <w:tc>
          <w:tcPr>
            <w:tcW w:w="0" w:type="dxa"/>
            <w:vAlign w:val="bottom"/>
          </w:tcPr>
          <w:p>
            <w:pPr>
              <w:spacing w:after="0"/>
              <w:rPr>
                <w:sz w:val="1"/>
                <w:szCs w:val="1"/>
                <w:color w:val="auto"/>
              </w:rPr>
            </w:pPr>
          </w:p>
        </w:tc>
      </w:tr>
      <w:tr>
        <w:trPr>
          <w:trHeight w:val="19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March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3,864,027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632,580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(568,099)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64,468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9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5,775</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5,775</w:t>
            </w:r>
          </w:p>
        </w:tc>
        <w:tc>
          <w:tcPr>
            <w:tcW w:w="0" w:type="dxa"/>
            <w:vAlign w:val="bottom"/>
          </w:tcPr>
          <w:p>
            <w:pPr>
              <w:spacing w:after="0"/>
              <w:rPr>
                <w:sz w:val="1"/>
                <w:szCs w:val="1"/>
                <w:color w:val="auto"/>
              </w:rPr>
            </w:pPr>
          </w:p>
        </w:tc>
      </w:tr>
      <w:tr>
        <w:trPr>
          <w:trHeight w:val="123"/>
        </w:trPr>
        <w:tc>
          <w:tcPr>
            <w:tcW w:w="4920" w:type="dxa"/>
            <w:vAlign w:val="bottom"/>
            <w:shd w:val="clear" w:color="auto" w:fill="CCEEFF"/>
          </w:tcPr>
          <w:p>
            <w:pPr>
              <w:spacing w:after="0" w:line="123" w:lineRule="exact"/>
              <w:rPr>
                <w:sz w:val="20"/>
                <w:szCs w:val="20"/>
                <w:color w:val="auto"/>
              </w:rPr>
            </w:pPr>
            <w:r>
              <w:rPr>
                <w:rFonts w:ascii="Arial" w:cs="Arial" w:eastAsia="Arial" w:hAnsi="Arial"/>
                <w:sz w:val="12"/>
                <w:szCs w:val="12"/>
                <w:color w:val="auto"/>
              </w:rPr>
              <w:t>Issuance of common stock from follow-on public offering and accompanying pre-funded</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warrants, net of underwriting discounts, commissions and offering costs of $4,484</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4,296,646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63,439</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from at-the-market public offerings, net of issuance costs</w:t>
            </w:r>
          </w:p>
        </w:tc>
        <w:tc>
          <w:tcPr>
            <w:tcW w:w="980" w:type="dxa"/>
            <w:vAlign w:val="bottom"/>
          </w:tcPr>
          <w:p>
            <w:pPr>
              <w:jc w:val="right"/>
              <w:spacing w:after="0"/>
              <w:rPr>
                <w:sz w:val="20"/>
                <w:szCs w:val="20"/>
                <w:color w:val="auto"/>
              </w:rPr>
            </w:pPr>
            <w:r>
              <w:rPr>
                <w:rFonts w:ascii="Arial" w:cs="Arial" w:eastAsia="Arial" w:hAnsi="Arial"/>
                <w:sz w:val="12"/>
                <w:szCs w:val="12"/>
                <w:color w:val="auto"/>
              </w:rPr>
              <w:t>392,541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6,031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6,032</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15,663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720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Change in unrealized gain (loss) on marketable securities,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(34,312)</w:t>
            </w:r>
          </w:p>
        </w:tc>
        <w:tc>
          <w:tcPr>
            <w:tcW w:w="0" w:type="dxa"/>
            <w:vAlign w:val="bottom"/>
          </w:tcPr>
          <w:p>
            <w:pPr>
              <w:spacing w:after="0"/>
              <w:rPr>
                <w:sz w:val="1"/>
                <w:szCs w:val="1"/>
                <w:color w:val="auto"/>
              </w:rPr>
            </w:pPr>
          </w:p>
        </w:tc>
      </w:tr>
      <w:tr>
        <w:trPr>
          <w:trHeight w:val="164"/>
        </w:trPr>
        <w:tc>
          <w:tcPr>
            <w:tcW w:w="4920" w:type="dxa"/>
            <w:vAlign w:val="bottom"/>
          </w:tcPr>
          <w:p>
            <w:pPr>
              <w:spacing w:after="0"/>
              <w:rPr>
                <w:sz w:val="20"/>
                <w:szCs w:val="20"/>
                <w:color w:val="auto"/>
              </w:rPr>
            </w:pPr>
            <w:r>
              <w:rPr>
                <w:rFonts w:ascii="Arial" w:cs="Arial" w:eastAsia="Arial" w:hAnsi="Arial"/>
                <w:sz w:val="12"/>
                <w:szCs w:val="12"/>
                <w:b w:val="1"/>
                <w:bCs w:val="1"/>
                <w:color w:val="auto"/>
              </w:rPr>
              <w:t>Balance at June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8,569,348</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708,023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(602,411)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105,625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5,763</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311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(24,632)</w:t>
            </w:r>
          </w:p>
        </w:tc>
        <w:tc>
          <w:tcPr>
            <w:tcW w:w="0" w:type="dxa"/>
            <w:vAlign w:val="bottom"/>
          </w:tcPr>
          <w:p>
            <w:pPr>
              <w:spacing w:after="0"/>
              <w:rPr>
                <w:sz w:val="1"/>
                <w:szCs w:val="1"/>
                <w:color w:val="auto"/>
              </w:rPr>
            </w:pPr>
          </w:p>
        </w:tc>
      </w:tr>
      <w:tr>
        <w:trPr>
          <w:trHeight w:val="164"/>
        </w:trPr>
        <w:tc>
          <w:tcPr>
            <w:tcW w:w="4920" w:type="dxa"/>
            <w:vAlign w:val="bottom"/>
          </w:tcPr>
          <w:p>
            <w:pPr>
              <w:spacing w:after="0"/>
              <w:rPr>
                <w:sz w:val="20"/>
                <w:szCs w:val="20"/>
                <w:color w:val="auto"/>
              </w:rPr>
            </w:pPr>
            <w:r>
              <w:rPr>
                <w:rFonts w:ascii="Arial" w:cs="Arial" w:eastAsia="Arial" w:hAnsi="Arial"/>
                <w:sz w:val="12"/>
                <w:szCs w:val="12"/>
                <w:b w:val="1"/>
                <w:bCs w:val="1"/>
                <w:color w:val="auto"/>
              </w:rPr>
              <w:t>Balance at September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8,569,822</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713,786</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(627,043)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86,756</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5,726</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tcPr>
          <w:p>
            <w:pPr>
              <w:jc w:val="right"/>
              <w:spacing w:after="0"/>
              <w:rPr>
                <w:sz w:val="20"/>
                <w:szCs w:val="20"/>
                <w:color w:val="auto"/>
              </w:rPr>
            </w:pPr>
            <w:r>
              <w:rPr>
                <w:rFonts w:ascii="Arial" w:cs="Arial" w:eastAsia="Arial" w:hAnsi="Arial"/>
                <w:sz w:val="12"/>
                <w:szCs w:val="12"/>
                <w:color w:val="auto"/>
              </w:rPr>
              <w:t>9,027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23"/>
        </w:trPr>
        <w:tc>
          <w:tcPr>
            <w:tcW w:w="4920" w:type="dxa"/>
            <w:vAlign w:val="bottom"/>
            <w:shd w:val="clear" w:color="auto" w:fill="CCEEFF"/>
          </w:tcPr>
          <w:p>
            <w:pPr>
              <w:spacing w:after="0" w:line="123" w:lineRule="exact"/>
              <w:rPr>
                <w:sz w:val="20"/>
                <w:szCs w:val="20"/>
                <w:color w:val="auto"/>
              </w:rPr>
            </w:pPr>
            <w:r>
              <w:rPr>
                <w:rFonts w:ascii="Arial" w:cs="Arial" w:eastAsia="Arial" w:hAnsi="Arial"/>
                <w:sz w:val="12"/>
                <w:szCs w:val="12"/>
                <w:color w:val="auto"/>
              </w:rPr>
              <w:t>Issuance of common stock from at-the-market public offerings, net of issuance costs of</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$123</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212,453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3,964</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824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(26,878)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(26,878)</w:t>
            </w:r>
          </w:p>
        </w:tc>
        <w:tc>
          <w:tcPr>
            <w:tcW w:w="0" w:type="dxa"/>
            <w:vAlign w:val="bottom"/>
          </w:tcPr>
          <w:p>
            <w:pPr>
              <w:spacing w:after="0"/>
              <w:rPr>
                <w:sz w:val="1"/>
                <w:szCs w:val="1"/>
                <w:color w:val="auto"/>
              </w:rPr>
            </w:pPr>
          </w:p>
        </w:tc>
      </w:tr>
      <w:tr>
        <w:trPr>
          <w:trHeight w:val="19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December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8,791,877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723,577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(653,921)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69,669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(182,819)</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(123,277)</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24,857</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Non-cash collaboration and license agreement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6,772</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0" w:type="dxa"/>
            <w:vAlign w:val="bottom"/>
          </w:tcPr>
          <w:p>
            <w:pPr>
              <w:spacing w:after="0"/>
              <w:rPr>
                <w:sz w:val="1"/>
                <w:szCs w:val="1"/>
                <w:color w:val="auto"/>
              </w:rPr>
            </w:pP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8060" w:type="dxa"/>
            <w:vAlign w:val="bottom"/>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(131,757)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(111,136)</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39,000</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38,950</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377,636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63,439</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Issuance of common stock from collaboration and license agreement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at-the-market offerings, net of issuance and commission costs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28,153</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options and employee stock purchase plan purchases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2"/>
        </w:trPr>
        <w:tc>
          <w:tcPr>
            <w:tcW w:w="80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514,323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91,871</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19,685</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81,300</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 from at-the-market offerings included in accrued expenses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Offering costs from follow-on public offering included in accounts payable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the Business</w:t>
      </w:r>
    </w:p>
    <w:p>
      <w:pPr>
        <w:spacing w:after="0" w:line="121"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Praxis Precision Medicines, Inc. (“Praxis” or the “Company”) is a clinical-stage biopharmaceutical company translating insights from genetic epilepsies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16" w:lineRule="exact"/>
        <w:rPr>
          <w:sz w:val="20"/>
          <w:szCs w:val="20"/>
          <w:color w:val="auto"/>
        </w:rPr>
      </w:pPr>
    </w:p>
    <w:p>
      <w:pPr>
        <w:ind w:left="640" w:right="260" w:hanging="320"/>
        <w:spacing w:after="0" w:line="300" w:lineRule="auto"/>
        <w:tabs>
          <w:tab w:leader="none" w:pos="635"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Cerebrum</w:t>
      </w:r>
      <w:r>
        <w:rPr>
          <w:rFonts w:ascii="Arial" w:cs="Arial" w:eastAsia="Arial" w:hAnsi="Arial"/>
          <w:sz w:val="17"/>
          <w:szCs w:val="17"/>
          <w:color w:val="auto"/>
        </w:rPr>
        <w:t>™, the Company's small molecule platform, utilizes deep understanding of neuronal excitability and neuronal networks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applies a series of computational and experimental tools to develop orally available precision therapies</w:t>
      </w:r>
    </w:p>
    <w:p>
      <w:pPr>
        <w:spacing w:after="0" w:line="88" w:lineRule="exact"/>
        <w:rPr>
          <w:rFonts w:ascii="Arial" w:cs="Arial" w:eastAsia="Arial" w:hAnsi="Arial"/>
          <w:sz w:val="17"/>
          <w:szCs w:val="17"/>
          <w:color w:val="auto"/>
        </w:rPr>
      </w:pPr>
    </w:p>
    <w:p>
      <w:pPr>
        <w:ind w:left="640" w:right="640" w:hanging="320"/>
        <w:spacing w:after="0" w:line="300" w:lineRule="auto"/>
        <w:tabs>
          <w:tab w:leader="none" w:pos="635"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Solidus</w:t>
      </w:r>
      <w:r>
        <w:rPr>
          <w:rFonts w:ascii="Arial" w:cs="Arial" w:eastAsia="Arial" w:hAnsi="Arial"/>
          <w:sz w:val="17"/>
          <w:szCs w:val="17"/>
          <w:color w:val="auto"/>
        </w:rPr>
        <w:t>™, the Company's antisense oligonucleotide ("ASO"), platform, is an efficient, targeted precision medicine discovery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engine anchored on a proprietary, computational methodology</w:t>
      </w:r>
    </w:p>
    <w:p>
      <w:pPr>
        <w:spacing w:after="0" w:line="141"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w:t>
      </w:r>
    </w:p>
    <w:p>
      <w:pPr>
        <w:spacing w:after="0" w:line="166" w:lineRule="exact"/>
        <w:rPr>
          <w:sz w:val="20"/>
          <w:szCs w:val="20"/>
          <w:color w:val="auto"/>
        </w:rPr>
      </w:pPr>
    </w:p>
    <w:p>
      <w:pPr>
        <w:ind w:right="20" w:firstLine="433"/>
        <w:spacing w:after="0" w:line="270" w:lineRule="auto"/>
        <w:rPr>
          <w:sz w:val="20"/>
          <w:szCs w:val="20"/>
          <w:color w:val="auto"/>
        </w:rPr>
      </w:pPr>
      <w:r>
        <w:rPr>
          <w:rFonts w:ascii="Arial" w:cs="Arial" w:eastAsia="Arial" w:hAnsi="Arial"/>
          <w:sz w:val="17"/>
          <w:szCs w:val="17"/>
          <w:color w:val="auto"/>
        </w:rPr>
        <w:t>Praxis was incorporated in 2015 and commenced operations in 2016. The Company has funded its operations primarily with proceeds from the issuance of redeemable convertible preferred stock, from the sale of common stock through an initial public offering ("IPO"), at-the-market offerings under its shelf registration statement, and follow-on public offerings of common stock and pre-funded warrants to purchase common stock. From inception through December 31, 2024, the Company raised $1.1 billion in aggregate cash proceeds from these transactions, net of issuance costs.</w:t>
      </w:r>
    </w:p>
    <w:p>
      <w:pPr>
        <w:spacing w:after="0" w:line="379"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The Company is subject to risks and uncertainties common to clinical-stage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19" w:lineRule="exact"/>
        <w:rPr>
          <w:sz w:val="20"/>
          <w:szCs w:val="20"/>
          <w:color w:val="auto"/>
        </w:rPr>
      </w:pPr>
    </w:p>
    <w:p>
      <w:pPr>
        <w:ind w:right="440" w:firstLine="433"/>
        <w:spacing w:after="0" w:line="271" w:lineRule="auto"/>
        <w:rPr>
          <w:sz w:val="20"/>
          <w:szCs w:val="20"/>
          <w:color w:val="auto"/>
        </w:rPr>
      </w:pPr>
      <w:r>
        <w:rPr>
          <w:rFonts w:ascii="Arial" w:cs="Arial" w:eastAsia="Arial" w:hAnsi="Arial"/>
          <w:sz w:val="17"/>
          <w:szCs w:val="17"/>
          <w:color w:val="auto"/>
        </w:rPr>
        <w:t xml:space="preserve">In accordance with the Financial Accounting Standards Board ("FASB") Accounting Standards Update ("ASU") 2014-15, </w:t>
      </w:r>
      <w:r>
        <w:rPr>
          <w:rFonts w:ascii="Arial" w:cs="Arial" w:eastAsia="Arial" w:hAnsi="Arial"/>
          <w:sz w:val="17"/>
          <w:szCs w:val="17"/>
          <w:i w:val="1"/>
          <w:iCs w:val="1"/>
          <w:color w:val="auto"/>
        </w:rPr>
        <w:t>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 (Subtopic 205-40)</w:t>
      </w:r>
      <w:r>
        <w:rPr>
          <w:rFonts w:ascii="Arial" w:cs="Arial" w:eastAsia="Arial" w:hAnsi="Arial"/>
          <w:sz w:val="17"/>
          <w:szCs w:val="17"/>
          <w:color w:val="auto"/>
        </w:rPr>
        <w:t>, the Company has evaluated whether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and events, considered in the aggregate, that raise substantial doubt about the Company’s ability to continue as a going concern within one year after the date that the consolidated financial statements are issued.</w:t>
      </w:r>
    </w:p>
    <w:p>
      <w:pPr>
        <w:spacing w:after="0" w:line="166" w:lineRule="exact"/>
        <w:rPr>
          <w:sz w:val="20"/>
          <w:szCs w:val="20"/>
          <w:color w:val="auto"/>
        </w:rPr>
      </w:pPr>
    </w:p>
    <w:p>
      <w:pPr>
        <w:ind w:right="320" w:firstLine="433"/>
        <w:spacing w:after="0" w:line="278" w:lineRule="auto"/>
        <w:rPr>
          <w:sz w:val="20"/>
          <w:szCs w:val="20"/>
          <w:color w:val="auto"/>
        </w:rPr>
      </w:pPr>
      <w:r>
        <w:rPr>
          <w:rFonts w:ascii="Arial" w:cs="Arial" w:eastAsia="Arial" w:hAnsi="Arial"/>
          <w:sz w:val="17"/>
          <w:szCs w:val="17"/>
          <w:color w:val="auto"/>
        </w:rPr>
        <w:t>The Company has incurred recurring losses since its inception, including a net loss of $182.8 million for the year ended December 31, 2024. In addition, as of December 31, 2024, the Company had an accumulated deficit of $836.7 million. The Company expects to continue to generate operating losses for the foreseeable future.</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The Company expects that its cash, cash equivalents and marketable securities as of December 31, 2024 of $469.5 million will be sufficient to fund its operating expenditures and capital expenditure requirements necessary to advance its research efforts and clinical trials for at least one year from the date of the issuance of these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72" w:lineRule="exact"/>
        <w:rPr>
          <w:sz w:val="20"/>
          <w:szCs w:val="20"/>
          <w:color w:val="auto"/>
        </w:rPr>
      </w:pPr>
    </w:p>
    <w:p>
      <w:pPr>
        <w:ind w:right="7360" w:firstLine="5"/>
        <w:spacing w:after="0" w:line="387" w:lineRule="auto"/>
        <w:tabs>
          <w:tab w:leader="none" w:pos="194"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20" w:firstLine="433"/>
        <w:spacing w:after="0" w:line="278"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consolidated financial statements include the accounts of the Company and its wholly owned subsidiary, Praxis Security Corporation.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All intercompany transactions have been eliminated in consolidation.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9"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19" w:lineRule="exact"/>
        <w:rPr>
          <w:sz w:val="20"/>
          <w:szCs w:val="20"/>
          <w:color w:val="auto"/>
        </w:rPr>
      </w:pPr>
    </w:p>
    <w:p>
      <w:pPr>
        <w:jc w:val="both"/>
        <w:ind w:right="660" w:firstLine="433"/>
        <w:spacing w:after="0" w:line="278"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Cash and cash equivalents include cash held in banks and amounts held in interest-bearing insured liquid deposit funds and interest-bearing money market funds. Cash equivalents are carried at cost, which approximates their fair market value.</w:t>
      </w:r>
    </w:p>
    <w:p>
      <w:pPr>
        <w:spacing w:after="0" w:line="160"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Restricted cash comprises letters of credit for the benefit of the landlord in connection with the Company’s lease facilities. Restricted cash is classified as either current or non-current based on the terms of the underlying lease arrangement.</w:t>
      </w:r>
    </w:p>
    <w:p>
      <w:pPr>
        <w:spacing w:after="0" w:line="141"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The following table presents cash and cash equivalents and restricted cash as reported on the consolidated balance sheets that equal the total amounts on the consolidated statements of cash flows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215,372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81,300</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 as shown on the consolidated statements of cash flows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215,788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The Company may invest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does not believe that it is exposed to more than a nominal amount of credit risk related to any marketable securities it may invest in. The Company has established guidelines relative to diversification and maturities that maintain safety and liquidity, and periodically reviews and modifies these guidelines to maximize trends in yields and interest rates without compromising safety and liquidity.</w:t>
      </w:r>
    </w:p>
    <w:p>
      <w:pPr>
        <w:spacing w:after="0" w:line="16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Company classifies its investments in debt instruments as available-for-sale. Available-for-sale investments are reported at fair value at each balance sheet date, and include any unrealized holding gains and losses in accumulated other comprehensive loss, a component of stockholders’ equity. Realized gains and losses are included in the Company's consolidated statements of operations. All of the Company's available-for-sale securities are available for use in its current operations. The Company classifies marketable securities as either cash equivalents, short-term or long-term based on their stated maturity dates as it is more-likely-than-not that the Company will hold these assets through to their maturity dates. The Company held $254.2 million of marketable securities as of December 31, 2024. The Company did not hold any marketable securities as of December 31, 2023.</w:t>
      </w:r>
    </w:p>
    <w:p>
      <w:pPr>
        <w:spacing w:after="0" w:line="17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Company evaluates securities for impairment at the end of each reporting period. Impairment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loss, net of applicable taxes unless deemed other than temporary.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Suppliers and License Agreements</w:t>
      </w:r>
    </w:p>
    <w:p>
      <w:pPr>
        <w:spacing w:after="0" w:line="11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cash equivalents, restricted cash and marketable securities. The Company's investment portfolio may include money market funds, marketable debt securities, including debt securities issued by U.S. government agencies and corporations, and commercial paper. The Company's investments are limited to investment-grade securities with strong credit ratings with the objective of maintaining safety and liquidity. The Company also maintains deposits in accredited financial institutions in excess of federally insured limits. Bank accounts in the United States are insured by the Federal Deposit Insurance Corporation (the “FDIC”) up to $250,000. As of December 31, 2024 and 2023, the Company’s primary operating accounts significantly exceeded the FDIC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78"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The Company is dependent on third-party manufacturers to supply materials for research and development activities of its programs, including preclinical and clinical testing. In particular, the Company relies, and expects to continue to rely, on a small number of third-party manufacturers to produce and process its current and potential product candidates and to manufacture supply of its current and potential product candidates for preclinical and clinical activities. These programs could be adversely affected by a significant interruption in the supply of the necessary materials. The Company is also dependent on third parties who provide license rights used in the development of certain programs. The Company could experience delays in the development of its programs if any of these license agreements are terminated, if the Company fails to meet the obligations required under its arrangements, or if the Company is unable to successfully secure new strategic alliances or licensing agreements.</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Risk</w:t>
      </w:r>
    </w:p>
    <w:p>
      <w:pPr>
        <w:spacing w:after="0" w:line="119"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As of December 31, 2024 and 2023, the Company had no off-balance sheet risk such as foreign exchange contracts, option contracts or other hedging arrangements.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Certain assets and liabilities of the Company are carried at fair value under GAAP. The fair values of the Company’s financial assets and liabilities reflect the Company’s estimate of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16" w:lineRule="exact"/>
        <w:rPr>
          <w:sz w:val="20"/>
          <w:szCs w:val="20"/>
          <w:color w:val="auto"/>
        </w:rPr>
      </w:pPr>
    </w:p>
    <w:p>
      <w:pPr>
        <w:ind w:left="780" w:hanging="303"/>
        <w:spacing w:after="0"/>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171" w:lineRule="exact"/>
        <w:rPr>
          <w:rFonts w:ascii="Arial" w:cs="Arial" w:eastAsia="Arial" w:hAnsi="Arial"/>
          <w:sz w:val="17"/>
          <w:szCs w:val="17"/>
          <w:color w:val="auto"/>
        </w:rPr>
      </w:pPr>
    </w:p>
    <w:p>
      <w:pPr>
        <w:ind w:left="800" w:right="240" w:hanging="323"/>
        <w:spacing w:after="0" w:line="278" w:lineRule="auto"/>
        <w:tabs>
          <w:tab w:leader="none" w:pos="7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Level 2: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07" w:lineRule="exact"/>
        <w:rPr>
          <w:rFonts w:ascii="Arial" w:cs="Arial" w:eastAsia="Arial" w:hAnsi="Arial"/>
          <w:sz w:val="17"/>
          <w:szCs w:val="17"/>
          <w:color w:val="auto"/>
        </w:rPr>
      </w:pPr>
    </w:p>
    <w:p>
      <w:pPr>
        <w:ind w:left="800" w:right="360" w:hanging="323"/>
        <w:spacing w:after="0" w:line="300" w:lineRule="auto"/>
        <w:tabs>
          <w:tab w:leader="none" w:pos="7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that are significant to determining the fair value of the assets or liabilities, including pricing models, discounted cash flow methodologies and similar techniques.</w:t>
      </w:r>
    </w:p>
    <w:p>
      <w:pPr>
        <w:spacing w:after="0" w:line="141" w:lineRule="exact"/>
        <w:rPr>
          <w:sz w:val="20"/>
          <w:szCs w:val="20"/>
          <w:color w:val="auto"/>
        </w:rPr>
      </w:pPr>
    </w:p>
    <w:p>
      <w:pPr>
        <w:ind w:right="300" w:firstLine="433"/>
        <w:spacing w:after="0" w:line="271"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6" w:lineRule="exact"/>
        <w:rPr>
          <w:sz w:val="20"/>
          <w:szCs w:val="20"/>
          <w:color w:val="auto"/>
        </w:rPr>
      </w:pPr>
    </w:p>
    <w:p>
      <w:pPr>
        <w:ind w:right="220" w:firstLine="433"/>
        <w:spacing w:after="0" w:line="300" w:lineRule="auto"/>
        <w:rPr>
          <w:sz w:val="20"/>
          <w:szCs w:val="20"/>
          <w:color w:val="auto"/>
        </w:rPr>
      </w:pPr>
      <w:r>
        <w:rPr>
          <w:rFonts w:ascii="Arial" w:cs="Arial" w:eastAsia="Arial" w:hAnsi="Arial"/>
          <w:sz w:val="17"/>
          <w:szCs w:val="17"/>
          <w:color w:val="auto"/>
        </w:rPr>
        <w:t>An entity may choose to measure many financial instruments and certain other items at fair value at specified election dates. Subsequent unrealized gains and losses on items for which the fair value option has been elected will be reported in earnings.</w:t>
      </w:r>
    </w:p>
    <w:p>
      <w:pPr>
        <w:spacing w:after="0" w:line="141" w:lineRule="exact"/>
        <w:rPr>
          <w:sz w:val="20"/>
          <w:szCs w:val="20"/>
          <w:color w:val="auto"/>
        </w:rPr>
      </w:pPr>
    </w:p>
    <w:p>
      <w:pPr>
        <w:ind w:right="360" w:firstLine="433"/>
        <w:spacing w:after="0" w:line="278" w:lineRule="auto"/>
        <w:rPr>
          <w:sz w:val="20"/>
          <w:szCs w:val="20"/>
          <w:color w:val="auto"/>
        </w:rPr>
      </w:pPr>
      <w:r>
        <w:rPr>
          <w:rFonts w:ascii="Arial" w:cs="Arial" w:eastAsia="Arial" w:hAnsi="Arial"/>
          <w:sz w:val="17"/>
          <w:szCs w:val="17"/>
          <w:color w:val="auto"/>
        </w:rPr>
        <w:t>Items measured at fair value on a recurring basis include cash equivalents and marketable securities (Note 4 and Note 5). The carrying amounts reflected in the consolidated balance sheets for cash, prepaid expenses and other current assets, accounts payable and accrued expenses approximate their fair values due to the short-term nature of these assets and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19" w:lineRule="exact"/>
        <w:rPr>
          <w:sz w:val="20"/>
          <w:szCs w:val="20"/>
          <w:color w:val="auto"/>
        </w:rPr>
      </w:pPr>
    </w:p>
    <w:p>
      <w:pPr>
        <w:ind w:right="180" w:firstLine="433"/>
        <w:spacing w:after="0" w:line="300" w:lineRule="auto"/>
        <w:rPr>
          <w:sz w:val="20"/>
          <w:szCs w:val="20"/>
          <w:color w:val="auto"/>
        </w:rPr>
      </w:pPr>
      <w:r>
        <w:rPr>
          <w:rFonts w:ascii="Arial" w:cs="Arial" w:eastAsia="Arial" w:hAnsi="Arial"/>
          <w:sz w:val="17"/>
          <w:szCs w:val="17"/>
          <w:color w:val="auto"/>
        </w:rPr>
        <w:t>Property and equipment are recorded at cost. Depreciation is calculated using the straight-line method over the following estimated useful lives of the assets: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Estimated Useful Life</w:t>
            </w:r>
          </w:p>
        </w:tc>
      </w:tr>
      <w:tr>
        <w:trPr>
          <w:trHeight w:val="203"/>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 years</w:t>
            </w: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color w:val="auto"/>
              </w:rPr>
              <w:t>Laboratory equipment</w:t>
            </w:r>
          </w:p>
        </w:tc>
        <w:tc>
          <w:tcPr>
            <w:tcW w:w="2440" w:type="dxa"/>
            <w:vAlign w:val="bottom"/>
          </w:tcPr>
          <w:p>
            <w:pPr>
              <w:jc w:val="center"/>
              <w:spacing w:after="0"/>
              <w:rPr>
                <w:sz w:val="20"/>
                <w:szCs w:val="20"/>
                <w:color w:val="auto"/>
              </w:rPr>
            </w:pPr>
            <w:r>
              <w:rPr>
                <w:rFonts w:ascii="Arial" w:cs="Arial" w:eastAsia="Arial" w:hAnsi="Arial"/>
                <w:sz w:val="16"/>
                <w:szCs w:val="16"/>
                <w:color w:val="auto"/>
                <w:w w:val="99"/>
              </w:rPr>
              <w:t>3 years</w:t>
            </w:r>
          </w:p>
        </w:tc>
      </w:tr>
      <w:tr>
        <w:trPr>
          <w:trHeight w:val="211"/>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r>
    </w:tbl>
    <w:p>
      <w:pPr>
        <w:spacing w:after="0" w:line="272" w:lineRule="exact"/>
        <w:rPr>
          <w:sz w:val="20"/>
          <w:szCs w:val="20"/>
          <w:color w:val="auto"/>
        </w:rPr>
      </w:pPr>
    </w:p>
    <w:p>
      <w:pPr>
        <w:jc w:val="both"/>
        <w:ind w:right="40" w:firstLine="433"/>
        <w:spacing w:after="0" w:line="278" w:lineRule="auto"/>
        <w:rPr>
          <w:sz w:val="20"/>
          <w:szCs w:val="20"/>
          <w:color w:val="auto"/>
        </w:rPr>
      </w:pPr>
      <w:r>
        <w:rPr>
          <w:rFonts w:ascii="Arial" w:cs="Arial" w:eastAsia="Arial" w:hAnsi="Arial"/>
          <w:sz w:val="17"/>
          <w:szCs w:val="17"/>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9" w:lineRule="exact"/>
        <w:rPr>
          <w:sz w:val="20"/>
          <w:szCs w:val="20"/>
          <w:color w:val="auto"/>
        </w:rPr>
      </w:pPr>
    </w:p>
    <w:p>
      <w:pPr>
        <w:ind w:right="200" w:firstLine="433"/>
        <w:spacing w:after="0" w:line="271"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2024 and 2023.</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9"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The Company accounts for leases in accordance with ASC 842. The Company determines if an arrangement is a lease at contract inception. Operating lease right-of-use assets represent the Company’s right to use an underlying asset for the lease term and operating lease liabilities represent its obligation to make lease payments arising from the lease. Operating right-of-use assets and liabilities are recognized at the commencement date of the lease based upon the present value of lease payments over the lease term. When determining the lease term, the Company includes options to extend or terminate the lease when it is reasonably certain that the option will be exercised.</w:t>
      </w:r>
    </w:p>
    <w:p>
      <w:pPr>
        <w:spacing w:after="0" w:line="167" w:lineRule="exact"/>
        <w:rPr>
          <w:sz w:val="20"/>
          <w:szCs w:val="20"/>
          <w:color w:val="auto"/>
        </w:rPr>
      </w:pPr>
    </w:p>
    <w:p>
      <w:pPr>
        <w:ind w:right="160" w:firstLine="433"/>
        <w:spacing w:after="0" w:line="278" w:lineRule="auto"/>
        <w:rPr>
          <w:sz w:val="20"/>
          <w:szCs w:val="20"/>
          <w:color w:val="auto"/>
        </w:rPr>
      </w:pPr>
      <w:r>
        <w:rPr>
          <w:rFonts w:ascii="Arial" w:cs="Arial" w:eastAsia="Arial" w:hAnsi="Arial"/>
          <w:sz w:val="17"/>
          <w:szCs w:val="17"/>
          <w:color w:val="auto"/>
        </w:rPr>
        <w:t>The Company uses the implicit rate when readily determinable and uses its incremental borrowing rate when the implicit rate is not readily determinable, based upon the information available at the commencement date in determining the present value of the lease payments. The incremental borrowing rate is determined using a secured borrowing rate for the same currency and term as the associated lease.</w:t>
      </w:r>
    </w:p>
    <w:p>
      <w:pPr>
        <w:spacing w:after="0" w:line="160" w:lineRule="exact"/>
        <w:rPr>
          <w:sz w:val="20"/>
          <w:szCs w:val="20"/>
          <w:color w:val="auto"/>
        </w:rPr>
      </w:pPr>
    </w:p>
    <w:p>
      <w:pPr>
        <w:ind w:right="40" w:firstLine="433"/>
        <w:spacing w:after="0" w:line="278" w:lineRule="auto"/>
        <w:rPr>
          <w:sz w:val="20"/>
          <w:szCs w:val="20"/>
          <w:color w:val="auto"/>
        </w:rPr>
      </w:pPr>
      <w:r>
        <w:rPr>
          <w:rFonts w:ascii="Arial" w:cs="Arial" w:eastAsia="Arial" w:hAnsi="Arial"/>
          <w:sz w:val="17"/>
          <w:szCs w:val="17"/>
          <w:color w:val="auto"/>
        </w:rPr>
        <w:t>The lease payments used to determine operating lease right-of-use assets may include lease incentives and stated rent increases. The Company’s lease agreements may include both lease and non-lease components, which the Company accounts for as a single lease component when the payments are fixed, for all classes of underlying assets. Variable payments included in the lease agreement are expensed as incurred.</w:t>
      </w:r>
    </w:p>
    <w:p>
      <w:pPr>
        <w:spacing w:after="0" w:line="160"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The Company’s operating leases are reflected in operating lease right-of-use assets and in current operating lease liabilities and long-term operating lease liabilities in its consolidated balance sheets. The Company’s operating lease right-of-use asset as of December 31, 2024 and 2023 did not include any lease incentives. Lease expense for future lease payments is recognized on a straight-line basis over the lease term.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Agreements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The Company analyzes its collaboration arrangements to assess whether they are within the scope of ASC Topic 808, </w:t>
      </w:r>
      <w:r>
        <w:rPr>
          <w:rFonts w:ascii="Arial" w:cs="Arial" w:eastAsia="Arial" w:hAnsi="Arial"/>
          <w:sz w:val="17"/>
          <w:szCs w:val="17"/>
          <w:i w:val="1"/>
          <w:iCs w:val="1"/>
          <w:color w:val="auto"/>
        </w:rPr>
        <w:t>Collaborative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Arrangements ("</w:t>
      </w:r>
      <w:r>
        <w:rPr>
          <w:rFonts w:ascii="Arial" w:cs="Arial" w:eastAsia="Arial" w:hAnsi="Arial"/>
          <w:sz w:val="17"/>
          <w:szCs w:val="17"/>
          <w:color w:val="auto"/>
        </w:rPr>
        <w:t>ASC 808"), to determine whether such arrangements involve joint operating activities performed by parties that are both active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participants in the activities and exposed to significant risks and rewards that are dependent on the commercial success of such activities. To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extent the arrangement is within the scope of ASC 808, the Company assesses whether aspects of the arrangement between the Company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its collaboration partner are within the scope of other accounting literature, including ASC Topic 606, </w:t>
      </w:r>
      <w:r>
        <w:rPr>
          <w:rFonts w:ascii="Arial" w:cs="Arial" w:eastAsia="Arial" w:hAnsi="Arial"/>
          <w:sz w:val="17"/>
          <w:szCs w:val="17"/>
          <w:i w:val="1"/>
          <w:iCs w:val="1"/>
          <w:color w:val="auto"/>
        </w:rPr>
        <w:t>Revenue from Contracts with Customers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color w:val="auto"/>
        </w:rPr>
        <w:t>ASC 606"). If it is concluded that some or all aspects of the arrangement represent a transaction with a customer, the Company will account for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those aspects of the arrangement within the scope of ASC 606.</w:t>
      </w:r>
    </w:p>
    <w:p>
      <w:pPr>
        <w:spacing w:after="0" w:line="20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ind w:right="540" w:firstLine="433"/>
        <w:spacing w:after="0" w:line="300" w:lineRule="auto"/>
        <w:rPr>
          <w:sz w:val="20"/>
          <w:szCs w:val="20"/>
          <w:color w:val="auto"/>
        </w:rPr>
      </w:pPr>
      <w:r>
        <w:rPr>
          <w:rFonts w:ascii="Arial" w:cs="Arial" w:eastAsia="Arial" w:hAnsi="Arial"/>
          <w:sz w:val="17"/>
          <w:szCs w:val="17"/>
          <w:color w:val="auto"/>
        </w:rPr>
        <w:t>The Company enters into collaboration agreements which are within the scope of ASC 606 under which the Company may license or provide options to license certain development or product candidates and, in certain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cases, may perform research and development services. The terms of these agreements may include payment of non-refundable, upfront fees, option exercise fees, development and commercial milestone payments and royalties on net sales of licensed products.</w:t>
      </w:r>
    </w:p>
    <w:p>
      <w:pPr>
        <w:spacing w:after="0" w:line="141"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Under ASC 606, the Company recognizes revenue when its customer obtains control of promised goods or services in an amount that reflects the consideration which the Company expects to receive in exchange for those goods or services. To determine the appropriate amount of revenue to be recognized for agreements determined to be within the scope of ASC 606, the Company performs the following five steps: (1) identify the contract with a customer; (2) identify the performance obligations in the contract; (3) determine the transaction price; (4) allocate the transaction price to the performance obligations in the contract; and (5) recognize revenue when or as the Company satisfies each performance obligation. The Company only applies the five-step model to contracts when it is probable that the Company will collect consideration it is entitled to in exchange for the goods or services it transfers to the customer.</w:t>
      </w:r>
    </w:p>
    <w:p>
      <w:pPr>
        <w:spacing w:after="0" w:line="173"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assesses the goods or services promised within each contract and determines those that are performance obligations. The Company then assesses whether each promised good or service is distinct. When the Company offers options for additional goods or services, such as an option to obtain a license, it evaluates whether such options are material rights that should be treated as separate performance obligations.</w:t>
      </w:r>
    </w:p>
    <w:p>
      <w:pPr>
        <w:spacing w:after="0" w:line="166" w:lineRule="exact"/>
        <w:rPr>
          <w:sz w:val="20"/>
          <w:szCs w:val="20"/>
          <w:color w:val="auto"/>
        </w:rPr>
      </w:pPr>
    </w:p>
    <w:p>
      <w:pPr>
        <w:ind w:firstLine="433"/>
        <w:spacing w:after="0" w:line="267"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The consideration may include fixed consideration or variable consideration. At the inception of each agreement that includes variable consideration, the Company evaluates the amount of potential payments and the likelihood that the payments will be received to estimate the amount expected to be received. The amount of variable consideration included in the transaction price may be constrained and is included in the transaction price only to the extent that it is probable that a significant reversal of the cumulative revenue recognized will not occur in a future period.</w:t>
      </w:r>
    </w:p>
    <w:p>
      <w:pPr>
        <w:spacing w:after="0" w:line="381"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The Company recognizes as revenue the amount of the transaction price that it allocated to the respective performance obligation when or as each performance obligation is satisfied, either at a point in time or over time. If the performance obligation is satisfied over time, the Company recognizes revenue based on the use of an output or input method. The Company evaluates the measure of progress each reporting period and, if necessary, adjusts the measure of performance and related revenue recognition. For example, for research and development services that are recognized over time, the Company measures its progress using an input method. The input methods used are based on the effort the Company expends or costs it incurs toward the satisfaction of its performance obligation. The Company estimates the amount of effort it expends, including the time it estimates it will take to complete the activities, or costs it incurs in a given period, relative to the estimated total effort or costs to satisfy the performance obligation. This results in a percentage that is multiplied by the transaction price to determine the amount of revenue recognized each period. If the estimates or judgements change over the course of the collaboration, they may affect the timing and amount of revenue that is recognized in the current and future periods.</w:t>
      </w:r>
    </w:p>
    <w:p>
      <w:pPr>
        <w:spacing w:after="0" w:line="174" w:lineRule="exact"/>
        <w:rPr>
          <w:sz w:val="20"/>
          <w:szCs w:val="20"/>
          <w:color w:val="auto"/>
        </w:rPr>
      </w:pPr>
    </w:p>
    <w:p>
      <w:pPr>
        <w:ind w:right="300" w:firstLine="433"/>
        <w:spacing w:after="0" w:line="278" w:lineRule="auto"/>
        <w:rPr>
          <w:sz w:val="20"/>
          <w:szCs w:val="20"/>
          <w:color w:val="auto"/>
        </w:rPr>
      </w:pPr>
      <w:r>
        <w:rPr>
          <w:rFonts w:ascii="Arial" w:cs="Arial" w:eastAsia="Arial" w:hAnsi="Arial"/>
          <w:sz w:val="17"/>
          <w:szCs w:val="17"/>
          <w:color w:val="auto"/>
        </w:rPr>
        <w:t>Upfront payments are recorded as contract liabilities within deferred revenue on the consolidated balance sheets until the Company performs its obligations under these agreements. Amounts are recorded as accounts receivable when the Company’s right to consideration is unconditional.</w:t>
      </w:r>
    </w:p>
    <w:p>
      <w:pPr>
        <w:spacing w:after="0" w:line="160" w:lineRule="exact"/>
        <w:rPr>
          <w:sz w:val="20"/>
          <w:szCs w:val="20"/>
          <w:color w:val="auto"/>
        </w:rPr>
      </w:pPr>
    </w:p>
    <w:p>
      <w:pPr>
        <w:jc w:val="both"/>
        <w:ind w:right="180" w:firstLine="433"/>
        <w:spacing w:after="0" w:line="278" w:lineRule="auto"/>
        <w:rPr>
          <w:sz w:val="20"/>
          <w:szCs w:val="20"/>
          <w:color w:val="auto"/>
        </w:rPr>
      </w:pPr>
      <w:r>
        <w:rPr>
          <w:rFonts w:ascii="Arial" w:cs="Arial" w:eastAsia="Arial" w:hAnsi="Arial"/>
          <w:sz w:val="17"/>
          <w:szCs w:val="17"/>
          <w:color w:val="auto"/>
        </w:rPr>
        <w:t>As of December 31, 2024, the Company had an option and license agreement with UCB Biopharma SRL ("UCB"), which it entered into in December 2022. Additionally, it had a collaboration and license agreement with Tenacia Biotechnology (Shanghai) Co., Ltd ("Tenacia"), which it entered into in January 2024. The accounting related to these agreements is outlined in Note 9, Collaboration and License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19"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Costs incurred to obtain licenses are recognized as research and development expense as incurred if the technology licensed has no alternative future uses.</w:t>
      </w:r>
    </w:p>
    <w:p>
      <w:pPr>
        <w:spacing w:after="0" w:line="166"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These agreements are cancellable, and related fees are recorded as research and development expenses as incurred. The Company records accrued liabilities and prepaid expenses for estimated ongoing research costs. When evaluating the adequacy of the accrued liabilities and prepaid expenses, the Company analyzes progress of the studies or clinical trials, including the phase or completion of events, invoices received and contracted costs. Significant judgments and estimates are made in determining the accrued and prepaid balances at the end of any reporting period. Actual results could differ from the Company’s estimates. The Company’s historical estimates have not been materially different from the actual costs.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Patent-Related Costs</w:t>
      </w:r>
    </w:p>
    <w:p>
      <w:pPr>
        <w:spacing w:after="0" w:line="119" w:lineRule="exact"/>
        <w:rPr>
          <w:sz w:val="20"/>
          <w:szCs w:val="20"/>
          <w:color w:val="auto"/>
        </w:rPr>
      </w:pPr>
    </w:p>
    <w:p>
      <w:pPr>
        <w:ind w:right="180" w:firstLine="433"/>
        <w:spacing w:after="0" w:line="291" w:lineRule="auto"/>
        <w:rPr>
          <w:sz w:val="20"/>
          <w:szCs w:val="20"/>
          <w:color w:val="auto"/>
        </w:rPr>
      </w:pPr>
      <w:r>
        <w:rPr>
          <w:rFonts w:ascii="Arial" w:cs="Arial" w:eastAsia="Arial" w:hAnsi="Arial"/>
          <w:sz w:val="17"/>
          <w:szCs w:val="17"/>
          <w:color w:val="auto"/>
        </w:rPr>
        <w:t>Patent-related costs incurred in connection with patent applications are expensed as incurred due to the uncertainty about the recovery of the expenditure. Amounts incurred are classified as general and administrative expenses in the accompanying consolidated statement of operations.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 xml:space="preserve">The Company accounts for all stock-based awards granted to employees and non-employees as stock-based compensation expense at fair value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For stock-based awards issued to employees, non-employees and members of the Company’s board of directors (the “Board”) for their services on the Board, the Company measures the estimated fair value of the stock-based award on the date of the grant. The Company recognizes compensation expense for those awards granted to employees and members of the Board over the requisite service period, which is generally the vesting period of the respective award. For non-employee awards, compensation expense is recognized as the services are provided, which is generally ratably over the vesting period. The Company issues stock-based awards with service-based vesting conditions and records the expense for these awards on a straight-line basis over the vesting period. To date, the Company has not issued any stock-based awards with performance or market-based vesting conditions. The Company accounts for forfeitures as they occur.</w:t>
      </w:r>
    </w:p>
    <w:p>
      <w:pPr>
        <w:spacing w:after="0" w:line="178"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The Company classifies stock-based compensation expense in its consolidated statement of operations in the same manner in which the award recipient’s salary or service payments are classified.</w:t>
      </w:r>
    </w:p>
    <w:p>
      <w:pPr>
        <w:spacing w:after="0" w:line="141"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which requires inputs of subjective assumptions, including: (i) the expected volatility of the Company’s stock; (ii) the expected term of the award; (iii) the risk-free interest rate; (iv) expected dividends; and (v) the fair value of common stock. Due to the lack of Company-specific historical and implied volatility data, the Company determines the volatility for awards granted based on an analysis of reported data for a group of guideline publicly-traded companies that issued options with substantially similar terms. For this analysis, the Company selects companies with comparable characteristics including enterprise value, risk profiles, and with historical share price information sufficient to meet the expected life of the stock-based awards. The Company determines expected volatility using a weighted average of the historical volatilities of the guideline group of companies. The Company expects to continue to apply this process until such time as it has adequate historical data regarding the volatility of its own traded stock price. As permitted under ASC 718, the Company has elected to use the contractual term as the expected term for certain non-employee awards, on an award-by-award basis. For all other awards, the expected term of the Company’s stock options has been determined utilizing the “simplified” method whereby the expected term equals the average of the vesting term and the original contractual term of the option, on a weighted basis based on the vesting of each tranche. The Company utilizes this method as it has insufficient historical exercise data to provide a reasonable basis upon which to estimate the expected term. The risk-free interest rate is determined by reference to the U.S. Treasury yield curve in effect at the time of grant of the award for instruments with a term commensurate with the expected term assumption. The expected dividend yield is assumed to be zero</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as the Company has never paid dividends, and does not have current plans to pay any dividends on its common stock. Subsequent to the IPO, the fair value of the common stock underlying the Company's stock-based awards is the closing price of the Company's common stock on the date of grant.</w:t>
      </w:r>
    </w:p>
    <w:p>
      <w:pPr>
        <w:spacing w:after="0" w:line="160" w:lineRule="exact"/>
        <w:rPr>
          <w:sz w:val="20"/>
          <w:szCs w:val="20"/>
          <w:color w:val="auto"/>
        </w:rPr>
      </w:pPr>
    </w:p>
    <w:p>
      <w:pPr>
        <w:ind w:right="280" w:firstLine="433"/>
        <w:spacing w:after="0" w:line="300" w:lineRule="auto"/>
        <w:rPr>
          <w:sz w:val="20"/>
          <w:szCs w:val="20"/>
          <w:color w:val="auto"/>
        </w:rPr>
      </w:pPr>
      <w:r>
        <w:rPr>
          <w:rFonts w:ascii="Arial" w:cs="Arial" w:eastAsia="Arial" w:hAnsi="Arial"/>
          <w:sz w:val="17"/>
          <w:szCs w:val="17"/>
          <w:color w:val="auto"/>
        </w:rPr>
        <w:t>The grant date fair value of restricted stock units is estimated based on the fair value of the Company's underlying common stock on the date of grant.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19"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 Exchange gains or losses arising from foreign currency transactions are included in the determination of net loss. There were no material foreign currency gains or losses for the years ended December 31, 2024 and 2023.</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that it believes based upon the weight of available evidence it is more likely than not that all or a portion of the deferred tax assets will not be realized, a valuation allowance is established.</w:t>
      </w:r>
    </w:p>
    <w:p>
      <w:pPr>
        <w:spacing w:after="0" w:line="167"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19" w:lineRule="exact"/>
        <w:rPr>
          <w:sz w:val="20"/>
          <w:szCs w:val="20"/>
          <w:color w:val="auto"/>
        </w:rPr>
      </w:pPr>
    </w:p>
    <w:p>
      <w:pPr>
        <w:ind w:right="300" w:firstLine="433"/>
        <w:spacing w:after="0" w:line="300" w:lineRule="auto"/>
        <w:rPr>
          <w:sz w:val="20"/>
          <w:szCs w:val="20"/>
          <w:color w:val="auto"/>
        </w:rPr>
      </w:pPr>
      <w:r>
        <w:rPr>
          <w:rFonts w:ascii="Arial" w:cs="Arial" w:eastAsia="Arial" w:hAnsi="Arial"/>
          <w:sz w:val="17"/>
          <w:szCs w:val="17"/>
          <w:color w:val="auto"/>
        </w:rPr>
        <w:t>Comprehensive loss includes net loss and certain changes in stockholders’ equity that are excluded from net loss. For the years ended December 31, 2024 and 2023, comprehensive loss consists of net loss and changes in unrealized gains and losses on marketable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Warrants</w:t>
      </w:r>
    </w:p>
    <w:p>
      <w:pPr>
        <w:spacing w:after="0" w:line="11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 xml:space="preserve">The Company accounts for warrants to purchase shares of its common stock in accordance with the guidance in FASB ASC No. 480, </w:t>
      </w: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("ASC 480") and ASC No. 815,</w:t>
      </w:r>
      <w:r>
        <w:rPr>
          <w:rFonts w:ascii="Arial" w:cs="Arial" w:eastAsia="Arial" w:hAnsi="Arial"/>
          <w:sz w:val="17"/>
          <w:szCs w:val="17"/>
          <w:i w:val="1"/>
          <w:iCs w:val="1"/>
          <w:color w:val="auto"/>
        </w:rPr>
        <w:t xml:space="preserve"> Derivatives and Hedging </w:t>
      </w:r>
      <w:r>
        <w:rPr>
          <w:rFonts w:ascii="Arial" w:cs="Arial" w:eastAsia="Arial" w:hAnsi="Arial"/>
          <w:sz w:val="17"/>
          <w:szCs w:val="17"/>
          <w:color w:val="auto"/>
        </w:rPr>
        <w:t>("ASC 815"). The Company classifies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 Equity classified warrants are accounted for at fair value on the issuance date with no changes in fair value recognized after the issuance 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19"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 warrants. Diluted net loss per share is computed by dividing net loss by the weighted average number of common</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shares outstanding for the period, after giving consideration to the dilutive effect of potentially dilutive common 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19"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In November 2023, the FASB issued ASU No. 2023-07, </w:t>
      </w:r>
      <w:r>
        <w:rPr>
          <w:rFonts w:ascii="Arial" w:cs="Arial" w:eastAsia="Arial" w:hAnsi="Arial"/>
          <w:sz w:val="17"/>
          <w:szCs w:val="17"/>
          <w:i w:val="1"/>
          <w:iCs w:val="1"/>
          <w:color w:val="auto"/>
        </w:rPr>
        <w:t>Segment Reporting (Topic 280) - Improvements to Reportable Segment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w:t>
      </w:r>
      <w:r>
        <w:rPr>
          <w:rFonts w:ascii="Arial" w:cs="Arial" w:eastAsia="Arial" w:hAnsi="Arial"/>
          <w:sz w:val="17"/>
          <w:szCs w:val="17"/>
          <w:color w:val="auto"/>
        </w:rPr>
        <w:t>("ASU 2023-07"). ASU 2023-07 improves reportable segment disclosure requirements, primarily through enhanced disclosures about</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segment expenses. The amendments included in this ASU apply to all public entities that are required to report segment information in accordance with Topic 280, including those with a single reportable segment. The amendments are effective for fiscal years beginning after December 15, 2023, and interim periods within fiscal years beginning after December 15, 2024. The Company adopted ASU 2023-07 as of December 31, 2024. The amendments were applied retroactively to all prior periods presented in the consolidated financial statements and are reflected within Note 17.</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9"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 xml:space="preserve">In December 2023, the FASB issued ASU No. 2023-09, </w:t>
      </w:r>
      <w:r>
        <w:rPr>
          <w:rFonts w:ascii="Arial" w:cs="Arial" w:eastAsia="Arial" w:hAnsi="Arial"/>
          <w:sz w:val="17"/>
          <w:szCs w:val="17"/>
          <w:i w:val="1"/>
          <w:iCs w:val="1"/>
          <w:color w:val="auto"/>
        </w:rPr>
        <w:t>Income Taxes (Topic 740) - Improvements to Income Tax Disclosures</w:t>
      </w:r>
      <w:r>
        <w:rPr>
          <w:rFonts w:ascii="Arial" w:cs="Arial" w:eastAsia="Arial" w:hAnsi="Arial"/>
          <w:sz w:val="17"/>
          <w:szCs w:val="17"/>
          <w:color w:val="auto"/>
        </w:rPr>
        <w:t xml:space="preserve"> ("ASU 2023-09"). ASU 2023-09 provides more transparency about income tax information through improvements to income tax disclosures primarily related to the rate reconciliation and incomes taxes paid information. For public companies, the amendments are effective for annual periods beginning after December 15, 2024 and should be applied prospectively. The Company has determined that the effects of adopting the amendments in ASU 2023-09 will only impact its disclosures and not have a material impact on its consolidated financial position and the results of its operations when such amendment is adopted.</w:t>
      </w:r>
    </w:p>
    <w:p>
      <w:pPr>
        <w:spacing w:after="0" w:line="169"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 xml:space="preserve">In November 2024, the FASB issued ASU No. 2024-03, </w:t>
      </w:r>
      <w:r>
        <w:rPr>
          <w:rFonts w:ascii="Arial" w:cs="Arial" w:eastAsia="Arial" w:hAnsi="Arial"/>
          <w:sz w:val="17"/>
          <w:szCs w:val="17"/>
          <w:i w:val="1"/>
          <w:iCs w:val="1"/>
          <w:color w:val="auto"/>
        </w:rPr>
        <w:t>Income Statement-Reporting Comprehensive Income-Expense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(Subtopic 220-40): Disaggregation of Income Statement Expenses </w:t>
      </w:r>
      <w:r>
        <w:rPr>
          <w:rFonts w:ascii="Arial" w:cs="Arial" w:eastAsia="Arial" w:hAnsi="Arial"/>
          <w:sz w:val="17"/>
          <w:szCs w:val="17"/>
          <w:color w:val="auto"/>
        </w:rPr>
        <w:t>("ASU 2024-03"), requiring public entities to disclose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adopting ASU 2024-03 on its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Restricted Cash</w:t>
      </w:r>
    </w:p>
    <w:p>
      <w:pPr>
        <w:spacing w:after="0" w:line="121"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As of December 31, 2024 and 2023, the Company had restricted cash of $0.4 million and $0.4 million, respectively, held as letters of credit for the benefit of its current landlord. The Company's Boston, Massachusetts sublease expires on January 31, 2026, and the related letter of credit of $0.4 million was classified within other non-current assets on the consolidated balance sheet as of December 31, 2024 and 2023.</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Cash Equivalents and Marketable Securities</w:t>
      </w:r>
    </w:p>
    <w:p>
      <w:pPr>
        <w:spacing w:after="0" w:line="121" w:lineRule="exact"/>
        <w:rPr>
          <w:sz w:val="20"/>
          <w:szCs w:val="20"/>
          <w:color w:val="auto"/>
        </w:rPr>
      </w:pPr>
    </w:p>
    <w:p>
      <w:pPr>
        <w:ind w:right="80" w:firstLine="433"/>
        <w:spacing w:after="0" w:line="300" w:lineRule="auto"/>
        <w:rPr>
          <w:sz w:val="20"/>
          <w:szCs w:val="20"/>
          <w:color w:val="auto"/>
        </w:rPr>
      </w:pPr>
      <w:r>
        <w:rPr>
          <w:rFonts w:ascii="Arial" w:cs="Arial" w:eastAsia="Arial" w:hAnsi="Arial"/>
          <w:sz w:val="17"/>
          <w:szCs w:val="17"/>
          <w:color w:val="auto"/>
        </w:rPr>
        <w:t>The following is a summary of the Company's investment portfolio as of December 31, 2024 (in thousands). The Company did not hold any cash equivalents or marketable securities as of December 31, 2023.</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As of December 31, 2024</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2"/>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60" w:type="dxa"/>
            <w:vAlign w:val="bottom"/>
          </w:tcPr>
          <w:p>
            <w:pPr>
              <w:spacing w:after="0"/>
              <w:rPr>
                <w:sz w:val="17"/>
                <w:szCs w:val="17"/>
                <w:color w:val="auto"/>
              </w:rPr>
            </w:pPr>
          </w:p>
        </w:tc>
        <w:tc>
          <w:tcPr>
            <w:tcW w:w="1300" w:type="dxa"/>
            <w:vAlign w:val="bottom"/>
          </w:tcPr>
          <w:p>
            <w:pPr>
              <w:jc w:val="right"/>
              <w:ind w:right="321"/>
              <w:spacing w:after="0"/>
              <w:rPr>
                <w:sz w:val="20"/>
                <w:szCs w:val="20"/>
                <w:color w:val="auto"/>
              </w:rPr>
            </w:pPr>
            <w:r>
              <w:rPr>
                <w:rFonts w:ascii="Arial" w:cs="Arial" w:eastAsia="Arial" w:hAnsi="Arial"/>
                <w:sz w:val="16"/>
                <w:szCs w:val="16"/>
                <w:b w:val="1"/>
                <w:bCs w:val="1"/>
                <w:color w:val="auto"/>
              </w:rPr>
              <w:t>Estimated</w:t>
            </w:r>
          </w:p>
        </w:tc>
      </w:tr>
      <w:tr>
        <w:trPr>
          <w:trHeight w:val="211"/>
        </w:trPr>
        <w:tc>
          <w:tcPr>
            <w:tcW w:w="5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Cost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Gains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Losses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Fair Value</w:t>
            </w:r>
          </w:p>
        </w:tc>
      </w:tr>
      <w:tr>
        <w:trPr>
          <w:trHeight w:val="20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9"/>
        </w:trPr>
        <w:tc>
          <w:tcPr>
            <w:tcW w:w="6020" w:type="dxa"/>
            <w:vAlign w:val="bottom"/>
            <w:gridSpan w:val="2"/>
          </w:tcPr>
          <w:p>
            <w:pPr>
              <w:ind w:left="44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128,652</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11"/>
        </w:trPr>
        <w:tc>
          <w:tcPr>
            <w:tcW w:w="60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w:t>
            </w:r>
          </w:p>
        </w:tc>
      </w:tr>
      <w:tr>
        <w:trPr>
          <w:trHeight w:val="209"/>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1"/>
        </w:trPr>
        <w:tc>
          <w:tcPr>
            <w:tcW w:w="60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128,690</w:t>
            </w:r>
          </w:p>
        </w:tc>
      </w:tr>
      <w:tr>
        <w:trPr>
          <w:trHeight w:val="209"/>
        </w:trPr>
        <w:tc>
          <w:tcPr>
            <w:tcW w:w="6020" w:type="dxa"/>
            <w:vAlign w:val="bottom"/>
            <w:gridSpan w:val="2"/>
          </w:tcPr>
          <w:p>
            <w:pPr>
              <w:ind w:left="44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107,695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107,852</w:t>
            </w:r>
          </w:p>
        </w:tc>
      </w:tr>
      <w:tr>
        <w:trPr>
          <w:trHeight w:val="211"/>
        </w:trPr>
        <w:tc>
          <w:tcPr>
            <w:tcW w:w="60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w:t>
            </w:r>
          </w:p>
        </w:tc>
      </w:tr>
      <w:tr>
        <w:trPr>
          <w:trHeight w:val="209"/>
        </w:trPr>
        <w:tc>
          <w:tcPr>
            <w:tcW w:w="60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Other debt securities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8,819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8,820</w:t>
            </w:r>
          </w:p>
        </w:tc>
      </w:tr>
      <w:tr>
        <w:trPr>
          <w:trHeight w:val="224"/>
        </w:trPr>
        <w:tc>
          <w:tcPr>
            <w:tcW w:w="6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398,109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398,763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Contractual maturities of the marketable securities at each balance sheet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2024</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r>
      <w:tr>
        <w:trPr>
          <w:trHeight w:val="20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Within one year</w:t>
            </w:r>
          </w:p>
        </w:tc>
        <w:tc>
          <w:tcPr>
            <w:tcW w:w="500" w:type="dxa"/>
            <w:vAlign w:val="bottom"/>
            <w:tcBorders>
              <w:top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177,195</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one year through five years</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76,961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254,156</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480" w:firstLine="433"/>
        <w:spacing w:after="0" w:line="300" w:lineRule="auto"/>
        <w:rPr>
          <w:sz w:val="20"/>
          <w:szCs w:val="20"/>
          <w:color w:val="auto"/>
        </w:rPr>
      </w:pPr>
      <w:r>
        <w:rPr>
          <w:rFonts w:ascii="Arial" w:cs="Arial" w:eastAsia="Arial" w:hAnsi="Arial"/>
          <w:sz w:val="17"/>
          <w:szCs w:val="17"/>
          <w:color w:val="auto"/>
        </w:rPr>
        <w:t>Securities are evaluated for impairment at the end of each reporting period. The Company did not record any impairment related to its available-for-sale securities during the years ended December 31, 2024 and 2023.</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of Financial Assets</w:t>
      </w:r>
    </w:p>
    <w:p>
      <w:pPr>
        <w:spacing w:after="0" w:line="121" w:lineRule="exact"/>
        <w:rPr>
          <w:sz w:val="20"/>
          <w:szCs w:val="20"/>
          <w:color w:val="auto"/>
        </w:rPr>
      </w:pPr>
    </w:p>
    <w:p>
      <w:pPr>
        <w:ind w:right="40" w:firstLine="433"/>
        <w:spacing w:after="0" w:line="278" w:lineRule="auto"/>
        <w:rPr>
          <w:sz w:val="20"/>
          <w:szCs w:val="20"/>
          <w:color w:val="auto"/>
        </w:rPr>
      </w:pPr>
      <w:r>
        <w:rPr>
          <w:rFonts w:ascii="Arial" w:cs="Arial" w:eastAsia="Arial" w:hAnsi="Arial"/>
          <w:sz w:val="17"/>
          <w:szCs w:val="17"/>
          <w:color w:val="auto"/>
        </w:rPr>
        <w:t>The following table presents information about the Company's financial assets measured at fair value on a recurring basis and indicates the level of the fair value hierarchy utilized to determine such fair values as of December 31, 2024 (in thousands). The Company did not hold any financial assets measured at fair value on a recurring basis as of December 31,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As of December 31, 2024</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3"/>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61"/>
              <w:spacing w:after="0"/>
              <w:rPr>
                <w:sz w:val="20"/>
                <w:szCs w:val="20"/>
                <w:color w:val="auto"/>
              </w:rPr>
            </w:pPr>
            <w:r>
              <w:rPr>
                <w:rFonts w:ascii="Arial" w:cs="Arial" w:eastAsia="Arial" w:hAnsi="Arial"/>
                <w:sz w:val="16"/>
                <w:szCs w:val="16"/>
                <w:b w:val="1"/>
                <w:bCs w:val="1"/>
                <w:color w:val="auto"/>
              </w:rPr>
              <w:t>Total</w:t>
            </w:r>
          </w:p>
        </w:tc>
      </w:tr>
      <w:tr>
        <w:trPr>
          <w:trHeight w:val="19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09"/>
        </w:trPr>
        <w:tc>
          <w:tcPr>
            <w:tcW w:w="5240" w:type="dxa"/>
            <w:vAlign w:val="bottom"/>
          </w:tcPr>
          <w:p>
            <w:pPr>
              <w:ind w:left="44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128,652</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50"/>
        </w:trPr>
        <w:tc>
          <w:tcPr>
            <w:tcW w:w="5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09"/>
        </w:trPr>
        <w:tc>
          <w:tcPr>
            <w:tcW w:w="5240" w:type="dxa"/>
            <w:vAlign w:val="bottom"/>
          </w:tcPr>
          <w:p>
            <w:pPr>
              <w:ind w:left="440"/>
              <w:spacing w:after="0"/>
              <w:rPr>
                <w:sz w:val="20"/>
                <w:szCs w:val="20"/>
                <w:color w:val="auto"/>
              </w:rPr>
            </w:pPr>
            <w:r>
              <w:rPr>
                <w:rFonts w:ascii="Arial" w:cs="Arial" w:eastAsia="Arial" w:hAnsi="Arial"/>
                <w:sz w:val="16"/>
                <w:szCs w:val="16"/>
                <w:color w:val="auto"/>
              </w:rPr>
              <w:t>Debt securities issued by U.S. government agencies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144,644</w:t>
            </w:r>
          </w:p>
        </w:tc>
      </w:tr>
      <w:tr>
        <w:trPr>
          <w:trHeight w:val="211"/>
        </w:trPr>
        <w:tc>
          <w:tcPr>
            <w:tcW w:w="5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Corporate debt securities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r>
      <w:tr>
        <w:trPr>
          <w:trHeight w:val="209"/>
        </w:trPr>
        <w:tc>
          <w:tcPr>
            <w:tcW w:w="5240" w:type="dxa"/>
            <w:vAlign w:val="bottom"/>
          </w:tcPr>
          <w:p>
            <w:pPr>
              <w:ind w:left="44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8,794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8,794</w:t>
            </w:r>
          </w:p>
        </w:tc>
      </w:tr>
      <w:tr>
        <w:trPr>
          <w:trHeight w:val="210"/>
        </w:trPr>
        <w:tc>
          <w:tcPr>
            <w:tcW w:w="5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debt securities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8,821</w:t>
            </w:r>
          </w:p>
        </w:tc>
      </w:tr>
      <w:tr>
        <w:trPr>
          <w:trHeight w:val="203"/>
        </w:trPr>
        <w:tc>
          <w:tcPr>
            <w:tcW w:w="524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273,296</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125,467</w:t>
            </w:r>
          </w:p>
        </w:tc>
        <w:tc>
          <w:tcPr>
            <w:tcW w:w="100" w:type="dxa"/>
            <w:vAlign w:val="bottom"/>
          </w:tcPr>
          <w:p>
            <w:pPr>
              <w:spacing w:after="0"/>
              <w:rPr>
                <w:sz w:val="17"/>
                <w:szCs w:val="17"/>
                <w:color w:val="auto"/>
              </w:rPr>
            </w:pP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398,763</w:t>
            </w:r>
          </w:p>
        </w:tc>
      </w:tr>
      <w:tr>
        <w:trPr>
          <w:trHeight w:val="21"/>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Company estimates the fair value of its marketable securities classified as Level 2 by taking into consideration valuations obtained from third-party pricing sources. These pricing sources utilize industry standard valuation models, including both income and market-based approaches, for which all significant inputs are observable, either directly or indirectly, to estimate fair value. These inputs include market pricing based on real-time trade data for the same or similar securities, issuer credit spreads, benchmark yields, and other observable inputs. The Company validates the prices provided by its third-party pricing sources by understanding the models used, obtaining market values from other pricing sources and analyzing pricing data in certain instances.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and Equipment,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Laboratory equipment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property and equipment</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1,593</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r>
      <w:tr>
        <w:trPr>
          <w:trHeight w:val="21"/>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expense was $0.4 million and $0.4 million for the years ended December 31, 2024 and 2023, respectively.</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Accrued 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3,716</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23,763</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7,416</w:t>
            </w:r>
          </w:p>
        </w:tc>
      </w:tr>
      <w:tr>
        <w:trPr>
          <w:trHeight w:val="21"/>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right="8260" w:firstLine="5"/>
        <w:spacing w:after="0" w:line="387" w:lineRule="auto"/>
        <w:tabs>
          <w:tab w:leader="none" w:pos="194"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Leases</w:t>
      </w:r>
    </w:p>
    <w:p>
      <w:pPr>
        <w:spacing w:after="0" w:line="1"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In May 2021, the Company entered into a sublease agreement for office space located in Boston, Massachusetts. The sublease expires on January 31, 2026, with no option to renew or terminate early. The base rent increases by approximately 2% annually. The Company issued a letter of credit to the landlord related to the security deposit, secured by restricted cash (Note 3). This lease qualifies as an operating lease. At inception, the Company recorded an operating lease right-of-use asset and operating lease liability of $4.1 million.</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summarizes the presentation of the operating lease in the Company’s consolidated balance sheets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Liabilities:</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Current operating lease liabilities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portion of operating lease liabilities</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r>
      <w:tr>
        <w:trPr>
          <w:trHeight w:val="21"/>
        </w:trPr>
        <w:tc>
          <w:tcPr>
            <w:tcW w:w="8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total lease costs recognized in the Company’s consolidated statements of operations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8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costs</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costs</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200" w:firstLine="433"/>
        <w:spacing w:after="0" w:line="271" w:lineRule="auto"/>
        <w:rPr>
          <w:sz w:val="20"/>
          <w:szCs w:val="20"/>
          <w:color w:val="auto"/>
        </w:rPr>
      </w:pPr>
      <w:r>
        <w:rPr>
          <w:rFonts w:ascii="Arial" w:cs="Arial" w:eastAsia="Arial" w:hAnsi="Arial"/>
          <w:sz w:val="17"/>
          <w:szCs w:val="17"/>
          <w:color w:val="auto"/>
        </w:rPr>
        <w:t>Variable lease costs were primarily related to operating expenses, taxes and insurance associated with the operating leases, which were assessed based on the Company’s proportionate share of such costs for the leased premises. As these costs are generally variable in nature, they were not included in the measurement of the operating lease right-of-use asset and related lease liability. Total lease costs are included as operating expenses in the Company’s consolidated statements of operations and comprehensive loss.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lease payments under non-cancelable lease agreements as of December 31, 2024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6"/>
                <w:szCs w:val="16"/>
                <w:color w:val="auto"/>
              </w:rPr>
            </w:pPr>
          </w:p>
        </w:tc>
        <w:tc>
          <w:tcPr>
            <w:tcW w:w="1340" w:type="dxa"/>
            <w:vAlign w:val="bottom"/>
          </w:tcPr>
          <w:p>
            <w:pPr>
              <w:jc w:val="right"/>
              <w:ind w:right="201"/>
              <w:spacing w:after="0"/>
              <w:rPr>
                <w:sz w:val="20"/>
                <w:szCs w:val="20"/>
                <w:color w:val="auto"/>
              </w:rPr>
            </w:pPr>
            <w:r>
              <w:rPr>
                <w:rFonts w:ascii="Arial" w:cs="Arial" w:eastAsia="Arial" w:hAnsi="Arial"/>
                <w:sz w:val="16"/>
                <w:szCs w:val="16"/>
                <w:b w:val="1"/>
                <w:bCs w:val="1"/>
                <w:color w:val="auto"/>
              </w:rPr>
              <w:t>Future Lease</w:t>
            </w:r>
          </w:p>
        </w:tc>
        <w:tc>
          <w:tcPr>
            <w:tcW w:w="0" w:type="dxa"/>
            <w:vAlign w:val="bottom"/>
          </w:tcPr>
          <w:p>
            <w:pPr>
              <w:spacing w:after="0"/>
              <w:rPr>
                <w:sz w:val="1"/>
                <w:szCs w:val="1"/>
                <w:color w:val="auto"/>
              </w:rPr>
            </w:pPr>
          </w:p>
        </w:tc>
      </w:tr>
      <w:tr>
        <w:trPr>
          <w:trHeight w:val="210"/>
        </w:trPr>
        <w:tc>
          <w:tcPr>
            <w:tcW w:w="9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21"/>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1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0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lease payments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0" w:type="dxa"/>
            <w:vAlign w:val="bottom"/>
          </w:tcPr>
          <w:p>
            <w:pPr>
              <w:spacing w:after="0"/>
              <w:rPr>
                <w:sz w:val="1"/>
                <w:szCs w:val="1"/>
                <w:color w:val="auto"/>
              </w:rPr>
            </w:pPr>
          </w:p>
        </w:tc>
      </w:tr>
      <w:tr>
        <w:trPr>
          <w:trHeight w:val="20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8"/>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200" w:firstLine="433"/>
        <w:spacing w:after="0" w:line="348" w:lineRule="auto"/>
        <w:rPr>
          <w:sz w:val="20"/>
          <w:szCs w:val="20"/>
          <w:color w:val="auto"/>
        </w:rPr>
      </w:pPr>
      <w:r>
        <w:rPr>
          <w:rFonts w:ascii="Arial" w:cs="Arial" w:eastAsia="Arial" w:hAnsi="Arial"/>
          <w:sz w:val="17"/>
          <w:szCs w:val="17"/>
          <w:color w:val="auto"/>
        </w:rPr>
        <w:t>The weighted average remaining lease term and weighted average incremental borrowing rate of the Company’s operating lease were as follows:</w:t>
      </w:r>
    </w:p>
    <w:p>
      <w:pPr>
        <w:spacing w:after="0" w:line="13"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2023</w:t>
            </w: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Weighted average incremental borrowing rate</w:t>
            </w:r>
          </w:p>
        </w:tc>
        <w:tc>
          <w:tcPr>
            <w:tcW w:w="540" w:type="dxa"/>
            <w:vAlign w:val="bottom"/>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9.0 %</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9"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material legal proceedings during the years ended December 31, 2024 and 2023, and no material legal proceedings are currently pending or threatened.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w:t>
      </w:r>
    </w:p>
    <w:p>
      <w:pPr>
        <w:spacing w:after="0" w:line="119"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The Company has agreements with third parties for various services, including services related to research, preclinical and clinical operations and support, for which the Company is not contractually able to terminate for convenience to avoid future obligations to the vendors. Certain agreements provide for termination rights subject to termination fees or wind down costs. Under such agreements, the Company is contractually obligated to make certain payments to vendors, primarily to reimburse them for their unrecoverable outlays incurred prior to cancellation. The actual amounts the Company could pay in the future to the vendors under such agreements may differ from the purchase order amounts due to cancellation provisions.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19" w:lineRule="exact"/>
        <w:rPr>
          <w:sz w:val="20"/>
          <w:szCs w:val="20"/>
          <w:color w:val="auto"/>
        </w:rPr>
      </w:pPr>
    </w:p>
    <w:p>
      <w:pPr>
        <w:ind w:right="520" w:firstLine="433"/>
        <w:spacing w:after="0" w:line="300" w:lineRule="auto"/>
        <w:rPr>
          <w:sz w:val="20"/>
          <w:szCs w:val="20"/>
          <w:color w:val="auto"/>
        </w:rPr>
      </w:pPr>
      <w:r>
        <w:rPr>
          <w:rFonts w:ascii="Arial" w:cs="Arial" w:eastAsia="Arial" w:hAnsi="Arial"/>
          <w:sz w:val="17"/>
          <w:szCs w:val="17"/>
          <w:color w:val="auto"/>
        </w:rPr>
        <w:t>The Company enters into indemnification agreements and agreements containing indemnification provisions in the ordinary course of business. Pursuant to these agreements, the Company agrees to indemnify, hold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harmless, and to reimburse the indemnified party for losses suffered or incurred by the indemnified party, generally the Company’s business partners, in connection with any U.S. patent or any copyright or other intellectual property infringement claim by any third party with respect to the Company’s products. The term of these indemnification agreements is generally perpetual upon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Agreements</w:t>
      </w:r>
    </w:p>
    <w:p>
      <w:pPr>
        <w:spacing w:after="0" w:line="119"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The Company has entered into multiple agreements with third parties under which it may be obligated to make future development, regulatory and commercial milestone payments and royalty payments on future sales of specified product candidates. Payments under these agreements generally become due and payable upon achievement of such milestones and sales. When the achievement of these milestones or sales have not occurred, such contingencies are not recorded in the Company's financial statements.</w:t>
      </w:r>
    </w:p>
    <w:p>
      <w:pPr>
        <w:spacing w:after="0" w:line="269" w:lineRule="exact"/>
        <w:rPr>
          <w:sz w:val="20"/>
          <w:szCs w:val="20"/>
          <w:color w:val="auto"/>
        </w:rPr>
      </w:pPr>
    </w:p>
    <w:p>
      <w:pPr>
        <w:ind w:right="7800" w:firstLine="5"/>
        <w:spacing w:after="0" w:line="387" w:lineRule="auto"/>
        <w:tabs>
          <w:tab w:leader="none" w:pos="194"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Collaboration and License Agreements </w:t>
      </w:r>
      <w:r>
        <w:rPr>
          <w:rFonts w:ascii="Arial" w:cs="Arial" w:eastAsia="Arial" w:hAnsi="Arial"/>
          <w:sz w:val="17"/>
          <w:szCs w:val="17"/>
          <w:b w:val="1"/>
          <w:bCs w:val="1"/>
          <w:i w:val="1"/>
          <w:iCs w:val="1"/>
          <w:color w:val="auto"/>
        </w:rPr>
        <w:t>UCB Option and License Agreement</w:t>
      </w:r>
    </w:p>
    <w:p>
      <w:pPr>
        <w:spacing w:after="0" w:line="1"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In December 2022, the Company entered into an Option and License Agreement (“the Collaboration Agreement”) with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will be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78"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66"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The Company recognizes revenue for its research services performance obligation over time using an input method over the duration of the research services. In December 2024, UCB exercised its option to in-license global development and commercialization rights for a KCNT1 development candidate as part of the Collaboration Agreement. Upon notice of the exercise, the Company recognized the $6.0 million option exercise fee as collaboration revenue within the consolidated statement of operations. The Company also recognized the $2.6 million of remaining collaboration revenue associated with the $5.0 million up front payment, as the Company will have no further research service obligations under the terms of the Collaboration Agreement.</w:t>
      </w:r>
    </w:p>
    <w:p>
      <w:pPr>
        <w:spacing w:after="0" w:line="169"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During the years ended December 31, 2024 and 2023, the Company recognized $8.6 million and $2.4 million respectively, in collaboration revenue related to the Collaboration Agreement in the consolidated statement of operations. As of December 31, 2024, there was no deferred revenue included in the consolidated balance sheet.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Tenacia Collaboration and License Agreement</w:t>
      </w:r>
    </w:p>
    <w:p>
      <w:pPr>
        <w:spacing w:after="0" w:line="11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On January 4, 2024, the Company entered into an exclusive collaboration and license Agreement (“the License Agreement”) with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spacing w:after="0" w:line="174" w:lineRule="exact"/>
        <w:rPr>
          <w:sz w:val="20"/>
          <w:szCs w:val="20"/>
          <w:color w:val="auto"/>
        </w:rPr>
      </w:pPr>
    </w:p>
    <w:p>
      <w:pPr>
        <w:jc w:val="both"/>
        <w:ind w:right="60" w:firstLine="433"/>
        <w:spacing w:after="0" w:line="278" w:lineRule="auto"/>
        <w:rPr>
          <w:sz w:val="20"/>
          <w:szCs w:val="20"/>
          <w:color w:val="auto"/>
        </w:rPr>
      </w:pPr>
      <w:r>
        <w:rPr>
          <w:rFonts w:ascii="Arial" w:cs="Arial" w:eastAsia="Arial" w:hAnsi="Arial"/>
          <w:sz w:val="17"/>
          <w:szCs w:val="17"/>
          <w:color w:val="auto"/>
        </w:rPr>
        <w:t>Under the terms of the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w:t>
      </w:r>
    </w:p>
    <w:p>
      <w:pPr>
        <w:spacing w:after="0" w:line="160" w:lineRule="exact"/>
        <w:rPr>
          <w:sz w:val="20"/>
          <w:szCs w:val="20"/>
          <w:color w:val="auto"/>
        </w:rPr>
      </w:pPr>
    </w:p>
    <w:p>
      <w:pPr>
        <w:ind w:right="420" w:firstLine="433"/>
        <w:spacing w:after="0" w:line="278" w:lineRule="auto"/>
        <w:rPr>
          <w:sz w:val="20"/>
          <w:szCs w:val="20"/>
          <w:color w:val="auto"/>
        </w:rPr>
      </w:pPr>
      <w:r>
        <w:rPr>
          <w:rFonts w:ascii="Arial" w:cs="Arial" w:eastAsia="Arial" w:hAnsi="Arial"/>
          <w:sz w:val="17"/>
          <w:szCs w:val="17"/>
          <w:color w:val="auto"/>
        </w:rPr>
        <w:t>The Company concluded that the License Agreement and the Stock Purchase Agreement is a combined arrangement since they were executed at the same time and in contemplation of each other with the same counterparty or a related party thereof and the combined arrangement falls within the scope of Topic 606.</w:t>
      </w:r>
    </w:p>
    <w:p>
      <w:pPr>
        <w:spacing w:after="0" w:line="160"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$ 10.0 million gross proceeds from the sale of common stock under the Stock Purchase Agreement and (ii) $4.8 million, net of tax, related to the up-front payment under the License Agreement, both of which were received in January 2024. During the year ended December 31, 2024, the Company had not achieved any development or sales milestones or earned any royalties under the License Agreement.</w:t>
      </w:r>
    </w:p>
    <w:p>
      <w:pPr>
        <w:spacing w:after="0" w:line="16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$2.5 million, which was recorded at the inception of the collaboration and license agreement in research and development expense in the accompanying consolidated statement of operations.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spacing w:after="0" w:line="178" w:lineRule="exact"/>
        <w:rPr>
          <w:sz w:val="20"/>
          <w:szCs w:val="20"/>
          <w:color w:val="auto"/>
        </w:rPr>
      </w:pPr>
    </w:p>
    <w:p>
      <w:pPr>
        <w:ind w:right="160" w:firstLine="433"/>
        <w:spacing w:after="0" w:line="271" w:lineRule="auto"/>
        <w:rPr>
          <w:sz w:val="20"/>
          <w:szCs w:val="20"/>
          <w:color w:val="auto"/>
        </w:rPr>
      </w:pPr>
      <w:r>
        <w:rPr>
          <w:rFonts w:ascii="Arial" w:cs="Arial" w:eastAsia="Arial" w:hAnsi="Arial"/>
          <w:sz w:val="17"/>
          <w:szCs w:val="17"/>
          <w:color w:val="auto"/>
        </w:rPr>
        <w:t>As of December 31, 2024, the Company did not have any receivables or deferred revenue related to the arrangement with Tenacia. The Company did not recognize any contract assets related to costs to obtain a contract with a customer or costs to fulfill a contract with a customer through December 31, 2024 because no qualifying costs were incurred. During the year ended December 31, 2024, the Company did not recognize any revenue associated with the combined arrangement.</w:t>
      </w:r>
    </w:p>
    <w:p>
      <w:pPr>
        <w:spacing w:after="0" w:line="269" w:lineRule="exact"/>
        <w:rPr>
          <w:sz w:val="20"/>
          <w:szCs w:val="20"/>
          <w:color w:val="auto"/>
        </w:rPr>
      </w:pPr>
    </w:p>
    <w:p>
      <w:pPr>
        <w:ind w:right="7940" w:firstLine="5"/>
        <w:spacing w:after="0" w:line="441" w:lineRule="auto"/>
        <w:tabs>
          <w:tab w:leader="none" w:pos="291"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Common Stock and Preferred Stock </w:t>
      </w:r>
      <w:r>
        <w:rPr>
          <w:rFonts w:ascii="Arial" w:cs="Arial" w:eastAsia="Arial" w:hAnsi="Arial"/>
          <w:sz w:val="17"/>
          <w:szCs w:val="17"/>
          <w:b w:val="1"/>
          <w:bCs w:val="1"/>
          <w:i w:val="1"/>
          <w:iCs w:val="1"/>
          <w:color w:val="auto"/>
        </w:rPr>
        <w:t>Common Stock</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In November 2021, the Company entered into an Open Market Sale Agreement (the "2021 Sales Agreement") with Jefferies LLC ("Jefferies"), to provide for the offering, issuance and sale of up to an aggregate amount of $125.0 million of common stock from time to time in at-the-market offerings for which Jefferies acted as sales agent. The Company terminated the 2021 Sales Agreement in June 2023. During the year ended December 31, 2023, the Company issued and sold an aggregate of 952,794 shares under the 2021 Sales Agreement for aggregate net proceeds of $24.1 million, after deducting commissions and offering expenses payable by the Company.</w:t>
      </w:r>
    </w:p>
    <w:p>
      <w:pPr>
        <w:spacing w:after="0" w:line="167"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In December 2023, the Company entered into an Open Market Sale Agreement (the "2023 Sales Agreement"), with Jefferies, to provide for the offering, issuance and sale of up to an aggregate amount of $75.0 million of common stock from time to time in at-the-market offerings. The 2023 Sales Agreement was terminated in January 2024. During the year ended December 31, 2024, the Company issued and sold an aggregate of 192,190 shares under the 2023 Sales Agreement for aggregate net proceeds of $5.3 million, after deducting commissions and offering expenses payable by the Company.</w:t>
      </w:r>
    </w:p>
    <w:p>
      <w:pPr>
        <w:spacing w:after="0" w:line="167"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In March 2024, the Company entered into an Open Market Sale Agreement (the "March 2024 Sales Agreement"), with Jefferies, to provide for the offering, issuance, and sale of up to an aggregate amount of $ 150.0 million of common stock from time to time in at-the-market offerings. During the year ended December 31, 2024, the Company issued and sold an aggregate of 1,614,975 shares under the March 2024 Sales Agreement for aggregate net proceeds of $113.1 million, after deducting commissions and offering expenses payable by the Company.</w:t>
      </w:r>
    </w:p>
    <w:p>
      <w:pPr>
        <w:spacing w:after="0" w:line="166"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In December 2024, the Company entered into an amendment to the March Sales Agreement with Jefferies, to provide for the offering, issuance, and sale of up to an aggregate amount of $ 250.0 million of common stock from time to time in at-the-market offerings. During the year ended December 31, 2024, the Company issued and sold an aggregate of 16,487 shares under the amended March 2024 Sales Agreement for aggregate net proceeds of $1.0 million, after deducting commissions and offering expenses payable by the Company.</w:t>
      </w:r>
    </w:p>
    <w:p>
      <w:pPr>
        <w:spacing w:after="0" w:line="166"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As of December 31, 2024 and 2023, the authorized capital stock of the Company included 150,000,000 shares of common stock, $0.0001 par value, pursuant to the Amended and Restated Certificate of Incorporation effective upon the completion of the IPO. Holders of such shares of common stock have the exclusive right to vote for the election of the Company's directors and are entitled to one vote per share. In the event of the voluntary or involuntary liquidation, dissolution or winding up of the Company, the holders of common stock are entitled to a pro rata distribution of the Company's net assets. Dividends may be declared and paid to such holders only when, as, and if declared by the Board or an authorized committee thereof.</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2024, the Company did not hold any treasury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Follow-On Public Offerings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June 2023 Public Offering</w:t>
      </w:r>
    </w:p>
    <w:p>
      <w:pPr>
        <w:spacing w:after="0" w:line="11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On June 21, 2023, the Company completed a public offering of: (i) an aggregate of 4,296,646 shares of its common stock at a public offering price of $14.25 per share, including the underwriters’ full exercise of their option to purchase 619,979 additional shares of common stock, and (ii) pre -funded warrants to purchase 470,000 shares of common stock at a public offering price of $14.2485 per share of common stock underlying the warrants. The purchase price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the Company.</w:t>
      </w:r>
    </w:p>
    <w:p>
      <w:pPr>
        <w:spacing w:after="0" w:line="169" w:lineRule="exact"/>
        <w:rPr>
          <w:sz w:val="20"/>
          <w:szCs w:val="20"/>
          <w:color w:val="auto"/>
        </w:rPr>
      </w:pPr>
    </w:p>
    <w:p>
      <w:pPr>
        <w:ind w:right="280" w:firstLine="433"/>
        <w:spacing w:after="0" w:line="278" w:lineRule="auto"/>
        <w:rPr>
          <w:sz w:val="20"/>
          <w:szCs w:val="20"/>
          <w:color w:val="auto"/>
        </w:rPr>
      </w:pPr>
      <w:r>
        <w:rPr>
          <w:rFonts w:ascii="Arial" w:cs="Arial" w:eastAsia="Arial" w:hAnsi="Arial"/>
          <w:sz w:val="17"/>
          <w:szCs w:val="17"/>
          <w:color w:val="auto"/>
        </w:rPr>
        <w:t>During the year ended December 31, 2024, all pre-funded warrants associated with this offering were exercised via a cashless exercise, resulting in 469,981 shares of common stock issued. No cash proceeds associated with the exercise were received by the Company. As of December 31, 2024, there were no pre-funded warrants associated with this offering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January 2024 Public Offering</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On January 16, 2024, the Company completed a public offering of: (i) an aggregate of 3,802,025 shares of its common stock at a public offering price of $35.50 per share, including the underwriters' full exercise of their option to purchase 633,750 additional shares of common stock, and (ii) pre -funded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spacing w:after="0" w:line="169"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During the year ended December 31, 2024, 152,145 pre-funded warrants were exercised via a cashless exercise, resulting in 152,142 shares of common stock issued. No cash proceeds associated with the exercise were received by the Company. As of December 31, 2024, a total of 904,580 pre-funded warrants associated with this offering remained outstanding.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April 2024 Public Offering</w:t>
      </w:r>
    </w:p>
    <w:p>
      <w:pPr>
        <w:spacing w:after="0" w:line="11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the Company.</w:t>
      </w:r>
    </w:p>
    <w:p>
      <w:pPr>
        <w:spacing w:after="0" w:line="169"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December 31, 2024, none of the pre-funded warrants had been exercised and all remained outstanding.</w:t>
      </w:r>
    </w:p>
    <w:p>
      <w:pPr>
        <w:spacing w:after="0" w:line="178"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 xml:space="preserve">The Company determined that the pre-funded warrants related to the June 2023, January 2024, and April 2024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7"/>
          <w:szCs w:val="17"/>
          <w:i w:val="1"/>
          <w:iCs w:val="1"/>
          <w:color w:val="auto"/>
        </w:rPr>
        <w:t>Contracts in Entity’s Own Equity</w:t>
      </w:r>
      <w:r>
        <w:rPr>
          <w:rFonts w:ascii="Arial" w:cs="Arial" w:eastAsia="Arial" w:hAnsi="Arial"/>
          <w:sz w:val="17"/>
          <w:szCs w:val="17"/>
          <w:color w:val="auto"/>
        </w:rPr>
        <w:t>, to determine the appropriate treatment. The Company concluded that</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the pre-funded warrants are both indexed to its own stock and meet all other conditions for equity classification. Accordingly, the Company has classified the pre-funded warrants as permanent equity.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reserved the following shares of common stock for future issuance: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16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3"/>
        </w:trPr>
        <w:tc>
          <w:tcPr>
            <w:tcW w:w="3520" w:type="dxa"/>
            <w:vAlign w:val="bottom"/>
            <w:tcBorders>
              <w:bottom w:val="single" w:sz="8" w:color="CCEEFF"/>
            </w:tcBorders>
          </w:tcPr>
          <w:p>
            <w:pPr>
              <w:spacing w:after="0"/>
              <w:rPr>
                <w:sz w:val="17"/>
                <w:szCs w:val="17"/>
                <w:color w:val="auto"/>
              </w:rPr>
            </w:pPr>
          </w:p>
        </w:tc>
        <w:tc>
          <w:tcPr>
            <w:tcW w:w="456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2023</w:t>
            </w:r>
          </w:p>
        </w:tc>
      </w:tr>
      <w:tr>
        <w:trPr>
          <w:trHeight w:val="20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1,809,343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r>
      <w:tr>
        <w:trPr>
          <w:trHeight w:val="209"/>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June 2023 Financing</w:t>
            </w:r>
          </w:p>
        </w:tc>
        <w:tc>
          <w:tcPr>
            <w:tcW w:w="216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470,000</w:t>
            </w:r>
          </w:p>
        </w:tc>
      </w:tr>
      <w:tr>
        <w:trPr>
          <w:trHeight w:val="211"/>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pre-funded warrants related to the January 2024 Financing</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904,580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April 2024 Financing</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221,238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and Incentive Plan</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91,343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148,264</w:t>
            </w: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6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109,648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53,111</w:t>
            </w:r>
          </w:p>
        </w:tc>
      </w:tr>
      <w:tr>
        <w:trPr>
          <w:trHeight w:val="211"/>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Shares reserved for future awards under the 2024</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Inducement Plan</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112,774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224,473</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47,145</w:t>
            </w:r>
          </w:p>
        </w:tc>
      </w:tr>
      <w:tr>
        <w:trPr>
          <w:trHeight w:val="229"/>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3,473,399</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1,384,683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9"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As of December 31, 2024 and 2023, the Company was authorized to issue 10,000,000 shares of undesignated preferred stock, $0.0001 par value, in one or more series, and is authorized to fix the powers, designations, preferences and relative participating option or other rights thereof, including dividend rights, conversion rights, voting rights, redemption rights, liquidation preferences and the number of shares constituting any series, without any further vote or action by the Company's shareholders. As of December 31, 2024 and 2023, the Company had no shares of undesignated preferred stock issued or outstanding.</w:t>
      </w:r>
    </w:p>
    <w:p>
      <w:pPr>
        <w:spacing w:after="0" w:line="270" w:lineRule="exact"/>
        <w:rPr>
          <w:sz w:val="20"/>
          <w:szCs w:val="20"/>
          <w:color w:val="auto"/>
        </w:rPr>
      </w:pPr>
    </w:p>
    <w:p>
      <w:pPr>
        <w:ind w:right="8640" w:firstLine="5"/>
        <w:spacing w:after="0" w:line="387" w:lineRule="auto"/>
        <w:tabs>
          <w:tab w:leader="none" w:pos="282"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Equity Incentive Plans</w:t>
      </w:r>
    </w:p>
    <w:p>
      <w:pPr>
        <w:spacing w:after="0" w:line="1" w:lineRule="exact"/>
        <w:rPr>
          <w:sz w:val="20"/>
          <w:szCs w:val="20"/>
          <w:color w:val="auto"/>
        </w:rPr>
      </w:pPr>
    </w:p>
    <w:p>
      <w:pPr>
        <w:ind w:right="220" w:firstLine="433"/>
        <w:spacing w:after="0" w:line="263" w:lineRule="auto"/>
        <w:rPr>
          <w:sz w:val="20"/>
          <w:szCs w:val="20"/>
          <w:color w:val="auto"/>
        </w:rPr>
      </w:pPr>
      <w:r>
        <w:rPr>
          <w:rFonts w:ascii="Arial" w:cs="Arial" w:eastAsia="Arial" w:hAnsi="Arial"/>
          <w:sz w:val="17"/>
          <w:szCs w:val="17"/>
          <w:color w:val="auto"/>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The total shares of common stock initially authorized for issuance under the Inducement Plan was 1,000,000. In June 2024, the shares of common stock authorized for issuance under the Inducement Plan was reduced by 870,000 shares following stockholder approval of an amendment and restatement of the 2020 Stock Option and Incentive Plan ("the 2020 Plan"). The total number of shares of common stock authorized for issuance under the Inducement Plan as of December 31, 2024 was 130,000 shares.</w:t>
      </w:r>
    </w:p>
    <w:p>
      <w:pPr>
        <w:spacing w:after="0" w:line="175" w:lineRule="exact"/>
        <w:rPr>
          <w:sz w:val="20"/>
          <w:szCs w:val="20"/>
          <w:color w:val="auto"/>
        </w:rPr>
      </w:pPr>
    </w:p>
    <w:p>
      <w:pPr>
        <w:ind w:right="280" w:firstLine="433"/>
        <w:spacing w:after="0" w:line="271" w:lineRule="auto"/>
        <w:rPr>
          <w:sz w:val="20"/>
          <w:szCs w:val="20"/>
          <w:color w:val="auto"/>
        </w:rPr>
      </w:pPr>
      <w:r>
        <w:rPr>
          <w:rFonts w:ascii="Arial" w:cs="Arial" w:eastAsia="Arial" w:hAnsi="Arial"/>
          <w:sz w:val="17"/>
          <w:szCs w:val="17"/>
          <w:color w:val="auto"/>
        </w:rPr>
        <w:t>The total number of shares of common stock authorized for issuance under the 2020 Plan as of December 31, 2024 and December 31, 2023 was 1,970,833 shares and 661,240 shares, respectively. The total number of shares of common stock authorized for issuance under the 2017 Stock Incentive Plan (the "2017 Plan") as of December 31, 2024 and 2023 was 395,850 shares. Any authorization to issue new options under the 2017 Plan was cancelled upon the effectiveness of the 2020 Plan and no further awards will be granted under the 2017 Plan.</w:t>
      </w:r>
    </w:p>
    <w:p>
      <w:pPr>
        <w:spacing w:after="0" w:line="166" w:lineRule="exact"/>
        <w:rPr>
          <w:sz w:val="20"/>
          <w:szCs w:val="20"/>
          <w:color w:val="auto"/>
        </w:rPr>
      </w:pPr>
    </w:p>
    <w:p>
      <w:pPr>
        <w:jc w:val="both"/>
        <w:ind w:right="80" w:firstLine="433"/>
        <w:spacing w:after="0" w:line="271" w:lineRule="auto"/>
        <w:rPr>
          <w:sz w:val="20"/>
          <w:szCs w:val="20"/>
          <w:color w:val="auto"/>
        </w:rPr>
      </w:pPr>
      <w:r>
        <w:rPr>
          <w:rFonts w:ascii="Arial" w:cs="Arial" w:eastAsia="Arial" w:hAnsi="Arial"/>
          <w:sz w:val="17"/>
          <w:szCs w:val="17"/>
          <w:color w:val="auto"/>
        </w:rPr>
        <w:t>Stock options issued under the 2024 Inducement, 2020 Plan and 2017 Plan expire ten years from the date of grant. Shares that expire, are terminated, surrendered or canceled under the 2024 Inducement, 2020 Plan and 2017 Plan without having been fully exercised will be available for future awards. In addition, shares of common stock that are tendered to the Company by a participant to exercise an award are added to the number of shares of</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common stock available for future awards. Upon stock option exercise, the Company issues new shares and delivers them to the participant.</w:t>
      </w:r>
    </w:p>
    <w:p>
      <w:pPr>
        <w:spacing w:after="0" w:line="224" w:lineRule="exact"/>
        <w:rPr>
          <w:sz w:val="20"/>
          <w:szCs w:val="20"/>
          <w:color w:val="auto"/>
        </w:rPr>
      </w:pPr>
    </w:p>
    <w:p>
      <w:pPr>
        <w:jc w:val="both"/>
        <w:ind w:right="140" w:firstLine="433"/>
        <w:spacing w:after="0" w:line="278" w:lineRule="auto"/>
        <w:rPr>
          <w:sz w:val="20"/>
          <w:szCs w:val="20"/>
          <w:color w:val="auto"/>
        </w:rPr>
      </w:pPr>
      <w:r>
        <w:rPr>
          <w:rFonts w:ascii="Arial" w:cs="Arial" w:eastAsia="Arial" w:hAnsi="Arial"/>
          <w:sz w:val="17"/>
          <w:szCs w:val="17"/>
          <w:color w:val="auto"/>
        </w:rPr>
        <w:t>The total shares authorized for issuance under the 2020 Employee Stock Purchase Plan (the "2020 ESPP") as of December 31, 2024 and 2023 was 175,145 shares and 87,227 shares, respectively. During the years ended December 31, 2024 and 2023, the Company issued 31,381 and 24,690 shares, respectively, under the 2020 ESPP.</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restricted stock unit activity: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61"/>
              <w:spacing w:after="0"/>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8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1"/>
              <w:spacing w:after="0" w:line="158"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7"/>
        </w:trPr>
        <w:tc>
          <w:tcPr>
            <w:tcW w:w="8040" w:type="dxa"/>
            <w:vAlign w:val="bottom"/>
          </w:tcPr>
          <w:p>
            <w:pPr>
              <w:spacing w:after="0"/>
              <w:rPr>
                <w:sz w:val="13"/>
                <w:szCs w:val="13"/>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3"/>
                <w:szCs w:val="13"/>
                <w:color w:val="auto"/>
              </w:rPr>
            </w:pPr>
          </w:p>
        </w:tc>
        <w:tc>
          <w:tcPr>
            <w:tcW w:w="1300" w:type="dxa"/>
            <w:vAlign w:val="bottom"/>
          </w:tcPr>
          <w:p>
            <w:pPr>
              <w:jc w:val="center"/>
              <w:ind w:right="141"/>
              <w:spacing w:after="0" w:line="158"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61"/>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2023</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47,145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202.27</w:t>
            </w:r>
          </w:p>
        </w:tc>
        <w:tc>
          <w:tcPr>
            <w:tcW w:w="0" w:type="dxa"/>
            <w:vAlign w:val="bottom"/>
          </w:tcPr>
          <w:p>
            <w:pPr>
              <w:spacing w:after="0"/>
              <w:rPr>
                <w:sz w:val="1"/>
                <w:szCs w:val="1"/>
                <w:color w:val="auto"/>
              </w:rPr>
            </w:pPr>
          </w:p>
        </w:tc>
      </w:tr>
      <w:tr>
        <w:trPr>
          <w:trHeight w:val="209"/>
        </w:trPr>
        <w:tc>
          <w:tcPr>
            <w:tcW w:w="8040" w:type="dxa"/>
            <w:vAlign w:val="bottom"/>
          </w:tcPr>
          <w:p>
            <w:pPr>
              <w:ind w:left="22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208,997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53.35</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201.07</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53.90</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2024</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224,473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500" w:firstLine="433"/>
        <w:spacing w:after="0" w:line="300" w:lineRule="auto"/>
        <w:rPr>
          <w:sz w:val="20"/>
          <w:szCs w:val="20"/>
          <w:color w:val="auto"/>
        </w:rPr>
      </w:pPr>
      <w:r>
        <w:rPr>
          <w:rFonts w:ascii="Arial" w:cs="Arial" w:eastAsia="Arial" w:hAnsi="Arial"/>
          <w:sz w:val="17"/>
          <w:szCs w:val="17"/>
          <w:color w:val="auto"/>
        </w:rPr>
        <w:t>As of December 31, 2024, total unrecognized compensation cost related to unvested restricted stock units was $10.6 million, which is expected to be recognized over a weighted-average period of 2.72 years.</w:t>
      </w:r>
    </w:p>
    <w:p>
      <w:pPr>
        <w:spacing w:after="0" w:line="141" w:lineRule="exact"/>
        <w:rPr>
          <w:sz w:val="20"/>
          <w:szCs w:val="20"/>
          <w:color w:val="auto"/>
        </w:rPr>
      </w:pPr>
    </w:p>
    <w:p>
      <w:pPr>
        <w:ind w:right="400" w:firstLine="433"/>
        <w:spacing w:after="0" w:line="300" w:lineRule="auto"/>
        <w:rPr>
          <w:sz w:val="20"/>
          <w:szCs w:val="20"/>
          <w:color w:val="auto"/>
        </w:rPr>
      </w:pPr>
      <w:r>
        <w:rPr>
          <w:rFonts w:ascii="Arial" w:cs="Arial" w:eastAsia="Arial" w:hAnsi="Arial"/>
          <w:sz w:val="17"/>
          <w:szCs w:val="17"/>
          <w:color w:val="auto"/>
        </w:rPr>
        <w:t>The total fair value of restricted stock units that vested during the years ended December 31, 2024 and 2023 was $1.0 million and $0.5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stock option activity: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7"/>
              </w:rPr>
              <w:t>Weighted</w:t>
            </w:r>
          </w:p>
        </w:tc>
        <w:tc>
          <w:tcPr>
            <w:tcW w:w="8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Weighted</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3"/>
                <w:szCs w:val="13"/>
                <w:color w:val="auto"/>
              </w:rPr>
            </w:pPr>
          </w:p>
        </w:tc>
        <w:tc>
          <w:tcPr>
            <w:tcW w:w="1380" w:type="dxa"/>
            <w:vAlign w:val="bottom"/>
          </w:tcPr>
          <w:p>
            <w:pPr>
              <w:jc w:val="center"/>
              <w:ind w:right="81"/>
              <w:spacing w:after="0" w:line="158" w:lineRule="exact"/>
              <w:rPr>
                <w:sz w:val="20"/>
                <w:szCs w:val="20"/>
                <w:color w:val="auto"/>
              </w:rPr>
            </w:pPr>
            <w:r>
              <w:rPr>
                <w:rFonts w:ascii="Arial" w:cs="Arial" w:eastAsia="Arial" w:hAnsi="Arial"/>
                <w:sz w:val="16"/>
                <w:szCs w:val="16"/>
                <w:b w:val="1"/>
                <w:bCs w:val="1"/>
                <w:color w:val="auto"/>
                <w:w w:val="98"/>
              </w:rPr>
              <w:t>Average</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7"/>
              </w:rPr>
              <w:t>Remaining</w:t>
            </w:r>
          </w:p>
        </w:tc>
        <w:tc>
          <w:tcPr>
            <w:tcW w:w="160" w:type="dxa"/>
            <w:vAlign w:val="bottom"/>
          </w:tcPr>
          <w:p>
            <w:pPr>
              <w:spacing w:after="0"/>
              <w:rPr>
                <w:sz w:val="13"/>
                <w:szCs w:val="13"/>
                <w:color w:val="auto"/>
              </w:rPr>
            </w:pPr>
          </w:p>
        </w:tc>
        <w:tc>
          <w:tcPr>
            <w:tcW w:w="13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101"/>
              <w:spacing w:after="0" w:line="158" w:lineRule="exact"/>
              <w:rPr>
                <w:sz w:val="20"/>
                <w:szCs w:val="20"/>
                <w:color w:val="auto"/>
              </w:rPr>
            </w:pPr>
            <w:r>
              <w:rPr>
                <w:rFonts w:ascii="Arial" w:cs="Arial" w:eastAsia="Arial" w:hAnsi="Arial"/>
                <w:sz w:val="16"/>
                <w:szCs w:val="16"/>
                <w:b w:val="1"/>
                <w:bCs w:val="1"/>
                <w:color w:val="auto"/>
                <w:w w:val="98"/>
              </w:rPr>
              <w:t>Exercise Price</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8"/>
              </w:rPr>
              <w:t>Contractual</w:t>
            </w: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Shares</w:t>
            </w:r>
          </w:p>
        </w:tc>
        <w:tc>
          <w:tcPr>
            <w:tcW w:w="160" w:type="dxa"/>
            <w:vAlign w:val="bottom"/>
          </w:tcPr>
          <w:p>
            <w:pPr>
              <w:spacing w:after="0"/>
              <w:rPr>
                <w:sz w:val="18"/>
                <w:szCs w:val="18"/>
                <w:color w:val="auto"/>
              </w:rPr>
            </w:pPr>
          </w:p>
        </w:tc>
        <w:tc>
          <w:tcPr>
            <w:tcW w:w="1380" w:type="dxa"/>
            <w:vAlign w:val="bottom"/>
          </w:tcPr>
          <w:p>
            <w:pPr>
              <w:jc w:val="center"/>
              <w:ind w:right="101"/>
              <w:spacing w:after="0"/>
              <w:rPr>
                <w:sz w:val="20"/>
                <w:szCs w:val="20"/>
                <w:color w:val="auto"/>
              </w:rPr>
            </w:pPr>
            <w:r>
              <w:rPr>
                <w:rFonts w:ascii="Arial" w:cs="Arial" w:eastAsia="Arial" w:hAnsi="Arial"/>
                <w:sz w:val="16"/>
                <w:szCs w:val="16"/>
                <w:b w:val="1"/>
                <w:bCs w:val="1"/>
                <w:color w:val="auto"/>
                <w:w w:val="97"/>
              </w:rPr>
              <w:t>per Share</w:t>
            </w:r>
          </w:p>
        </w:tc>
        <w:tc>
          <w:tcPr>
            <w:tcW w:w="8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Term</w:t>
            </w:r>
          </w:p>
        </w:tc>
        <w:tc>
          <w:tcPr>
            <w:tcW w:w="160" w:type="dxa"/>
            <w:vAlign w:val="bottom"/>
          </w:tcPr>
          <w:p>
            <w:pPr>
              <w:spacing w:after="0"/>
              <w:rPr>
                <w:sz w:val="18"/>
                <w:szCs w:val="18"/>
                <w:color w:val="auto"/>
              </w:rPr>
            </w:pPr>
          </w:p>
        </w:tc>
        <w:tc>
          <w:tcPr>
            <w:tcW w:w="1380" w:type="dxa"/>
            <w:vAlign w:val="bottom"/>
          </w:tcPr>
          <w:p>
            <w:pPr>
              <w:jc w:val="center"/>
              <w:ind w:right="81"/>
              <w:spacing w:after="0"/>
              <w:rPr>
                <w:sz w:val="20"/>
                <w:szCs w:val="20"/>
                <w:color w:val="auto"/>
              </w:rPr>
            </w:pPr>
            <w:r>
              <w:rPr>
                <w:rFonts w:ascii="Arial" w:cs="Arial" w:eastAsia="Arial" w:hAnsi="Arial"/>
                <w:sz w:val="16"/>
                <w:szCs w:val="16"/>
                <w:b w:val="1"/>
                <w:bCs w:val="1"/>
                <w:color w:val="auto"/>
                <w:w w:val="96"/>
              </w:rPr>
              <w:t>Intrinsic Value</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2023</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666,163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160.19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9"/>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1,221,746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51.59</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46.24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108.85</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2024</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1,809,343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90.84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39,989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December 31,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19,033</w:t>
            </w:r>
          </w:p>
        </w:tc>
        <w:tc>
          <w:tcPr>
            <w:tcW w:w="0" w:type="dxa"/>
            <w:vAlign w:val="bottom"/>
          </w:tcPr>
          <w:p>
            <w:pPr>
              <w:spacing w:after="0" w:line="20" w:lineRule="exact"/>
              <w:rPr>
                <w:sz w:val="1"/>
                <w:szCs w:val="1"/>
                <w:color w:val="auto"/>
              </w:rPr>
            </w:pPr>
          </w:p>
        </w:tc>
      </w:tr>
      <w:tr>
        <w:trPr>
          <w:trHeight w:val="181"/>
        </w:trPr>
        <w:tc>
          <w:tcPr>
            <w:tcW w:w="4820" w:type="dxa"/>
            <w:vAlign w:val="bottom"/>
            <w:vMerge w:val="continue"/>
          </w:tcPr>
          <w:p>
            <w:pPr>
              <w:spacing w:after="0"/>
              <w:rPr>
                <w:sz w:val="15"/>
                <w:szCs w:val="15"/>
                <w:color w:val="auto"/>
              </w:rPr>
            </w:pPr>
          </w:p>
        </w:tc>
        <w:tc>
          <w:tcPr>
            <w:tcW w:w="1520" w:type="dxa"/>
            <w:vAlign w:val="bottom"/>
          </w:tcPr>
          <w:p>
            <w:pPr>
              <w:jc w:val="right"/>
              <w:ind w:right="1"/>
              <w:spacing w:after="0" w:line="181" w:lineRule="exact"/>
              <w:rPr>
                <w:sz w:val="20"/>
                <w:szCs w:val="20"/>
                <w:color w:val="auto"/>
              </w:rPr>
            </w:pPr>
            <w:r>
              <w:rPr>
                <w:rFonts w:ascii="Arial" w:cs="Arial" w:eastAsia="Arial" w:hAnsi="Arial"/>
                <w:sz w:val="16"/>
                <w:szCs w:val="16"/>
                <w:color w:val="auto"/>
              </w:rPr>
              <w:t>933,936</w:t>
            </w:r>
          </w:p>
        </w:tc>
        <w:tc>
          <w:tcPr>
            <w:tcW w:w="10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line="181" w:lineRule="exact"/>
              <w:rPr>
                <w:sz w:val="20"/>
                <w:szCs w:val="20"/>
                <w:color w:val="auto"/>
              </w:rPr>
            </w:pPr>
            <w:r>
              <w:rPr>
                <w:rFonts w:ascii="Arial" w:cs="Arial" w:eastAsia="Arial" w:hAnsi="Arial"/>
                <w:sz w:val="16"/>
                <w:szCs w:val="16"/>
                <w:color w:val="auto"/>
              </w:rPr>
              <w:t>120.30</w:t>
            </w:r>
          </w:p>
        </w:tc>
        <w:tc>
          <w:tcPr>
            <w:tcW w:w="1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December 31, 2024</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1,809,343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90.84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39,989</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intrinsic value of stock options exercised for the years ended December 31, 2024 and 2023 was $1.2 million and</w:t>
      </w:r>
    </w:p>
    <w:p>
      <w:pPr>
        <w:spacing w:after="0" w:line="3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$0.1 million, respectively. 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2024.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fair value of the Company’s common stock on the exercise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Stock Options</w:t>
      </w:r>
    </w:p>
    <w:p>
      <w:pPr>
        <w:spacing w:after="0" w:line="119" w:lineRule="exact"/>
        <w:rPr>
          <w:sz w:val="20"/>
          <w:szCs w:val="20"/>
          <w:color w:val="auto"/>
        </w:rPr>
      </w:pPr>
    </w:p>
    <w:p>
      <w:pPr>
        <w:ind w:right="20" w:firstLine="433"/>
        <w:spacing w:after="0" w:line="278" w:lineRule="auto"/>
        <w:rPr>
          <w:sz w:val="20"/>
          <w:szCs w:val="20"/>
          <w:color w:val="auto"/>
        </w:rPr>
      </w:pPr>
      <w:r>
        <w:rPr>
          <w:rFonts w:ascii="Arial" w:cs="Arial" w:eastAsia="Arial" w:hAnsi="Arial"/>
          <w:sz w:val="17"/>
          <w:szCs w:val="17"/>
          <w:color w:val="auto"/>
        </w:rPr>
        <w:t>The weighted-average assumptions that the Company used in the Black-Scholes option pricing model to determine the grant-date fair value of stock options granted to employees, members of the Board, and non-employees on the date of grant were as follows for the for the years ended December 31, 2024 and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4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r>
      <w:tr>
        <w:trPr>
          <w:trHeight w:val="203"/>
        </w:trPr>
        <w:tc>
          <w:tcPr>
            <w:tcW w:w="78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7"/>
                <w:szCs w:val="17"/>
                <w:color w:val="auto"/>
              </w:rPr>
            </w:pPr>
          </w:p>
        </w:tc>
      </w:tr>
      <w:tr>
        <w:trPr>
          <w:trHeight w:val="203"/>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Risk-free interest rate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r>
      <w:tr>
        <w:trPr>
          <w:trHeight w:val="209"/>
        </w:trPr>
        <w:tc>
          <w:tcPr>
            <w:tcW w:w="7840" w:type="dxa"/>
            <w:vAlign w:val="bottom"/>
          </w:tcPr>
          <w:p>
            <w:pPr>
              <w:ind w:left="240"/>
              <w:spacing w:after="0"/>
              <w:rPr>
                <w:sz w:val="20"/>
                <w:szCs w:val="20"/>
                <w:color w:val="auto"/>
              </w:rPr>
            </w:pPr>
            <w:r>
              <w:rPr>
                <w:rFonts w:ascii="Arial" w:cs="Arial" w:eastAsia="Arial" w:hAnsi="Arial"/>
                <w:sz w:val="16"/>
                <w:szCs w:val="16"/>
                <w:color w:val="auto"/>
              </w:rPr>
              <w:t>Expected term (in years)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1"/>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volatility</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96.60 %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88.40 %</w:t>
            </w:r>
          </w:p>
        </w:tc>
      </w:tr>
      <w:tr>
        <w:trPr>
          <w:trHeight w:val="209"/>
        </w:trPr>
        <w:tc>
          <w:tcPr>
            <w:tcW w:w="7840" w:type="dxa"/>
            <w:vAlign w:val="bottom"/>
          </w:tcPr>
          <w:p>
            <w:pPr>
              <w:ind w:left="240"/>
              <w:spacing w:after="0"/>
              <w:rPr>
                <w:sz w:val="20"/>
                <w:szCs w:val="20"/>
                <w:color w:val="auto"/>
              </w:rPr>
            </w:pPr>
            <w:r>
              <w:rPr>
                <w:rFonts w:ascii="Arial" w:cs="Arial" w:eastAsia="Arial" w:hAnsi="Arial"/>
                <w:sz w:val="16"/>
                <w:szCs w:val="16"/>
                <w:color w:val="auto"/>
              </w:rPr>
              <w:t>Expected dividend yield</w:t>
            </w:r>
          </w:p>
        </w:tc>
        <w:tc>
          <w:tcPr>
            <w:tcW w:w="10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1"/>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Weighted average grant-date fair value per share</w:t>
            </w: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9"/>
              </w:rPr>
              <w:t>41.25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9"/>
              </w:rPr>
              <w:t>29.73</w:t>
            </w:r>
          </w:p>
        </w:tc>
      </w:tr>
    </w:tbl>
    <w:p>
      <w:pPr>
        <w:spacing w:after="0" w:line="272"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As of December 31, 2024, total unrecognized compensation cost related to unvested stock options was $38.4 million, which is expected to be recognized over a weighted-average period of 2.49 years.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Stock-based compensation expense was allocated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16,802</w:t>
            </w:r>
          </w:p>
        </w:tc>
      </w:tr>
      <w:tr>
        <w:trPr>
          <w:trHeight w:val="228"/>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41,360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Significant Agreements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RogCon and Ionis Agreements</w:t>
      </w:r>
    </w:p>
    <w:p>
      <w:pPr>
        <w:spacing w:after="0" w:line="119"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On September 11, 2019, the Company entered into both a Cooperation and License Agreement (the “License Agreement”) with RogCon, Inc. ("RogCon"), and a Research, Collaboration, Option and License Agreement (the “Ionis Collaboration Agreement”) with Ionis Pharmaceuticals, Inc. ("Ionis"). The agreements were entered into contemporaneously to enable the parties to advance their collective efforts related to SCN2A.</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RogCon Agreement</w:t>
      </w:r>
    </w:p>
    <w:p>
      <w:pPr>
        <w:spacing w:after="0" w:line="11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Under the License Agreement, the Company will conduct, at its own cost and expense, the research and development activities assigned to it under the research plan. In addition, the Company is responsible for reimbursing RogCon for any costs associated with research and development activities RogCon performs at the request of the Company. As part of the agreement, the Company agreed to provide up-front consideration of $2.1 million.</w:t>
      </w:r>
    </w:p>
    <w:p>
      <w:pPr>
        <w:spacing w:after="0" w:line="169"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Subsequent to September 11, 2019, the Company will reimburse RogCon for its out-of-pocket costs incurred for activities performed under the License Agreement. The Company expenses these costs as incurred as research and development. Expenses incurred for all periods presented were not material.</w:t>
      </w:r>
    </w:p>
    <w:p>
      <w:pPr>
        <w:spacing w:after="0" w:line="160" w:lineRule="exact"/>
        <w:rPr>
          <w:sz w:val="20"/>
          <w:szCs w:val="20"/>
          <w:color w:val="auto"/>
        </w:rPr>
      </w:pPr>
    </w:p>
    <w:p>
      <w:pPr>
        <w:ind w:right="240" w:firstLine="433"/>
        <w:spacing w:after="0" w:line="271" w:lineRule="auto"/>
        <w:rPr>
          <w:sz w:val="20"/>
          <w:szCs w:val="20"/>
          <w:color w:val="auto"/>
        </w:rPr>
      </w:pPr>
      <w:r>
        <w:rPr>
          <w:rFonts w:ascii="Arial" w:cs="Arial" w:eastAsia="Arial" w:hAnsi="Arial"/>
          <w:sz w:val="17"/>
          <w:szCs w:val="17"/>
          <w:color w:val="auto"/>
        </w:rPr>
        <w:t>Additionally, the Company may pay RogCon a milestone payment of $3.0 million and profit share payments. The $3.0 million milestone payment will become due when the first profit share payment has become due and certain contingent payments have become payable to Ionis under the Ionis Collaboration Agreement, which are subject to the Company exercising its option to obtain license rights to a development candidate, as well as other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contingent events. The profit share payments will be based on a low-double-digit percentage of net profits, depending on sales volume.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License Agreement, unless earlier terminated, will continue until the latest of: (i) expiration of all patent rights within RogCon patents,</w:t>
      </w:r>
    </w:p>
    <w:p>
      <w:pPr>
        <w:spacing w:after="0" w:line="30" w:lineRule="exact"/>
        <w:rPr>
          <w:sz w:val="20"/>
          <w:szCs w:val="20"/>
          <w:color w:val="auto"/>
        </w:rPr>
      </w:pPr>
    </w:p>
    <w:p>
      <w:pPr>
        <w:ind w:right="120" w:firstLine="5"/>
        <w:spacing w:after="0" w:line="263" w:lineRule="auto"/>
        <w:tabs>
          <w:tab w:leader="none" w:pos="2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Company and its affiliates certify they have abandoned the research, development and commercialization of product with no intention to re-establish such activities, and (iii) no third party is obligated to pay the Company or its affiliates any amounts that comprise net sublicense revenue. Either party may terminate the License Agreement for material breach or insolvency of the other party. Additionally, the Company may terminate for convenience with prior written notice to RogCon. Upon termination by either party, all rights and licenses granted by RogCon to the Company will revert back to RogCon.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Ionis Collaboration Agreement</w:t>
      </w:r>
    </w:p>
    <w:p>
      <w:pPr>
        <w:spacing w:after="0" w:line="119" w:lineRule="exact"/>
        <w:rPr>
          <w:sz w:val="20"/>
          <w:szCs w:val="20"/>
          <w:color w:val="auto"/>
        </w:rPr>
      </w:pPr>
    </w:p>
    <w:p>
      <w:pPr>
        <w:ind w:right="240" w:firstLine="433"/>
        <w:spacing w:after="0" w:line="266" w:lineRule="auto"/>
        <w:rPr>
          <w:sz w:val="20"/>
          <w:szCs w:val="20"/>
          <w:color w:val="auto"/>
        </w:rPr>
      </w:pPr>
      <w:r>
        <w:rPr>
          <w:rFonts w:ascii="Arial" w:cs="Arial" w:eastAsia="Arial" w:hAnsi="Arial"/>
          <w:sz w:val="17"/>
          <w:szCs w:val="17"/>
          <w:color w:val="auto"/>
        </w:rPr>
        <w:t>Under the Ionis Collaboration Agreement, both parties participated in research activities related to the downregulation of SCN2A gene products associated with the treatment of any and all forms of epilepsy and/or neurodevelopmental disorders in each case caused by any mutation of the SCN2A gene, other than one severe type of epilepsy. Ionis was also responsible for identifying a development candidate and conducting an IND-enabling toxicology study. The Company reimbursed Ionis for out-of-pocket costs incurred related to the research activities, identification of a development candidate and conducting an IND-enabling toxicology study. The reimbursement of out-of-pocket costs was recognized as research and development expense as incurred. Expense for the years ended December 31, 2024 and 2023 was immaterial.</w:t>
      </w:r>
    </w:p>
    <w:p>
      <w:pPr>
        <w:spacing w:after="0" w:line="169"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Ionis granted the Company an exclusive option to obtain the rights and license to further develop and commercialize a development candidate in the field of epilepsy and neurodevelopmental disorders, other than Dravet Syndrome, following the results of the investigational new drug application-enabling toxicology study. The Company exercised this exclusive option in January 2022, paid a $2.0 million license fee and recognized the license fee in research and development expenses in the consolidated statement of operations during the year ended December 31, 2022. After option exercise, the Company is responsible for clinical development and commercialization of the development candidate.</w:t>
      </w:r>
    </w:p>
    <w:p>
      <w:pPr>
        <w:spacing w:after="0" w:line="167" w:lineRule="exact"/>
        <w:rPr>
          <w:sz w:val="20"/>
          <w:szCs w:val="20"/>
          <w:color w:val="auto"/>
        </w:rPr>
      </w:pPr>
    </w:p>
    <w:p>
      <w:pPr>
        <w:ind w:right="160" w:firstLine="433"/>
        <w:spacing w:after="0" w:line="271" w:lineRule="auto"/>
        <w:rPr>
          <w:sz w:val="20"/>
          <w:szCs w:val="20"/>
          <w:color w:val="auto"/>
        </w:rPr>
      </w:pPr>
      <w:r>
        <w:rPr>
          <w:rFonts w:ascii="Arial" w:cs="Arial" w:eastAsia="Arial" w:hAnsi="Arial"/>
          <w:sz w:val="17"/>
          <w:szCs w:val="17"/>
          <w:color w:val="auto"/>
        </w:rPr>
        <w:t>Additionally, in July 2023, the Company paid a milestone payment of $6.9 million to Ionis, which was earned in the second quarter of 2023 upon initiation of the Company's elsunersen EMBRAVE study, and was recognized in research and development expenses in the consolidated statement of operations during the year ended December 31, 2023. Ionis may be entitled to additional development milestone payments, additional milestone payments, and sales royalties or sublicense fees.</w:t>
      </w:r>
    </w:p>
    <w:p>
      <w:pPr>
        <w:spacing w:after="0" w:line="166" w:lineRule="exact"/>
        <w:rPr>
          <w:sz w:val="20"/>
          <w:szCs w:val="20"/>
          <w:color w:val="auto"/>
        </w:rPr>
      </w:pPr>
    </w:p>
    <w:p>
      <w:pPr>
        <w:ind w:firstLine="433"/>
        <w:spacing w:after="0" w:line="270" w:lineRule="auto"/>
        <w:rPr>
          <w:sz w:val="20"/>
          <w:szCs w:val="20"/>
          <w:color w:val="auto"/>
        </w:rPr>
      </w:pPr>
      <w:r>
        <w:rPr>
          <w:rFonts w:ascii="Arial" w:cs="Arial" w:eastAsia="Arial" w:hAnsi="Arial"/>
          <w:sz w:val="17"/>
          <w:szCs w:val="17"/>
          <w:color w:val="auto"/>
        </w:rPr>
        <w:t>The Ionis Collaboration Agreement will continue until the expiration of all payment obligations to Ionis, unless earlier terminated. Either party may terminate the Ionis Collaboration Agreement upon material breach or insolvency of the other party. Ionis may terminate if the Company fails to achieve a performance milestone. The Company may terminate for convenience with prior written notice to Ionis. Upon termination by the Company for convenience, the Company will stop selling all products, subject to certain wind-down provisions, and all products will revert back to Ionis.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Net Loss per Share</w:t>
      </w:r>
    </w:p>
    <w:p>
      <w:pPr>
        <w:spacing w:after="0" w:line="121" w:lineRule="exact"/>
        <w:rPr>
          <w:sz w:val="20"/>
          <w:szCs w:val="20"/>
          <w:color w:val="auto"/>
        </w:rPr>
      </w:pPr>
    </w:p>
    <w:p>
      <w:pPr>
        <w:ind w:right="80" w:firstLine="433"/>
        <w:spacing w:after="0" w:line="300" w:lineRule="auto"/>
        <w:rPr>
          <w:sz w:val="20"/>
          <w:szCs w:val="20"/>
          <w:color w:val="auto"/>
        </w:rPr>
      </w:pPr>
      <w:r>
        <w:rPr>
          <w:rFonts w:ascii="Arial" w:cs="Arial" w:eastAsia="Arial" w:hAnsi="Arial"/>
          <w:sz w:val="17"/>
          <w:szCs w:val="17"/>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04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80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2023</w:t>
            </w:r>
          </w:p>
        </w:tc>
      </w:tr>
      <w:tr>
        <w:trPr>
          <w:trHeight w:val="20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40" w:type="dxa"/>
            <w:vAlign w:val="bottom"/>
          </w:tcPr>
          <w:p>
            <w:pPr>
              <w:jc w:val="right"/>
              <w:spacing w:after="0"/>
              <w:rPr>
                <w:sz w:val="20"/>
                <w:szCs w:val="20"/>
                <w:color w:val="auto"/>
              </w:rPr>
            </w:pPr>
            <w:r>
              <w:rPr>
                <w:rFonts w:ascii="Arial" w:cs="Arial" w:eastAsia="Arial" w:hAnsi="Arial"/>
                <w:sz w:val="16"/>
                <w:szCs w:val="16"/>
                <w:color w:val="auto"/>
              </w:rPr>
              <w:t>224,473</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47,145</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ESPP</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24,972</w:t>
            </w:r>
          </w:p>
        </w:tc>
      </w:tr>
      <w:tr>
        <w:trPr>
          <w:trHeight w:val="203"/>
        </w:trPr>
        <w:tc>
          <w:tcPr>
            <w:tcW w:w="804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2,041,131</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738,280</w:t>
            </w:r>
          </w:p>
        </w:tc>
      </w:tr>
      <w:tr>
        <w:trPr>
          <w:trHeight w:val="21"/>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Common shares issuable upon exercise of the pre-funded warrants that were sold and remain outstanding in connection with the January 2024 and April 2024 underwritten public offerings are included in the calculation of weighted average number of common shares outstanding for the year ended December 31, 2024.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net loss per share from the date of issuance.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21" w:lineRule="exact"/>
        <w:rPr>
          <w:sz w:val="20"/>
          <w:szCs w:val="20"/>
          <w:color w:val="auto"/>
        </w:rPr>
      </w:pPr>
    </w:p>
    <w:p>
      <w:pPr>
        <w:ind w:right="200" w:firstLine="433"/>
        <w:spacing w:after="0" w:line="268" w:lineRule="auto"/>
        <w:rPr>
          <w:sz w:val="20"/>
          <w:szCs w:val="20"/>
          <w:color w:val="auto"/>
        </w:rPr>
      </w:pPr>
      <w:r>
        <w:rPr>
          <w:rFonts w:ascii="Arial" w:cs="Arial" w:eastAsia="Arial" w:hAnsi="Arial"/>
          <w:sz w:val="17"/>
          <w:szCs w:val="17"/>
          <w:color w:val="auto"/>
        </w:rPr>
        <w:t>The Company maintains a full valuation allowance on its U.S. net deferred tax assets due to the uncertainty of future taxable income. The Company did not recognize an income tax benefit in the years ended December 31, 2024 or 2023 related to its U.S. operations due to the uncertainty regarding future taxable income. In the years ended December 31, 2024 and 2023, the difference between the statutory tax rate in the U.S. and the Company’s effective tax rate was due primarily to the valuation allowance recorded to offset any potential tax benefit. The income tax benefit (provision) recognized for the years ended December 31, 2024 and 2023 was not material.</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reconciliation of the U.S. statutory income tax rate to the Company’s effective tax rate is as follows:</w:t>
      </w:r>
    </w:p>
    <w:p>
      <w:pPr>
        <w:spacing w:after="0" w:line="135"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2023</w:t>
            </w: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statutory income tax rate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Federal and state research and development credits</w:t>
            </w:r>
          </w:p>
        </w:tc>
        <w:tc>
          <w:tcPr>
            <w:tcW w:w="620" w:type="dxa"/>
            <w:vAlign w:val="bottom"/>
          </w:tcPr>
          <w:p>
            <w:pPr>
              <w:jc w:val="right"/>
              <w:spacing w:after="0"/>
              <w:rPr>
                <w:sz w:val="20"/>
                <w:szCs w:val="20"/>
                <w:color w:val="auto"/>
              </w:rPr>
            </w:pPr>
            <w:r>
              <w:rPr>
                <w:rFonts w:ascii="Arial" w:cs="Arial" w:eastAsia="Arial" w:hAnsi="Arial"/>
                <w:sz w:val="16"/>
                <w:szCs w:val="16"/>
                <w:color w:val="auto"/>
              </w:rPr>
              <w:t>3.9 %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1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 taxes, net of federal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Changes in tax rates</w:t>
            </w: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executive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Non-deductible items</w:t>
            </w:r>
          </w:p>
        </w:tc>
        <w:tc>
          <w:tcPr>
            <w:tcW w:w="62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62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11"/>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2"/>
        </w:trPr>
        <w:tc>
          <w:tcPr>
            <w:tcW w:w="78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0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
        </w:trPr>
        <w:tc>
          <w:tcPr>
            <w:tcW w:w="7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deferred tax assets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Net operating loss carryforwards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90,108</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74,528</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Capitalized research expenditures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48,954</w:t>
            </w: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Research and development credits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23,451</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23,929</w:t>
            </w: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8,784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7,697</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Leases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gross deferred tax assets</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218,587</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181,074</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(218,303)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(180,515)</w:t>
            </w:r>
          </w:p>
        </w:tc>
      </w:tr>
      <w:tr>
        <w:trPr>
          <w:trHeight w:val="202"/>
        </w:trPr>
        <w:tc>
          <w:tcPr>
            <w:tcW w:w="8060" w:type="dxa"/>
            <w:vAlign w:val="bottom"/>
          </w:tcPr>
          <w:p>
            <w:pPr>
              <w:ind w:left="340"/>
              <w:spacing w:after="0"/>
              <w:rPr>
                <w:sz w:val="20"/>
                <w:szCs w:val="20"/>
                <w:color w:val="auto"/>
              </w:rPr>
            </w:pPr>
            <w:r>
              <w:rPr>
                <w:rFonts w:ascii="Arial" w:cs="Arial" w:eastAsia="Arial" w:hAnsi="Arial"/>
                <w:sz w:val="16"/>
                <w:szCs w:val="16"/>
                <w:color w:val="auto"/>
              </w:rPr>
              <w:t>Net deferred tax assets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7"/>
                <w:szCs w:val="17"/>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right-of-use asset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r>
      <w:tr>
        <w:trPr>
          <w:trHeight w:val="20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deferred tax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8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As of December 31, 2024 and 2023, the Company had U.S. federal net operating loss carryforwards which may be able to offset future income tax liabilities of approximately $342.4 million and $282.8 million, respectively. Federal net operating loss carryforwards of $7.7 million will expire at various dates from 2035 through 2037 and approximately $334.7 million may be carried forward indefinitely. As of December 31, 2024 and 2023, the Company also had state net operating loss carryforwards of approximately $289.7 million and $239.4 million, respectively, which may be available to offset future income tax liabilities and expire at various dates from 2036 through 2044.</w:t>
      </w:r>
    </w:p>
    <w:p>
      <w:pPr>
        <w:spacing w:after="0" w:line="167"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As of December 31, 2024 and 2023, the Company had federal research and development tax credit carryforwards of approximately $27.3 million and $20.4 million, respectively, available to reduce future tax liabilities which expire at various dates from 2039 through 2044. As of December 31, 2024 and 2023, the Company had state research and development tax credit carryforwards of approximately $4.1 million and $3.8 million, respectively, available to reduce future tax liabilities which expire at various dates from 2032 through 2039. The Company has generated research credits but has not conducted a study to document the qualified activity.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78"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net operating loss carryforwards or research and development tax credit carryforwards would be subject to an annual limitation under</w:t>
      </w:r>
    </w:p>
    <w:p>
      <w:pPr>
        <w:spacing w:after="0" w:line="3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170"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both positive and negative, the Company has recorded a valuation allowance against its deferred tax assets at December 31, 2024 and 2023 because management has determined that it is more likely than not that the Company will not recognize the benefits of its federal and state deferred tax assets, primarily due to its history of cumulative net losses incurred since inception and its lack of commercialization of any products or generation of any revenue from product sales since inception. As a result, a valuation allowance of $218.3 million and $180.5 million has been established at December 31, 2024 and 2023, respectively. Management reevaluates the positive and negative evidence at each reporting period. The valuation allowance increased by approximately $37.8 million and $36.6 million during the years ended December 31, 2024 and 2023, respectively, due primarily to the generation of net operating losses.</w:t>
      </w:r>
    </w:p>
    <w:p>
      <w:pPr>
        <w:spacing w:after="0" w:line="178"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 Company has not recorded any amounts for unrecognized tax benefits as of December 31, 2024 and 2023. The Company’s policy is to record interest and penalties related to uncertain tax positions as part of its income tax provision. As of December 31, 2024 and 2023, the Company had no accrued interest or penalties related to uncertain tax positions and no such amounts have been recognized in the Company’s consolidated statement of operations for either year ended December 31, 2024 or 2023. The statute of limitations for federal and the majority of state tax authorities is open for tax years ended December 31, 2021 through December 31, 2024. The statute of limitation for the remaining state tax authorities is open for tax years ended December 31, 2020 through December 31, 2024. Since the Company is in a net loss carryforward position, the Company is generally subject to examination by the U.S. federal, state and local income tax authorities for all tax years in which a loss carryforward is available.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 Party Transactions</w:t>
      </w:r>
    </w:p>
    <w:p>
      <w:pPr>
        <w:spacing w:after="0" w:line="121" w:lineRule="exact"/>
        <w:rPr>
          <w:sz w:val="20"/>
          <w:szCs w:val="20"/>
          <w:color w:val="auto"/>
        </w:rPr>
      </w:pPr>
    </w:p>
    <w:p>
      <w:pPr>
        <w:ind w:right="220" w:firstLine="433"/>
        <w:spacing w:after="0" w:line="300" w:lineRule="auto"/>
        <w:rPr>
          <w:sz w:val="20"/>
          <w:szCs w:val="20"/>
          <w:color w:val="auto"/>
        </w:rPr>
      </w:pPr>
      <w:r>
        <w:rPr>
          <w:rFonts w:ascii="Arial" w:cs="Arial" w:eastAsia="Arial" w:hAnsi="Arial"/>
          <w:sz w:val="17"/>
          <w:szCs w:val="17"/>
          <w:color w:val="auto"/>
        </w:rPr>
        <w:t>One of the founders of RogCon is the Company's General Counsel. During the years ended December 31, 2024 and 2023, the Company reimbursed RogCon for its out-of-pocket costs incurred for activities performed under the License Agreement (Note 12).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Employee Benefit Plan</w:t>
      </w:r>
    </w:p>
    <w:p>
      <w:pPr>
        <w:spacing w:after="0" w:line="121"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for eligible employees. The plan covers substantially all employees who meet a minimum age requirement and allows participants to defer a portion of their annual compensation on a pre-tax basis. Under the plan, the Company is not obligated to match any participant contributions. The Company made contributions of $1.2 million and $1.0 million during the years ended December 31, 2024 and 2023, respectively</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w:t>
      </w:r>
    </w:p>
    <w:p>
      <w:pPr>
        <w:spacing w:after="0" w:line="121"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The Company has one operating segment. The Company's operating segment discovers and develops therapies for CNS disorders. The Company's chief operating decision maker ("CODM"), its Chief Executive Officer, manages the Company's operations on a consolidated basis for the purposes of assessing performance and allocating resources based on net loss that also is reported on the consolidated statement of operations as consolidated net loss. Net loss is used by the CODM to make key strategic and operational decisions. The operating segment's revenue is derived from a single domestic collaboration agreement from which the segment licenses certain development or product candidates and has performed research and development services. The measure of segment assets is reported on the balance sheet as total consolidated assets. The majority of the Company's long-lived assets are held in the United States.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The following table presents selected financial information about the Company's single operating segment for the year ended December 31, 2024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Program-specific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8060" w:type="dxa"/>
            <w:vAlign w:val="bottom"/>
            <w:shd w:val="clear" w:color="auto" w:fill="CCEEFF"/>
          </w:tcPr>
          <w:p>
            <w:pPr>
              <w:ind w:left="440"/>
              <w:spacing w:after="0" w:line="211" w:lineRule="exact"/>
              <w:rPr>
                <w:sz w:val="20"/>
                <w:szCs w:val="20"/>
                <w:color w:val="auto"/>
              </w:rPr>
            </w:pPr>
            <w:r>
              <w:rPr>
                <w:rFonts w:ascii="Arial" w:cs="Arial" w:eastAsia="Arial" w:hAnsi="Arial"/>
                <w:sz w:val="16"/>
                <w:szCs w:val="16"/>
                <w:color w:val="auto"/>
              </w:rPr>
              <w:t>Ulixacaltamide</w:t>
            </w:r>
            <w:r>
              <w:rPr>
                <w:rFonts w:ascii="Arial" w:cs="Arial" w:eastAsia="Arial" w:hAnsi="Arial"/>
                <w:sz w:val="20"/>
                <w:szCs w:val="20"/>
                <w:color w:val="auto"/>
                <w:vertAlign w:val="subscript"/>
              </w:rPr>
              <w:t>(a)</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19,464</w:t>
            </w: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Vormatrigine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6,275</w:t>
            </w: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Relutrigine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Elsunersen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14,595</w:t>
            </w:r>
          </w:p>
        </w:tc>
      </w:tr>
      <w:tr>
        <w:trPr>
          <w:trHeight w:val="211"/>
        </w:trPr>
        <w:tc>
          <w:tcPr>
            <w:tcW w:w="80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early stage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Personnel-related expenses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42,853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33,160</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24,857</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11"/>
        </w:trPr>
        <w:tc>
          <w:tcPr>
            <w:tcW w:w="806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0"/>
                <w:szCs w:val="20"/>
                <w:color w:val="auto"/>
                <w:vertAlign w:val="subscript"/>
              </w:rPr>
              <w:t>(b)</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18,986</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loss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(182,819)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(123,277)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20" w:hanging="215"/>
        <w:spacing w:after="0"/>
        <w:tabs>
          <w:tab w:leader="none" w:pos="2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non-cash research and development of $2.5 million in the year ended December 31, 2024 associated with the Company's collaboration with Tenacia</w:t>
      </w:r>
    </w:p>
    <w:p>
      <w:pPr>
        <w:spacing w:after="0" w:line="23" w:lineRule="exact"/>
        <w:rPr>
          <w:rFonts w:ascii="Arial" w:cs="Arial" w:eastAsia="Arial" w:hAnsi="Arial"/>
          <w:sz w:val="14"/>
          <w:szCs w:val="14"/>
          <w:color w:val="auto"/>
        </w:rPr>
      </w:pPr>
    </w:p>
    <w:p>
      <w:pPr>
        <w:ind w:left="220" w:hanging="215"/>
        <w:spacing w:after="0"/>
        <w:tabs>
          <w:tab w:leader="none" w:pos="2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Other segment expenses includes research and development and general and administrative costs not attributable to a specific program</w:t>
      </w:r>
      <w:r>
        <w:rPr>
          <w:rFonts w:ascii="Arial" w:cs="Arial" w:eastAsia="Arial" w:hAnsi="Arial"/>
          <w:sz w:val="17"/>
          <w:szCs w:val="17"/>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121"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The Company has concluded that no subsequent events have occurred that require disclosure other than those noted below.</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Offerings</w:t>
      </w:r>
    </w:p>
    <w:p>
      <w:pPr>
        <w:spacing w:after="0" w:line="119" w:lineRule="exact"/>
        <w:rPr>
          <w:sz w:val="20"/>
          <w:szCs w:val="20"/>
          <w:color w:val="auto"/>
        </w:rPr>
      </w:pPr>
    </w:p>
    <w:p>
      <w:pPr>
        <w:ind w:right="700" w:firstLine="433"/>
        <w:spacing w:after="0" w:line="300" w:lineRule="auto"/>
        <w:rPr>
          <w:sz w:val="20"/>
          <w:szCs w:val="20"/>
          <w:color w:val="auto"/>
        </w:rPr>
      </w:pPr>
      <w:r>
        <w:rPr>
          <w:rFonts w:ascii="Arial" w:cs="Arial" w:eastAsia="Arial" w:hAnsi="Arial"/>
          <w:sz w:val="17"/>
          <w:szCs w:val="17"/>
          <w:color w:val="auto"/>
        </w:rPr>
        <w:t>Subsequent to December 31, 2024, the Company issued and sold a total of 694,212 shares under the amended March 2024 Sales Agreement for aggregate net proceeds of $54.9 million after deducting commissions and offering expenses payable by the Company.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Effectiveness of Controls and Procedures</w:t>
      </w:r>
    </w:p>
    <w:p>
      <w:pPr>
        <w:spacing w:after="0" w:line="119"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73"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Chief Financial Officer (our principal financial officer), evaluated the effectiveness of our disclosure controls and procedures as of December 31, 2024.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9" w:lineRule="exact"/>
        <w:rPr>
          <w:sz w:val="20"/>
          <w:szCs w:val="20"/>
          <w:color w:val="auto"/>
        </w:rPr>
      </w:pPr>
    </w:p>
    <w:p>
      <w:pPr>
        <w:ind w:right="40" w:firstLine="433"/>
        <w:spacing w:after="0" w:line="300" w:lineRule="auto"/>
        <w:rPr>
          <w:sz w:val="20"/>
          <w:szCs w:val="20"/>
          <w:color w:val="auto"/>
        </w:rPr>
      </w:pPr>
      <w:r>
        <w:rPr>
          <w:rFonts w:ascii="Arial" w:cs="Arial" w:eastAsia="Arial" w:hAnsi="Arial"/>
          <w:sz w:val="17"/>
          <w:szCs w:val="17"/>
          <w:color w:val="auto"/>
        </w:rPr>
        <w:t>There were no changes in our internal control over financial reporting that occurred during the three months ended December 31, 2024 that have materially affected, or are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119"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Rules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2024. Management based its assessment on criteria established in "Internal Control - Integrated Framework (2013)" issued by the Committee of Sponsoring Organizations of the Treadway Commission (COSO). Based on that assessment, our management concluded that our internal control over financial reporting was effective as of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Attestation Report of the Independent Registered Public Accounting Firm</w:t>
      </w:r>
    </w:p>
    <w:p>
      <w:pPr>
        <w:spacing w:after="0" w:line="119" w:lineRule="exact"/>
        <w:rPr>
          <w:sz w:val="20"/>
          <w:szCs w:val="20"/>
          <w:color w:val="auto"/>
        </w:rPr>
      </w:pPr>
    </w:p>
    <w:p>
      <w:pPr>
        <w:ind w:right="700" w:firstLine="433"/>
        <w:spacing w:after="0" w:line="300" w:lineRule="auto"/>
        <w:rPr>
          <w:sz w:val="20"/>
          <w:szCs w:val="20"/>
          <w:color w:val="auto"/>
        </w:rPr>
      </w:pPr>
      <w:r>
        <w:rPr>
          <w:rFonts w:ascii="Arial" w:cs="Arial" w:eastAsia="Arial" w:hAnsi="Arial"/>
          <w:sz w:val="17"/>
          <w:szCs w:val="17"/>
          <w:color w:val="auto"/>
        </w:rPr>
        <w:t>Ernst &amp; Young LLP, an independent registered public accounting firm, audited the effectiveness of our internal control over financial reporting as of December 31, 2024, as stated in their attestation report included in this Annual Report on Form 10-K.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Praxis Precision Medicines,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Praxis Precision Medicines, Inc.’s internal control over financial reporting as of December 31, 2024, based on criteria established in Internal Control—Integrated Framework issued by the Committee of Sponsoring Organizations of the Treadway Commission (2013 framework) (the COSO criteria). In our opinion, Praxis Precision Medicines, Inc. (the Company) maintained, in all material respects, effective internal control over financial reporting as of December 31, 2024, based on the COSO criteria.</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loss, stockholders’ equity, and cash flows for each of the two years in the period ended December 31, 2024, and the related notes and our report dated February 28, 2025 expressed an unqualified opinion thereon.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1" w:lineRule="exact"/>
        <w:rPr>
          <w:sz w:val="20"/>
          <w:szCs w:val="20"/>
          <w:color w:val="auto"/>
        </w:rPr>
      </w:pPr>
    </w:p>
    <w:p>
      <w:pPr>
        <w:ind w:left="1060" w:right="6600" w:hanging="622"/>
        <w:spacing w:after="0" w:line="429" w:lineRule="auto"/>
        <w:tabs>
          <w:tab w:leader="none" w:pos="693"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Disclosure in lieu of a Current Report on Form 8-K. None.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60" w:right="1420" w:hanging="622"/>
        <w:spacing w:after="0" w:line="386" w:lineRule="auto"/>
        <w:tabs>
          <w:tab w:leader="none" w:pos="693" w:val="left"/>
        </w:tabs>
        <w:numPr>
          <w:ilvl w:val="0"/>
          <w:numId w:val="72"/>
        </w:numPr>
        <w:rPr>
          <w:rFonts w:ascii="Arial" w:cs="Arial" w:eastAsia="Arial" w:hAnsi="Arial"/>
          <w:sz w:val="17"/>
          <w:szCs w:val="17"/>
          <w:color w:val="auto"/>
        </w:rPr>
      </w:pPr>
      <w:r>
        <w:rPr>
          <w:rFonts w:ascii="Arial" w:cs="Arial" w:eastAsia="Arial" w:hAnsi="Arial"/>
          <w:sz w:val="17"/>
          <w:szCs w:val="17"/>
          <w:color w:val="auto"/>
        </w:rPr>
        <w:t>Material changes to the procedures by which security holders may recommend nominees to the board of directors. None.</w:t>
      </w:r>
    </w:p>
    <w:p>
      <w:pPr>
        <w:ind w:left="700" w:hanging="262"/>
        <w:spacing w:after="0"/>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Insider Trading Arrangements and Policies.</w:t>
      </w:r>
    </w:p>
    <w:p>
      <w:pPr>
        <w:spacing w:after="0" w:line="119" w:lineRule="exact"/>
        <w:rPr>
          <w:sz w:val="20"/>
          <w:szCs w:val="20"/>
          <w:color w:val="auto"/>
        </w:rPr>
      </w:pPr>
    </w:p>
    <w:p>
      <w:pPr>
        <w:ind w:left="640" w:firstLine="433"/>
        <w:spacing w:after="0" w:line="300" w:lineRule="auto"/>
        <w:rPr>
          <w:sz w:val="20"/>
          <w:szCs w:val="20"/>
          <w:color w:val="auto"/>
        </w:rPr>
      </w:pPr>
      <w:r>
        <w:rPr>
          <w:rFonts w:ascii="Arial" w:cs="Arial" w:eastAsia="Arial" w:hAnsi="Arial"/>
          <w:sz w:val="17"/>
          <w:szCs w:val="17"/>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15" w:right="6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name, age, and position of each of our current executive officers and directors as of February 28,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gridSpan w:val="2"/>
          </w:tcPr>
          <w:p>
            <w:pPr>
              <w:ind w:left="20"/>
              <w:spacing w:after="0"/>
              <w:rPr>
                <w:sz w:val="20"/>
                <w:szCs w:val="20"/>
                <w:color w:val="auto"/>
              </w:rPr>
            </w:pPr>
            <w:r>
              <w:rPr>
                <w:rFonts w:ascii="Arial" w:cs="Arial" w:eastAsia="Arial" w:hAnsi="Arial"/>
                <w:sz w:val="17"/>
                <w:szCs w:val="17"/>
                <w:b w:val="1"/>
                <w:bCs w:val="1"/>
                <w:color w:val="auto"/>
              </w:rPr>
              <w:t>Name</w:t>
            </w:r>
          </w:p>
        </w:tc>
        <w:tc>
          <w:tcPr>
            <w:tcW w:w="1140" w:type="dxa"/>
            <w:vAlign w:val="bottom"/>
            <w:gridSpan w:val="2"/>
          </w:tcPr>
          <w:p>
            <w:pPr>
              <w:ind w:left="260"/>
              <w:spacing w:after="0"/>
              <w:rPr>
                <w:sz w:val="20"/>
                <w:szCs w:val="20"/>
                <w:color w:val="auto"/>
              </w:rPr>
            </w:pPr>
            <w:r>
              <w:rPr>
                <w:rFonts w:ascii="Arial" w:cs="Arial" w:eastAsia="Arial" w:hAnsi="Arial"/>
                <w:sz w:val="17"/>
                <w:szCs w:val="17"/>
                <w:b w:val="1"/>
                <w:bCs w:val="1"/>
                <w:color w:val="auto"/>
              </w:rPr>
              <w:t>Age</w:t>
            </w:r>
          </w:p>
        </w:tc>
        <w:tc>
          <w:tcPr>
            <w:tcW w:w="5000" w:type="dxa"/>
            <w:vAlign w:val="bottom"/>
          </w:tcPr>
          <w:p>
            <w:pPr>
              <w:ind w:left="2160"/>
              <w:spacing w:after="0"/>
              <w:rPr>
                <w:sz w:val="20"/>
                <w:szCs w:val="20"/>
                <w:color w:val="auto"/>
              </w:rPr>
            </w:pPr>
            <w:r>
              <w:rPr>
                <w:rFonts w:ascii="Arial" w:cs="Arial" w:eastAsia="Arial" w:hAnsi="Arial"/>
                <w:sz w:val="17"/>
                <w:szCs w:val="17"/>
                <w:b w:val="1"/>
                <w:bCs w:val="1"/>
                <w:color w:val="auto"/>
              </w:rPr>
              <w:t>Position</w:t>
            </w:r>
          </w:p>
        </w:tc>
      </w:tr>
      <w:tr>
        <w:trPr>
          <w:trHeight w:val="216"/>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Executive Officers: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18"/>
                <w:szCs w:val="18"/>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Marcio Souza</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President, Chief Executive Officer, 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Timothy Kelly</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Alex Nemiroff, J.D.</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General Counsel, Corporate Secretary</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Non-Employee Directors: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19"/>
                <w:szCs w:val="19"/>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Dean Mitchell(2)(4)</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Chairman, 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Jeffrey Chodakewitz, M.D.(3)(4)</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Merit Cudkowicz, M.D.(1)(4)</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Jill DeSimone(1)(2)(3)</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Gregory Norden(1)(2)</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William Young(2)(3)</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2" w:lineRule="exact"/>
        <w:rPr>
          <w:sz w:val="20"/>
          <w:szCs w:val="20"/>
          <w:color w:val="auto"/>
        </w:rPr>
      </w:pPr>
    </w:p>
    <w:p>
      <w:pPr>
        <w:ind w:left="320" w:hanging="315"/>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03" w:lineRule="exact"/>
        <w:rPr>
          <w:rFonts w:ascii="Arial" w:cs="Arial" w:eastAsia="Arial" w:hAnsi="Arial"/>
          <w:sz w:val="17"/>
          <w:szCs w:val="17"/>
          <w:color w:val="auto"/>
        </w:rPr>
      </w:pPr>
    </w:p>
    <w:p>
      <w:pPr>
        <w:ind w:left="320" w:hanging="315"/>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19" w:lineRule="exact"/>
        <w:rPr>
          <w:rFonts w:ascii="Arial" w:cs="Arial" w:eastAsia="Arial" w:hAnsi="Arial"/>
          <w:sz w:val="17"/>
          <w:szCs w:val="17"/>
          <w:color w:val="auto"/>
        </w:rPr>
      </w:pPr>
    </w:p>
    <w:p>
      <w:pPr>
        <w:ind w:left="320" w:hanging="315"/>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19" w:lineRule="exact"/>
        <w:rPr>
          <w:rFonts w:ascii="Arial" w:cs="Arial" w:eastAsia="Arial" w:hAnsi="Arial"/>
          <w:sz w:val="17"/>
          <w:szCs w:val="17"/>
          <w:color w:val="auto"/>
        </w:rPr>
      </w:pPr>
    </w:p>
    <w:p>
      <w:pPr>
        <w:ind w:left="320" w:hanging="315"/>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Member of the Science and Technology Committee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21" w:lineRule="exact"/>
        <w:rPr>
          <w:sz w:val="20"/>
          <w:szCs w:val="20"/>
          <w:color w:val="auto"/>
        </w:rPr>
      </w:pPr>
    </w:p>
    <w:p>
      <w:pPr>
        <w:ind w:firstLine="315"/>
        <w:spacing w:after="0" w:line="262" w:lineRule="auto"/>
        <w:rPr>
          <w:sz w:val="20"/>
          <w:szCs w:val="20"/>
          <w:color w:val="auto"/>
        </w:rPr>
      </w:pPr>
      <w:r>
        <w:rPr>
          <w:rFonts w:ascii="Arial" w:cs="Arial" w:eastAsia="Arial" w:hAnsi="Arial"/>
          <w:sz w:val="17"/>
          <w:szCs w:val="17"/>
          <w:b w:val="1"/>
          <w:bCs w:val="1"/>
          <w:i w:val="1"/>
          <w:iCs w:val="1"/>
          <w:color w:val="auto"/>
        </w:rPr>
        <w:t xml:space="preserve">Marcio Souza </w:t>
      </w:r>
      <w:r>
        <w:rPr>
          <w:rFonts w:ascii="Arial" w:cs="Arial" w:eastAsia="Arial" w:hAnsi="Arial"/>
          <w:sz w:val="17"/>
          <w:szCs w:val="17"/>
          <w:color w:val="auto"/>
        </w:rPr>
        <w:t>has served as a member of our Board of Directors and our President and Chief Executive Officer since April 2020.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us, Mr. Souza was at PTC Therapeutics, Inc., or PTC, where he served as its Chief Operating Officer from May 2017 to April 2020 and its Senior Vice President and Head of Product Strategy from July 2016 to May 2017. Prior to joining PTC, Mr. Souza served in positions of increasing responsibility at NPS Pharmaceuticals, Inc., Shire Human Genetic Therapies Inc. and Sanofi Genzyme Corporation. Mr. Souza currently serves on the board of directors of Remagine Labs, a private company. Mr. Souza previously served on the boards of directors of Spyre Therapeutics, Inc. (previously Aeglea BioTherapeutics, Inc.) and Clearpoint Neuro, Inc. (previously MRI Interventions, Inc.). Mr. Souza received a degree in pharmacy and biochemistry with a specialization in toxicology and clinical analysis from the University of São Paulo and an M.B.A. from Fundação Dom Cabral. We believe Mr. Souza is qualified to serve on our Board of Directors because of his business and leadership experience in the life sciences industry and his scientific background</w:t>
      </w:r>
    </w:p>
    <w:p>
      <w:pPr>
        <w:spacing w:after="0" w:line="73"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b w:val="1"/>
          <w:bCs w:val="1"/>
          <w:i w:val="1"/>
          <w:iCs w:val="1"/>
          <w:color w:val="auto"/>
        </w:rPr>
        <w:t xml:space="preserve">Timothy Kelly </w:t>
      </w:r>
      <w:r>
        <w:rPr>
          <w:rFonts w:ascii="Arial" w:cs="Arial" w:eastAsia="Arial" w:hAnsi="Arial"/>
          <w:sz w:val="17"/>
          <w:szCs w:val="17"/>
          <w:color w:val="auto"/>
        </w:rPr>
        <w:t>has served as our Chief Financial Officer since May 2021. Prior to his role as Chief Financial Officer, Mr. Kelly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Foundation Medicine, Inc. from 2019 to April 2021. In this position, he led the finance and corporate management teams, providing strategic leadership and oversight for the corporate functions, which included accounting and tax, billing and reimbursement, procurement, corporate development, project management and financial planning and analysis. Prior to his time at Foundation Medicine, Mr. Kelly served in several finance roles of increasing responsibility at the F. Hoffman-La Roche AG, or Roche, and Genentech (before being acquired by Roche in 2009) from 2003 to 2019, including finance and corporate services director for Roche Pharma in the United Kingdom from 2017 to 2019 and head of group strategic planning for the Roche Group in Switzerland from 2013 to 2017. Mr. Kelly holds a B.A. in economics from the College of William and Mary and an M.B.A. from the Columbia Business School.</w:t>
      </w:r>
    </w:p>
    <w:p>
      <w:pPr>
        <w:spacing w:after="0" w:line="70" w:lineRule="exact"/>
        <w:rPr>
          <w:sz w:val="20"/>
          <w:szCs w:val="20"/>
          <w:color w:val="auto"/>
        </w:rPr>
      </w:pPr>
    </w:p>
    <w:p>
      <w:pPr>
        <w:ind w:right="40" w:firstLine="315"/>
        <w:spacing w:after="0" w:line="271" w:lineRule="auto"/>
        <w:rPr>
          <w:sz w:val="20"/>
          <w:szCs w:val="20"/>
          <w:color w:val="auto"/>
        </w:rPr>
      </w:pPr>
      <w:r>
        <w:rPr>
          <w:rFonts w:ascii="Arial" w:cs="Arial" w:eastAsia="Arial" w:hAnsi="Arial"/>
          <w:sz w:val="17"/>
          <w:szCs w:val="17"/>
          <w:b w:val="1"/>
          <w:bCs w:val="1"/>
          <w:i w:val="1"/>
          <w:iCs w:val="1"/>
          <w:color w:val="auto"/>
        </w:rPr>
        <w:t xml:space="preserve">Alex Nemiroff, J.D., </w:t>
      </w:r>
      <w:r>
        <w:rPr>
          <w:rFonts w:ascii="Arial" w:cs="Arial" w:eastAsia="Arial" w:hAnsi="Arial"/>
          <w:sz w:val="17"/>
          <w:szCs w:val="17"/>
          <w:color w:val="auto"/>
        </w:rPr>
        <w:t>has served as our General Counsel since June 2020. Prior to his role as General Counsel, Mr. Nemiroff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Legal from January 2020 to June 2020. Mr. Nemiroff was also a co-founder of RogCon, Inc. and RogCon U.R., Inc., and he has served as both entities’ Chief Executive Officer since inception in November 2015. Mr. Nemiroff has experience working in commercial and securities litigation while at Greenberg Traurig LLP, and served as law clerk to the Honorable Paul C. Huck of the United States District Court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auto"/>
        </w:rPr>
        <w:t>for the Southern District of Florida. Mr. Nemiroff received a B.B.A from the University of Michigan’s Ross School of Business, and a J.D. from Northwestern University School of Law.</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121" w:lineRule="exact"/>
        <w:rPr>
          <w:sz w:val="20"/>
          <w:szCs w:val="20"/>
          <w:color w:val="auto"/>
        </w:rPr>
      </w:pPr>
    </w:p>
    <w:p>
      <w:pPr>
        <w:ind w:right="20" w:firstLine="315"/>
        <w:spacing w:after="0" w:line="260" w:lineRule="auto"/>
        <w:rPr>
          <w:sz w:val="20"/>
          <w:szCs w:val="20"/>
          <w:color w:val="auto"/>
        </w:rPr>
      </w:pPr>
      <w:r>
        <w:rPr>
          <w:rFonts w:ascii="Arial" w:cs="Arial" w:eastAsia="Arial" w:hAnsi="Arial"/>
          <w:sz w:val="17"/>
          <w:szCs w:val="17"/>
          <w:b w:val="1"/>
          <w:bCs w:val="1"/>
          <w:i w:val="1"/>
          <w:iCs w:val="1"/>
          <w:color w:val="auto"/>
        </w:rPr>
        <w:t xml:space="preserve">Dean Mitchell </w:t>
      </w:r>
      <w:r>
        <w:rPr>
          <w:rFonts w:ascii="Arial" w:cs="Arial" w:eastAsia="Arial" w:hAnsi="Arial"/>
          <w:sz w:val="17"/>
          <w:szCs w:val="17"/>
          <w:color w:val="auto"/>
        </w:rPr>
        <w:t>has served as chairman of our Board of Directors since September 2020. He served as executive chairman of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Covis Pharma Holdings S.à.r.l., a specialty pharmaceutical company, from August 2013 until its sale in March 2020 and was chairman of PaxVax Corporation, a biotechnology company, from January 2016 until its sale in October 2018. Mr. Mitchell served as President and Chief Executive Officer of Lux Biosciences, Inc., a biotechnology company focusing on the treatment of ophthalmic diseases, from July 2010 to August 2013. Prior to Lux Biosciences, he served as President and Chief Executive Officer of both Alpharma, Inc., a publicly traded specialty pharmaceutical company, from 2006 until its acquisition by King Pharmaceuticals, Inc. in 2008, and Guilford Pharmaceuticals, Inc., a publicly traded pharmaceutical company focused in oncology and acute care, from 2004 until its acquisition by MGI Pharma Inc. in 2005. From 2001 to 2004, he served in various senior executive capacities in the worldwide medicines group of Bristol-Myers Squibb Company. Prior to Bristol-Myers Squibb Company, he spent 14 years at GlaxoSmithKline plc, in assignments of increasing responsibility spanning sales, marketing, general management, commercial strategy and clinical development and product strategy. Mr. Mitchell currently serves on the boards of directors of Theravance Biopharma, Inc. (NASDAQ: TBPH) and Precigen Inc. (formerly Intrexon Inc.) (NASDAQ: PGEN). Mr. Mitchell previously served on the boards of directors of ImmunoGen Inc. (acquired by Abbvie Inc. in 2024) and Kinnate Biopharma Inc. (acquired by XOMA Corporation in 2024). Mr. Mitchell holds an M.B.A. from City University London and a B.Sc. in Biology from Coventry University. We believe Mr. Mitchell is qualified to serve on our Board of Directors because of his management experience in the pharmaceutical and biotherapeutics industries and his experience as a president, chief executive officer and board member of multiple biotechnology companies.</w:t>
      </w:r>
    </w:p>
    <w:p>
      <w:pPr>
        <w:spacing w:after="0" w:line="76" w:lineRule="exact"/>
        <w:rPr>
          <w:sz w:val="20"/>
          <w:szCs w:val="20"/>
          <w:color w:val="auto"/>
        </w:rPr>
      </w:pPr>
    </w:p>
    <w:p>
      <w:pPr>
        <w:ind w:firstLine="315"/>
        <w:spacing w:after="0" w:line="261" w:lineRule="auto"/>
        <w:rPr>
          <w:sz w:val="20"/>
          <w:szCs w:val="20"/>
          <w:color w:val="auto"/>
        </w:rPr>
      </w:pPr>
      <w:r>
        <w:rPr>
          <w:rFonts w:ascii="Arial" w:cs="Arial" w:eastAsia="Arial" w:hAnsi="Arial"/>
          <w:sz w:val="17"/>
          <w:szCs w:val="17"/>
          <w:b w:val="1"/>
          <w:bCs w:val="1"/>
          <w:i w:val="1"/>
          <w:iCs w:val="1"/>
          <w:color w:val="auto"/>
        </w:rPr>
        <w:t xml:space="preserve">Jeffrey Chodakewitz, M.D., </w:t>
      </w:r>
      <w:r>
        <w:rPr>
          <w:rFonts w:ascii="Arial" w:cs="Arial" w:eastAsia="Arial" w:hAnsi="Arial"/>
          <w:sz w:val="17"/>
          <w:szCs w:val="17"/>
          <w:color w:val="auto"/>
        </w:rPr>
        <w:t>has served as a member of our Board of Directors since April 2021. Dr. Chodakewitz has served as an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for Ascenta Capital, a life sciences investment firm, since December 2022. He previously served as a senior advisor to Blackstone Life Sciences, a life sciences private equity firm from March 2019 to January 2022. From April 2018 through March 2019, he served as Executive Vice President, Clinical Medicine and External Innovation, at Vertex Pharmaceuticals, Inc., or Vertex. Prior to that role, Dr. Chodakewitz held the roles of Chief Medical Officer and Executive Vice President, Global Medicines Development and Medical Affairs at Vertex from January 2014 to April 2018 and was a member of the Vertex Executive Committee. Prior to Vertex, Dr. Chodakewitz spent over 20 years at Merck &amp; Co. serving in several positions, including leadership roles as Head of Infectious Diseases and Vaccines Global Development, Senior Vice President of Global Scientific Strategy (infectious disease, respiratory &amp; immunology), Vice President of Early-Stage Development and Senior Vice President of Late-Stage Development. Dr. Chodakewitz currently serves on the boards of directors of Adicet Bio, Inc. (NASDAQ: ACET) and Schrödinger, Inc. (NASDAQ:SDGR). Dr. Chodakewitz previously served on the board of directors of Freeline Therapeutics Holdings plc. (acquired by Syncona Ltd in 2024). Dr. Chodakewitz received a B.S. in Biochemistry cum laude from Yale University and an M.D. from the Yale University School of Medicine. We believe Dr. Chodakewitz is qualified to serve on our Board of Directors because of his extensive business and leadership experience working in the biotechnology industry.</w:t>
      </w:r>
    </w:p>
    <w:p>
      <w:pPr>
        <w:spacing w:after="0" w:line="69" w:lineRule="exact"/>
        <w:rPr>
          <w:sz w:val="20"/>
          <w:szCs w:val="20"/>
          <w:color w:val="auto"/>
        </w:rPr>
      </w:pPr>
    </w:p>
    <w:p>
      <w:pPr>
        <w:ind w:right="40" w:firstLine="315"/>
        <w:spacing w:after="0" w:line="262" w:lineRule="auto"/>
        <w:rPr>
          <w:sz w:val="20"/>
          <w:szCs w:val="20"/>
          <w:color w:val="auto"/>
        </w:rPr>
      </w:pPr>
      <w:r>
        <w:rPr>
          <w:rFonts w:ascii="Arial" w:cs="Arial" w:eastAsia="Arial" w:hAnsi="Arial"/>
          <w:sz w:val="17"/>
          <w:szCs w:val="17"/>
          <w:b w:val="1"/>
          <w:bCs w:val="1"/>
          <w:i w:val="1"/>
          <w:iCs w:val="1"/>
          <w:color w:val="auto"/>
        </w:rPr>
        <w:t xml:space="preserve">Merit Cudkowicz, M.D., </w:t>
      </w:r>
      <w:r>
        <w:rPr>
          <w:rFonts w:ascii="Arial" w:cs="Arial" w:eastAsia="Arial" w:hAnsi="Arial"/>
          <w:sz w:val="17"/>
          <w:szCs w:val="17"/>
          <w:color w:val="auto"/>
        </w:rPr>
        <w:t>has served as a member of our Board of Directors since April 2021. Dr. Cudkowicz has served as the Chief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Neurology at Massachusetts General Hospital since 2012 and is the Director of the Sean M. Healey &amp; AMG Center for ALS and Director and the Julieanne Dorn Professor of Neurology at Harvard Medical School. A member of the National Academy of Medicine, she has led innovations to accelerate the development of treatments for people with neurological disorders such as ALS, including the first platform trial in ALS, and serving in a senior role in the research and development of the first antisense oligonucleotide treatment for a neurological disorder. Dr. Cudkowicz is also the principal investigator of the Clinical Coordination Center for the National Institute of Neurological Disorders and Stroke’s Neurology Network of Excellence in Clinical Trials, or NeuroNEX. Dr. Cudkowicz received a B.S. in Chemical Engineering from Massachusetts Institute of Technology, an M.D. from Harvard Medical School and a MSc. in Clinical Epidemiology from Harvard School of Public Health. We believe Dr. Cudkowicz is qualified to serve on our Board of Directors because of her extensive medical background and experience.</w:t>
      </w:r>
    </w:p>
    <w:p>
      <w:pPr>
        <w:spacing w:after="0" w:line="73"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b w:val="1"/>
          <w:bCs w:val="1"/>
          <w:i w:val="1"/>
          <w:iCs w:val="1"/>
          <w:color w:val="auto"/>
        </w:rPr>
        <w:t xml:space="preserve">Jill DeSimone </w:t>
      </w:r>
      <w:r>
        <w:rPr>
          <w:rFonts w:ascii="Arial" w:cs="Arial" w:eastAsia="Arial" w:hAnsi="Arial"/>
          <w:sz w:val="17"/>
          <w:szCs w:val="17"/>
          <w:color w:val="auto"/>
        </w:rPr>
        <w:t>has served as a member of our Board of Directors since May 2022. Ms. DeSimone served as President of U.S. Oncology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Merck &amp; Co., Inc., or Merck, from 2014 to May 2022. During her time at Merck, Ms. DeSimone also temporarily served as Interim President of U.S. Pharma to help navigate the business through the COVID-19 pandemic. Prior to joining Merck, she served as Senior Vice President of Global Women’s Health at Teva Pharmaceutical Industries Ltd, or Teva, from 2012 to 2014. Prior to her time at Teva, Ms. DeSimone served in several roles of increasing responsibility at Bristol Myers-Squibb from 1980 to 2012, including Senior Vice President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of Oncology and Senior Vice President of Commercial Operations. Ms. DeSimone currently serves on the board of directors of Oncternal Therapeutics, Inc. (NASDAQ: ONCT), iTeos Therapeutics, Inc. (NASDAQ: ITOS) and Affini-T Therapeutics, Inc., a private company. Ms. DeSimone previously served on the board of directors of Kinnate Biopharma, Inc. (acquired by XOMA Corporation in 2024). Ms. DeSimone also serves as a board member for the Florida Cancer Specialists Foundation and Swim Across America, nonprofit organizations focused on cancer patient support and research. Ms. DeSimone received a B.S. in pharmacy from Northeastern University and completed a fellowship with the Wharton School of the University of Pennsylvania. We believe Ms. DeSimone is qualified to serve on our Board of Directors because of her leadership and extensive business experience in the pharmaceutical industry.</w:t>
      </w:r>
    </w:p>
    <w:p>
      <w:pPr>
        <w:spacing w:after="0" w:line="68" w:lineRule="exact"/>
        <w:rPr>
          <w:sz w:val="20"/>
          <w:szCs w:val="20"/>
          <w:color w:val="auto"/>
        </w:rPr>
      </w:pPr>
    </w:p>
    <w:p>
      <w:pPr>
        <w:ind w:right="80" w:firstLine="315"/>
        <w:spacing w:after="0" w:line="264" w:lineRule="auto"/>
        <w:rPr>
          <w:sz w:val="20"/>
          <w:szCs w:val="20"/>
          <w:color w:val="auto"/>
        </w:rPr>
      </w:pPr>
      <w:r>
        <w:rPr>
          <w:rFonts w:ascii="Arial" w:cs="Arial" w:eastAsia="Arial" w:hAnsi="Arial"/>
          <w:sz w:val="17"/>
          <w:szCs w:val="17"/>
          <w:b w:val="1"/>
          <w:bCs w:val="1"/>
          <w:i w:val="1"/>
          <w:iCs w:val="1"/>
          <w:color w:val="auto"/>
        </w:rPr>
        <w:t xml:space="preserve">Gregory Norden </w:t>
      </w:r>
      <w:r>
        <w:rPr>
          <w:rFonts w:ascii="Arial" w:cs="Arial" w:eastAsia="Arial" w:hAnsi="Arial"/>
          <w:sz w:val="17"/>
          <w:szCs w:val="17"/>
          <w:color w:val="auto"/>
        </w:rPr>
        <w:t>has served as a member of our Board of Directors since March 2019. Mr. Norden is the former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Wyeth Pharmaceuticals Inc. and has served as the Managing Director of G9 Capital Group LLC, which invests in early stage ventures and provides corporate advisory services, since 2010. Mr. Norden currently serves on the boards of directors of Zoetis Inc. (NYSE: ZTS) and Royalty Pharma plc (NASDAQ: RPRX). Mr. Norden previously served on the boards of directors of Human Genome Sciences, Inc., Univision, Welch Allyn and NanoString Technologies, Inc. Mr. Norden received a B.S. in Management and Economics from the State University of New York at Plattsburgh and an M.S. in Accounting from LIU Post. We believe Mr. Norden is qualified to serve on our Board of Directors because of his background in finance and experience as a senior executive in the global healthcare and pharmaceutical industries, as well as his public company board experience.</w:t>
      </w:r>
    </w:p>
    <w:p>
      <w:pPr>
        <w:spacing w:after="0" w:line="278" w:lineRule="exact"/>
        <w:rPr>
          <w:sz w:val="20"/>
          <w:szCs w:val="20"/>
          <w:color w:val="auto"/>
        </w:rPr>
      </w:pPr>
    </w:p>
    <w:p>
      <w:pPr>
        <w:ind w:firstLine="315"/>
        <w:spacing w:after="0" w:line="261" w:lineRule="auto"/>
        <w:rPr>
          <w:sz w:val="20"/>
          <w:szCs w:val="20"/>
          <w:color w:val="auto"/>
        </w:rPr>
      </w:pPr>
      <w:r>
        <w:rPr>
          <w:rFonts w:ascii="Arial" w:cs="Arial" w:eastAsia="Arial" w:hAnsi="Arial"/>
          <w:sz w:val="17"/>
          <w:szCs w:val="17"/>
          <w:b w:val="1"/>
          <w:bCs w:val="1"/>
          <w:i w:val="1"/>
          <w:iCs w:val="1"/>
          <w:color w:val="auto"/>
        </w:rPr>
        <w:t xml:space="preserve">William Young </w:t>
      </w:r>
      <w:r>
        <w:rPr>
          <w:rFonts w:ascii="Arial" w:cs="Arial" w:eastAsia="Arial" w:hAnsi="Arial"/>
          <w:sz w:val="17"/>
          <w:szCs w:val="17"/>
          <w:color w:val="auto"/>
        </w:rPr>
        <w:t>has served as a member of our Board of Directors since December 2016. Mr. Young is a Senior Advisor with Blackstone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which he joined in November 2018. Prior to its acquisition by Blackstone, Mr. Young joined Clarus Ventures LLC in March 2010 and held various roles, including Venture Partner, Senior Advisor and portfolio company board member. Prior to joining Clarus, Mr. Young was chairman of the board of directors and Chief Executive Officer of Monogram Biosciences Inc. from 2000 until its acquisition by Laboratory Corporation of America Holdings in 2009. Previously, Mr. Young spent 20 years at Genentech, Inc. in roles of increasing responsibility, culminating as Chief Operating Officer from 1997 to 1999. Mr. Young currently serves as a member of the board of directors of Autolus Therapeutics plc (NASDAQ: AUTL). Mr. Young previously served as the chairman of the board of directors of Annexon, Inc., and as a member of the boards of directors of Vertex Pharmaceuticals Inc., BioMarin Pharmaceutical Inc., Theravance BioPharma, Inc. and NanoString Technologies, Inc. Mr. Young was elected to the National Academy of Engineering in 1993 for his contributions to biotechnology. Mr. Young received a B.S. in Chemical Engineering from Purdue University and an M.B.A. from Indiana University in Marketing and Finance and holds an honorary doctorate in Engineering from Purdue University. We believe Mr. Young is qualified to serve on our Board of Directors because of his scientific background, business experience and his service on the board of directors of other life sciences companies.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121" w:lineRule="exact"/>
        <w:rPr>
          <w:sz w:val="20"/>
          <w:szCs w:val="20"/>
          <w:color w:val="auto"/>
        </w:rPr>
      </w:pPr>
    </w:p>
    <w:p>
      <w:pPr>
        <w:ind w:right="80" w:firstLine="315"/>
        <w:spacing w:after="0" w:line="268" w:lineRule="auto"/>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https://investors.praxismedicines.com/corporate-governance/governance-overview. If we make any substantive amendments to, or grant any waivers from, the code of business conduct and ethics for any officer or director, we will disclose the nature of such amendment or waiver on our website or in a Form 8-K.</w:t>
      </w:r>
    </w:p>
    <w:p>
      <w:pPr>
        <w:spacing w:after="0" w:line="63"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The remainder of the information required by this Item 10 will be included in our Definitive Proxy Statement to be filed with the SEC with respect to our 2025 Annual Meeting of Stockholders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21" w:lineRule="exact"/>
        <w:rPr>
          <w:sz w:val="20"/>
          <w:szCs w:val="20"/>
          <w:color w:val="auto"/>
        </w:rPr>
      </w:pPr>
    </w:p>
    <w:p>
      <w:pPr>
        <w:ind w:right="100" w:firstLine="433"/>
        <w:spacing w:after="0" w:line="300"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2025 Annual Meeting of Stockholders and is incorporated herein by reference.</w:t>
      </w:r>
    </w:p>
    <w:p>
      <w:pPr>
        <w:spacing w:after="0" w:line="244" w:lineRule="exact"/>
        <w:rPr>
          <w:sz w:val="20"/>
          <w:szCs w:val="20"/>
          <w:color w:val="auto"/>
        </w:rPr>
      </w:pPr>
    </w:p>
    <w:p>
      <w:pPr>
        <w:ind w:right="2200"/>
        <w:spacing w:after="0" w:line="441"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 Equity Compensation Plan Information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The following table provides information as of December 31, 2024 regarding shares of common stock that may be issued under our equity compensation plans, consisting of our 2017 Stock Incentive Plan, our 2020 Stock Option and Incentive Plan, our 2020 Employee Stock Purchase Plan and our 2024 Inducement Plan.</w:t>
      </w:r>
    </w:p>
    <w:p>
      <w:pPr>
        <w:sectPr>
          <w:pgSz w:w="11900" w:h="16838" w:orient="portrait"/>
          <w:cols w:equalWidth="0" w:num="1">
            <w:col w:w="11200"/>
          </w:cols>
          <w:pgMar w:left="320" w:top="11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Plan Category</w:t>
      </w:r>
    </w:p>
    <w:p>
      <w:pPr>
        <w:spacing w:after="0" w:line="41" w:lineRule="exact"/>
        <w:rPr>
          <w:sz w:val="20"/>
          <w:szCs w:val="20"/>
          <w:color w:val="auto"/>
        </w:rPr>
      </w:pPr>
    </w:p>
    <w:p>
      <w:pPr>
        <w:ind w:left="80" w:right="260"/>
        <w:spacing w:after="0" w:line="268" w:lineRule="auto"/>
        <w:rPr>
          <w:sz w:val="20"/>
          <w:szCs w:val="20"/>
          <w:color w:val="auto"/>
        </w:rPr>
      </w:pPr>
      <w:r>
        <w:rPr>
          <w:rFonts w:ascii="Arial" w:cs="Arial" w:eastAsia="Arial" w:hAnsi="Arial"/>
          <w:sz w:val="16"/>
          <w:szCs w:val="16"/>
          <w:color w:val="auto"/>
        </w:rPr>
        <w:t>Equity compensation plans approved by security holders(1):</w:t>
      </w:r>
    </w:p>
    <w:p>
      <w:pPr>
        <w:spacing w:after="0" w:line="9" w:lineRule="exact"/>
        <w:rPr>
          <w:sz w:val="20"/>
          <w:szCs w:val="20"/>
          <w:color w:val="auto"/>
        </w:rPr>
      </w:pPr>
    </w:p>
    <w:p>
      <w:pPr>
        <w:ind w:left="80"/>
        <w:spacing w:after="0" w:line="268" w:lineRule="auto"/>
        <w:rPr>
          <w:sz w:val="20"/>
          <w:szCs w:val="20"/>
          <w:color w:val="auto"/>
        </w:rPr>
      </w:pPr>
      <w:r>
        <w:rPr>
          <w:rFonts w:ascii="Arial" w:cs="Arial" w:eastAsia="Arial" w:hAnsi="Arial"/>
          <w:sz w:val="16"/>
          <w:szCs w:val="16"/>
          <w:color w:val="auto"/>
        </w:rPr>
        <w:t>Equity compensation plans not approved by security holders(5):</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8"/>
              </w:rPr>
              <w:t>Number of securities remaining</w:t>
            </w:r>
          </w:p>
        </w:tc>
      </w:tr>
      <w:tr>
        <w:trPr>
          <w:trHeight w:val="184"/>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Number of securities to be issued</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8"/>
              </w:rPr>
              <w:t>available for future issuance under</w:t>
            </w:r>
          </w:p>
        </w:tc>
      </w:tr>
      <w:tr>
        <w:trPr>
          <w:trHeight w:val="170"/>
        </w:trPr>
        <w:tc>
          <w:tcPr>
            <w:tcW w:w="278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7"/>
              </w:rPr>
              <w:t>upon exercise of outstanding</w:t>
            </w:r>
          </w:p>
        </w:tc>
        <w:tc>
          <w:tcPr>
            <w:tcW w:w="2240" w:type="dxa"/>
            <w:vAlign w:val="bottom"/>
            <w:gridSpan w:val="2"/>
          </w:tcPr>
          <w:p>
            <w:pPr>
              <w:jc w:val="center"/>
              <w:ind w:right="100"/>
              <w:spacing w:after="0" w:line="171" w:lineRule="exact"/>
              <w:rPr>
                <w:sz w:val="20"/>
                <w:szCs w:val="20"/>
                <w:color w:val="auto"/>
              </w:rPr>
            </w:pPr>
            <w:r>
              <w:rPr>
                <w:rFonts w:ascii="Arial" w:cs="Arial" w:eastAsia="Arial" w:hAnsi="Arial"/>
                <w:sz w:val="16"/>
                <w:szCs w:val="16"/>
                <w:b w:val="1"/>
                <w:bCs w:val="1"/>
                <w:color w:val="auto"/>
                <w:w w:val="98"/>
              </w:rPr>
              <w:t>Weighted average exercise</w:t>
            </w:r>
          </w:p>
        </w:tc>
        <w:tc>
          <w:tcPr>
            <w:tcW w:w="26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equity compensation plan</w:t>
            </w:r>
          </w:p>
        </w:tc>
      </w:tr>
      <w:tr>
        <w:trPr>
          <w:trHeight w:val="184"/>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options, restricted stock units,</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price of outstanding</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8"/>
              </w:rPr>
              <w:t>(excluding securities reflected in</w:t>
            </w:r>
          </w:p>
        </w:tc>
      </w:tr>
      <w:tr>
        <w:trPr>
          <w:trHeight w:val="184"/>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warrants and rights</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options</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9"/>
              </w:rPr>
              <w:t>column (a))</w:t>
            </w:r>
          </w:p>
        </w:tc>
      </w:tr>
      <w:tr>
        <w:trPr>
          <w:trHeight w:val="216"/>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(b)</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410"/>
        </w:trPr>
        <w:tc>
          <w:tcPr>
            <w:tcW w:w="2660" w:type="dxa"/>
            <w:vAlign w:val="bottom"/>
          </w:tcPr>
          <w:p>
            <w:pPr>
              <w:jc w:val="center"/>
              <w:spacing w:after="0"/>
              <w:rPr>
                <w:sz w:val="20"/>
                <w:szCs w:val="20"/>
                <w:color w:val="auto"/>
              </w:rPr>
            </w:pPr>
            <w:r>
              <w:rPr>
                <w:rFonts w:ascii="Arial" w:cs="Arial" w:eastAsia="Arial" w:hAnsi="Arial"/>
                <w:sz w:val="16"/>
                <w:szCs w:val="16"/>
                <w:color w:val="auto"/>
                <w:w w:val="99"/>
              </w:rPr>
              <w:t>2,016,590(2)</w:t>
            </w:r>
          </w:p>
        </w:tc>
        <w:tc>
          <w:tcPr>
            <w:tcW w:w="1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$91.04(3)</w:t>
            </w:r>
          </w:p>
        </w:tc>
        <w:tc>
          <w:tcPr>
            <w:tcW w:w="1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w w:val="98"/>
              </w:rPr>
              <w:t>200,991(4)</w:t>
            </w:r>
          </w:p>
        </w:tc>
      </w:tr>
      <w:tr>
        <w:trPr>
          <w:trHeight w:val="421"/>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17,226(6)</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$53.13(7)</w:t>
            </w:r>
          </w:p>
        </w:tc>
        <w:tc>
          <w:tcPr>
            <w:tcW w:w="10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112,774 (8)</w:t>
            </w:r>
          </w:p>
        </w:tc>
      </w:tr>
      <w:tr>
        <w:trPr>
          <w:trHeight w:val="202"/>
        </w:trPr>
        <w:tc>
          <w:tcPr>
            <w:tcW w:w="2660" w:type="dxa"/>
            <w:vAlign w:val="bottom"/>
          </w:tcPr>
          <w:p>
            <w:pPr>
              <w:jc w:val="center"/>
              <w:spacing w:after="0"/>
              <w:rPr>
                <w:sz w:val="20"/>
                <w:szCs w:val="20"/>
                <w:color w:val="auto"/>
              </w:rPr>
            </w:pPr>
            <w:r>
              <w:rPr>
                <w:rFonts w:ascii="Arial" w:cs="Arial" w:eastAsia="Arial" w:hAnsi="Arial"/>
                <w:sz w:val="16"/>
                <w:szCs w:val="16"/>
                <w:color w:val="auto"/>
                <w:w w:val="98"/>
              </w:rPr>
              <w:t>2,033,816</w:t>
            </w: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8"/>
              </w:rPr>
              <w:t>$90.84</w:t>
            </w: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rPr>
              <w:t>313,765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-139065</wp:posOffset>
            </wp:positionV>
            <wp:extent cx="7061200" cy="141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61200" cy="141605"/>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-680720</wp:posOffset>
            </wp:positionV>
            <wp:extent cx="7061200" cy="274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61200" cy="2749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3140" w:space="360"/>
            <w:col w:w="7700"/>
          </w:cols>
          <w:pgMar w:left="320" w:top="115" w:right="379"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_____________________</w:t>
      </w:r>
    </w:p>
    <w:p>
      <w:pPr>
        <w:spacing w:after="0" w:line="17" w:lineRule="exact"/>
        <w:rPr>
          <w:sz w:val="20"/>
          <w:szCs w:val="20"/>
          <w:color w:val="auto"/>
        </w:rPr>
      </w:pPr>
    </w:p>
    <w:p>
      <w:pPr>
        <w:ind w:left="320" w:hanging="315"/>
        <w:spacing w:after="0" w:line="238"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2020 Stock Option and Incentive Plan provides for an annual increase in the number of securities available for future issuance on each January 1 by an amount equal to 5% of the number of shares of common stock outstanding as of the immediately preceding December 31 or such lesser number of shares as determined by the administrator of such plan. The 2020 Employee Stock Purchase Plan provides for an annual increase in the number of securities available for future issuance on each January 1 by an amount equal to the lesser of (i) 1% of the number of shares of common stock outstanding as of the immediately preceding December 31, (ii) 327,102 shares of common stock, or (iii) such number of shares of common stock as determined by the administrator of such plan.</w:t>
      </w:r>
    </w:p>
    <w:p>
      <w:pPr>
        <w:spacing w:after="0" w:line="4" w:lineRule="exact"/>
        <w:rPr>
          <w:rFonts w:ascii="Arial" w:cs="Arial" w:eastAsia="Arial" w:hAnsi="Arial"/>
          <w:sz w:val="17"/>
          <w:szCs w:val="17"/>
          <w:color w:val="auto"/>
        </w:rPr>
      </w:pPr>
    </w:p>
    <w:p>
      <w:pPr>
        <w:ind w:left="320" w:right="200" w:hanging="315"/>
        <w:spacing w:after="0" w:line="241"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1,799,643 shares of common stock issuable upon the exercise of outstanding options under the 2017 and 2020 Stock Option and Incentive Plans and 216,947 shares subject to restricted stock units that will entitle the holder to one share of common stock for each unit that vests.</w:t>
      </w:r>
    </w:p>
    <w:p>
      <w:pPr>
        <w:spacing w:after="0" w:line="1" w:lineRule="exact"/>
        <w:rPr>
          <w:rFonts w:ascii="Arial" w:cs="Arial" w:eastAsia="Arial" w:hAnsi="Arial"/>
          <w:sz w:val="17"/>
          <w:szCs w:val="17"/>
          <w:color w:val="auto"/>
        </w:rPr>
      </w:pPr>
    </w:p>
    <w:p>
      <w:pPr>
        <w:ind w:left="320" w:right="100" w:hanging="315"/>
        <w:spacing w:after="0" w:line="241"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calculation does not take into account the 216,947 shares of common stock subject to outstanding restricted stock units under the 2020 Stock Option and Incentive Plan. Such shares will be issued at the time the restricted stock unit vests, without any cash consideration payable for those shares.</w:t>
      </w:r>
    </w:p>
    <w:p>
      <w:pPr>
        <w:spacing w:after="0" w:line="1" w:lineRule="exact"/>
        <w:rPr>
          <w:rFonts w:ascii="Arial" w:cs="Arial" w:eastAsia="Arial" w:hAnsi="Arial"/>
          <w:sz w:val="17"/>
          <w:szCs w:val="17"/>
          <w:color w:val="auto"/>
        </w:rPr>
      </w:pPr>
    </w:p>
    <w:p>
      <w:pPr>
        <w:ind w:left="320" w:right="80" w:hanging="315"/>
        <w:spacing w:after="0" w:line="236"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of December 31, 2024, there were no shares available for grant under the 2017 Stock Incentive Plan, 91,343 shares available for grants under the 2020 Stock Option and Incentive Plan and 109,648 shares available for grants under the 2020 Employee Stock Purchase Plan (of which 7,315 shares were subject to outstanding purchase rights).</w:t>
      </w:r>
    </w:p>
    <w:p>
      <w:pPr>
        <w:ind w:left="320" w:right="80" w:hanging="315"/>
        <w:spacing w:after="0" w:line="241"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2024 Inducement Plan was adopted in January 2024. Awards issued under the 2024 Inducement Plan may only be made to a newly hired employee who was not previously an employee or non-employee director or to an employee who is being rehired following a bona fide period of non-employment if such award is a material inducement to such employee entering into employment. The material terms of the 2024 Inducement Plan are described in Note 11 to the consolidated financial statements included herein.</w:t>
      </w:r>
    </w:p>
    <w:p>
      <w:pPr>
        <w:spacing w:after="0" w:line="1" w:lineRule="exact"/>
        <w:rPr>
          <w:rFonts w:ascii="Arial" w:cs="Arial" w:eastAsia="Arial" w:hAnsi="Arial"/>
          <w:sz w:val="17"/>
          <w:szCs w:val="17"/>
          <w:color w:val="auto"/>
        </w:rPr>
      </w:pPr>
    </w:p>
    <w:p>
      <w:pPr>
        <w:ind w:left="320" w:right="520" w:hanging="315"/>
        <w:spacing w:after="0" w:line="241"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9,700 shares of common stock issuable upon the exercise of outstanding options under the 2024 Inducement Plan and 7,526 shares subject to restricted stock units that will entitle the holder to one share of common stock for each unit that vests.</w:t>
      </w:r>
    </w:p>
    <w:p>
      <w:pPr>
        <w:ind w:left="320" w:right="280" w:hanging="315"/>
        <w:spacing w:after="0" w:line="241"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calculation does not take into account the 7,526 shares of common stock subject to outstanding restricted stock units under the 2024 Inducement Plan. Such shares will be issued at the time the restricted stock unit vests, without any cash consideration payable for those shares.</w:t>
      </w:r>
    </w:p>
    <w:p>
      <w:pPr>
        <w:spacing w:after="0" w:line="1" w:lineRule="exact"/>
        <w:rPr>
          <w:rFonts w:ascii="Arial" w:cs="Arial" w:eastAsia="Arial" w:hAnsi="Arial"/>
          <w:sz w:val="17"/>
          <w:szCs w:val="17"/>
          <w:color w:val="auto"/>
        </w:rPr>
      </w:pPr>
    </w:p>
    <w:p>
      <w:pPr>
        <w:ind w:left="320" w:right="200" w:hanging="315"/>
        <w:spacing w:after="0" w:line="264"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of December 31, 2024, there were 112,774 shares available for grant under the 2024 Inducement Plan. In January 2025, the number of shares of the Company's common stock reserved for issuance under the 2024 Inducement Plan was increased by 870,000 shares.</w:t>
      </w:r>
    </w:p>
    <w:p>
      <w:pPr>
        <w:spacing w:after="0" w:line="65" w:lineRule="exact"/>
        <w:rPr>
          <w:sz w:val="20"/>
          <w:szCs w:val="20"/>
          <w:color w:val="auto"/>
        </w:rPr>
      </w:pPr>
    </w:p>
    <w:p>
      <w:pPr>
        <w:ind w:right="300" w:firstLine="433"/>
        <w:spacing w:after="0" w:line="300" w:lineRule="auto"/>
        <w:rPr>
          <w:sz w:val="20"/>
          <w:szCs w:val="20"/>
          <w:color w:val="auto"/>
        </w:rPr>
      </w:pPr>
      <w:r>
        <w:rPr>
          <w:rFonts w:ascii="Arial" w:cs="Arial" w:eastAsia="Arial" w:hAnsi="Arial"/>
          <w:sz w:val="17"/>
          <w:szCs w:val="17"/>
          <w:color w:val="auto"/>
        </w:rPr>
        <w:t>The remainder of the information required by this Item 12 will be included in our Definitive Proxy Statement to be filed with the SEC with respect to our 2025 Annual Meeting of Stockholders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1" w:lineRule="exact"/>
        <w:rPr>
          <w:sz w:val="20"/>
          <w:szCs w:val="20"/>
          <w:color w:val="auto"/>
        </w:rPr>
      </w:pPr>
    </w:p>
    <w:p>
      <w:pPr>
        <w:ind w:right="60" w:firstLine="433"/>
        <w:spacing w:after="0" w:line="300"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2025 Annual Meeting of Stockholders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33"/>
        <w:spacing w:after="0" w:line="300"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2025 Annual Meeting of Stockholders and is incorporated herein by reference.</w:t>
      </w: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(a)(1) Financial Statements.</w:t>
      </w:r>
    </w:p>
    <w:p>
      <w:pPr>
        <w:spacing w:after="0" w:line="119"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 xml:space="preserve">For a list of the financial statements included herein, see Index to the Consolidated Financial Statements on page </w:t>
      </w:r>
      <w:r>
        <w:rPr>
          <w:rFonts w:ascii="Arial" w:cs="Arial" w:eastAsia="Arial" w:hAnsi="Arial"/>
          <w:sz w:val="17"/>
          <w:szCs w:val="17"/>
          <w:u w:val="single" w:color="auto"/>
          <w:color w:val="0000FF"/>
        </w:rPr>
        <w:t>100</w:t>
      </w:r>
      <w:r>
        <w:rPr>
          <w:rFonts w:ascii="Arial" w:cs="Arial" w:eastAsia="Arial" w:hAnsi="Arial"/>
          <w:sz w:val="17"/>
          <w:szCs w:val="17"/>
          <w:color w:val="auto"/>
        </w:rPr>
        <w:t xml:space="preserve"> of this Annual Report on Form 10-K, incorporated into this Item by reference.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(a)(2) Financial Statement Schedules.</w:t>
      </w:r>
    </w:p>
    <w:p>
      <w:pPr>
        <w:spacing w:after="0" w:line="119"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Financial statement schedules have been omitted because they are either not required or not applicable or the information is included in the consolidated financial statements or the notes thereto.</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(a)(3) List of Exhibits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3.1</w:t>
        </w:r>
      </w:hyperlink>
    </w:p>
    <w:p>
      <w:pPr>
        <w:spacing w:after="0" w:line="211" w:lineRule="exact"/>
        <w:rPr>
          <w:sz w:val="20"/>
          <w:szCs w:val="20"/>
          <w:color w:val="auto"/>
        </w:rPr>
      </w:pPr>
    </w:p>
    <w:p>
      <w:pPr>
        <w:ind w:left="20"/>
        <w:spacing w:after="0"/>
        <w:rPr>
          <w:rFonts w:ascii="Arial" w:cs="Arial" w:eastAsia="Arial" w:hAnsi="Arial"/>
          <w:sz w:val="17"/>
          <w:szCs w:val="17"/>
          <w:u w:val="single" w:color="auto"/>
          <w:color w:val="0000FF"/>
        </w:rPr>
      </w:pPr>
      <w:hyperlink r:id="rId170">
        <w:r>
          <w:rPr>
            <w:rFonts w:ascii="Arial" w:cs="Arial" w:eastAsia="Arial" w:hAnsi="Arial"/>
            <w:sz w:val="17"/>
            <w:szCs w:val="17"/>
            <w:u w:val="single" w:color="auto"/>
            <w:color w:val="0000FF"/>
          </w:rPr>
          <w:t>3.2</w:t>
        </w:r>
      </w:hyperlink>
    </w:p>
    <w:p>
      <w:pPr>
        <w:spacing w:after="0" w:line="211" w:lineRule="exact"/>
        <w:rPr>
          <w:sz w:val="20"/>
          <w:szCs w:val="20"/>
          <w:color w:val="auto"/>
        </w:rPr>
      </w:pPr>
    </w:p>
    <w:p>
      <w:pPr>
        <w:ind w:left="20"/>
        <w:spacing w:after="0"/>
        <w:rPr>
          <w:rFonts w:ascii="Arial" w:cs="Arial" w:eastAsia="Arial" w:hAnsi="Arial"/>
          <w:sz w:val="17"/>
          <w:szCs w:val="17"/>
          <w:u w:val="single" w:color="auto"/>
          <w:color w:val="0000FF"/>
        </w:rPr>
      </w:pPr>
      <w:hyperlink r:id="rId171">
        <w:r>
          <w:rPr>
            <w:rFonts w:ascii="Arial" w:cs="Arial" w:eastAsia="Arial" w:hAnsi="Arial"/>
            <w:sz w:val="17"/>
            <w:szCs w:val="17"/>
            <w:u w:val="single" w:color="auto"/>
            <w:color w:val="0000FF"/>
          </w:rPr>
          <w:t>3.3</w:t>
        </w:r>
      </w:hyperlink>
    </w:p>
    <w:p>
      <w:pPr>
        <w:spacing w:after="0" w:line="211" w:lineRule="exact"/>
        <w:rPr>
          <w:sz w:val="20"/>
          <w:szCs w:val="20"/>
          <w:color w:val="auto"/>
        </w:rPr>
      </w:pPr>
    </w:p>
    <w:p>
      <w:pPr>
        <w:ind w:left="20"/>
        <w:spacing w:after="0"/>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4.1</w:t>
        </w:r>
      </w:hyperlink>
    </w:p>
    <w:p>
      <w:pPr>
        <w:spacing w:after="0" w:line="382" w:lineRule="exact"/>
        <w:rPr>
          <w:sz w:val="20"/>
          <w:szCs w:val="20"/>
          <w:color w:val="auto"/>
        </w:rPr>
      </w:pPr>
    </w:p>
    <w:p>
      <w:pPr>
        <w:ind w:left="20"/>
        <w:spacing w:after="0"/>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4.2</w:t>
        </w:r>
      </w:hyperlink>
    </w:p>
    <w:p>
      <w:pPr>
        <w:spacing w:after="0" w:line="211" w:lineRule="exact"/>
        <w:rPr>
          <w:sz w:val="20"/>
          <w:szCs w:val="20"/>
          <w:color w:val="auto"/>
        </w:rPr>
      </w:pPr>
    </w:p>
    <w:p>
      <w:pPr>
        <w:ind w:left="20"/>
        <w:spacing w:after="0"/>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4.3</w:t>
        </w:r>
      </w:hyperlink>
    </w:p>
    <w:p>
      <w:pPr>
        <w:spacing w:after="0" w:line="211" w:lineRule="exact"/>
        <w:rPr>
          <w:sz w:val="20"/>
          <w:szCs w:val="20"/>
          <w:color w:val="auto"/>
        </w:rPr>
      </w:pPr>
    </w:p>
    <w:p>
      <w:pPr>
        <w:ind w:left="20"/>
        <w:spacing w:after="0"/>
        <w:rPr>
          <w:rFonts w:ascii="Arial" w:cs="Arial" w:eastAsia="Arial" w:hAnsi="Arial"/>
          <w:sz w:val="17"/>
          <w:szCs w:val="17"/>
          <w:u w:val="single" w:color="auto"/>
          <w:color w:val="0000FF"/>
        </w:rPr>
      </w:pPr>
      <w:hyperlink r:id="rId175">
        <w:r>
          <w:rPr>
            <w:rFonts w:ascii="Arial" w:cs="Arial" w:eastAsia="Arial" w:hAnsi="Arial"/>
            <w:sz w:val="17"/>
            <w:szCs w:val="17"/>
            <w:u w:val="single" w:color="auto"/>
            <w:color w:val="0000FF"/>
          </w:rPr>
          <w:t>4.4</w:t>
        </w:r>
      </w:hyperlink>
    </w:p>
    <w:p>
      <w:pPr>
        <w:spacing w:after="0" w:line="211" w:lineRule="exact"/>
        <w:rPr>
          <w:sz w:val="20"/>
          <w:szCs w:val="20"/>
          <w:color w:val="auto"/>
        </w:rPr>
      </w:pPr>
    </w:p>
    <w:p>
      <w:pPr>
        <w:ind w:left="20"/>
        <w:spacing w:after="0"/>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4.5</w:t>
        </w:r>
      </w:hyperlink>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620"/>
        <w:spacing w:after="0" w:line="227" w:lineRule="auto"/>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Amended and Restated Certificate of Incorporation of Praxis Precision Medicines, Inc. (incorporated by</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reference to Exhibit 3.1 to the Registrant's Current Report on Form 8-K (File No. 001-39620) filed on October</w:t>
        </w:r>
      </w:hyperlink>
    </w:p>
    <w:p>
      <w:pPr>
        <w:spacing w:after="0"/>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20, 2020)</w:t>
        </w:r>
      </w:hyperlink>
    </w:p>
    <w:p>
      <w:pPr>
        <w:spacing w:after="0" w:line="19" w:lineRule="exact"/>
        <w:rPr>
          <w:sz w:val="20"/>
          <w:szCs w:val="20"/>
          <w:color w:val="auto"/>
        </w:rPr>
      </w:pPr>
    </w:p>
    <w:p>
      <w:pPr>
        <w:jc w:val="both"/>
        <w:ind w:right="1480"/>
        <w:spacing w:after="0" w:line="243" w:lineRule="auto"/>
        <w:rPr>
          <w:rFonts w:ascii="Arial" w:cs="Arial" w:eastAsia="Arial" w:hAnsi="Arial"/>
          <w:sz w:val="17"/>
          <w:szCs w:val="17"/>
          <w:u w:val="single" w:color="auto"/>
          <w:color w:val="0000FF"/>
        </w:rPr>
      </w:pPr>
      <w:hyperlink r:id="rId170">
        <w:r>
          <w:rPr>
            <w:rFonts w:ascii="Arial" w:cs="Arial" w:eastAsia="Arial" w:hAnsi="Arial"/>
            <w:sz w:val="17"/>
            <w:szCs w:val="17"/>
            <w:u w:val="single" w:color="auto"/>
            <w:color w:val="0000FF"/>
          </w:rPr>
          <w:t>Certificate of Amendment to the Amended and Restated Certificate of Incorporation (incorporated by reference</w:t>
        </w:r>
      </w:hyperlink>
      <w:r>
        <w:rPr>
          <w:rFonts w:ascii="Arial" w:cs="Arial" w:eastAsia="Arial" w:hAnsi="Arial"/>
          <w:sz w:val="17"/>
          <w:szCs w:val="17"/>
          <w:u w:val="single" w:color="auto"/>
          <w:color w:val="0000FF"/>
        </w:rPr>
        <w:t xml:space="preserve"> </w:t>
      </w:r>
      <w:hyperlink r:id="rId170">
        <w:r>
          <w:rPr>
            <w:rFonts w:ascii="Arial" w:cs="Arial" w:eastAsia="Arial" w:hAnsi="Arial"/>
            <w:sz w:val="17"/>
            <w:szCs w:val="17"/>
            <w:u w:val="single" w:color="auto"/>
            <w:color w:val="0000FF"/>
          </w:rPr>
          <w:t>to Exhibit 3.1 to the Registrant’s Current Report on Form 8-K (File No. 001-39620) filed on December 1, 2023)</w:t>
        </w:r>
      </w:hyperlink>
    </w:p>
    <w:p>
      <w:pPr>
        <w:spacing w:after="0" w:line="3" w:lineRule="exact"/>
        <w:rPr>
          <w:sz w:val="20"/>
          <w:szCs w:val="20"/>
          <w:color w:val="auto"/>
        </w:rPr>
      </w:pPr>
    </w:p>
    <w:p>
      <w:pPr>
        <w:ind w:right="1520"/>
        <w:spacing w:after="0" w:line="249" w:lineRule="auto"/>
        <w:rPr>
          <w:rFonts w:ascii="Arial" w:cs="Arial" w:eastAsia="Arial" w:hAnsi="Arial"/>
          <w:sz w:val="17"/>
          <w:szCs w:val="17"/>
          <w:u w:val="single" w:color="auto"/>
          <w:color w:val="0000FF"/>
        </w:rPr>
      </w:pPr>
      <w:hyperlink r:id="rId171">
        <w:r>
          <w:rPr>
            <w:rFonts w:ascii="Arial" w:cs="Arial" w:eastAsia="Arial" w:hAnsi="Arial"/>
            <w:sz w:val="17"/>
            <w:szCs w:val="17"/>
            <w:u w:val="single" w:color="auto"/>
            <w:color w:val="0000FF"/>
          </w:rPr>
          <w:t>Amended and Restated Bylaws of Praxis Precision Medicines, Inc. (incorporated by reference to Exhibit 3.1 to</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the Registrant's Current Report on Form 8-K (File No. 001-39620) filed on January 7, 2022)</w:t>
        </w:r>
      </w:hyperlink>
    </w:p>
    <w:p>
      <w:pPr>
        <w:spacing w:after="0" w:line="1" w:lineRule="exact"/>
        <w:rPr>
          <w:sz w:val="20"/>
          <w:szCs w:val="20"/>
          <w:color w:val="auto"/>
        </w:rPr>
      </w:pPr>
    </w:p>
    <w:p>
      <w:pPr>
        <w:ind w:right="1540"/>
        <w:spacing w:after="0" w:line="249" w:lineRule="auto"/>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Specimen Stock Certificate Evidencing the Shares of Common Stock (incorporated by reference to Exhibit 4.1</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to the Registrant's Registration Statement on Form S-1/A (File No. 333-249074) filed on October 9, 2020)</w:t>
        </w:r>
      </w:hyperlink>
    </w:p>
    <w:p>
      <w:pPr>
        <w:spacing w:after="0" w:line="1" w:lineRule="exact"/>
        <w:rPr>
          <w:sz w:val="20"/>
          <w:szCs w:val="20"/>
          <w:color w:val="auto"/>
        </w:rPr>
      </w:pPr>
    </w:p>
    <w:p>
      <w:pPr>
        <w:ind w:right="1580"/>
        <w:spacing w:after="0" w:line="227" w:lineRule="auto"/>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Fourth Amended and Restated Investors’ Rights Agreement among Praxis Precision Medicines, Inc. and</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certain of its stockholders, effective as of July 24, 2020, as amended (incorporated by reference to Exhibit 4.2</w:t>
        </w:r>
      </w:hyperlink>
    </w:p>
    <w:p>
      <w:pPr>
        <w:spacing w:after="0"/>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to the Registrant's Registration Statement on Form S-3 (File No. 333-260726) filed on November 3, 2021)</w:t>
        </w:r>
      </w:hyperlink>
    </w:p>
    <w:p>
      <w:pPr>
        <w:spacing w:after="0" w:line="19" w:lineRule="exact"/>
        <w:rPr>
          <w:sz w:val="20"/>
          <w:szCs w:val="20"/>
          <w:color w:val="auto"/>
        </w:rPr>
      </w:pPr>
    </w:p>
    <w:p>
      <w:pPr>
        <w:ind w:right="1780"/>
        <w:spacing w:after="0" w:line="243" w:lineRule="auto"/>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Description of Securities of Praxis Precision Medicines, Inc. (incorporated by reference to Exhibit 4.3 to the</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Registrant's Annual Report on Form 10-K (File No. 001-39620) filed on February 28, 2022)</w:t>
        </w:r>
      </w:hyperlink>
    </w:p>
    <w:p>
      <w:pPr>
        <w:spacing w:after="0" w:line="3" w:lineRule="exact"/>
        <w:rPr>
          <w:sz w:val="20"/>
          <w:szCs w:val="20"/>
          <w:color w:val="auto"/>
        </w:rPr>
      </w:pPr>
    </w:p>
    <w:p>
      <w:pPr>
        <w:ind w:right="1780"/>
        <w:spacing w:after="0" w:line="249" w:lineRule="auto"/>
        <w:rPr>
          <w:rFonts w:ascii="Arial" w:cs="Arial" w:eastAsia="Arial" w:hAnsi="Arial"/>
          <w:sz w:val="17"/>
          <w:szCs w:val="17"/>
          <w:u w:val="single" w:color="auto"/>
          <w:color w:val="0000FF"/>
        </w:rPr>
      </w:pPr>
      <w:hyperlink r:id="rId175">
        <w:r>
          <w:rPr>
            <w:rFonts w:ascii="Arial" w:cs="Arial" w:eastAsia="Arial" w:hAnsi="Arial"/>
            <w:sz w:val="17"/>
            <w:szCs w:val="17"/>
            <w:u w:val="single" w:color="auto"/>
            <w:color w:val="0000FF"/>
          </w:rPr>
          <w:t>Form of Pre-funded Warrant (incorporated by reference to Exhibit 4.1 to the Registrant's Current Report on</w:t>
        </w:r>
      </w:hyperlink>
      <w:r>
        <w:rPr>
          <w:rFonts w:ascii="Arial" w:cs="Arial" w:eastAsia="Arial" w:hAnsi="Arial"/>
          <w:sz w:val="17"/>
          <w:szCs w:val="17"/>
          <w:u w:val="single" w:color="auto"/>
          <w:color w:val="0000FF"/>
        </w:rPr>
        <w:t xml:space="preserve"> </w:t>
      </w:r>
      <w:hyperlink r:id="rId175">
        <w:r>
          <w:rPr>
            <w:rFonts w:ascii="Arial" w:cs="Arial" w:eastAsia="Arial" w:hAnsi="Arial"/>
            <w:sz w:val="17"/>
            <w:szCs w:val="17"/>
            <w:u w:val="single" w:color="auto"/>
            <w:color w:val="0000FF"/>
          </w:rPr>
          <w:t>Form 8-K (File No. 001-39620) filed on January 12, 2024)</w:t>
        </w:r>
      </w:hyperlink>
    </w:p>
    <w:p>
      <w:pPr>
        <w:spacing w:after="0" w:line="1" w:lineRule="exact"/>
        <w:rPr>
          <w:sz w:val="20"/>
          <w:szCs w:val="20"/>
          <w:color w:val="auto"/>
        </w:rPr>
      </w:pPr>
    </w:p>
    <w:p>
      <w:pPr>
        <w:ind w:right="1780"/>
        <w:spacing w:after="0" w:line="251" w:lineRule="auto"/>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Form of Pre-funded Warrant (incorporated by reference to Exhibit 4.1 to the Registrant's Current Report on</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Form 8-K (File No. 001-39620) filed on March 29, 2024)</w:t>
        </w:r>
      </w:hyperlink>
    </w:p>
    <w:p>
      <w:pPr>
        <w:spacing w:after="0" w:line="1" w:lineRule="exact"/>
        <w:rPr>
          <w:sz w:val="20"/>
          <w:szCs w:val="20"/>
          <w:color w:val="auto"/>
        </w:rPr>
      </w:pPr>
    </w:p>
    <w:p>
      <w:pPr>
        <w:sectPr>
          <w:pgSz w:w="11900" w:h="16838" w:orient="portrait"/>
          <w:cols w:equalWidth="0" w:num="2">
            <w:col w:w="500" w:space="720"/>
            <w:col w:w="1002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360" w:type="dxa"/>
            <w:vAlign w:val="bottom"/>
            <w:gridSpan w:val="2"/>
            <w:vMerge w:val="restart"/>
          </w:tcPr>
          <w:p>
            <w:pPr>
              <w:ind w:left="20"/>
              <w:spacing w:after="0"/>
              <w:rPr>
                <w:rFonts w:ascii="Arial" w:cs="Arial" w:eastAsia="Arial" w:hAnsi="Arial"/>
                <w:sz w:val="17"/>
                <w:szCs w:val="17"/>
                <w:color w:val="0000FF"/>
                <w:w w:val="96"/>
              </w:rPr>
            </w:pPr>
            <w:hyperlink r:id="rId177">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1</w:t>
              </w:r>
            </w:hyperlink>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20" w:type="dxa"/>
            <w:vAlign w:val="bottom"/>
            <w:gridSpan w:val="19"/>
          </w:tcPr>
          <w:p>
            <w:pPr>
              <w:spacing w:after="0" w:line="185" w:lineRule="exact"/>
              <w:rPr>
                <w:rFonts w:ascii="Arial" w:cs="Arial" w:eastAsia="Arial" w:hAnsi="Arial"/>
                <w:sz w:val="17"/>
                <w:szCs w:val="17"/>
                <w:color w:val="0000FF"/>
              </w:rPr>
            </w:pPr>
            <w:hyperlink r:id="rId177">
              <w:r>
                <w:rPr>
                  <w:rFonts w:ascii="Arial" w:cs="Arial" w:eastAsia="Arial" w:hAnsi="Arial"/>
                  <w:sz w:val="17"/>
                  <w:szCs w:val="17"/>
                  <w:color w:val="0000FF"/>
                </w:rPr>
                <w:t>Form of Director Indemnification Agreement, as amended (incorporated by reference to Exhibit 10.1 to the</w:t>
              </w:r>
            </w:hyperlink>
          </w:p>
        </w:tc>
        <w:tc>
          <w:tcPr>
            <w:tcW w:w="0" w:type="dxa"/>
            <w:vAlign w:val="bottom"/>
          </w:tcPr>
          <w:p>
            <w:pPr>
              <w:spacing w:after="0"/>
              <w:rPr>
                <w:sz w:val="1"/>
                <w:szCs w:val="1"/>
                <w:color w:val="auto"/>
              </w:rPr>
            </w:pPr>
          </w:p>
        </w:tc>
      </w:tr>
      <w:tr>
        <w:trPr>
          <w:trHeight w:val="150"/>
        </w:trPr>
        <w:tc>
          <w:tcPr>
            <w:tcW w:w="3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180" w:type="dxa"/>
            <w:vAlign w:val="bottom"/>
            <w:tcBorders>
              <w:top w:val="single" w:sz="8" w:color="0000FF"/>
            </w:tcBorders>
            <w:gridSpan w:val="12"/>
          </w:tcPr>
          <w:p>
            <w:pPr>
              <w:spacing w:after="0" w:line="150" w:lineRule="exact"/>
              <w:rPr>
                <w:rFonts w:ascii="Arial" w:cs="Arial" w:eastAsia="Arial" w:hAnsi="Arial"/>
                <w:sz w:val="17"/>
                <w:szCs w:val="17"/>
                <w:color w:val="0000FF"/>
              </w:rPr>
            </w:pPr>
            <w:hyperlink r:id="rId177">
              <w:r>
                <w:rPr>
                  <w:rFonts w:ascii="Arial" w:cs="Arial" w:eastAsia="Arial" w:hAnsi="Arial"/>
                  <w:sz w:val="17"/>
                  <w:szCs w:val="17"/>
                  <w:color w:val="0000FF"/>
                </w:rPr>
                <w:t>Registrant's Registration Statement on Form S-1/A (File No. 333-249074) filed on October 9, 2020)</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20" w:type="dxa"/>
            <w:vAlign w:val="bottom"/>
            <w:gridSpan w:val="19"/>
          </w:tcPr>
          <w:p>
            <w:pPr>
              <w:spacing w:after="0"/>
              <w:rPr>
                <w:rFonts w:ascii="Arial" w:cs="Arial" w:eastAsia="Arial" w:hAnsi="Arial"/>
                <w:sz w:val="17"/>
                <w:szCs w:val="17"/>
                <w:color w:val="0000FF"/>
              </w:rPr>
            </w:pPr>
            <w:hyperlink r:id="rId178">
              <w:r>
                <w:rPr>
                  <w:rFonts w:ascii="Arial" w:cs="Arial" w:eastAsia="Arial" w:hAnsi="Arial"/>
                  <w:sz w:val="17"/>
                  <w:szCs w:val="17"/>
                  <w:color w:val="0000FF"/>
                </w:rPr>
                <w:t>Form of Officer Indemnification Agreement (incorporated by reference to Exhibit 10.2 to the Registrant's</w:t>
              </w:r>
            </w:hyperlink>
          </w:p>
        </w:tc>
        <w:tc>
          <w:tcPr>
            <w:tcW w:w="0" w:type="dxa"/>
            <w:vAlign w:val="bottom"/>
          </w:tcPr>
          <w:p>
            <w:pPr>
              <w:spacing w:after="0"/>
              <w:rPr>
                <w:sz w:val="1"/>
                <w:szCs w:val="1"/>
                <w:color w:val="auto"/>
              </w:rPr>
            </w:pPr>
          </w:p>
        </w:tc>
      </w:tr>
      <w:tr>
        <w:trPr>
          <w:trHeight w:val="150"/>
        </w:trPr>
        <w:tc>
          <w:tcPr>
            <w:tcW w:w="3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0" w:type="dxa"/>
            <w:vAlign w:val="bottom"/>
            <w:tcBorders>
              <w:top w:val="single" w:sz="8" w:color="0000FF"/>
            </w:tcBorders>
            <w:gridSpan w:val="10"/>
          </w:tcPr>
          <w:p>
            <w:pPr>
              <w:spacing w:after="0" w:line="138" w:lineRule="exact"/>
              <w:rPr>
                <w:rFonts w:ascii="Arial" w:cs="Arial" w:eastAsia="Arial" w:hAnsi="Arial"/>
                <w:sz w:val="15"/>
                <w:szCs w:val="15"/>
                <w:color w:val="0000FF"/>
              </w:rPr>
            </w:pPr>
            <w:hyperlink r:id="rId178">
              <w:r>
                <w:rPr>
                  <w:rFonts w:ascii="Arial" w:cs="Arial" w:eastAsia="Arial" w:hAnsi="Arial"/>
                  <w:sz w:val="15"/>
                  <w:szCs w:val="15"/>
                  <w:color w:val="0000FF"/>
                </w:rPr>
                <w:t>Registration Statement on Form S-1 (File No. 333-249074) filed on September 25, 2020)</w:t>
              </w:r>
            </w:hyperlink>
          </w:p>
        </w:tc>
        <w:tc>
          <w:tcPr>
            <w:tcW w:w="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20" w:type="dxa"/>
            <w:vAlign w:val="bottom"/>
            <w:gridSpan w:val="19"/>
          </w:tcPr>
          <w:p>
            <w:pPr>
              <w:spacing w:after="0"/>
              <w:rPr>
                <w:rFonts w:ascii="Arial" w:cs="Arial" w:eastAsia="Arial" w:hAnsi="Arial"/>
                <w:sz w:val="17"/>
                <w:szCs w:val="17"/>
                <w:color w:val="0000FF"/>
              </w:rPr>
            </w:pPr>
            <w:hyperlink r:id="rId179">
              <w:r>
                <w:rPr>
                  <w:rFonts w:ascii="Arial" w:cs="Arial" w:eastAsia="Arial" w:hAnsi="Arial"/>
                  <w:sz w:val="17"/>
                  <w:szCs w:val="17"/>
                  <w:color w:val="0000FF"/>
                </w:rPr>
                <w:t>Praxis Precision Medicines, Inc. 2017 Stock Incentive Plan, as amended, and form of award agreements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restart"/>
          </w:tcPr>
          <w:p>
            <w:pPr>
              <w:spacing w:after="0"/>
              <w:rPr>
                <w:sz w:val="13"/>
                <w:szCs w:val="13"/>
                <w:color w:val="auto"/>
              </w:rPr>
            </w:pPr>
          </w:p>
        </w:tc>
        <w:tc>
          <w:tcPr>
            <w:tcW w:w="440" w:type="dxa"/>
            <w:vAlign w:val="bottom"/>
            <w:gridSpan w:val="2"/>
            <w:vMerge w:val="restart"/>
          </w:tcPr>
          <w:p>
            <w:pPr>
              <w:spacing w:after="0"/>
              <w:rPr>
                <w:rFonts w:ascii="Arial" w:cs="Arial" w:eastAsia="Arial" w:hAnsi="Arial"/>
                <w:sz w:val="17"/>
                <w:szCs w:val="17"/>
                <w:color w:val="0000FF"/>
                <w:w w:val="98"/>
              </w:rPr>
            </w:pPr>
            <w:hyperlink r:id="rId179">
              <w:r>
                <w:rPr>
                  <w:rFonts w:ascii="Arial" w:cs="Arial" w:eastAsia="Arial" w:hAnsi="Arial"/>
                  <w:sz w:val="17"/>
                  <w:szCs w:val="17"/>
                  <w:color w:val="0000FF"/>
                  <w:w w:val="98"/>
                </w:rPr>
                <w:t>10.</w:t>
              </w:r>
              <w:r>
                <w:rPr>
                  <w:rFonts w:ascii="Arial" w:cs="Arial" w:eastAsia="Arial" w:hAnsi="Arial"/>
                  <w:sz w:val="17"/>
                  <w:szCs w:val="17"/>
                  <w:u w:val="single" w:color="auto"/>
                  <w:color w:val="0000FF"/>
                  <w:w w:val="98"/>
                </w:rPr>
                <w:t>3#</w:t>
              </w:r>
            </w:hyperlink>
          </w:p>
        </w:tc>
        <w:tc>
          <w:tcPr>
            <w:tcW w:w="760" w:type="dxa"/>
            <w:vAlign w:val="bottom"/>
            <w:vMerge w:val="restart"/>
          </w:tcPr>
          <w:p>
            <w:pPr>
              <w:spacing w:after="0"/>
              <w:rPr>
                <w:sz w:val="13"/>
                <w:szCs w:val="13"/>
                <w:color w:val="auto"/>
              </w:rPr>
            </w:pPr>
          </w:p>
        </w:tc>
        <w:tc>
          <w:tcPr>
            <w:tcW w:w="10020" w:type="dxa"/>
            <w:vAlign w:val="bottom"/>
            <w:gridSpan w:val="19"/>
          </w:tcPr>
          <w:p>
            <w:pPr>
              <w:spacing w:after="0" w:line="150" w:lineRule="exact"/>
              <w:rPr>
                <w:rFonts w:ascii="Arial" w:cs="Arial" w:eastAsia="Arial" w:hAnsi="Arial"/>
                <w:sz w:val="17"/>
                <w:szCs w:val="17"/>
                <w:color w:val="0000FF"/>
              </w:rPr>
            </w:pPr>
            <w:hyperlink r:id="rId179">
              <w:r>
                <w:rPr>
                  <w:rFonts w:ascii="Arial" w:cs="Arial" w:eastAsia="Arial" w:hAnsi="Arial"/>
                  <w:sz w:val="17"/>
                  <w:szCs w:val="17"/>
                  <w:color w:val="0000FF"/>
                </w:rPr>
                <w:t>thereunder (incorporated by reference to Exhibit 10.3 to the Registrant's Annual Report on Form 10-K (File No.</w:t>
              </w:r>
            </w:hyperlink>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540" w:type="dxa"/>
            <w:vAlign w:val="bottom"/>
            <w:tcBorders>
              <w:top w:val="single" w:sz="8" w:color="0000FF"/>
            </w:tcBorders>
            <w:gridSpan w:val="18"/>
          </w:tcPr>
          <w:p>
            <w:pPr>
              <w:spacing w:after="0" w:line="163" w:lineRule="exact"/>
              <w:rPr>
                <w:rFonts w:ascii="Arial" w:cs="Arial" w:eastAsia="Arial" w:hAnsi="Arial"/>
                <w:sz w:val="17"/>
                <w:szCs w:val="17"/>
                <w:color w:val="0000FF"/>
              </w:rPr>
            </w:pPr>
            <w:hyperlink r:id="rId179">
              <w:r>
                <w:rPr>
                  <w:rFonts w:ascii="Arial" w:cs="Arial" w:eastAsia="Arial" w:hAnsi="Arial"/>
                  <w:sz w:val="17"/>
                  <w:szCs w:val="17"/>
                  <w:color w:val="0000FF"/>
                </w:rPr>
                <w:t>001-39620) filed on March 17, 2021)</w:t>
              </w:r>
            </w:hyperlink>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520" w:type="dxa"/>
            <w:vAlign w:val="bottom"/>
            <w:tcBorders>
              <w:bottom w:val="single" w:sz="8" w:color="0000FF"/>
            </w:tcBorders>
            <w:gridSpan w:val="7"/>
          </w:tcPr>
          <w:p>
            <w:pPr>
              <w:spacing w:after="0"/>
              <w:rPr>
                <w:rFonts w:ascii="Arial" w:cs="Arial" w:eastAsia="Arial" w:hAnsi="Arial"/>
                <w:sz w:val="17"/>
                <w:szCs w:val="17"/>
                <w:color w:val="0000FF"/>
              </w:rPr>
            </w:pPr>
            <w:hyperlink r:id="rId180">
              <w:r>
                <w:rPr>
                  <w:rFonts w:ascii="Arial" w:cs="Arial" w:eastAsia="Arial" w:hAnsi="Arial"/>
                  <w:sz w:val="17"/>
                  <w:szCs w:val="17"/>
                  <w:color w:val="0000FF"/>
                </w:rPr>
                <w:t>Praxis Precision Medicines, Inc. 2020 Stock Option and Incentive Plan, as amended and restated</w:t>
              </w:r>
            </w:hyperlink>
          </w:p>
        </w:tc>
        <w:tc>
          <w:tcPr>
            <w:tcW w:w="2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0" w:type="dxa"/>
            <w:vAlign w:val="bottom"/>
            <w:gridSpan w:val="2"/>
            <w:vMerge w:val="restart"/>
          </w:tcPr>
          <w:p>
            <w:pPr>
              <w:spacing w:after="0"/>
              <w:rPr>
                <w:rFonts w:ascii="Arial" w:cs="Arial" w:eastAsia="Arial" w:hAnsi="Arial"/>
                <w:sz w:val="17"/>
                <w:szCs w:val="17"/>
                <w:color w:val="0000FF"/>
                <w:w w:val="98"/>
              </w:rPr>
            </w:pPr>
            <w:hyperlink r:id="rId180">
              <w:r>
                <w:rPr>
                  <w:rFonts w:ascii="Arial" w:cs="Arial" w:eastAsia="Arial" w:hAnsi="Arial"/>
                  <w:sz w:val="17"/>
                  <w:szCs w:val="17"/>
                  <w:color w:val="0000FF"/>
                  <w:w w:val="98"/>
                </w:rPr>
                <w:t>10.</w:t>
              </w:r>
              <w:r>
                <w:rPr>
                  <w:rFonts w:ascii="Arial" w:cs="Arial" w:eastAsia="Arial" w:hAnsi="Arial"/>
                  <w:sz w:val="17"/>
                  <w:szCs w:val="17"/>
                  <w:u w:val="single" w:color="auto"/>
                  <w:color w:val="0000FF"/>
                  <w:w w:val="98"/>
                </w:rPr>
                <w:t>4#</w:t>
              </w:r>
            </w:hyperlink>
          </w:p>
        </w:tc>
        <w:tc>
          <w:tcPr>
            <w:tcW w:w="760" w:type="dxa"/>
            <w:vAlign w:val="bottom"/>
            <w:vMerge w:val="restart"/>
          </w:tcPr>
          <w:p>
            <w:pPr>
              <w:spacing w:after="0"/>
              <w:rPr>
                <w:sz w:val="13"/>
                <w:szCs w:val="13"/>
                <w:color w:val="auto"/>
              </w:rPr>
            </w:pPr>
          </w:p>
        </w:tc>
        <w:tc>
          <w:tcPr>
            <w:tcW w:w="10020" w:type="dxa"/>
            <w:vAlign w:val="bottom"/>
            <w:gridSpan w:val="19"/>
          </w:tcPr>
          <w:p>
            <w:pPr>
              <w:spacing w:after="0" w:line="150" w:lineRule="exact"/>
              <w:rPr>
                <w:rFonts w:ascii="Arial" w:cs="Arial" w:eastAsia="Arial" w:hAnsi="Arial"/>
                <w:sz w:val="17"/>
                <w:szCs w:val="17"/>
                <w:color w:val="0000FF"/>
              </w:rPr>
            </w:pPr>
            <w:hyperlink r:id="rId180">
              <w:r>
                <w:rPr>
                  <w:rFonts w:ascii="Arial" w:cs="Arial" w:eastAsia="Arial" w:hAnsi="Arial"/>
                  <w:sz w:val="17"/>
                  <w:szCs w:val="17"/>
                  <w:color w:val="0000FF"/>
                </w:rPr>
                <w:t>(incorporated by reference to Exhibit 10.1 to the Registrant's Current Report on Form 8-K (File No. 001-39620)</w:t>
              </w:r>
            </w:hyperlink>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0" w:type="dxa"/>
            <w:vAlign w:val="bottom"/>
            <w:tcBorders>
              <w:bottom w:val="single" w:sz="8" w:color="0000FF"/>
            </w:tcBorders>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8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rPr>
            </w:pPr>
            <w:hyperlink r:id="rId180">
              <w:r>
                <w:rPr>
                  <w:rFonts w:ascii="Arial" w:cs="Arial" w:eastAsia="Arial" w:hAnsi="Arial"/>
                  <w:sz w:val="17"/>
                  <w:szCs w:val="17"/>
                  <w:color w:val="0000FF"/>
                </w:rPr>
                <w:t>filed on June 6, 2024)</w:t>
              </w:r>
            </w:hyperlink>
          </w:p>
        </w:tc>
        <w:tc>
          <w:tcPr>
            <w:tcW w:w="3020" w:type="dxa"/>
            <w:vAlign w:val="bottom"/>
            <w:tcBorders>
              <w:top w:val="single" w:sz="8" w:color="0000FF"/>
            </w:tcBorders>
            <w:gridSpan w:val="3"/>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gridSpan w:val="2"/>
          </w:tcPr>
          <w:p>
            <w:pPr>
              <w:spacing w:after="0"/>
              <w:rPr>
                <w:sz w:val="14"/>
                <w:szCs w:val="14"/>
                <w:color w:val="auto"/>
              </w:rPr>
            </w:pPr>
          </w:p>
        </w:tc>
        <w:tc>
          <w:tcPr>
            <w:tcW w:w="360" w:type="dxa"/>
            <w:vAlign w:val="bottom"/>
            <w:tcBorders>
              <w:top w:val="single" w:sz="8" w:color="0000FF"/>
            </w:tcBorders>
            <w:gridSpan w:val="4"/>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5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20" w:type="dxa"/>
            <w:vAlign w:val="bottom"/>
            <w:gridSpan w:val="19"/>
          </w:tcPr>
          <w:p>
            <w:pPr>
              <w:spacing w:after="0"/>
              <w:rPr>
                <w:rFonts w:ascii="Arial" w:cs="Arial" w:eastAsia="Arial" w:hAnsi="Arial"/>
                <w:sz w:val="17"/>
                <w:szCs w:val="17"/>
                <w:color w:val="0000FF"/>
              </w:rPr>
            </w:pPr>
            <w:hyperlink r:id="rId181">
              <w:r>
                <w:rPr>
                  <w:rFonts w:ascii="Arial" w:cs="Arial" w:eastAsia="Arial" w:hAnsi="Arial"/>
                  <w:sz w:val="17"/>
                  <w:szCs w:val="17"/>
                  <w:color w:val="0000FF"/>
                </w:rPr>
                <w:t>Form of Incentive Stock Option Agreement under the 2020 Stock Option and Incentive Plan, as amended and</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0" w:type="dxa"/>
            <w:vAlign w:val="bottom"/>
            <w:gridSpan w:val="2"/>
            <w:vMerge w:val="restart"/>
          </w:tcPr>
          <w:p>
            <w:pPr>
              <w:spacing w:after="0"/>
              <w:rPr>
                <w:rFonts w:ascii="Arial" w:cs="Arial" w:eastAsia="Arial" w:hAnsi="Arial"/>
                <w:sz w:val="17"/>
                <w:szCs w:val="17"/>
                <w:color w:val="0000FF"/>
                <w:w w:val="98"/>
              </w:rPr>
            </w:pPr>
            <w:hyperlink r:id="rId181">
              <w:r>
                <w:rPr>
                  <w:rFonts w:ascii="Arial" w:cs="Arial" w:eastAsia="Arial" w:hAnsi="Arial"/>
                  <w:sz w:val="17"/>
                  <w:szCs w:val="17"/>
                  <w:color w:val="0000FF"/>
                  <w:w w:val="98"/>
                </w:rPr>
                <w:t>10.</w:t>
              </w:r>
              <w:r>
                <w:rPr>
                  <w:rFonts w:ascii="Arial" w:cs="Arial" w:eastAsia="Arial" w:hAnsi="Arial"/>
                  <w:sz w:val="17"/>
                  <w:szCs w:val="17"/>
                  <w:u w:val="single" w:color="auto"/>
                  <w:color w:val="0000FF"/>
                  <w:w w:val="98"/>
                </w:rPr>
                <w:t>5#</w:t>
              </w:r>
            </w:hyperlink>
          </w:p>
        </w:tc>
        <w:tc>
          <w:tcPr>
            <w:tcW w:w="760" w:type="dxa"/>
            <w:vAlign w:val="bottom"/>
            <w:vMerge w:val="restart"/>
          </w:tcPr>
          <w:p>
            <w:pPr>
              <w:spacing w:after="0"/>
              <w:rPr>
                <w:sz w:val="13"/>
                <w:szCs w:val="13"/>
                <w:color w:val="auto"/>
              </w:rPr>
            </w:pPr>
          </w:p>
        </w:tc>
        <w:tc>
          <w:tcPr>
            <w:tcW w:w="8460" w:type="dxa"/>
            <w:vAlign w:val="bottom"/>
            <w:tcBorders>
              <w:top w:val="single" w:sz="8" w:color="0000FF"/>
            </w:tcBorders>
            <w:gridSpan w:val="15"/>
          </w:tcPr>
          <w:p>
            <w:pPr>
              <w:spacing w:after="0" w:line="150" w:lineRule="exact"/>
              <w:rPr>
                <w:rFonts w:ascii="Arial" w:cs="Arial" w:eastAsia="Arial" w:hAnsi="Arial"/>
                <w:sz w:val="17"/>
                <w:szCs w:val="17"/>
                <w:color w:val="0000FF"/>
              </w:rPr>
            </w:pPr>
            <w:hyperlink r:id="rId181">
              <w:r>
                <w:rPr>
                  <w:rFonts w:ascii="Arial" w:cs="Arial" w:eastAsia="Arial" w:hAnsi="Arial"/>
                  <w:sz w:val="17"/>
                  <w:szCs w:val="17"/>
                  <w:color w:val="0000FF"/>
                </w:rPr>
                <w:t>restated (incorporated by reference to Exhibit 10.5 to the Registrant's Registration Statement on Form S-1/A</w:t>
              </w:r>
            </w:hyperlink>
          </w:p>
        </w:tc>
        <w:tc>
          <w:tcPr>
            <w:tcW w:w="20" w:type="dxa"/>
            <w:vAlign w:val="bottom"/>
          </w:tcPr>
          <w:p>
            <w:pPr>
              <w:spacing w:after="0"/>
              <w:rPr>
                <w:sz w:val="13"/>
                <w:szCs w:val="13"/>
                <w:color w:val="auto"/>
              </w:rPr>
            </w:pPr>
          </w:p>
        </w:tc>
        <w:tc>
          <w:tcPr>
            <w:tcW w:w="1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340" w:type="dxa"/>
            <w:vAlign w:val="bottom"/>
            <w:tcBorders>
              <w:top w:val="single" w:sz="8" w:color="0000FF"/>
            </w:tcBorders>
            <w:gridSpan w:val="14"/>
          </w:tcPr>
          <w:p>
            <w:pPr>
              <w:spacing w:after="0" w:line="163" w:lineRule="exact"/>
              <w:rPr>
                <w:rFonts w:ascii="Arial" w:cs="Arial" w:eastAsia="Arial" w:hAnsi="Arial"/>
                <w:sz w:val="17"/>
                <w:szCs w:val="17"/>
                <w:color w:val="0000FF"/>
              </w:rPr>
            </w:pPr>
            <w:hyperlink r:id="rId181">
              <w:r>
                <w:rPr>
                  <w:rFonts w:ascii="Arial" w:cs="Arial" w:eastAsia="Arial" w:hAnsi="Arial"/>
                  <w:sz w:val="17"/>
                  <w:szCs w:val="17"/>
                  <w:color w:val="0000FF"/>
                </w:rPr>
                <w:t>(File No. 333-249074) filed on October 9, 2020)</w:t>
              </w:r>
            </w:hyperlink>
          </w:p>
        </w:tc>
        <w:tc>
          <w:tcPr>
            <w:tcW w:w="140" w:type="dxa"/>
            <w:vAlign w:val="bottom"/>
            <w:gridSpan w:val="2"/>
          </w:tcPr>
          <w:p>
            <w:pPr>
              <w:spacing w:after="0"/>
              <w:rPr>
                <w:sz w:val="14"/>
                <w:szCs w:val="14"/>
                <w:color w:val="auto"/>
              </w:rPr>
            </w:pPr>
          </w:p>
        </w:tc>
        <w:tc>
          <w:tcPr>
            <w:tcW w:w="15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20" w:type="dxa"/>
            <w:vAlign w:val="bottom"/>
            <w:gridSpan w:val="19"/>
          </w:tcPr>
          <w:p>
            <w:pPr>
              <w:spacing w:after="0"/>
              <w:rPr>
                <w:rFonts w:ascii="Arial" w:cs="Arial" w:eastAsia="Arial" w:hAnsi="Arial"/>
                <w:sz w:val="17"/>
                <w:szCs w:val="17"/>
                <w:color w:val="0000FF"/>
              </w:rPr>
            </w:pPr>
            <w:hyperlink r:id="rId182">
              <w:r>
                <w:rPr>
                  <w:rFonts w:ascii="Arial" w:cs="Arial" w:eastAsia="Arial" w:hAnsi="Arial"/>
                  <w:sz w:val="17"/>
                  <w:szCs w:val="17"/>
                  <w:color w:val="0000FF"/>
                </w:rPr>
                <w:t>Form of Non-Qualified Stock Option Agreement for Company Employees under the 2020 Stock Option and</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0" w:type="dxa"/>
            <w:vAlign w:val="bottom"/>
            <w:gridSpan w:val="2"/>
            <w:vMerge w:val="restart"/>
          </w:tcPr>
          <w:p>
            <w:pPr>
              <w:spacing w:after="0"/>
              <w:rPr>
                <w:rFonts w:ascii="Arial" w:cs="Arial" w:eastAsia="Arial" w:hAnsi="Arial"/>
                <w:sz w:val="17"/>
                <w:szCs w:val="17"/>
                <w:color w:val="0000FF"/>
                <w:w w:val="98"/>
              </w:rPr>
            </w:pPr>
            <w:hyperlink r:id="rId182">
              <w:r>
                <w:rPr>
                  <w:rFonts w:ascii="Arial" w:cs="Arial" w:eastAsia="Arial" w:hAnsi="Arial"/>
                  <w:sz w:val="17"/>
                  <w:szCs w:val="17"/>
                  <w:color w:val="0000FF"/>
                  <w:w w:val="98"/>
                </w:rPr>
                <w:t>10.</w:t>
              </w:r>
              <w:r>
                <w:rPr>
                  <w:rFonts w:ascii="Arial" w:cs="Arial" w:eastAsia="Arial" w:hAnsi="Arial"/>
                  <w:sz w:val="17"/>
                  <w:szCs w:val="17"/>
                  <w:u w:val="single" w:color="auto"/>
                  <w:color w:val="0000FF"/>
                  <w:w w:val="98"/>
                </w:rPr>
                <w:t>6#</w:t>
              </w:r>
            </w:hyperlink>
          </w:p>
        </w:tc>
        <w:tc>
          <w:tcPr>
            <w:tcW w:w="760" w:type="dxa"/>
            <w:vAlign w:val="bottom"/>
            <w:vMerge w:val="restart"/>
          </w:tcPr>
          <w:p>
            <w:pPr>
              <w:spacing w:after="0"/>
              <w:rPr>
                <w:sz w:val="13"/>
                <w:szCs w:val="13"/>
                <w:color w:val="auto"/>
              </w:rPr>
            </w:pPr>
          </w:p>
        </w:tc>
        <w:tc>
          <w:tcPr>
            <w:tcW w:w="8240" w:type="dxa"/>
            <w:vAlign w:val="bottom"/>
            <w:tcBorders>
              <w:top w:val="single" w:sz="8" w:color="0000FF"/>
            </w:tcBorders>
            <w:gridSpan w:val="13"/>
          </w:tcPr>
          <w:p>
            <w:pPr>
              <w:spacing w:after="0" w:line="150" w:lineRule="exact"/>
              <w:rPr>
                <w:rFonts w:ascii="Arial" w:cs="Arial" w:eastAsia="Arial" w:hAnsi="Arial"/>
                <w:sz w:val="17"/>
                <w:szCs w:val="17"/>
                <w:color w:val="0000FF"/>
              </w:rPr>
            </w:pPr>
            <w:hyperlink r:id="rId182">
              <w:r>
                <w:rPr>
                  <w:rFonts w:ascii="Arial" w:cs="Arial" w:eastAsia="Arial" w:hAnsi="Arial"/>
                  <w:sz w:val="17"/>
                  <w:szCs w:val="17"/>
                  <w:color w:val="0000FF"/>
                </w:rPr>
                <w:t>Incentive Plan, as amended and restated (incorporated by reference to Exhibit 10.6 to the Registrant's</w:t>
              </w:r>
            </w:hyperlink>
          </w:p>
        </w:tc>
        <w:tc>
          <w:tcPr>
            <w:tcW w:w="240" w:type="dxa"/>
            <w:vAlign w:val="bottom"/>
            <w:gridSpan w:val="3"/>
          </w:tcPr>
          <w:p>
            <w:pPr>
              <w:spacing w:after="0"/>
              <w:rPr>
                <w:sz w:val="13"/>
                <w:szCs w:val="13"/>
                <w:color w:val="auto"/>
              </w:rPr>
            </w:pPr>
          </w:p>
        </w:tc>
        <w:tc>
          <w:tcPr>
            <w:tcW w:w="1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0" w:type="dxa"/>
            <w:vAlign w:val="bottom"/>
            <w:tcBorders>
              <w:bottom w:val="single" w:sz="8" w:color="0000FF"/>
            </w:tcBorders>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680" w:type="dxa"/>
            <w:vAlign w:val="bottom"/>
            <w:tcBorders>
              <w:top w:val="single" w:sz="8" w:color="0000FF"/>
              <w:bottom w:val="single" w:sz="8" w:color="0000FF"/>
            </w:tcBorders>
            <w:gridSpan w:val="5"/>
          </w:tcPr>
          <w:p>
            <w:pPr>
              <w:spacing w:after="0" w:line="163" w:lineRule="exact"/>
              <w:rPr>
                <w:rFonts w:ascii="Arial" w:cs="Arial" w:eastAsia="Arial" w:hAnsi="Arial"/>
                <w:sz w:val="17"/>
                <w:szCs w:val="17"/>
                <w:color w:val="0000FF"/>
              </w:rPr>
            </w:pPr>
            <w:hyperlink r:id="rId182">
              <w:r>
                <w:rPr>
                  <w:rFonts w:ascii="Arial" w:cs="Arial" w:eastAsia="Arial" w:hAnsi="Arial"/>
                  <w:sz w:val="17"/>
                  <w:szCs w:val="17"/>
                  <w:color w:val="0000FF"/>
                </w:rPr>
                <w:t>Registration Statement on Form S-1/A (File No. 333-249074) filed on October 9, 2020)</w:t>
              </w:r>
            </w:hyperlink>
          </w:p>
        </w:tc>
        <w:tc>
          <w:tcPr>
            <w:tcW w:w="1200" w:type="dxa"/>
            <w:vAlign w:val="bottom"/>
            <w:tcBorders>
              <w:top w:val="single" w:sz="8" w:color="0000FF"/>
            </w:tcBorders>
            <w:gridSpan w:val="4"/>
          </w:tcPr>
          <w:p>
            <w:pPr>
              <w:spacing w:after="0"/>
              <w:rPr>
                <w:sz w:val="14"/>
                <w:szCs w:val="14"/>
                <w:color w:val="auto"/>
              </w:rPr>
            </w:pPr>
          </w:p>
        </w:tc>
        <w:tc>
          <w:tcPr>
            <w:tcW w:w="600" w:type="dxa"/>
            <w:vAlign w:val="bottom"/>
            <w:gridSpan w:val="7"/>
          </w:tcPr>
          <w:p>
            <w:pPr>
              <w:spacing w:after="0"/>
              <w:rPr>
                <w:sz w:val="14"/>
                <w:szCs w:val="14"/>
                <w:color w:val="auto"/>
              </w:rPr>
            </w:pPr>
          </w:p>
        </w:tc>
        <w:tc>
          <w:tcPr>
            <w:tcW w:w="15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20" w:type="dxa"/>
            <w:vAlign w:val="bottom"/>
            <w:gridSpan w:val="19"/>
          </w:tcPr>
          <w:p>
            <w:pPr>
              <w:spacing w:after="0"/>
              <w:rPr>
                <w:rFonts w:ascii="Arial" w:cs="Arial" w:eastAsia="Arial" w:hAnsi="Arial"/>
                <w:sz w:val="17"/>
                <w:szCs w:val="17"/>
                <w:color w:val="0000FF"/>
              </w:rPr>
            </w:pPr>
            <w:hyperlink r:id="rId183">
              <w:r>
                <w:rPr>
                  <w:rFonts w:ascii="Arial" w:cs="Arial" w:eastAsia="Arial" w:hAnsi="Arial"/>
                  <w:sz w:val="17"/>
                  <w:szCs w:val="17"/>
                  <w:color w:val="0000FF"/>
                </w:rPr>
                <w:t>Form of Non-Qualified Stock Option Agreement for Non-Employee Directors under the 2020 Stock Option and</w:t>
              </w:r>
            </w:hyperlink>
          </w:p>
        </w:tc>
        <w:tc>
          <w:tcPr>
            <w:tcW w:w="0" w:type="dxa"/>
            <w:vAlign w:val="bottom"/>
          </w:tcPr>
          <w:p>
            <w:pPr>
              <w:spacing w:after="0"/>
              <w:rPr>
                <w:sz w:val="1"/>
                <w:szCs w:val="1"/>
                <w:color w:val="auto"/>
              </w:rPr>
            </w:pPr>
          </w:p>
        </w:tc>
      </w:tr>
      <w:tr>
        <w:trPr>
          <w:trHeight w:val="150"/>
        </w:trPr>
        <w:tc>
          <w:tcPr>
            <w:tcW w:w="1220" w:type="dxa"/>
            <w:vAlign w:val="bottom"/>
            <w:gridSpan w:val="4"/>
            <w:vMerge w:val="restart"/>
          </w:tcPr>
          <w:p>
            <w:pPr>
              <w:ind w:left="20"/>
              <w:spacing w:after="0"/>
              <w:rPr>
                <w:rFonts w:ascii="Arial" w:cs="Arial" w:eastAsia="Arial" w:hAnsi="Arial"/>
                <w:sz w:val="17"/>
                <w:szCs w:val="17"/>
                <w:color w:val="0000FF"/>
              </w:rPr>
            </w:pPr>
            <w:hyperlink r:id="rId183">
              <w:r>
                <w:rPr>
                  <w:rFonts w:ascii="Arial" w:cs="Arial" w:eastAsia="Arial" w:hAnsi="Arial"/>
                  <w:sz w:val="17"/>
                  <w:szCs w:val="17"/>
                  <w:color w:val="0000FF"/>
                </w:rPr>
                <w:t>10.</w:t>
              </w:r>
              <w:r>
                <w:rPr>
                  <w:rFonts w:ascii="Arial" w:cs="Arial" w:eastAsia="Arial" w:hAnsi="Arial"/>
                  <w:sz w:val="17"/>
                  <w:szCs w:val="17"/>
                  <w:u w:val="single" w:color="auto"/>
                  <w:color w:val="0000FF"/>
                </w:rPr>
                <w:t>7#</w:t>
              </w:r>
            </w:hyperlink>
          </w:p>
        </w:tc>
        <w:tc>
          <w:tcPr>
            <w:tcW w:w="8480" w:type="dxa"/>
            <w:vAlign w:val="bottom"/>
            <w:tcBorders>
              <w:top w:val="single" w:sz="8" w:color="0000FF"/>
            </w:tcBorders>
            <w:gridSpan w:val="16"/>
          </w:tcPr>
          <w:p>
            <w:pPr>
              <w:spacing w:after="0" w:line="150" w:lineRule="exact"/>
              <w:rPr>
                <w:rFonts w:ascii="Arial" w:cs="Arial" w:eastAsia="Arial" w:hAnsi="Arial"/>
                <w:sz w:val="17"/>
                <w:szCs w:val="17"/>
                <w:color w:val="0000FF"/>
              </w:rPr>
            </w:pPr>
            <w:hyperlink r:id="rId183">
              <w:r>
                <w:rPr>
                  <w:rFonts w:ascii="Arial" w:cs="Arial" w:eastAsia="Arial" w:hAnsi="Arial"/>
                  <w:sz w:val="17"/>
                  <w:szCs w:val="17"/>
                  <w:color w:val="0000FF"/>
                </w:rPr>
                <w:t>Incentive Plan, as amended and restated (incorporated by reference to Exhibit 10.7 to the Registrant's</w:t>
              </w:r>
            </w:hyperlink>
          </w:p>
        </w:tc>
        <w:tc>
          <w:tcPr>
            <w:tcW w:w="1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20" w:type="dxa"/>
            <w:vAlign w:val="bottom"/>
            <w:gridSpan w:val="4"/>
            <w:vMerge w:val="continue"/>
          </w:tcPr>
          <w:p>
            <w:pPr>
              <w:spacing w:after="0"/>
              <w:rPr>
                <w:sz w:val="15"/>
                <w:szCs w:val="15"/>
                <w:color w:val="auto"/>
              </w:rPr>
            </w:pPr>
          </w:p>
        </w:tc>
        <w:tc>
          <w:tcPr>
            <w:tcW w:w="7880" w:type="dxa"/>
            <w:vAlign w:val="bottom"/>
            <w:tcBorders>
              <w:top w:val="single" w:sz="8" w:color="0000FF"/>
            </w:tcBorders>
            <w:gridSpan w:val="9"/>
          </w:tcPr>
          <w:p>
            <w:pPr>
              <w:spacing w:after="0" w:line="163" w:lineRule="exact"/>
              <w:rPr>
                <w:rFonts w:ascii="Arial" w:cs="Arial" w:eastAsia="Arial" w:hAnsi="Arial"/>
                <w:sz w:val="17"/>
                <w:szCs w:val="17"/>
                <w:color w:val="0000FF"/>
              </w:rPr>
            </w:pPr>
            <w:hyperlink r:id="rId183">
              <w:r>
                <w:rPr>
                  <w:rFonts w:ascii="Arial" w:cs="Arial" w:eastAsia="Arial" w:hAnsi="Arial"/>
                  <w:sz w:val="17"/>
                  <w:szCs w:val="17"/>
                  <w:color w:val="0000FF"/>
                </w:rPr>
                <w:t>Registration Statement on Form S-1/A (File No. 333-249074) filed on October 9, 2020)</w:t>
              </w:r>
            </w:hyperlink>
          </w:p>
        </w:tc>
        <w:tc>
          <w:tcPr>
            <w:tcW w:w="21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842"/>
        </w:trPr>
        <w:tc>
          <w:tcPr>
            <w:tcW w:w="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tcBorders>
              <w:top w:val="single" w:sz="8" w:color="0000FF"/>
            </w:tcBorders>
            <w:gridSpan w:val="4"/>
          </w:tcPr>
          <w:p>
            <w:pPr>
              <w:ind w:left="4260"/>
              <w:spacing w:after="0"/>
              <w:rPr>
                <w:sz w:val="20"/>
                <w:szCs w:val="20"/>
                <w:color w:val="auto"/>
              </w:rPr>
            </w:pPr>
            <w:r>
              <w:rPr>
                <w:rFonts w:ascii="Arial" w:cs="Arial" w:eastAsia="Arial" w:hAnsi="Arial"/>
                <w:sz w:val="17"/>
                <w:szCs w:val="17"/>
                <w:color w:val="auto"/>
              </w:rPr>
              <w:t>142</w:t>
            </w:r>
          </w:p>
        </w:tc>
        <w:tc>
          <w:tcPr>
            <w:tcW w:w="19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20" w:type="dxa"/>
            <w:vAlign w:val="bottom"/>
            <w:gridSpan w:val="48"/>
          </w:tcPr>
          <w:p>
            <w:pPr>
              <w:spacing w:after="0"/>
              <w:rPr>
                <w:rFonts w:ascii="Arial" w:cs="Arial" w:eastAsia="Arial" w:hAnsi="Arial"/>
                <w:sz w:val="17"/>
                <w:szCs w:val="17"/>
                <w:color w:val="0000FF"/>
              </w:rPr>
            </w:pPr>
            <w:hyperlink r:id="rId186">
              <w:r>
                <w:rPr>
                  <w:rFonts w:ascii="Arial" w:cs="Arial" w:eastAsia="Arial" w:hAnsi="Arial"/>
                  <w:sz w:val="17"/>
                  <w:szCs w:val="17"/>
                  <w:color w:val="0000FF"/>
                </w:rPr>
                <w:t>Form of Restricted Stock Award Agreement under the 2020 Stock Option and Incentive Plan, as amended and</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0" w:type="dxa"/>
            <w:vAlign w:val="bottom"/>
            <w:gridSpan w:val="2"/>
            <w:vMerge w:val="restart"/>
          </w:tcPr>
          <w:p>
            <w:pPr>
              <w:spacing w:after="0"/>
              <w:rPr>
                <w:rFonts w:ascii="Arial" w:cs="Arial" w:eastAsia="Arial" w:hAnsi="Arial"/>
                <w:sz w:val="17"/>
                <w:szCs w:val="17"/>
                <w:color w:val="0000FF"/>
                <w:w w:val="93"/>
              </w:rPr>
            </w:pPr>
            <w:hyperlink r:id="rId186">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8#</w:t>
              </w:r>
            </w:hyperlink>
          </w:p>
        </w:tc>
        <w:tc>
          <w:tcPr>
            <w:tcW w:w="80" w:type="dxa"/>
            <w:vAlign w:val="bottom"/>
            <w:vMerge w:val="restart"/>
          </w:tcPr>
          <w:p>
            <w:pPr>
              <w:spacing w:after="0"/>
              <w:rPr>
                <w:sz w:val="13"/>
                <w:szCs w:val="13"/>
                <w:color w:val="auto"/>
              </w:rPr>
            </w:pPr>
          </w:p>
        </w:tc>
        <w:tc>
          <w:tcPr>
            <w:tcW w:w="680" w:type="dxa"/>
            <w:vAlign w:val="bottom"/>
          </w:tcPr>
          <w:p>
            <w:pPr>
              <w:spacing w:after="0"/>
              <w:rPr>
                <w:sz w:val="13"/>
                <w:szCs w:val="13"/>
                <w:color w:val="auto"/>
              </w:rPr>
            </w:pPr>
          </w:p>
        </w:tc>
        <w:tc>
          <w:tcPr>
            <w:tcW w:w="8520" w:type="dxa"/>
            <w:vAlign w:val="bottom"/>
            <w:tcBorders>
              <w:top w:val="single" w:sz="8" w:color="0000FF"/>
            </w:tcBorders>
            <w:gridSpan w:val="39"/>
          </w:tcPr>
          <w:p>
            <w:pPr>
              <w:spacing w:after="0" w:line="150" w:lineRule="exact"/>
              <w:rPr>
                <w:rFonts w:ascii="Arial" w:cs="Arial" w:eastAsia="Arial" w:hAnsi="Arial"/>
                <w:sz w:val="17"/>
                <w:szCs w:val="17"/>
                <w:color w:val="0000FF"/>
              </w:rPr>
            </w:pPr>
            <w:hyperlink r:id="rId186">
              <w:r>
                <w:rPr>
                  <w:rFonts w:ascii="Arial" w:cs="Arial" w:eastAsia="Arial" w:hAnsi="Arial"/>
                  <w:sz w:val="17"/>
                  <w:szCs w:val="17"/>
                  <w:color w:val="0000FF"/>
                </w:rPr>
                <w:t>restated (incorporated by reference to Exhibit 10.8 to the Registrant's Registration Statement on Form S-1/A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340" w:type="dxa"/>
            <w:vAlign w:val="bottom"/>
            <w:tcBorders>
              <w:top w:val="single" w:sz="8" w:color="0000FF"/>
            </w:tcBorders>
            <w:gridSpan w:val="34"/>
          </w:tcPr>
          <w:p>
            <w:pPr>
              <w:spacing w:after="0" w:line="163" w:lineRule="exact"/>
              <w:rPr>
                <w:rFonts w:ascii="Arial" w:cs="Arial" w:eastAsia="Arial" w:hAnsi="Arial"/>
                <w:sz w:val="17"/>
                <w:szCs w:val="17"/>
                <w:color w:val="0000FF"/>
              </w:rPr>
            </w:pPr>
            <w:hyperlink r:id="rId186">
              <w:r>
                <w:rPr>
                  <w:rFonts w:ascii="Arial" w:cs="Arial" w:eastAsia="Arial" w:hAnsi="Arial"/>
                  <w:sz w:val="17"/>
                  <w:szCs w:val="17"/>
                  <w:color w:val="0000FF"/>
                </w:rPr>
                <w:t>(File No. 333-249074) filed on October 9,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rFonts w:ascii="Arial" w:cs="Arial" w:eastAsia="Arial" w:hAnsi="Arial"/>
                <w:sz w:val="17"/>
                <w:szCs w:val="17"/>
                <w:color w:val="0000FF"/>
              </w:rPr>
            </w:pPr>
            <w:hyperlink r:id="rId187">
              <w:r>
                <w:rPr>
                  <w:rFonts w:ascii="Arial" w:cs="Arial" w:eastAsia="Arial" w:hAnsi="Arial"/>
                  <w:sz w:val="17"/>
                  <w:szCs w:val="17"/>
                  <w:color w:val="0000FF"/>
                </w:rPr>
                <w:t>Form of Restricted Stock Unit Award Agreement for Company Employees under the 2020 Stock Option and</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0" w:type="dxa"/>
            <w:vAlign w:val="bottom"/>
            <w:gridSpan w:val="2"/>
            <w:vMerge w:val="restart"/>
          </w:tcPr>
          <w:p>
            <w:pPr>
              <w:spacing w:after="0"/>
              <w:rPr>
                <w:rFonts w:ascii="Arial" w:cs="Arial" w:eastAsia="Arial" w:hAnsi="Arial"/>
                <w:sz w:val="17"/>
                <w:szCs w:val="17"/>
                <w:color w:val="0000FF"/>
                <w:w w:val="93"/>
              </w:rPr>
            </w:pPr>
            <w:hyperlink r:id="rId187">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9#</w:t>
              </w:r>
            </w:hyperlink>
          </w:p>
        </w:tc>
        <w:tc>
          <w:tcPr>
            <w:tcW w:w="80" w:type="dxa"/>
            <w:vAlign w:val="bottom"/>
            <w:vMerge w:val="restart"/>
          </w:tcPr>
          <w:p>
            <w:pPr>
              <w:spacing w:after="0"/>
              <w:rPr>
                <w:sz w:val="13"/>
                <w:szCs w:val="13"/>
                <w:color w:val="auto"/>
              </w:rPr>
            </w:pPr>
          </w:p>
        </w:tc>
        <w:tc>
          <w:tcPr>
            <w:tcW w:w="680" w:type="dxa"/>
            <w:vAlign w:val="bottom"/>
          </w:tcPr>
          <w:p>
            <w:pPr>
              <w:spacing w:after="0"/>
              <w:rPr>
                <w:sz w:val="13"/>
                <w:szCs w:val="13"/>
                <w:color w:val="auto"/>
              </w:rPr>
            </w:pPr>
          </w:p>
        </w:tc>
        <w:tc>
          <w:tcPr>
            <w:tcW w:w="8300" w:type="dxa"/>
            <w:vAlign w:val="bottom"/>
            <w:tcBorders>
              <w:top w:val="single" w:sz="8" w:color="0000FF"/>
            </w:tcBorders>
            <w:gridSpan w:val="32"/>
          </w:tcPr>
          <w:p>
            <w:pPr>
              <w:spacing w:after="0" w:line="150" w:lineRule="exact"/>
              <w:rPr>
                <w:rFonts w:ascii="Arial" w:cs="Arial" w:eastAsia="Arial" w:hAnsi="Arial"/>
                <w:sz w:val="17"/>
                <w:szCs w:val="17"/>
                <w:color w:val="0000FF"/>
              </w:rPr>
            </w:pPr>
            <w:hyperlink r:id="rId187">
              <w:r>
                <w:rPr>
                  <w:rFonts w:ascii="Arial" w:cs="Arial" w:eastAsia="Arial" w:hAnsi="Arial"/>
                  <w:sz w:val="17"/>
                  <w:szCs w:val="17"/>
                  <w:color w:val="0000FF"/>
                </w:rPr>
                <w:t>Incentive Plan, as amended and restated (incorporated by reference to Exhibit 10.9 to the Registrant's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0" w:type="dxa"/>
            <w:vAlign w:val="bottom"/>
            <w:tcBorders>
              <w:bottom w:val="single" w:sz="8" w:color="0000FF"/>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680" w:type="dxa"/>
            <w:vAlign w:val="bottom"/>
            <w:tcBorders>
              <w:top w:val="single" w:sz="8" w:color="0000FF"/>
              <w:bottom w:val="single" w:sz="8" w:color="0000FF"/>
            </w:tcBorders>
            <w:gridSpan w:val="16"/>
          </w:tcPr>
          <w:p>
            <w:pPr>
              <w:spacing w:after="0" w:line="163" w:lineRule="exact"/>
              <w:rPr>
                <w:rFonts w:ascii="Arial" w:cs="Arial" w:eastAsia="Arial" w:hAnsi="Arial"/>
                <w:sz w:val="17"/>
                <w:szCs w:val="17"/>
                <w:color w:val="0000FF"/>
              </w:rPr>
            </w:pPr>
            <w:hyperlink r:id="rId187">
              <w:r>
                <w:rPr>
                  <w:rFonts w:ascii="Arial" w:cs="Arial" w:eastAsia="Arial" w:hAnsi="Arial"/>
                  <w:sz w:val="17"/>
                  <w:szCs w:val="17"/>
                  <w:color w:val="0000FF"/>
                </w:rPr>
                <w:t>Registration Statement on Form S-1/A (File No. 333-249074) filed on October 9, 2020)</w:t>
              </w:r>
            </w:hyperlink>
          </w:p>
        </w:tc>
        <w:tc>
          <w:tcPr>
            <w:tcW w:w="1200" w:type="dxa"/>
            <w:vAlign w:val="bottom"/>
            <w:tcBorders>
              <w:top w:val="single" w:sz="8" w:color="0000FF"/>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rFonts w:ascii="Arial" w:cs="Arial" w:eastAsia="Arial" w:hAnsi="Arial"/>
                <w:sz w:val="17"/>
                <w:szCs w:val="17"/>
                <w:color w:val="0000FF"/>
              </w:rPr>
            </w:pPr>
            <w:hyperlink r:id="rId188">
              <w:r>
                <w:rPr>
                  <w:rFonts w:ascii="Arial" w:cs="Arial" w:eastAsia="Arial" w:hAnsi="Arial"/>
                  <w:sz w:val="17"/>
                  <w:szCs w:val="17"/>
                  <w:color w:val="0000FF"/>
                </w:rPr>
                <w:t>Form of Restricted Stock Unit Award Agreement for Non-Employee Directors under the 2020 Stock Option and</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88">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10#</w:t>
              </w:r>
            </w:hyperlink>
          </w:p>
        </w:tc>
        <w:tc>
          <w:tcPr>
            <w:tcW w:w="680" w:type="dxa"/>
            <w:vAlign w:val="bottom"/>
            <w:vMerge w:val="restart"/>
          </w:tcPr>
          <w:p>
            <w:pPr>
              <w:spacing w:after="0"/>
              <w:rPr>
                <w:sz w:val="13"/>
                <w:szCs w:val="13"/>
                <w:color w:val="auto"/>
              </w:rPr>
            </w:pPr>
          </w:p>
        </w:tc>
        <w:tc>
          <w:tcPr>
            <w:tcW w:w="8560" w:type="dxa"/>
            <w:vAlign w:val="bottom"/>
            <w:tcBorders>
              <w:top w:val="single" w:sz="8" w:color="0000FF"/>
            </w:tcBorders>
            <w:gridSpan w:val="41"/>
          </w:tcPr>
          <w:p>
            <w:pPr>
              <w:spacing w:after="0" w:line="150" w:lineRule="exact"/>
              <w:rPr>
                <w:rFonts w:ascii="Arial" w:cs="Arial" w:eastAsia="Arial" w:hAnsi="Arial"/>
                <w:sz w:val="17"/>
                <w:szCs w:val="17"/>
                <w:color w:val="0000FF"/>
              </w:rPr>
            </w:pPr>
            <w:hyperlink r:id="rId188">
              <w:r>
                <w:rPr>
                  <w:rFonts w:ascii="Arial" w:cs="Arial" w:eastAsia="Arial" w:hAnsi="Arial"/>
                  <w:sz w:val="17"/>
                  <w:szCs w:val="17"/>
                  <w:color w:val="0000FF"/>
                </w:rPr>
                <w:t>Incentive Plan, as amended and restated (incorporated by reference to Exhibit 10.10 to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20" w:type="dxa"/>
            <w:vAlign w:val="bottom"/>
            <w:tcBorders>
              <w:bottom w:val="single" w:sz="8" w:color="0000FF"/>
            </w:tcBorders>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680" w:type="dxa"/>
            <w:vAlign w:val="bottom"/>
            <w:tcBorders>
              <w:top w:val="single" w:sz="8" w:color="0000FF"/>
              <w:bottom w:val="single" w:sz="8" w:color="0000FF"/>
            </w:tcBorders>
            <w:gridSpan w:val="16"/>
          </w:tcPr>
          <w:p>
            <w:pPr>
              <w:spacing w:after="0" w:line="163" w:lineRule="exact"/>
              <w:rPr>
                <w:rFonts w:ascii="Arial" w:cs="Arial" w:eastAsia="Arial" w:hAnsi="Arial"/>
                <w:sz w:val="17"/>
                <w:szCs w:val="17"/>
                <w:color w:val="0000FF"/>
              </w:rPr>
            </w:pPr>
            <w:hyperlink r:id="rId188">
              <w:r>
                <w:rPr>
                  <w:rFonts w:ascii="Arial" w:cs="Arial" w:eastAsia="Arial" w:hAnsi="Arial"/>
                  <w:sz w:val="17"/>
                  <w:szCs w:val="17"/>
                  <w:color w:val="0000FF"/>
                </w:rPr>
                <w:t>Registration Statement on Form S-1/A (File No. 333-249074) filed on October 9, 2020)</w:t>
              </w:r>
            </w:hyperlink>
          </w:p>
        </w:tc>
        <w:tc>
          <w:tcPr>
            <w:tcW w:w="130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rFonts w:ascii="Arial" w:cs="Arial" w:eastAsia="Arial" w:hAnsi="Arial"/>
                <w:sz w:val="17"/>
                <w:szCs w:val="17"/>
                <w:color w:val="0000FF"/>
              </w:rPr>
            </w:pPr>
            <w:hyperlink r:id="rId189">
              <w:r>
                <w:rPr>
                  <w:rFonts w:ascii="Arial" w:cs="Arial" w:eastAsia="Arial" w:hAnsi="Arial"/>
                  <w:sz w:val="17"/>
                  <w:szCs w:val="17"/>
                  <w:color w:val="0000FF"/>
                </w:rPr>
                <w:t>Praxis Precision Medicines, Inc. 2020 Employee Stock Purchase Plan (incorporated by reference to Exhibit</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89">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11#</w:t>
              </w:r>
            </w:hyperlink>
          </w:p>
        </w:tc>
        <w:tc>
          <w:tcPr>
            <w:tcW w:w="680" w:type="dxa"/>
            <w:vAlign w:val="bottom"/>
          </w:tcPr>
          <w:p>
            <w:pPr>
              <w:spacing w:after="0"/>
              <w:rPr>
                <w:sz w:val="13"/>
                <w:szCs w:val="13"/>
                <w:color w:val="auto"/>
              </w:rPr>
            </w:pPr>
          </w:p>
        </w:tc>
        <w:tc>
          <w:tcPr>
            <w:tcW w:w="8280" w:type="dxa"/>
            <w:vAlign w:val="bottom"/>
            <w:tcBorders>
              <w:top w:val="single" w:sz="8" w:color="0000FF"/>
            </w:tcBorders>
            <w:gridSpan w:val="31"/>
          </w:tcPr>
          <w:p>
            <w:pPr>
              <w:spacing w:after="0" w:line="150" w:lineRule="exact"/>
              <w:rPr>
                <w:rFonts w:ascii="Arial" w:cs="Arial" w:eastAsia="Arial" w:hAnsi="Arial"/>
                <w:sz w:val="17"/>
                <w:szCs w:val="17"/>
                <w:color w:val="0000FF"/>
              </w:rPr>
            </w:pPr>
            <w:hyperlink r:id="rId189">
              <w:r>
                <w:rPr>
                  <w:rFonts w:ascii="Arial" w:cs="Arial" w:eastAsia="Arial" w:hAnsi="Arial"/>
                  <w:sz w:val="17"/>
                  <w:szCs w:val="17"/>
                  <w:color w:val="0000FF"/>
                </w:rPr>
                <w:t>10.</w:t>
              </w:r>
              <w:r>
                <w:rPr>
                  <w:rFonts w:ascii="Arial" w:cs="Arial" w:eastAsia="Arial" w:hAnsi="Arial"/>
                  <w:sz w:val="17"/>
                  <w:szCs w:val="17"/>
                  <w:u w:val="single" w:color="auto"/>
                  <w:color w:val="0000FF"/>
                </w:rPr>
                <w:t>11</w:t>
              </w:r>
              <w:r>
                <w:rPr>
                  <w:rFonts w:ascii="Arial" w:cs="Arial" w:eastAsia="Arial" w:hAnsi="Arial"/>
                  <w:sz w:val="17"/>
                  <w:szCs w:val="17"/>
                  <w:color w:val="0000FF"/>
                </w:rPr>
                <w:t xml:space="preserve"> to the Registrant's Registration Statement on Form S-1/A (File No. 333-249074) filed on October 9,</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Borders>
              <w:top w:val="single" w:sz="8" w:color="0000FF"/>
            </w:tcBorders>
            <w:gridSpan w:val="2"/>
          </w:tcPr>
          <w:p>
            <w:pPr>
              <w:spacing w:after="0" w:line="163" w:lineRule="exact"/>
              <w:rPr>
                <w:rFonts w:ascii="Arial" w:cs="Arial" w:eastAsia="Arial" w:hAnsi="Arial"/>
                <w:sz w:val="17"/>
                <w:szCs w:val="17"/>
                <w:color w:val="0000FF"/>
              </w:rPr>
            </w:pPr>
            <w:hyperlink r:id="rId189">
              <w:r>
                <w:rPr>
                  <w:rFonts w:ascii="Arial" w:cs="Arial" w:eastAsia="Arial" w:hAnsi="Arial"/>
                  <w:sz w:val="17"/>
                  <w:szCs w:val="17"/>
                  <w:color w:val="0000FF"/>
                </w:rPr>
                <w:t>2020)</w:t>
              </w:r>
            </w:hyperlink>
          </w:p>
        </w:tc>
        <w:tc>
          <w:tcPr>
            <w:tcW w:w="16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rFonts w:ascii="Arial" w:cs="Arial" w:eastAsia="Arial" w:hAnsi="Arial"/>
                <w:sz w:val="17"/>
                <w:szCs w:val="17"/>
                <w:color w:val="0000FF"/>
              </w:rPr>
            </w:pPr>
            <w:hyperlink r:id="rId190">
              <w:r>
                <w:rPr>
                  <w:rFonts w:ascii="Arial" w:cs="Arial" w:eastAsia="Arial" w:hAnsi="Arial"/>
                  <w:sz w:val="17"/>
                  <w:szCs w:val="17"/>
                  <w:color w:val="0000FF"/>
                </w:rPr>
                <w:t>Praxis Precision Medicines, Inc. 2024 Inducement Plan and Forms of Award Agreements thereunder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restart"/>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90">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12#</w:t>
              </w:r>
            </w:hyperlink>
          </w:p>
        </w:tc>
        <w:tc>
          <w:tcPr>
            <w:tcW w:w="680" w:type="dxa"/>
            <w:vAlign w:val="bottom"/>
            <w:vMerge w:val="restart"/>
          </w:tcPr>
          <w:p>
            <w:pPr>
              <w:spacing w:after="0"/>
              <w:rPr>
                <w:sz w:val="13"/>
                <w:szCs w:val="13"/>
                <w:color w:val="auto"/>
              </w:rPr>
            </w:pPr>
          </w:p>
        </w:tc>
        <w:tc>
          <w:tcPr>
            <w:tcW w:w="10020" w:type="dxa"/>
            <w:vAlign w:val="bottom"/>
            <w:gridSpan w:val="48"/>
          </w:tcPr>
          <w:p>
            <w:pPr>
              <w:spacing w:after="0" w:line="150" w:lineRule="exact"/>
              <w:rPr>
                <w:rFonts w:ascii="Arial" w:cs="Arial" w:eastAsia="Arial" w:hAnsi="Arial"/>
                <w:sz w:val="17"/>
                <w:szCs w:val="17"/>
                <w:color w:val="0000FF"/>
              </w:rPr>
            </w:pPr>
            <w:hyperlink r:id="rId190">
              <w:r>
                <w:rPr>
                  <w:rFonts w:ascii="Arial" w:cs="Arial" w:eastAsia="Arial" w:hAnsi="Arial"/>
                  <w:sz w:val="17"/>
                  <w:szCs w:val="17"/>
                  <w:color w:val="0000FF"/>
                </w:rPr>
                <w:t>(incorporated by reference to Exhibit 99.1 to the Registrant's Registration Statement on Form S-8 (File No.</w:t>
              </w:r>
            </w:hyperlink>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20" w:type="dxa"/>
            <w:vAlign w:val="bottom"/>
            <w:tcBorders>
              <w:bottom w:val="single" w:sz="8" w:color="0000FF"/>
            </w:tcBorders>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060" w:type="dxa"/>
            <w:vAlign w:val="bottom"/>
            <w:tcBorders>
              <w:top w:val="single" w:sz="8" w:color="0000FF"/>
              <w:bottom w:val="single" w:sz="8" w:color="0000FF"/>
            </w:tcBorders>
            <w:gridSpan w:val="4"/>
          </w:tcPr>
          <w:p>
            <w:pPr>
              <w:spacing w:after="0" w:line="163" w:lineRule="exact"/>
              <w:rPr>
                <w:rFonts w:ascii="Arial" w:cs="Arial" w:eastAsia="Arial" w:hAnsi="Arial"/>
                <w:sz w:val="17"/>
                <w:szCs w:val="17"/>
                <w:color w:val="0000FF"/>
              </w:rPr>
            </w:pPr>
            <w:hyperlink r:id="rId190">
              <w:r>
                <w:rPr>
                  <w:rFonts w:ascii="Arial" w:cs="Arial" w:eastAsia="Arial" w:hAnsi="Arial"/>
                  <w:sz w:val="17"/>
                  <w:szCs w:val="17"/>
                  <w:color w:val="0000FF"/>
                </w:rPr>
                <w:t>333-276786) filed on January 31, 2024)</w:t>
              </w:r>
            </w:hyperlink>
          </w:p>
        </w:tc>
        <w:tc>
          <w:tcPr>
            <w:tcW w:w="51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rFonts w:ascii="Arial" w:cs="Arial" w:eastAsia="Arial" w:hAnsi="Arial"/>
                <w:sz w:val="17"/>
                <w:szCs w:val="17"/>
                <w:color w:val="0000FF"/>
              </w:rPr>
            </w:pPr>
            <w:hyperlink r:id="rId191">
              <w:r>
                <w:rPr>
                  <w:rFonts w:ascii="Arial" w:cs="Arial" w:eastAsia="Arial" w:hAnsi="Arial"/>
                  <w:sz w:val="17"/>
                  <w:szCs w:val="17"/>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91">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13#</w:t>
              </w:r>
            </w:hyperlink>
          </w:p>
        </w:tc>
        <w:tc>
          <w:tcPr>
            <w:tcW w:w="680" w:type="dxa"/>
            <w:vAlign w:val="bottom"/>
            <w:vMerge w:val="restart"/>
          </w:tcPr>
          <w:p>
            <w:pPr>
              <w:spacing w:after="0"/>
              <w:rPr>
                <w:sz w:val="13"/>
                <w:szCs w:val="13"/>
                <w:color w:val="auto"/>
              </w:rPr>
            </w:pPr>
          </w:p>
        </w:tc>
        <w:tc>
          <w:tcPr>
            <w:tcW w:w="8320" w:type="dxa"/>
            <w:vAlign w:val="bottom"/>
            <w:tcBorders>
              <w:top w:val="single" w:sz="8" w:color="0000FF"/>
            </w:tcBorders>
            <w:gridSpan w:val="33"/>
          </w:tcPr>
          <w:p>
            <w:pPr>
              <w:spacing w:after="0" w:line="150" w:lineRule="exact"/>
              <w:rPr>
                <w:rFonts w:ascii="Arial" w:cs="Arial" w:eastAsia="Arial" w:hAnsi="Arial"/>
                <w:sz w:val="17"/>
                <w:szCs w:val="17"/>
                <w:color w:val="0000FF"/>
              </w:rPr>
            </w:pPr>
            <w:hyperlink r:id="rId191">
              <w:r>
                <w:rPr>
                  <w:rFonts w:ascii="Arial" w:cs="Arial" w:eastAsia="Arial" w:hAnsi="Arial"/>
                  <w:sz w:val="17"/>
                  <w:szCs w:val="17"/>
                  <w:color w:val="0000FF"/>
                </w:rPr>
                <w:t>Medicines, Inc. and Marcio Souza (incorporated by reference to Exhibit 10.12 to the Registrant's Annual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20" w:type="dxa"/>
            <w:vAlign w:val="bottom"/>
            <w:tcBorders>
              <w:bottom w:val="single" w:sz="8" w:color="0000FF"/>
            </w:tcBorders>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440" w:type="dxa"/>
            <w:vAlign w:val="bottom"/>
            <w:tcBorders>
              <w:top w:val="single" w:sz="8" w:color="0000FF"/>
              <w:bottom w:val="single" w:sz="8" w:color="0000FF"/>
            </w:tcBorders>
            <w:gridSpan w:val="12"/>
          </w:tcPr>
          <w:p>
            <w:pPr>
              <w:spacing w:after="0" w:line="163" w:lineRule="exact"/>
              <w:rPr>
                <w:rFonts w:ascii="Arial" w:cs="Arial" w:eastAsia="Arial" w:hAnsi="Arial"/>
                <w:sz w:val="17"/>
                <w:szCs w:val="17"/>
                <w:color w:val="0000FF"/>
              </w:rPr>
            </w:pPr>
            <w:hyperlink r:id="rId191">
              <w:r>
                <w:rPr>
                  <w:rFonts w:ascii="Arial" w:cs="Arial" w:eastAsia="Arial" w:hAnsi="Arial"/>
                  <w:sz w:val="17"/>
                  <w:szCs w:val="17"/>
                  <w:color w:val="0000FF"/>
                </w:rPr>
                <w:t>Report on Form 10-K (File No. 001-39620) filed on February 28, 2022)</w:t>
              </w:r>
            </w:hyperlink>
          </w:p>
        </w:tc>
        <w:tc>
          <w:tcPr>
            <w:tcW w:w="25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line="190" w:lineRule="exact"/>
              <w:rPr>
                <w:rFonts w:ascii="Arial" w:cs="Arial" w:eastAsia="Arial" w:hAnsi="Arial"/>
                <w:sz w:val="17"/>
                <w:szCs w:val="17"/>
                <w:color w:val="0000FF"/>
              </w:rPr>
            </w:pPr>
            <w:hyperlink r:id="rId192">
              <w:r>
                <w:rPr>
                  <w:rFonts w:ascii="Arial" w:cs="Arial" w:eastAsia="Arial" w:hAnsi="Arial"/>
                  <w:sz w:val="17"/>
                  <w:szCs w:val="17"/>
                  <w:color w:val="0000FF"/>
                </w:rPr>
                <w:t>Amended and Restated Employment Agreement, dated May 13, 2021, by and between Praxis Precision</w:t>
              </w:r>
            </w:hyperlink>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92">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14#</w:t>
              </w:r>
            </w:hyperlink>
          </w:p>
        </w:tc>
        <w:tc>
          <w:tcPr>
            <w:tcW w:w="680" w:type="dxa"/>
            <w:vAlign w:val="bottom"/>
            <w:vMerge w:val="restart"/>
          </w:tcPr>
          <w:p>
            <w:pPr>
              <w:spacing w:after="0"/>
              <w:rPr>
                <w:sz w:val="13"/>
                <w:szCs w:val="13"/>
                <w:color w:val="auto"/>
              </w:rPr>
            </w:pPr>
          </w:p>
        </w:tc>
        <w:tc>
          <w:tcPr>
            <w:tcW w:w="8040" w:type="dxa"/>
            <w:vAlign w:val="bottom"/>
            <w:tcBorders>
              <w:top w:val="single" w:sz="8" w:color="0000FF"/>
            </w:tcBorders>
            <w:gridSpan w:val="23"/>
          </w:tcPr>
          <w:p>
            <w:pPr>
              <w:spacing w:after="0" w:line="158" w:lineRule="exact"/>
              <w:rPr>
                <w:rFonts w:ascii="Arial" w:cs="Arial" w:eastAsia="Arial" w:hAnsi="Arial"/>
                <w:sz w:val="17"/>
                <w:szCs w:val="17"/>
                <w:color w:val="0000FF"/>
              </w:rPr>
            </w:pPr>
            <w:hyperlink r:id="rId191">
              <w:r>
                <w:rPr>
                  <w:rFonts w:ascii="Arial" w:cs="Arial" w:eastAsia="Arial" w:hAnsi="Arial"/>
                  <w:sz w:val="17"/>
                  <w:szCs w:val="17"/>
                  <w:color w:val="0000FF"/>
                </w:rPr>
                <w:t>Medicines, Inc. and Timothy Kelly (incorporated by reference to Exhibit 10.13 to the Registrant's Annual</w:t>
              </w:r>
            </w:hyperlink>
          </w:p>
        </w:tc>
        <w:tc>
          <w:tcPr>
            <w:tcW w:w="1980" w:type="dxa"/>
            <w:vAlign w:val="bottom"/>
            <w:gridSpan w:val="25"/>
          </w:tcPr>
          <w:p>
            <w:pPr>
              <w:spacing w:after="0" w:line="158" w:lineRule="exact"/>
              <w:rPr>
                <w:rFonts w:ascii="Arial" w:cs="Arial" w:eastAsia="Arial" w:hAnsi="Arial"/>
                <w:sz w:val="17"/>
                <w:szCs w:val="17"/>
                <w:color w:val="0000FF"/>
              </w:rPr>
            </w:pPr>
            <w:hyperlink r:id="rId191">
              <w:r>
                <w:rPr>
                  <w:rFonts w:ascii="Arial" w:cs="Arial" w:eastAsia="Arial" w:hAnsi="Arial"/>
                  <w:sz w:val="17"/>
                  <w:szCs w:val="17"/>
                  <w:color w:val="0000FF"/>
                </w:rPr>
                <w:t>Report</w:t>
              </w:r>
            </w:hyperlink>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620" w:type="dxa"/>
            <w:vAlign w:val="bottom"/>
            <w:tcBorders>
              <w:top w:val="single" w:sz="8" w:color="0000FF"/>
            </w:tcBorders>
            <w:gridSpan w:val="44"/>
          </w:tcPr>
          <w:p>
            <w:pPr>
              <w:spacing w:after="0" w:line="163" w:lineRule="exact"/>
              <w:rPr>
                <w:rFonts w:ascii="Arial" w:cs="Arial" w:eastAsia="Arial" w:hAnsi="Arial"/>
                <w:sz w:val="17"/>
                <w:szCs w:val="17"/>
                <w:color w:val="0000FF"/>
              </w:rPr>
            </w:pPr>
            <w:hyperlink r:id="rId191">
              <w:r>
                <w:rPr>
                  <w:rFonts w:ascii="Arial" w:cs="Arial" w:eastAsia="Arial" w:hAnsi="Arial"/>
                  <w:sz w:val="17"/>
                  <w:szCs w:val="17"/>
                  <w:color w:val="0000FF"/>
                </w:rPr>
                <w:t>on Form 10-K (File No. 001-39620) filed on February 7,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rFonts w:ascii="Arial" w:cs="Arial" w:eastAsia="Arial" w:hAnsi="Arial"/>
                <w:sz w:val="17"/>
                <w:szCs w:val="17"/>
                <w:color w:val="0000FF"/>
              </w:rPr>
            </w:pPr>
            <w:hyperlink r:id="rId193">
              <w:r>
                <w:rPr>
                  <w:rFonts w:ascii="Arial" w:cs="Arial" w:eastAsia="Arial" w:hAnsi="Arial"/>
                  <w:sz w:val="17"/>
                  <w:szCs w:val="17"/>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restart"/>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93">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15#</w:t>
              </w:r>
            </w:hyperlink>
          </w:p>
        </w:tc>
        <w:tc>
          <w:tcPr>
            <w:tcW w:w="680" w:type="dxa"/>
            <w:vAlign w:val="bottom"/>
            <w:vMerge w:val="restart"/>
          </w:tcPr>
          <w:p>
            <w:pPr>
              <w:spacing w:after="0"/>
              <w:rPr>
                <w:sz w:val="13"/>
                <w:szCs w:val="13"/>
                <w:color w:val="auto"/>
              </w:rPr>
            </w:pPr>
          </w:p>
        </w:tc>
        <w:tc>
          <w:tcPr>
            <w:tcW w:w="10020" w:type="dxa"/>
            <w:vAlign w:val="bottom"/>
            <w:gridSpan w:val="48"/>
          </w:tcPr>
          <w:p>
            <w:pPr>
              <w:spacing w:after="0" w:line="150" w:lineRule="exact"/>
              <w:rPr>
                <w:rFonts w:ascii="Arial" w:cs="Arial" w:eastAsia="Arial" w:hAnsi="Arial"/>
                <w:sz w:val="17"/>
                <w:szCs w:val="17"/>
                <w:color w:val="0000FF"/>
              </w:rPr>
            </w:pPr>
            <w:hyperlink r:id="rId193">
              <w:r>
                <w:rPr>
                  <w:rFonts w:ascii="Arial" w:cs="Arial" w:eastAsia="Arial" w:hAnsi="Arial"/>
                  <w:sz w:val="17"/>
                  <w:szCs w:val="17"/>
                  <w:color w:val="0000FF"/>
                </w:rPr>
                <w:t>Medicines, Inc. and Alex Nemiroff (incorporated by reference to Exhibit 10.15 to the Registrant's Annual Report</w:t>
              </w:r>
            </w:hyperlink>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20" w:type="dxa"/>
            <w:vAlign w:val="bottom"/>
            <w:tcBorders>
              <w:bottom w:val="single" w:sz="8" w:color="0000FF"/>
            </w:tcBorders>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560" w:type="dxa"/>
            <w:vAlign w:val="bottom"/>
            <w:tcBorders>
              <w:top w:val="single" w:sz="8" w:color="0000FF"/>
              <w:bottom w:val="single" w:sz="8" w:color="0000FF"/>
            </w:tcBorders>
            <w:gridSpan w:val="8"/>
          </w:tcPr>
          <w:p>
            <w:pPr>
              <w:spacing w:after="0" w:line="163" w:lineRule="exact"/>
              <w:rPr>
                <w:rFonts w:ascii="Arial" w:cs="Arial" w:eastAsia="Arial" w:hAnsi="Arial"/>
                <w:sz w:val="17"/>
                <w:szCs w:val="17"/>
                <w:color w:val="0000FF"/>
              </w:rPr>
            </w:pPr>
            <w:hyperlink r:id="rId193">
              <w:r>
                <w:rPr>
                  <w:rFonts w:ascii="Arial" w:cs="Arial" w:eastAsia="Arial" w:hAnsi="Arial"/>
                  <w:sz w:val="17"/>
                  <w:szCs w:val="17"/>
                  <w:color w:val="0000FF"/>
                </w:rPr>
                <w:t>on Form 10-K (File No. 001-39620) filed on March 5, 2024)</w:t>
              </w:r>
            </w:hyperlink>
          </w:p>
        </w:tc>
        <w:tc>
          <w:tcPr>
            <w:tcW w:w="4100" w:type="dxa"/>
            <w:vAlign w:val="bottom"/>
            <w:tcBorders>
              <w:top w:val="single" w:sz="8" w:color="0000FF"/>
            </w:tcBorders>
            <w:gridSpan w:val="38"/>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60" w:type="dxa"/>
            <w:vAlign w:val="bottom"/>
            <w:tcBorders>
              <w:bottom w:val="single" w:sz="8" w:color="0000FF"/>
            </w:tcBorders>
            <w:gridSpan w:val="24"/>
          </w:tcPr>
          <w:p>
            <w:pPr>
              <w:spacing w:after="0"/>
              <w:rPr>
                <w:rFonts w:ascii="Arial" w:cs="Arial" w:eastAsia="Arial" w:hAnsi="Arial"/>
                <w:sz w:val="17"/>
                <w:szCs w:val="17"/>
                <w:color w:val="0000FF"/>
              </w:rPr>
            </w:pPr>
            <w:hyperlink r:id="rId194">
              <w:r>
                <w:rPr>
                  <w:rFonts w:ascii="Arial" w:cs="Arial" w:eastAsia="Arial" w:hAnsi="Arial"/>
                  <w:sz w:val="17"/>
                  <w:szCs w:val="17"/>
                  <w:color w:val="0000FF"/>
                </w:rPr>
                <w:t>Employment Agreement Amendment Letter, dated October 11, 2024, by and between Marcio Souza and</w:t>
              </w:r>
            </w:hyperlink>
          </w:p>
        </w:tc>
        <w:tc>
          <w:tcPr>
            <w:tcW w:w="19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94">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16#</w:t>
              </w:r>
            </w:hyperlink>
          </w:p>
        </w:tc>
        <w:tc>
          <w:tcPr>
            <w:tcW w:w="680" w:type="dxa"/>
            <w:vAlign w:val="bottom"/>
            <w:vMerge w:val="restart"/>
          </w:tcPr>
          <w:p>
            <w:pPr>
              <w:spacing w:after="0"/>
              <w:rPr>
                <w:sz w:val="13"/>
                <w:szCs w:val="13"/>
                <w:color w:val="auto"/>
              </w:rPr>
            </w:pPr>
          </w:p>
        </w:tc>
        <w:tc>
          <w:tcPr>
            <w:tcW w:w="10020" w:type="dxa"/>
            <w:vAlign w:val="bottom"/>
            <w:gridSpan w:val="48"/>
          </w:tcPr>
          <w:p>
            <w:pPr>
              <w:spacing w:after="0" w:line="150" w:lineRule="exact"/>
              <w:rPr>
                <w:rFonts w:ascii="Arial" w:cs="Arial" w:eastAsia="Arial" w:hAnsi="Arial"/>
                <w:sz w:val="17"/>
                <w:szCs w:val="17"/>
                <w:color w:val="0000FF"/>
              </w:rPr>
            </w:pPr>
            <w:hyperlink r:id="rId194">
              <w:r>
                <w:rPr>
                  <w:rFonts w:ascii="Arial" w:cs="Arial" w:eastAsia="Arial" w:hAnsi="Arial"/>
                  <w:sz w:val="17"/>
                  <w:szCs w:val="17"/>
                  <w:color w:val="0000FF"/>
                </w:rPr>
                <w:t>Praxis Precision Medicines, Inc. (incorporated by reference to Exhibit 10.1 to the Registrant's Current Report</w:t>
              </w:r>
            </w:hyperlink>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380" w:type="dxa"/>
            <w:vAlign w:val="bottom"/>
            <w:tcBorders>
              <w:top w:val="single" w:sz="8" w:color="0000FF"/>
            </w:tcBorders>
            <w:gridSpan w:val="36"/>
          </w:tcPr>
          <w:p>
            <w:pPr>
              <w:spacing w:after="0" w:line="163" w:lineRule="exact"/>
              <w:rPr>
                <w:rFonts w:ascii="Arial" w:cs="Arial" w:eastAsia="Arial" w:hAnsi="Arial"/>
                <w:sz w:val="17"/>
                <w:szCs w:val="17"/>
                <w:color w:val="0000FF"/>
              </w:rPr>
            </w:pPr>
            <w:hyperlink r:id="rId194">
              <w:r>
                <w:rPr>
                  <w:rFonts w:ascii="Arial" w:cs="Arial" w:eastAsia="Arial" w:hAnsi="Arial"/>
                  <w:sz w:val="17"/>
                  <w:szCs w:val="17"/>
                  <w:color w:val="0000FF"/>
                </w:rPr>
                <w:t>on Form 8-K (File No. 001-39620) filed on October 15, 2024)</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rFonts w:ascii="Arial" w:cs="Arial" w:eastAsia="Arial" w:hAnsi="Arial"/>
                <w:sz w:val="17"/>
                <w:szCs w:val="17"/>
                <w:color w:val="0000FF"/>
              </w:rPr>
            </w:pPr>
            <w:hyperlink r:id="rId195">
              <w:r>
                <w:rPr>
                  <w:rFonts w:ascii="Arial" w:cs="Arial" w:eastAsia="Arial" w:hAnsi="Arial"/>
                  <w:sz w:val="17"/>
                  <w:szCs w:val="17"/>
                  <w:color w:val="0000FF"/>
                </w:rPr>
                <w:t>Employment Agreement Amendment Letter, dated October 11, 2024, by and between Timothy Kelly and Praxis</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95">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17#</w:t>
              </w:r>
            </w:hyperlink>
          </w:p>
        </w:tc>
        <w:tc>
          <w:tcPr>
            <w:tcW w:w="680" w:type="dxa"/>
            <w:vAlign w:val="bottom"/>
            <w:vMerge w:val="restart"/>
          </w:tcPr>
          <w:p>
            <w:pPr>
              <w:spacing w:after="0"/>
              <w:rPr>
                <w:sz w:val="13"/>
                <w:szCs w:val="13"/>
                <w:color w:val="auto"/>
              </w:rPr>
            </w:pPr>
          </w:p>
        </w:tc>
        <w:tc>
          <w:tcPr>
            <w:tcW w:w="8640" w:type="dxa"/>
            <w:vAlign w:val="bottom"/>
            <w:tcBorders>
              <w:top w:val="single" w:sz="8" w:color="0000FF"/>
            </w:tcBorders>
            <w:gridSpan w:val="45"/>
          </w:tcPr>
          <w:p>
            <w:pPr>
              <w:spacing w:after="0" w:line="150" w:lineRule="exact"/>
              <w:rPr>
                <w:rFonts w:ascii="Arial" w:cs="Arial" w:eastAsia="Arial" w:hAnsi="Arial"/>
                <w:sz w:val="17"/>
                <w:szCs w:val="17"/>
                <w:color w:val="0000FF"/>
              </w:rPr>
            </w:pPr>
            <w:hyperlink r:id="rId195">
              <w:r>
                <w:rPr>
                  <w:rFonts w:ascii="Arial" w:cs="Arial" w:eastAsia="Arial" w:hAnsi="Arial"/>
                  <w:sz w:val="17"/>
                  <w:szCs w:val="17"/>
                  <w:color w:val="0000FF"/>
                </w:rPr>
                <w:t>Precision Medicines, Inc. (incorporated by reference to Exhibit 10.2 to the Registrant's Current Report on Form</w:t>
              </w:r>
            </w:hyperlink>
          </w:p>
        </w:tc>
        <w:tc>
          <w:tcPr>
            <w:tcW w:w="4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540" w:type="dxa"/>
            <w:vAlign w:val="bottom"/>
            <w:tcBorders>
              <w:top w:val="single" w:sz="8" w:color="0000FF"/>
            </w:tcBorders>
            <w:gridSpan w:val="40"/>
          </w:tcPr>
          <w:p>
            <w:pPr>
              <w:spacing w:after="0" w:line="163" w:lineRule="exact"/>
              <w:rPr>
                <w:rFonts w:ascii="Arial" w:cs="Arial" w:eastAsia="Arial" w:hAnsi="Arial"/>
                <w:sz w:val="17"/>
                <w:szCs w:val="17"/>
                <w:color w:val="0000FF"/>
              </w:rPr>
            </w:pPr>
            <w:hyperlink r:id="rId195">
              <w:r>
                <w:rPr>
                  <w:rFonts w:ascii="Arial" w:cs="Arial" w:eastAsia="Arial" w:hAnsi="Arial"/>
                  <w:sz w:val="17"/>
                  <w:szCs w:val="17"/>
                  <w:color w:val="0000FF"/>
                </w:rPr>
                <w:t>8-K (File No. 001-39620) filed on October 15,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rFonts w:ascii="Arial" w:cs="Arial" w:eastAsia="Arial" w:hAnsi="Arial"/>
                <w:sz w:val="17"/>
                <w:szCs w:val="17"/>
                <w:color w:val="0000FF"/>
              </w:rPr>
            </w:pPr>
            <w:hyperlink r:id="rId196">
              <w:r>
                <w:rPr>
                  <w:rFonts w:ascii="Arial" w:cs="Arial" w:eastAsia="Arial" w:hAnsi="Arial"/>
                  <w:sz w:val="17"/>
                  <w:szCs w:val="17"/>
                  <w:color w:val="0000FF"/>
                </w:rPr>
                <w:t>Employment Agreement Amendment Letter, dated October 11, 2024, by and between Alex Nemiroff and Praxis</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96">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18#</w:t>
              </w:r>
            </w:hyperlink>
          </w:p>
        </w:tc>
        <w:tc>
          <w:tcPr>
            <w:tcW w:w="680" w:type="dxa"/>
            <w:vAlign w:val="bottom"/>
            <w:vMerge w:val="restart"/>
          </w:tcPr>
          <w:p>
            <w:pPr>
              <w:spacing w:after="0"/>
              <w:rPr>
                <w:sz w:val="13"/>
                <w:szCs w:val="13"/>
                <w:color w:val="auto"/>
              </w:rPr>
            </w:pPr>
          </w:p>
        </w:tc>
        <w:tc>
          <w:tcPr>
            <w:tcW w:w="8680" w:type="dxa"/>
            <w:vAlign w:val="bottom"/>
            <w:tcBorders>
              <w:top w:val="single" w:sz="8" w:color="0000FF"/>
            </w:tcBorders>
            <w:gridSpan w:val="47"/>
          </w:tcPr>
          <w:p>
            <w:pPr>
              <w:spacing w:after="0" w:line="150" w:lineRule="exact"/>
              <w:rPr>
                <w:rFonts w:ascii="Arial" w:cs="Arial" w:eastAsia="Arial" w:hAnsi="Arial"/>
                <w:sz w:val="17"/>
                <w:szCs w:val="17"/>
                <w:color w:val="0000FF"/>
              </w:rPr>
            </w:pPr>
            <w:hyperlink r:id="rId196">
              <w:r>
                <w:rPr>
                  <w:rFonts w:ascii="Arial" w:cs="Arial" w:eastAsia="Arial" w:hAnsi="Arial"/>
                  <w:sz w:val="17"/>
                  <w:szCs w:val="17"/>
                  <w:color w:val="0000FF"/>
                </w:rPr>
                <w:t>Precision Medicines, Inc. (incorporated by reference to Exhibit 10.3 to the Registrant's Current Report on Form</w:t>
              </w:r>
            </w:hyperlink>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540" w:type="dxa"/>
            <w:vAlign w:val="bottom"/>
            <w:tcBorders>
              <w:top w:val="single" w:sz="8" w:color="0000FF"/>
            </w:tcBorders>
            <w:gridSpan w:val="40"/>
          </w:tcPr>
          <w:p>
            <w:pPr>
              <w:spacing w:after="0" w:line="163" w:lineRule="exact"/>
              <w:rPr>
                <w:rFonts w:ascii="Arial" w:cs="Arial" w:eastAsia="Arial" w:hAnsi="Arial"/>
                <w:sz w:val="17"/>
                <w:szCs w:val="17"/>
                <w:color w:val="0000FF"/>
              </w:rPr>
            </w:pPr>
            <w:hyperlink r:id="rId196">
              <w:r>
                <w:rPr>
                  <w:rFonts w:ascii="Arial" w:cs="Arial" w:eastAsia="Arial" w:hAnsi="Arial"/>
                  <w:sz w:val="17"/>
                  <w:szCs w:val="17"/>
                  <w:color w:val="0000FF"/>
                </w:rPr>
                <w:t>8-K (File No. 001-39620) filed on October 15,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520" w:type="dxa"/>
            <w:vAlign w:val="bottom"/>
            <w:gridSpan w:val="3"/>
            <w:vMerge w:val="restart"/>
          </w:tcPr>
          <w:p>
            <w:pPr>
              <w:spacing w:after="0"/>
              <w:rPr>
                <w:sz w:val="20"/>
                <w:szCs w:val="20"/>
                <w:color w:val="auto"/>
              </w:rPr>
            </w:pPr>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19#</w:t>
            </w:r>
          </w:p>
        </w:tc>
        <w:tc>
          <w:tcPr>
            <w:tcW w:w="680" w:type="dxa"/>
            <w:vAlign w:val="bottom"/>
            <w:vMerge w:val="restart"/>
          </w:tcPr>
          <w:p>
            <w:pPr>
              <w:spacing w:after="0"/>
              <w:rPr>
                <w:sz w:val="17"/>
                <w:szCs w:val="17"/>
                <w:color w:val="auto"/>
              </w:rPr>
            </w:pPr>
          </w:p>
        </w:tc>
        <w:tc>
          <w:tcPr>
            <w:tcW w:w="10020" w:type="dxa"/>
            <w:vAlign w:val="bottom"/>
            <w:gridSpan w:val="48"/>
          </w:tcPr>
          <w:p>
            <w:pPr>
              <w:spacing w:after="0"/>
              <w:rPr>
                <w:rFonts w:ascii="Arial" w:cs="Arial" w:eastAsia="Arial" w:hAnsi="Arial"/>
                <w:sz w:val="17"/>
                <w:szCs w:val="17"/>
                <w:color w:val="0000FF"/>
              </w:rPr>
            </w:pPr>
            <w:hyperlink r:id="rId197">
              <w:r>
                <w:rPr>
                  <w:rFonts w:ascii="Arial" w:cs="Arial" w:eastAsia="Arial" w:hAnsi="Arial"/>
                  <w:sz w:val="17"/>
                  <w:szCs w:val="17"/>
                  <w:color w:val="0000FF"/>
                </w:rPr>
                <w:t>Non-Employee Director Compensation Policy (incorporated by reference to Exhibit 10.1 to the Registrant's</w:t>
              </w:r>
            </w:hyperlink>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240" w:type="dxa"/>
            <w:vAlign w:val="bottom"/>
            <w:tcBorders>
              <w:top w:val="single" w:sz="8" w:color="0000FF"/>
            </w:tcBorders>
            <w:gridSpan w:val="29"/>
          </w:tcPr>
          <w:p>
            <w:pPr>
              <w:spacing w:after="0" w:line="138" w:lineRule="exact"/>
              <w:rPr>
                <w:rFonts w:ascii="Arial" w:cs="Arial" w:eastAsia="Arial" w:hAnsi="Arial"/>
                <w:sz w:val="15"/>
                <w:szCs w:val="15"/>
                <w:color w:val="0000FF"/>
              </w:rPr>
            </w:pPr>
            <w:hyperlink r:id="rId197">
              <w:r>
                <w:rPr>
                  <w:rFonts w:ascii="Arial" w:cs="Arial" w:eastAsia="Arial" w:hAnsi="Arial"/>
                  <w:sz w:val="15"/>
                  <w:szCs w:val="15"/>
                  <w:color w:val="0000FF"/>
                </w:rPr>
                <w:t>Quarterly Report on Form 10-Q (File No. 001-39620) filed on August 13, 2024)</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60" w:type="dxa"/>
            <w:vAlign w:val="bottom"/>
            <w:tcBorders>
              <w:bottom w:val="single" w:sz="8" w:color="0000FF"/>
            </w:tcBorders>
            <w:gridSpan w:val="30"/>
          </w:tcPr>
          <w:p>
            <w:pPr>
              <w:spacing w:after="0"/>
              <w:rPr>
                <w:rFonts w:ascii="Arial" w:cs="Arial" w:eastAsia="Arial" w:hAnsi="Arial"/>
                <w:sz w:val="17"/>
                <w:szCs w:val="17"/>
                <w:color w:val="0000FF"/>
              </w:rPr>
            </w:pPr>
            <w:hyperlink r:id="rId198">
              <w:r>
                <w:rPr>
                  <w:rFonts w:ascii="Arial" w:cs="Arial" w:eastAsia="Arial" w:hAnsi="Arial"/>
                  <w:sz w:val="17"/>
                  <w:szCs w:val="17"/>
                  <w:color w:val="0000FF"/>
                </w:rPr>
                <w:t>Cooperation and License Agreement, dated September 11, 2019, by and between RogCon Inc. and Praxis</w:t>
              </w:r>
            </w:hyperlink>
          </w:p>
        </w:tc>
        <w:tc>
          <w:tcPr>
            <w:tcW w:w="17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98">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20†</w:t>
              </w:r>
            </w:hyperlink>
          </w:p>
        </w:tc>
        <w:tc>
          <w:tcPr>
            <w:tcW w:w="680" w:type="dxa"/>
            <w:vAlign w:val="bottom"/>
            <w:vMerge w:val="restart"/>
          </w:tcPr>
          <w:p>
            <w:pPr>
              <w:spacing w:after="0"/>
              <w:rPr>
                <w:sz w:val="13"/>
                <w:szCs w:val="13"/>
                <w:color w:val="auto"/>
              </w:rPr>
            </w:pPr>
          </w:p>
        </w:tc>
        <w:tc>
          <w:tcPr>
            <w:tcW w:w="10020" w:type="dxa"/>
            <w:vAlign w:val="bottom"/>
            <w:gridSpan w:val="48"/>
          </w:tcPr>
          <w:p>
            <w:pPr>
              <w:spacing w:after="0" w:line="150" w:lineRule="exact"/>
              <w:rPr>
                <w:rFonts w:ascii="Arial" w:cs="Arial" w:eastAsia="Arial" w:hAnsi="Arial"/>
                <w:sz w:val="17"/>
                <w:szCs w:val="17"/>
                <w:color w:val="0000FF"/>
              </w:rPr>
            </w:pPr>
            <w:hyperlink r:id="rId198">
              <w:r>
                <w:rPr>
                  <w:rFonts w:ascii="Arial" w:cs="Arial" w:eastAsia="Arial" w:hAnsi="Arial"/>
                  <w:sz w:val="17"/>
                  <w:szCs w:val="17"/>
                  <w:color w:val="0000FF"/>
                </w:rPr>
                <w:t>Precision Medicines, Inc. (incorporated by reference to Exhibit 10.15 to the Registrant's Registration Statement</w:t>
              </w:r>
            </w:hyperlink>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0" w:type="dxa"/>
            <w:vAlign w:val="bottom"/>
            <w:tcBorders>
              <w:bottom w:val="single" w:sz="8" w:color="0000FF"/>
            </w:tcBorders>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5020" w:type="dxa"/>
            <w:vAlign w:val="bottom"/>
            <w:tcBorders>
              <w:top w:val="single" w:sz="8" w:color="0000FF"/>
              <w:bottom w:val="single" w:sz="8" w:color="0000FF"/>
            </w:tcBorders>
            <w:gridSpan w:val="11"/>
          </w:tcPr>
          <w:p>
            <w:pPr>
              <w:spacing w:after="0" w:line="163" w:lineRule="exact"/>
              <w:rPr>
                <w:rFonts w:ascii="Arial" w:cs="Arial" w:eastAsia="Arial" w:hAnsi="Arial"/>
                <w:sz w:val="17"/>
                <w:szCs w:val="17"/>
                <w:color w:val="0000FF"/>
              </w:rPr>
            </w:pPr>
            <w:hyperlink r:id="rId198">
              <w:r>
                <w:rPr>
                  <w:rFonts w:ascii="Arial" w:cs="Arial" w:eastAsia="Arial" w:hAnsi="Arial"/>
                  <w:sz w:val="17"/>
                  <w:szCs w:val="17"/>
                  <w:color w:val="0000FF"/>
                </w:rPr>
                <w:t>on Form S-1 (File No. 333-249074) filed on September 25, 2020)</w:t>
              </w:r>
            </w:hyperlink>
          </w:p>
        </w:tc>
        <w:tc>
          <w:tcPr>
            <w:tcW w:w="3580" w:type="dxa"/>
            <w:vAlign w:val="bottom"/>
            <w:tcBorders>
              <w:top w:val="single" w:sz="8" w:color="0000FF"/>
            </w:tcBorders>
            <w:gridSpan w:val="32"/>
          </w:tcPr>
          <w:p>
            <w:pPr>
              <w:spacing w:after="0"/>
              <w:rPr>
                <w:sz w:val="15"/>
                <w:szCs w:val="15"/>
                <w:color w:val="auto"/>
              </w:rPr>
            </w:pPr>
          </w:p>
        </w:tc>
        <w:tc>
          <w:tcPr>
            <w:tcW w:w="14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60" w:type="dxa"/>
            <w:vAlign w:val="bottom"/>
            <w:tcBorders>
              <w:bottom w:val="single" w:sz="8" w:color="0000FF"/>
            </w:tcBorders>
            <w:gridSpan w:val="30"/>
          </w:tcPr>
          <w:p>
            <w:pPr>
              <w:spacing w:after="0" w:line="183" w:lineRule="exact"/>
              <w:rPr>
                <w:rFonts w:ascii="Arial" w:cs="Arial" w:eastAsia="Arial" w:hAnsi="Arial"/>
                <w:sz w:val="17"/>
                <w:szCs w:val="17"/>
                <w:color w:val="0000FF"/>
              </w:rPr>
            </w:pPr>
            <w:hyperlink r:id="rId199">
              <w:r>
                <w:rPr>
                  <w:rFonts w:ascii="Arial" w:cs="Arial" w:eastAsia="Arial" w:hAnsi="Arial"/>
                  <w:sz w:val="17"/>
                  <w:szCs w:val="17"/>
                  <w:color w:val="0000FF"/>
                </w:rPr>
                <w:t>Research Collaboration, Option and License Agreement, dated September 11, 2019, by and between Ionis</w:t>
              </w:r>
            </w:hyperlink>
          </w:p>
        </w:tc>
        <w:tc>
          <w:tcPr>
            <w:tcW w:w="176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gridSpan w:val="3"/>
            <w:vMerge w:val="restart"/>
          </w:tcPr>
          <w:p>
            <w:pPr>
              <w:spacing w:after="0"/>
              <w:rPr>
                <w:rFonts w:ascii="Arial" w:cs="Arial" w:eastAsia="Arial" w:hAnsi="Arial"/>
                <w:sz w:val="17"/>
                <w:szCs w:val="17"/>
                <w:color w:val="0000FF"/>
                <w:w w:val="92"/>
              </w:rPr>
            </w:pPr>
            <w:hyperlink r:id="rId199">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21†</w:t>
              </w:r>
            </w:hyperlink>
          </w:p>
        </w:tc>
        <w:tc>
          <w:tcPr>
            <w:tcW w:w="680" w:type="dxa"/>
            <w:vAlign w:val="bottom"/>
            <w:vMerge w:val="restart"/>
          </w:tcPr>
          <w:p>
            <w:pPr>
              <w:spacing w:after="0"/>
              <w:rPr>
                <w:sz w:val="13"/>
                <w:szCs w:val="13"/>
                <w:color w:val="auto"/>
              </w:rPr>
            </w:pPr>
          </w:p>
        </w:tc>
        <w:tc>
          <w:tcPr>
            <w:tcW w:w="10020" w:type="dxa"/>
            <w:vAlign w:val="bottom"/>
            <w:gridSpan w:val="48"/>
          </w:tcPr>
          <w:p>
            <w:pPr>
              <w:spacing w:after="0" w:line="150" w:lineRule="exact"/>
              <w:rPr>
                <w:rFonts w:ascii="Arial" w:cs="Arial" w:eastAsia="Arial" w:hAnsi="Arial"/>
                <w:sz w:val="17"/>
                <w:szCs w:val="17"/>
                <w:color w:val="0000FF"/>
              </w:rPr>
            </w:pPr>
            <w:hyperlink r:id="rId199">
              <w:r>
                <w:rPr>
                  <w:rFonts w:ascii="Arial" w:cs="Arial" w:eastAsia="Arial" w:hAnsi="Arial"/>
                  <w:sz w:val="17"/>
                  <w:szCs w:val="17"/>
                  <w:color w:val="0000FF"/>
                </w:rPr>
                <w:t>Pharmaceuticals, Inc. and Praxis Precision Medicines, Inc. (incorporated by reference to Exhibit 10.16 to the</w:t>
              </w:r>
            </w:hyperlink>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0" w:type="dxa"/>
            <w:vAlign w:val="bottom"/>
            <w:tcBorders>
              <w:bottom w:val="single" w:sz="8" w:color="0000FF"/>
            </w:tcBorders>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820" w:type="dxa"/>
            <w:vAlign w:val="bottom"/>
            <w:tcBorders>
              <w:top w:val="single" w:sz="8" w:color="0000FF"/>
              <w:bottom w:val="single" w:sz="8" w:color="0000FF"/>
            </w:tcBorders>
            <w:gridSpan w:val="19"/>
          </w:tcPr>
          <w:p>
            <w:pPr>
              <w:spacing w:after="0" w:line="163" w:lineRule="exact"/>
              <w:rPr>
                <w:rFonts w:ascii="Arial" w:cs="Arial" w:eastAsia="Arial" w:hAnsi="Arial"/>
                <w:sz w:val="17"/>
                <w:szCs w:val="17"/>
                <w:color w:val="0000FF"/>
              </w:rPr>
            </w:pPr>
            <w:hyperlink r:id="rId199">
              <w:r>
                <w:rPr>
                  <w:rFonts w:ascii="Arial" w:cs="Arial" w:eastAsia="Arial" w:hAnsi="Arial"/>
                  <w:sz w:val="17"/>
                  <w:szCs w:val="17"/>
                  <w:color w:val="0000FF"/>
                </w:rPr>
                <w:t>Registrant's Registration Statement on Form S-1 (File No. 333-249074) filed on September 25, 2020)</w:t>
              </w:r>
            </w:hyperlink>
          </w:p>
        </w:tc>
        <w:tc>
          <w:tcPr>
            <w:tcW w:w="540" w:type="dxa"/>
            <w:vAlign w:val="bottom"/>
            <w:tcBorders>
              <w:top w:val="single" w:sz="8" w:color="0000FF"/>
            </w:tcBorders>
            <w:gridSpan w:val="16"/>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4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20" w:type="dxa"/>
            <w:vAlign w:val="bottom"/>
            <w:gridSpan w:val="48"/>
          </w:tcPr>
          <w:p>
            <w:pPr>
              <w:spacing w:after="0" w:line="183" w:lineRule="exact"/>
              <w:rPr>
                <w:rFonts w:ascii="Arial" w:cs="Arial" w:eastAsia="Arial" w:hAnsi="Arial"/>
                <w:sz w:val="17"/>
                <w:szCs w:val="17"/>
                <w:color w:val="0000FF"/>
              </w:rPr>
            </w:pPr>
            <w:hyperlink r:id="rId200">
              <w:r>
                <w:rPr>
                  <w:rFonts w:ascii="Arial" w:cs="Arial" w:eastAsia="Arial" w:hAnsi="Arial"/>
                  <w:sz w:val="17"/>
                  <w:szCs w:val="17"/>
                  <w:color w:val="0000FF"/>
                </w:rPr>
                <w:t>Sublease, dated May 27, 2021, by and between CBRE, Inc. and Praxis Precision Medicines, Inc. (incorporated</w:t>
              </w:r>
            </w:hyperlink>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0" w:type="dxa"/>
            <w:vAlign w:val="bottom"/>
            <w:gridSpan w:val="2"/>
            <w:vMerge w:val="restart"/>
          </w:tcPr>
          <w:p>
            <w:pPr>
              <w:spacing w:after="0"/>
              <w:rPr>
                <w:rFonts w:ascii="Arial" w:cs="Arial" w:eastAsia="Arial" w:hAnsi="Arial"/>
                <w:sz w:val="17"/>
                <w:szCs w:val="17"/>
                <w:color w:val="0000FF"/>
                <w:w w:val="93"/>
              </w:rPr>
            </w:pPr>
            <w:hyperlink r:id="rId200">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22</w:t>
              </w:r>
            </w:hyperlink>
          </w:p>
        </w:tc>
        <w:tc>
          <w:tcPr>
            <w:tcW w:w="80" w:type="dxa"/>
            <w:vAlign w:val="bottom"/>
            <w:vMerge w:val="restart"/>
          </w:tcPr>
          <w:p>
            <w:pPr>
              <w:spacing w:after="0"/>
              <w:rPr>
                <w:sz w:val="13"/>
                <w:szCs w:val="13"/>
                <w:color w:val="auto"/>
              </w:rPr>
            </w:pPr>
          </w:p>
        </w:tc>
        <w:tc>
          <w:tcPr>
            <w:tcW w:w="680" w:type="dxa"/>
            <w:vAlign w:val="bottom"/>
          </w:tcPr>
          <w:p>
            <w:pPr>
              <w:spacing w:after="0"/>
              <w:rPr>
                <w:sz w:val="13"/>
                <w:szCs w:val="13"/>
                <w:color w:val="auto"/>
              </w:rPr>
            </w:pPr>
          </w:p>
        </w:tc>
        <w:tc>
          <w:tcPr>
            <w:tcW w:w="8580" w:type="dxa"/>
            <w:vAlign w:val="bottom"/>
            <w:tcBorders>
              <w:top w:val="single" w:sz="8" w:color="0000FF"/>
            </w:tcBorders>
            <w:gridSpan w:val="42"/>
          </w:tcPr>
          <w:p>
            <w:pPr>
              <w:spacing w:after="0" w:line="150" w:lineRule="exact"/>
              <w:rPr>
                <w:rFonts w:ascii="Arial" w:cs="Arial" w:eastAsia="Arial" w:hAnsi="Arial"/>
                <w:sz w:val="17"/>
                <w:szCs w:val="17"/>
                <w:color w:val="0000FF"/>
              </w:rPr>
            </w:pPr>
            <w:hyperlink r:id="rId200">
              <w:r>
                <w:rPr>
                  <w:rFonts w:ascii="Arial" w:cs="Arial" w:eastAsia="Arial" w:hAnsi="Arial"/>
                  <w:sz w:val="17"/>
                  <w:szCs w:val="17"/>
                  <w:color w:val="0000FF"/>
                </w:rPr>
                <w:t>by reference to Exhibit 10.1 to the Registrant's Current Report on Form 8-K (File No. 001-39620) filed on June</w:t>
              </w:r>
            </w:hyperlink>
          </w:p>
        </w:tc>
        <w:tc>
          <w:tcPr>
            <w:tcW w:w="14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0" w:type="dxa"/>
            <w:vAlign w:val="bottom"/>
            <w:tcBorders>
              <w:bottom w:val="single" w:sz="8" w:color="0000FF"/>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Borders>
              <w:top w:val="single" w:sz="8" w:color="0000FF"/>
              <w:bottom w:val="single" w:sz="8" w:color="0000FF"/>
            </w:tcBorders>
            <w:gridSpan w:val="2"/>
          </w:tcPr>
          <w:p>
            <w:pPr>
              <w:spacing w:after="0" w:line="163" w:lineRule="exact"/>
              <w:rPr>
                <w:rFonts w:ascii="Arial" w:cs="Arial" w:eastAsia="Arial" w:hAnsi="Arial"/>
                <w:sz w:val="17"/>
                <w:szCs w:val="17"/>
                <w:color w:val="0000FF"/>
                <w:w w:val="99"/>
              </w:rPr>
            </w:pPr>
            <w:hyperlink r:id="rId200">
              <w:r>
                <w:rPr>
                  <w:rFonts w:ascii="Arial" w:cs="Arial" w:eastAsia="Arial" w:hAnsi="Arial"/>
                  <w:sz w:val="17"/>
                  <w:szCs w:val="17"/>
                  <w:color w:val="0000FF"/>
                  <w:w w:val="99"/>
                </w:rPr>
                <w:t>2, 2021)</w:t>
              </w:r>
            </w:hyperlink>
          </w:p>
        </w:tc>
        <w:tc>
          <w:tcPr>
            <w:tcW w:w="16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7"/>
                <w:szCs w:val="17"/>
                <w:color w:val="0000FF"/>
                <w:w w:val="93"/>
              </w:rPr>
              <w:t>19*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sz w:val="20"/>
                <w:szCs w:val="20"/>
                <w:color w:val="auto"/>
              </w:rPr>
            </w:pPr>
            <w:r>
              <w:rPr>
                <w:rFonts w:ascii="Arial" w:cs="Arial" w:eastAsia="Arial" w:hAnsi="Arial"/>
                <w:sz w:val="17"/>
                <w:szCs w:val="17"/>
                <w:color w:val="0000FF"/>
              </w:rPr>
              <w:t>Praxis Precision Medicines, Inc. Insider Trading Policy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rPr>
              <w:t>21.</w:t>
            </w:r>
            <w:r>
              <w:rPr>
                <w:rFonts w:ascii="Arial" w:cs="Arial" w:eastAsia="Arial" w:hAnsi="Arial"/>
                <w:sz w:val="17"/>
                <w:szCs w:val="17"/>
                <w:u w:val="single" w:color="auto"/>
                <w:color w:val="0000FF"/>
              </w:rPr>
              <w:t>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rPr>
              <w:t>Subsidiaries of the Registrant</w:t>
            </w:r>
          </w:p>
        </w:tc>
        <w:tc>
          <w:tcPr>
            <w:tcW w:w="7740" w:type="dxa"/>
            <w:vAlign w:val="bottom"/>
            <w:gridSpan w:val="4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rPr>
              <w:t>23.</w:t>
            </w:r>
            <w:r>
              <w:rPr>
                <w:rFonts w:ascii="Arial" w:cs="Arial" w:eastAsia="Arial" w:hAnsi="Arial"/>
                <w:sz w:val="17"/>
                <w:szCs w:val="17"/>
                <w:u w:val="single" w:color="auto"/>
                <w:color w:val="0000FF"/>
              </w:rPr>
              <w:t>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14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Consent of Ernst &amp; Young LLP, Independent Registered Public Accounting Firm</w:t>
            </w:r>
          </w:p>
        </w:tc>
        <w:tc>
          <w:tcPr>
            <w:tcW w:w="38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0" w:type="dxa"/>
            <w:vAlign w:val="bottom"/>
            <w:gridSpan w:val="3"/>
          </w:tcPr>
          <w:p>
            <w:pPr>
              <w:ind w:left="20"/>
              <w:spacing w:after="0"/>
              <w:rPr>
                <w:sz w:val="20"/>
                <w:szCs w:val="20"/>
                <w:color w:val="auto"/>
              </w:rPr>
            </w:pPr>
            <w:r>
              <w:rPr>
                <w:rFonts w:ascii="Arial" w:cs="Arial" w:eastAsia="Arial" w:hAnsi="Arial"/>
                <w:sz w:val="17"/>
                <w:szCs w:val="17"/>
                <w:color w:val="auto"/>
              </w:rPr>
              <w:t>24.1*</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gridSpan w:val="48"/>
          </w:tcPr>
          <w:p>
            <w:pPr>
              <w:spacing w:after="0"/>
              <w:rPr>
                <w:sz w:val="20"/>
                <w:szCs w:val="20"/>
                <w:color w:val="auto"/>
              </w:rPr>
            </w:pPr>
            <w:r>
              <w:rPr>
                <w:rFonts w:ascii="Arial" w:cs="Arial" w:eastAsia="Arial" w:hAnsi="Arial"/>
                <w:sz w:val="17"/>
                <w:szCs w:val="17"/>
                <w:color w:val="auto"/>
              </w:rPr>
              <w:t>Power of Attorney (included on signature page hereto)</w:t>
            </w:r>
          </w:p>
        </w:tc>
        <w:tc>
          <w:tcPr>
            <w:tcW w:w="0" w:type="dxa"/>
            <w:vAlign w:val="bottom"/>
          </w:tcPr>
          <w:p>
            <w:pPr>
              <w:spacing w:after="0"/>
              <w:rPr>
                <w:sz w:val="1"/>
                <w:szCs w:val="1"/>
                <w:color w:val="auto"/>
              </w:rPr>
            </w:pPr>
          </w:p>
        </w:tc>
      </w:tr>
      <w:tr>
        <w:trPr>
          <w:trHeight w:val="187"/>
        </w:trPr>
        <w:tc>
          <w:tcPr>
            <w:tcW w:w="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20" w:type="dxa"/>
            <w:vAlign w:val="bottom"/>
            <w:gridSpan w:val="48"/>
          </w:tcPr>
          <w:p>
            <w:pPr>
              <w:spacing w:after="0" w:line="187" w:lineRule="exact"/>
              <w:rPr>
                <w:sz w:val="20"/>
                <w:szCs w:val="20"/>
                <w:color w:val="auto"/>
              </w:rPr>
            </w:pPr>
            <w:r>
              <w:rPr>
                <w:rFonts w:ascii="Arial" w:cs="Arial" w:eastAsia="Arial" w:hAnsi="Arial"/>
                <w:sz w:val="17"/>
                <w:szCs w:val="17"/>
                <w:color w:val="0000FF"/>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0"/>
        </w:trPr>
        <w:tc>
          <w:tcPr>
            <w:tcW w:w="4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0" w:type="dxa"/>
            <w:vAlign w:val="bottom"/>
            <w:tcBorders>
              <w:top w:val="single" w:sz="8" w:color="0000FF"/>
            </w:tcBorders>
            <w:gridSpan w:val="27"/>
          </w:tcPr>
          <w:p>
            <w:pPr>
              <w:spacing w:after="0" w:line="150" w:lineRule="exact"/>
              <w:rPr>
                <w:sz w:val="20"/>
                <w:szCs w:val="20"/>
                <w:color w:val="auto"/>
              </w:rPr>
            </w:pPr>
            <w:r>
              <w:rPr>
                <w:rFonts w:ascii="Arial" w:cs="Arial" w:eastAsia="Arial" w:hAnsi="Arial"/>
                <w:sz w:val="17"/>
                <w:szCs w:val="17"/>
                <w:color w:val="0000FF"/>
              </w:rPr>
              <w:t>Exchange Act of 1934, as Adopted Pursuant to Section 302 of the Sarbanes-Oxley Act of 2002</w:t>
            </w:r>
          </w:p>
        </w:tc>
        <w:tc>
          <w:tcPr>
            <w:tcW w:w="240" w:type="dxa"/>
            <w:vAlign w:val="bottom"/>
            <w:gridSpan w:val="10"/>
          </w:tcPr>
          <w:p>
            <w:pPr>
              <w:spacing w:after="0"/>
              <w:rPr>
                <w:sz w:val="13"/>
                <w:szCs w:val="13"/>
                <w:color w:val="auto"/>
              </w:rPr>
            </w:pPr>
          </w:p>
        </w:tc>
        <w:tc>
          <w:tcPr>
            <w:tcW w:w="15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48"/>
          </w:tcPr>
          <w:p>
            <w:pPr>
              <w:spacing w:after="0"/>
              <w:rPr>
                <w:sz w:val="20"/>
                <w:szCs w:val="20"/>
                <w:color w:val="auto"/>
              </w:rPr>
            </w:pPr>
            <w:r>
              <w:rPr>
                <w:rFonts w:ascii="Arial" w:cs="Arial" w:eastAsia="Arial" w:hAnsi="Arial"/>
                <w:sz w:val="17"/>
                <w:szCs w:val="17"/>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0"/>
        </w:trPr>
        <w:tc>
          <w:tcPr>
            <w:tcW w:w="4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140" w:type="dxa"/>
            <w:vAlign w:val="bottom"/>
            <w:tcBorders>
              <w:top w:val="single" w:sz="8" w:color="0000FF"/>
            </w:tcBorders>
            <w:gridSpan w:val="26"/>
          </w:tcPr>
          <w:p>
            <w:pPr>
              <w:spacing w:after="0" w:line="138" w:lineRule="exact"/>
              <w:rPr>
                <w:sz w:val="20"/>
                <w:szCs w:val="20"/>
                <w:color w:val="auto"/>
              </w:rPr>
            </w:pPr>
            <w:r>
              <w:rPr>
                <w:rFonts w:ascii="Arial" w:cs="Arial" w:eastAsia="Arial" w:hAnsi="Arial"/>
                <w:sz w:val="15"/>
                <w:szCs w:val="15"/>
                <w:color w:val="0000FF"/>
              </w:rPr>
              <w:t>Exchange Act of 1934, as Adopted Pursuant to Section 302 of the Sarbanes-Oxley Act of 2002</w:t>
            </w:r>
          </w:p>
        </w:tc>
        <w:tc>
          <w:tcPr>
            <w:tcW w:w="300" w:type="dxa"/>
            <w:vAlign w:val="bottom"/>
            <w:gridSpan w:val="11"/>
          </w:tcPr>
          <w:p>
            <w:pPr>
              <w:spacing w:after="0"/>
              <w:rPr>
                <w:sz w:val="13"/>
                <w:szCs w:val="13"/>
                <w:color w:val="auto"/>
              </w:rPr>
            </w:pPr>
          </w:p>
        </w:tc>
        <w:tc>
          <w:tcPr>
            <w:tcW w:w="15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20" w:type="dxa"/>
            <w:vAlign w:val="bottom"/>
            <w:gridSpan w:val="13"/>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4"/>
            <w:vMerge w:val="restart"/>
          </w:tcPr>
          <w:p>
            <w:pPr>
              <w:ind w:left="20"/>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680" w:type="dxa"/>
            <w:vAlign w:val="bottom"/>
          </w:tcPr>
          <w:p>
            <w:pPr>
              <w:spacing w:after="0"/>
              <w:rPr>
                <w:sz w:val="17"/>
                <w:szCs w:val="17"/>
                <w:color w:val="auto"/>
              </w:rPr>
            </w:pPr>
          </w:p>
        </w:tc>
        <w:tc>
          <w:tcPr>
            <w:tcW w:w="10020" w:type="dxa"/>
            <w:vAlign w:val="bottom"/>
            <w:gridSpan w:val="48"/>
          </w:tcPr>
          <w:p>
            <w:pPr>
              <w:spacing w:after="0"/>
              <w:rPr>
                <w:sz w:val="20"/>
                <w:szCs w:val="20"/>
                <w:color w:val="auto"/>
              </w:rPr>
            </w:pPr>
            <w:r>
              <w:rPr>
                <w:rFonts w:ascii="Arial" w:cs="Arial" w:eastAsia="Arial" w:hAnsi="Arial"/>
                <w:sz w:val="17"/>
                <w:szCs w:val="17"/>
                <w:color w:val="0000FF"/>
              </w:rPr>
              <w:t>Certification of Principal Executive Officer and Principal Financial Officer Pursuant to 18 U.S.C. Section 1350,</w:t>
            </w:r>
          </w:p>
        </w:tc>
        <w:tc>
          <w:tcPr>
            <w:tcW w:w="0" w:type="dxa"/>
            <w:vAlign w:val="bottom"/>
          </w:tcPr>
          <w:p>
            <w:pPr>
              <w:spacing w:after="0"/>
              <w:rPr>
                <w:sz w:val="1"/>
                <w:szCs w:val="1"/>
                <w:color w:val="auto"/>
              </w:rPr>
            </w:pPr>
          </w:p>
        </w:tc>
      </w:tr>
      <w:tr>
        <w:trPr>
          <w:trHeight w:val="170"/>
        </w:trPr>
        <w:tc>
          <w:tcPr>
            <w:tcW w:w="54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8440" w:type="dxa"/>
            <w:vAlign w:val="bottom"/>
            <w:tcBorders>
              <w:top w:val="single" w:sz="8" w:color="0000FF"/>
            </w:tcBorders>
            <w:gridSpan w:val="37"/>
          </w:tcPr>
          <w:p>
            <w:pPr>
              <w:spacing w:after="0" w:line="150" w:lineRule="exact"/>
              <w:rPr>
                <w:sz w:val="20"/>
                <w:szCs w:val="20"/>
                <w:color w:val="auto"/>
              </w:rPr>
            </w:pPr>
            <w:r>
              <w:rPr>
                <w:rFonts w:ascii="Arial" w:cs="Arial" w:eastAsia="Arial" w:hAnsi="Arial"/>
                <w:sz w:val="17"/>
                <w:szCs w:val="17"/>
                <w:color w:val="0000FF"/>
              </w:rPr>
              <w:t>as Adopted Pursuant to Section 906 of the Sarbanes-Oxley Act of 2002</w:t>
            </w:r>
          </w:p>
        </w:tc>
        <w:tc>
          <w:tcPr>
            <w:tcW w:w="15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855"/>
        </w:trPr>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tcBorders>
              <w:top w:val="single" w:sz="8" w:color="0000FF"/>
            </w:tcBorders>
            <w:gridSpan w:val="8"/>
          </w:tcPr>
          <w:p>
            <w:pPr>
              <w:ind w:left="4260"/>
              <w:spacing w:after="0"/>
              <w:rPr>
                <w:sz w:val="20"/>
                <w:szCs w:val="20"/>
                <w:color w:val="auto"/>
              </w:rPr>
            </w:pPr>
            <w:r>
              <w:rPr>
                <w:rFonts w:ascii="Arial" w:cs="Arial" w:eastAsia="Arial" w:hAnsi="Arial"/>
                <w:sz w:val="17"/>
                <w:szCs w:val="17"/>
                <w:color w:val="auto"/>
                <w:w w:val="98"/>
              </w:rPr>
              <w:t>143</w:t>
            </w: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20" w:type="dxa"/>
            <w:vAlign w:val="bottom"/>
            <w:tcBorders>
              <w:bottom w:val="single" w:sz="8" w:color="0000FF"/>
            </w:tcBorders>
            <w:gridSpan w:val="3"/>
          </w:tcPr>
          <w:p>
            <w:pPr>
              <w:spacing w:after="0"/>
              <w:rPr>
                <w:rFonts w:ascii="Arial" w:cs="Arial" w:eastAsia="Arial" w:hAnsi="Arial"/>
                <w:sz w:val="17"/>
                <w:szCs w:val="17"/>
                <w:color w:val="0000FF"/>
              </w:rPr>
            </w:pPr>
            <w:hyperlink r:id="rId203">
              <w:r>
                <w:rPr>
                  <w:rFonts w:ascii="Arial" w:cs="Arial" w:eastAsia="Arial" w:hAnsi="Arial"/>
                  <w:sz w:val="17"/>
                  <w:szCs w:val="17"/>
                  <w:color w:val="0000FF"/>
                </w:rPr>
                <w:t>Praxis Precision Medicines, Inc. Policy for Recovery of Erroneously Awarded Compensation (incorporated by</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0" w:type="dxa"/>
            <w:vAlign w:val="bottom"/>
            <w:vMerge w:val="restart"/>
          </w:tcPr>
          <w:p>
            <w:pPr>
              <w:spacing w:after="0"/>
              <w:rPr>
                <w:rFonts w:ascii="Arial" w:cs="Arial" w:eastAsia="Arial" w:hAnsi="Arial"/>
                <w:sz w:val="17"/>
                <w:szCs w:val="17"/>
                <w:color w:val="0000FF"/>
                <w:w w:val="94"/>
              </w:rPr>
            </w:pPr>
            <w:hyperlink r:id="rId203">
              <w:r>
                <w:rPr>
                  <w:rFonts w:ascii="Arial" w:cs="Arial" w:eastAsia="Arial" w:hAnsi="Arial"/>
                  <w:sz w:val="17"/>
                  <w:szCs w:val="17"/>
                  <w:color w:val="0000FF"/>
                  <w:w w:val="94"/>
                </w:rPr>
                <w:t>97</w:t>
              </w:r>
            </w:hyperlink>
          </w:p>
        </w:tc>
        <w:tc>
          <w:tcPr>
            <w:tcW w:w="1000" w:type="dxa"/>
            <w:vAlign w:val="bottom"/>
          </w:tcPr>
          <w:p>
            <w:pPr>
              <w:spacing w:after="0"/>
              <w:rPr>
                <w:sz w:val="13"/>
                <w:szCs w:val="13"/>
                <w:color w:val="auto"/>
              </w:rPr>
            </w:pPr>
          </w:p>
        </w:tc>
        <w:tc>
          <w:tcPr>
            <w:tcW w:w="7160" w:type="dxa"/>
            <w:vAlign w:val="bottom"/>
            <w:tcBorders>
              <w:bottom w:val="single" w:sz="8" w:color="0000FF"/>
            </w:tcBorders>
            <w:gridSpan w:val="2"/>
          </w:tcPr>
          <w:p>
            <w:pPr>
              <w:spacing w:after="0" w:line="150" w:lineRule="exact"/>
              <w:rPr>
                <w:rFonts w:ascii="Arial" w:cs="Arial" w:eastAsia="Arial" w:hAnsi="Arial"/>
                <w:sz w:val="17"/>
                <w:szCs w:val="17"/>
                <w:color w:val="0000FF"/>
              </w:rPr>
            </w:pPr>
            <w:hyperlink r:id="rId203">
              <w:r>
                <w:rPr>
                  <w:rFonts w:ascii="Arial" w:cs="Arial" w:eastAsia="Arial" w:hAnsi="Arial"/>
                  <w:sz w:val="17"/>
                  <w:szCs w:val="17"/>
                  <w:color w:val="0000FF"/>
                </w:rPr>
                <w:t>reference to Exhibit 97 to the Registrant's Annual Report on Form 10-K (File No. 001-39620)</w:t>
              </w:r>
            </w:hyperlink>
          </w:p>
        </w:tc>
        <w:tc>
          <w:tcPr>
            <w:tcW w:w="1320" w:type="dxa"/>
            <w:vAlign w:val="bottom"/>
            <w:tcBorders>
              <w:bottom w:val="single" w:sz="8" w:color="0000FF"/>
            </w:tcBorders>
            <w:gridSpan w:val="2"/>
          </w:tcPr>
          <w:p>
            <w:pPr>
              <w:ind w:left="20"/>
              <w:spacing w:after="0" w:line="150" w:lineRule="exact"/>
              <w:rPr>
                <w:rFonts w:ascii="Arial" w:cs="Arial" w:eastAsia="Arial" w:hAnsi="Arial"/>
                <w:sz w:val="17"/>
                <w:szCs w:val="17"/>
                <w:color w:val="0000FF"/>
              </w:rPr>
            </w:pPr>
            <w:hyperlink r:id="rId203">
              <w:r>
                <w:rPr>
                  <w:rFonts w:ascii="Arial" w:cs="Arial" w:eastAsia="Arial" w:hAnsi="Arial"/>
                  <w:sz w:val="17"/>
                  <w:szCs w:val="17"/>
                  <w:color w:val="0000FF"/>
                </w:rPr>
                <w:t>filed on March 5,</w:t>
              </w:r>
            </w:hyperlink>
          </w:p>
        </w:tc>
        <w:tc>
          <w:tcPr>
            <w:tcW w:w="0" w:type="dxa"/>
            <w:vAlign w:val="bottom"/>
          </w:tcPr>
          <w:p>
            <w:pPr>
              <w:spacing w:after="0"/>
              <w:rPr>
                <w:sz w:val="1"/>
                <w:szCs w:val="1"/>
                <w:color w:val="auto"/>
              </w:rPr>
            </w:pPr>
          </w:p>
        </w:tc>
      </w:tr>
      <w:tr>
        <w:trPr>
          <w:trHeight w:val="164"/>
        </w:trPr>
        <w:tc>
          <w:tcPr>
            <w:tcW w:w="2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7160" w:type="dxa"/>
            <w:vAlign w:val="bottom"/>
            <w:gridSpan w:val="2"/>
          </w:tcPr>
          <w:p>
            <w:pPr>
              <w:spacing w:after="0" w:line="163" w:lineRule="exact"/>
              <w:rPr>
                <w:rFonts w:ascii="Arial" w:cs="Arial" w:eastAsia="Arial" w:hAnsi="Arial"/>
                <w:sz w:val="17"/>
                <w:szCs w:val="17"/>
                <w:color w:val="0000FF"/>
              </w:rPr>
            </w:pPr>
            <w:hyperlink r:id="rId203">
              <w:r>
                <w:rPr>
                  <w:rFonts w:ascii="Arial" w:cs="Arial" w:eastAsia="Arial" w:hAnsi="Arial"/>
                  <w:sz w:val="17"/>
                  <w:szCs w:val="17"/>
                  <w:color w:val="0000FF"/>
                </w:rPr>
                <w:t>2024)</w:t>
              </w:r>
            </w:hyperlink>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200" w:type="dxa"/>
            <w:vAlign w:val="bottom"/>
            <w:gridSpan w:val="2"/>
          </w:tcPr>
          <w:p>
            <w:pPr>
              <w:spacing w:after="0"/>
              <w:rPr>
                <w:sz w:val="20"/>
                <w:szCs w:val="20"/>
                <w:color w:val="auto"/>
              </w:rPr>
            </w:pPr>
            <w:r>
              <w:rPr>
                <w:rFonts w:ascii="Arial" w:cs="Arial" w:eastAsia="Arial" w:hAnsi="Arial"/>
                <w:sz w:val="17"/>
                <w:szCs w:val="17"/>
                <w:color w:val="auto"/>
              </w:rPr>
              <w:t>101.INS*</w:t>
            </w:r>
          </w:p>
        </w:tc>
        <w:tc>
          <w:tcPr>
            <w:tcW w:w="8480" w:type="dxa"/>
            <w:vAlign w:val="bottom"/>
            <w:gridSpan w:val="4"/>
          </w:tcPr>
          <w:p>
            <w:pPr>
              <w:spacing w:after="0"/>
              <w:rPr>
                <w:sz w:val="20"/>
                <w:szCs w:val="20"/>
                <w:color w:val="auto"/>
              </w:rPr>
            </w:pPr>
            <w:r>
              <w:rPr>
                <w:rFonts w:ascii="Arial" w:cs="Arial" w:eastAsia="Arial" w:hAnsi="Arial"/>
                <w:sz w:val="17"/>
                <w:szCs w:val="17"/>
                <w:color w:val="auto"/>
              </w:rPr>
              <w:t>Inline XBRL Instance Document</w:t>
            </w:r>
          </w:p>
        </w:tc>
        <w:tc>
          <w:tcPr>
            <w:tcW w:w="0" w:type="dxa"/>
            <w:vAlign w:val="bottom"/>
          </w:tcPr>
          <w:p>
            <w:pPr>
              <w:spacing w:after="0"/>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7"/>
                <w:szCs w:val="17"/>
                <w:color w:val="auto"/>
              </w:rPr>
              <w:t>101.SCH*</w:t>
            </w:r>
          </w:p>
        </w:tc>
        <w:tc>
          <w:tcPr>
            <w:tcW w:w="8480" w:type="dxa"/>
            <w:vAlign w:val="bottom"/>
            <w:gridSpan w:val="4"/>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7"/>
                <w:szCs w:val="17"/>
                <w:color w:val="auto"/>
              </w:rPr>
              <w:t>101.CAL*</w:t>
            </w:r>
          </w:p>
        </w:tc>
        <w:tc>
          <w:tcPr>
            <w:tcW w:w="8480" w:type="dxa"/>
            <w:vAlign w:val="bottom"/>
            <w:gridSpan w:val="4"/>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7"/>
                <w:szCs w:val="17"/>
                <w:color w:val="auto"/>
              </w:rPr>
              <w:t>101.DEF*</w:t>
            </w:r>
          </w:p>
        </w:tc>
        <w:tc>
          <w:tcPr>
            <w:tcW w:w="8480" w:type="dxa"/>
            <w:vAlign w:val="bottom"/>
            <w:gridSpan w:val="4"/>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7"/>
                <w:szCs w:val="17"/>
                <w:color w:val="auto"/>
              </w:rPr>
              <w:t>101.LAB*</w:t>
            </w:r>
          </w:p>
        </w:tc>
        <w:tc>
          <w:tcPr>
            <w:tcW w:w="8480" w:type="dxa"/>
            <w:vAlign w:val="bottom"/>
            <w:gridSpan w:val="4"/>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7"/>
                <w:szCs w:val="17"/>
                <w:color w:val="auto"/>
              </w:rPr>
              <w:t>101.PRE*</w:t>
            </w:r>
          </w:p>
        </w:tc>
        <w:tc>
          <w:tcPr>
            <w:tcW w:w="8480" w:type="dxa"/>
            <w:vAlign w:val="bottom"/>
            <w:gridSpan w:val="4"/>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r>
        <w:trPr>
          <w:trHeight w:val="230"/>
        </w:trPr>
        <w:tc>
          <w:tcPr>
            <w:tcW w:w="1200" w:type="dxa"/>
            <w:vAlign w:val="bottom"/>
            <w:gridSpan w:val="2"/>
          </w:tcPr>
          <w:p>
            <w:pPr>
              <w:spacing w:after="0"/>
              <w:rPr>
                <w:sz w:val="20"/>
                <w:szCs w:val="20"/>
                <w:color w:val="auto"/>
              </w:rPr>
            </w:pPr>
            <w:r>
              <w:rPr>
                <w:rFonts w:ascii="Arial" w:cs="Arial" w:eastAsia="Arial" w:hAnsi="Arial"/>
                <w:sz w:val="17"/>
                <w:szCs w:val="17"/>
                <w:color w:val="auto"/>
              </w:rPr>
              <w:t>104</w:t>
            </w:r>
          </w:p>
        </w:tc>
        <w:tc>
          <w:tcPr>
            <w:tcW w:w="8480" w:type="dxa"/>
            <w:vAlign w:val="bottom"/>
            <w:gridSpan w:val="4"/>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575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366" w:lineRule="exact"/>
        <w:rPr>
          <w:sz w:val="20"/>
          <w:szCs w:val="20"/>
          <w:color w:val="auto"/>
        </w:rPr>
      </w:pPr>
    </w:p>
    <w:p>
      <w:pPr>
        <w:ind w:left="820" w:hanging="798"/>
        <w:spacing w:after="0"/>
        <w:tabs>
          <w:tab w:leader="none" w:pos="8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certifications furnished in Exhibit 32.1 hereto are deemed to accompany this Annual Report on Form 10-K and</w:t>
      </w:r>
    </w:p>
    <w:p>
      <w:pPr>
        <w:ind w:left="820" w:right="379" w:hanging="798"/>
        <w:spacing w:after="0" w:line="226" w:lineRule="auto"/>
        <w:tabs>
          <w:tab w:leader="none" w:pos="8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8" w:lineRule="exact"/>
        <w:rPr>
          <w:sz w:val="20"/>
          <w:szCs w:val="20"/>
          <w:color w:val="auto"/>
        </w:rPr>
      </w:pPr>
    </w:p>
    <w:p>
      <w:pPr>
        <w:ind w:left="820" w:hanging="798"/>
        <w:spacing w:after="0"/>
        <w:tabs>
          <w:tab w:leader="none" w:pos="8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35" w:lineRule="exact"/>
        <w:rPr>
          <w:sz w:val="20"/>
          <w:szCs w:val="20"/>
          <w:color w:val="auto"/>
        </w:rPr>
      </w:pPr>
    </w:p>
    <w:p>
      <w:pPr>
        <w:ind w:left="820" w:right="419" w:hanging="798"/>
        <w:spacing w:after="0" w:line="243" w:lineRule="auto"/>
        <w:tabs>
          <w:tab w:leader="none" w:pos="8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in accordance with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331"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96"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PRAXIS PRECISION MEDICINES, INC.</w:t>
      </w:r>
    </w:p>
    <w:p>
      <w:pPr>
        <w:spacing w:after="0" w:line="82" w:lineRule="exact"/>
        <w:rPr>
          <w:sz w:val="20"/>
          <w:szCs w:val="20"/>
          <w:color w:val="auto"/>
        </w:rPr>
      </w:pPr>
    </w:p>
    <w:p>
      <w:pPr>
        <w:ind w:left="20"/>
        <w:spacing w:after="0"/>
        <w:tabs>
          <w:tab w:leader="none" w:pos="6460" w:val="left"/>
          <w:tab w:leader="none" w:pos="7040" w:val="left"/>
        </w:tabs>
        <w:rPr>
          <w:sz w:val="20"/>
          <w:szCs w:val="20"/>
          <w:color w:val="auto"/>
        </w:rPr>
      </w:pPr>
      <w:r>
        <w:rPr>
          <w:rFonts w:ascii="Arial" w:cs="Arial" w:eastAsia="Arial" w:hAnsi="Arial"/>
          <w:sz w:val="17"/>
          <w:szCs w:val="17"/>
          <w:color w:val="auto"/>
        </w:rPr>
        <w:t>Date: February 28,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19685</wp:posOffset>
            </wp:positionV>
            <wp:extent cx="26396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12"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Marcio Souza</w:t>
      </w:r>
    </w:p>
    <w:p>
      <w:pPr>
        <w:ind w:left="7060"/>
        <w:spacing w:after="0"/>
        <w:rPr>
          <w:sz w:val="20"/>
          <w:szCs w:val="20"/>
          <w:color w:val="auto"/>
        </w:rPr>
      </w:pPr>
      <w:r>
        <w:rPr>
          <w:rFonts w:ascii="Arial" w:cs="Arial" w:eastAsia="Arial" w:hAnsi="Arial"/>
          <w:sz w:val="17"/>
          <w:szCs w:val="17"/>
          <w:color w:val="auto"/>
        </w:rPr>
        <w:t>Chief Executive Officer</w:t>
      </w: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POWER OF ATTORNEY</w:t>
      </w:r>
    </w:p>
    <w:p>
      <w:pPr>
        <w:spacing w:after="0" w:line="226"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Each person whose individual signature appears below hereby authorizes and appoints Marcio Souza and Timothy Kelly,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73" w:lineRule="exact"/>
        <w:rPr>
          <w:sz w:val="20"/>
          <w:szCs w:val="20"/>
          <w:color w:val="auto"/>
        </w:rPr>
      </w:pPr>
    </w:p>
    <w:p>
      <w:pPr>
        <w:ind w:right="180" w:firstLine="433"/>
        <w:spacing w:after="0" w:line="30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70" w:lineRule="exact"/>
        <w:rPr>
          <w:sz w:val="20"/>
          <w:szCs w:val="20"/>
          <w:color w:val="auto"/>
        </w:rPr>
      </w:pPr>
    </w:p>
    <w:tbl>
      <w:tblPr>
        <w:tblLayout w:type="fixed"/>
        <w:tblInd w:w="440" w:type="dxa"/>
        <w:tblCellMar>
          <w:top w:w="0" w:type="dxa"/>
          <w:left w:w="0" w:type="dxa"/>
          <w:bottom w:w="0" w:type="dxa"/>
          <w:right w:w="0" w:type="dxa"/>
        </w:tblCellMar>
      </w:tblPr>
      <w:tr>
        <w:trPr>
          <w:trHeight w:val="19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Name</w:t>
            </w:r>
          </w:p>
        </w:tc>
        <w:tc>
          <w:tcPr>
            <w:tcW w:w="120" w:type="dxa"/>
            <w:vAlign w:val="bottom"/>
          </w:tcPr>
          <w:p>
            <w:pPr>
              <w:spacing w:after="0"/>
              <w:rPr>
                <w:sz w:val="16"/>
                <w:szCs w:val="16"/>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6"/>
                <w:szCs w:val="16"/>
                <w:color w:val="auto"/>
              </w:rPr>
            </w:pPr>
          </w:p>
        </w:tc>
        <w:tc>
          <w:tcPr>
            <w:tcW w:w="188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98"/>
              </w:rPr>
              <w:t>Date</w:t>
            </w:r>
          </w:p>
        </w:tc>
      </w:tr>
      <w:tr>
        <w:trPr>
          <w:trHeight w:val="387"/>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Marcio Souza</w:t>
            </w:r>
          </w:p>
        </w:tc>
        <w:tc>
          <w:tcPr>
            <w:tcW w:w="120" w:type="dxa"/>
            <w:vAlign w:val="bottom"/>
          </w:tcPr>
          <w:p>
            <w:pPr>
              <w:spacing w:after="0"/>
              <w:rPr>
                <w:sz w:val="24"/>
                <w:szCs w:val="24"/>
                <w:color w:val="auto"/>
              </w:rPr>
            </w:pPr>
          </w:p>
        </w:tc>
        <w:tc>
          <w:tcPr>
            <w:tcW w:w="5800" w:type="dxa"/>
            <w:vAlign w:val="bottom"/>
            <w:gridSpan w:val="2"/>
          </w:tcPr>
          <w:p>
            <w:pPr>
              <w:jc w:val="center"/>
              <w:ind w:right="260"/>
              <w:spacing w:after="0"/>
              <w:rPr>
                <w:sz w:val="20"/>
                <w:szCs w:val="20"/>
                <w:color w:val="auto"/>
              </w:rPr>
            </w:pPr>
            <w:r>
              <w:rPr>
                <w:rFonts w:ascii="Arial" w:cs="Arial" w:eastAsia="Arial" w:hAnsi="Arial"/>
                <w:sz w:val="17"/>
                <w:szCs w:val="17"/>
                <w:color w:val="auto"/>
              </w:rPr>
              <w:t>Chief Executive Officer and Director (Principal Executive Officer)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28, 2025</w:t>
            </w:r>
          </w:p>
        </w:tc>
      </w:tr>
      <w:tr>
        <w:trPr>
          <w:trHeight w:val="233"/>
        </w:trPr>
        <w:tc>
          <w:tcPr>
            <w:tcW w:w="3100" w:type="dxa"/>
            <w:vAlign w:val="bottom"/>
          </w:tcPr>
          <w:p>
            <w:pPr>
              <w:jc w:val="center"/>
              <w:spacing w:after="0"/>
              <w:rPr>
                <w:sz w:val="20"/>
                <w:szCs w:val="20"/>
                <w:color w:val="auto"/>
              </w:rPr>
            </w:pPr>
            <w:r>
              <w:rPr>
                <w:rFonts w:ascii="Arial" w:cs="Arial" w:eastAsia="Arial" w:hAnsi="Arial"/>
                <w:sz w:val="17"/>
                <w:szCs w:val="17"/>
                <w:color w:val="auto"/>
              </w:rPr>
              <w:t>Marcio Souza</w:t>
            </w:r>
          </w:p>
        </w:tc>
        <w:tc>
          <w:tcPr>
            <w:tcW w:w="1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0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Timothy Kelly</w:t>
            </w:r>
          </w:p>
        </w:tc>
        <w:tc>
          <w:tcPr>
            <w:tcW w:w="120" w:type="dxa"/>
            <w:vAlign w:val="bottom"/>
          </w:tcPr>
          <w:p>
            <w:pPr>
              <w:spacing w:after="0"/>
              <w:rPr>
                <w:sz w:val="24"/>
                <w:szCs w:val="24"/>
                <w:color w:val="auto"/>
              </w:rPr>
            </w:pPr>
          </w:p>
        </w:tc>
        <w:tc>
          <w:tcPr>
            <w:tcW w:w="5800" w:type="dxa"/>
            <w:vAlign w:val="bottom"/>
            <w:gridSpan w:val="2"/>
          </w:tcPr>
          <w:p>
            <w:pPr>
              <w:jc w:val="center"/>
              <w:ind w:right="260"/>
              <w:spacing w:after="0"/>
              <w:rPr>
                <w:sz w:val="20"/>
                <w:szCs w:val="20"/>
                <w:color w:val="auto"/>
              </w:rPr>
            </w:pPr>
            <w:r>
              <w:rPr>
                <w:rFonts w:ascii="Arial" w:cs="Arial" w:eastAsia="Arial" w:hAnsi="Arial"/>
                <w:sz w:val="17"/>
                <w:szCs w:val="17"/>
                <w:color w:val="auto"/>
              </w:rPr>
              <w:t>Chief Financial Officer (Principal Financial Officer)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28, 2025</w:t>
            </w:r>
          </w:p>
        </w:tc>
      </w:tr>
      <w:tr>
        <w:trPr>
          <w:trHeight w:val="233"/>
        </w:trPr>
        <w:tc>
          <w:tcPr>
            <w:tcW w:w="3100" w:type="dxa"/>
            <w:vAlign w:val="bottom"/>
          </w:tcPr>
          <w:p>
            <w:pPr>
              <w:jc w:val="center"/>
              <w:spacing w:after="0"/>
              <w:rPr>
                <w:sz w:val="20"/>
                <w:szCs w:val="20"/>
                <w:color w:val="auto"/>
              </w:rPr>
            </w:pPr>
            <w:r>
              <w:rPr>
                <w:rFonts w:ascii="Arial" w:cs="Arial" w:eastAsia="Arial" w:hAnsi="Arial"/>
                <w:sz w:val="17"/>
                <w:szCs w:val="17"/>
                <w:color w:val="auto"/>
              </w:rPr>
              <w:t>Timothy Kelly</w:t>
            </w:r>
          </w:p>
        </w:tc>
        <w:tc>
          <w:tcPr>
            <w:tcW w:w="1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0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Lauren Mastrocola</w:t>
            </w:r>
          </w:p>
        </w:tc>
        <w:tc>
          <w:tcPr>
            <w:tcW w:w="120" w:type="dxa"/>
            <w:vAlign w:val="bottom"/>
          </w:tcPr>
          <w:p>
            <w:pPr>
              <w:spacing w:after="0"/>
              <w:rPr>
                <w:sz w:val="24"/>
                <w:szCs w:val="24"/>
                <w:color w:val="auto"/>
              </w:rPr>
            </w:pPr>
          </w:p>
        </w:tc>
        <w:tc>
          <w:tcPr>
            <w:tcW w:w="5800" w:type="dxa"/>
            <w:vAlign w:val="bottom"/>
            <w:gridSpan w:val="2"/>
          </w:tcPr>
          <w:p>
            <w:pPr>
              <w:jc w:val="center"/>
              <w:ind w:right="260"/>
              <w:spacing w:after="0"/>
              <w:rPr>
                <w:sz w:val="20"/>
                <w:szCs w:val="20"/>
                <w:color w:val="auto"/>
              </w:rPr>
            </w:pPr>
            <w:r>
              <w:rPr>
                <w:rFonts w:ascii="Arial" w:cs="Arial" w:eastAsia="Arial" w:hAnsi="Arial"/>
                <w:sz w:val="17"/>
                <w:szCs w:val="17"/>
                <w:color w:val="auto"/>
              </w:rPr>
              <w:t>Principal Accounting Officer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28, 2025</w:t>
            </w:r>
          </w:p>
        </w:tc>
      </w:tr>
      <w:tr>
        <w:trPr>
          <w:trHeight w:val="246"/>
        </w:trPr>
        <w:tc>
          <w:tcPr>
            <w:tcW w:w="3100" w:type="dxa"/>
            <w:vAlign w:val="bottom"/>
          </w:tcPr>
          <w:p>
            <w:pPr>
              <w:jc w:val="center"/>
              <w:spacing w:after="0"/>
              <w:rPr>
                <w:sz w:val="20"/>
                <w:szCs w:val="20"/>
                <w:color w:val="auto"/>
              </w:rPr>
            </w:pPr>
            <w:r>
              <w:rPr>
                <w:rFonts w:ascii="Arial" w:cs="Arial" w:eastAsia="Arial" w:hAnsi="Arial"/>
                <w:sz w:val="17"/>
                <w:szCs w:val="17"/>
                <w:color w:val="auto"/>
              </w:rPr>
              <w:t>Lauren Mastrocola</w:t>
            </w:r>
          </w:p>
        </w:tc>
        <w:tc>
          <w:tcPr>
            <w:tcW w:w="1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377"/>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Dean Mitchell</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Chairman of the Board</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28, 2025</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Dean Mitchell</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Jeffrey Chodakewitz</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28, 2025</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Jeffrey Chodakewitz, M.D.</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Merit Cudkowicz</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28, 2025</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Merit Cudkowicz, M.D.</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Jill DeSimone</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28, 2025</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Jill DeSimone</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Gregory Norden</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28, 2025</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Gregory Norden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William Young</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28, 2025</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William Young</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340"/>
          </w:cols>
          <w:pgMar w:left="320" w:top="116" w:right="2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9"/>
          <w:szCs w:val="19"/>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Praxis Precision Medicines,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20" w:lineRule="exact"/>
        <w:rPr>
          <w:sz w:val="20"/>
          <w:szCs w:val="20"/>
          <w:color w:val="auto"/>
        </w:rPr>
      </w:pPr>
    </w:p>
    <w:p>
      <w:pPr>
        <w:ind w:right="100"/>
        <w:spacing w:after="0" w:line="320" w:lineRule="auto"/>
        <w:rPr>
          <w:sz w:val="20"/>
          <w:szCs w:val="20"/>
          <w:color w:val="auto"/>
        </w:rPr>
      </w:pPr>
      <w:r>
        <w:rPr>
          <w:rFonts w:ascii="Times New Roman" w:cs="Times New Roman" w:eastAsia="Times New Roman" w:hAnsi="Times New Roman"/>
          <w:sz w:val="20"/>
          <w:szCs w:val="20"/>
          <w:color w:val="auto"/>
        </w:rPr>
        <w:t>In order to mitigate the risk of insider trading violations by officers, directors, employees and other related individuals of Praxis Precision Medicines, Inc. (the “Company”) and its subsidiaries, the Company has adopted this Insider Trading Policy (the “Policy”).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Statement of Intent</w:t>
      </w:r>
    </w:p>
    <w:p>
      <w:pPr>
        <w:spacing w:after="0" w:line="24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auto"/>
        </w:rPr>
        <w:t>The Company opposes the misuse of material nonpublic information in the trading of securities and it is the intent of this Policy to implement procedures designed to prevent trading based on material nonpublic information regarding the Company, including any of its subsidiaries. The Company also wishes to discourage certain trading in its securities by its officers, directors, employees and other related individuals that may be contrary to the interests of our shareholders. The term "officers" herein shall be defined as under Rule 16a-1(f) of the Securities Exchange Act of 1934, as amended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Covered Parties</w:t>
      </w:r>
    </w:p>
    <w:p>
      <w:pPr>
        <w:spacing w:after="0" w:line="24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1"/>
          <w:szCs w:val="21"/>
          <w:color w:val="auto"/>
        </w:rPr>
        <w:t>The Policy covers officers, directors and all other employees of, or consultants or contractors to, the Company or its subsidiaries, as well as their immediate families, and members of their households, and any entities controlled by individuals subject to the Policy, including any corporations, partnerships or trusts (“Insider(s)”). Directors, officers, employees, consultants and contractors subject to this Policy are responsible for ensuring that members of their immediate families and households comply with this Policy.</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This Policy shall not apply to any entity controlled by an Insider that engages in the investment of securities in the ordinary course of its business if such entity has established its own insider trading controls and procedures in compliance with applicable securities laws and an Insider has represented to the Company that such entity: (a) engages in the investment of securities in the ordinary course of its business; (b) has established insider trading controls and procedures in compliance with applicable securities laws; and (c) is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Covered Transactions</w:t>
      </w:r>
    </w:p>
    <w:p>
      <w:pPr>
        <w:spacing w:after="0" w:line="24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21"/>
          <w:szCs w:val="21"/>
          <w:color w:val="auto"/>
        </w:rPr>
        <w:t>This Policy applies to all transactions in the Company’s securities, including common stock, options for common stock and any other securities the Company may issue from time to time, such as preferred stock, warrants and convertible debentures, as well as to derivative securities relating to the Company’s stock, whether or not issued by the Company, such as publicly-traded options.</w:t>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1"/>
          <w:szCs w:val="21"/>
          <w:b w:val="1"/>
          <w:bCs w:val="1"/>
          <w:color w:val="auto"/>
        </w:rPr>
        <w:t>Prohibited Transactions</w:t>
      </w:r>
    </w:p>
    <w:p>
      <w:pPr>
        <w:spacing w:after="0" w:line="24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21"/>
          <w:szCs w:val="21"/>
          <w:color w:val="auto"/>
        </w:rPr>
        <w:t>No Insider shall engage in any transaction involving a purchase or sale of the Company’s securities, including any offer to purchase or offer to sell, while in possession of material nonpublic information relating to the Company and/or its securities.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No Insider shall disclose (“tip”) material nonpublic information about the Company or its subsidiaries to any other person where such 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the Company’s securities.</w:t>
      </w:r>
    </w:p>
    <w:p>
      <w:pPr>
        <w:spacing w:after="0" w:line="194" w:lineRule="exact"/>
        <w:rPr>
          <w:sz w:val="20"/>
          <w:szCs w:val="20"/>
          <w:color w:val="auto"/>
        </w:rPr>
      </w:pPr>
    </w:p>
    <w:p>
      <w:pPr>
        <w:jc w:val="both"/>
        <w:ind w:right="480"/>
        <w:spacing w:after="0" w:line="263" w:lineRule="auto"/>
        <w:rPr>
          <w:sz w:val="20"/>
          <w:szCs w:val="20"/>
          <w:color w:val="auto"/>
        </w:rPr>
      </w:pPr>
      <w:r>
        <w:rPr>
          <w:rFonts w:ascii="Times New Roman" w:cs="Times New Roman" w:eastAsia="Times New Roman" w:hAnsi="Times New Roman"/>
          <w:sz w:val="21"/>
          <w:szCs w:val="21"/>
          <w:color w:val="auto"/>
        </w:rPr>
        <w:t>No Insider shall engage in any transaction involving the purchase or sale of another company’s securities while in possession of material nonpublic information about such company when that information is obtained in the course of employment with, or the performance of services on behalf of, the Company and for which there is a relationship of trust and confidence concerning the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Permitted Transactions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prohibition on transactions in the Company’s securities under this Policy do not apply to the following permitted transactions:</w:t>
      </w:r>
    </w:p>
    <w:p>
      <w:pPr>
        <w:spacing w:after="0" w:line="244" w:lineRule="exact"/>
        <w:rPr>
          <w:sz w:val="20"/>
          <w:szCs w:val="20"/>
          <w:color w:val="auto"/>
        </w:rPr>
      </w:pPr>
    </w:p>
    <w:p>
      <w:pPr>
        <w:ind w:left="640" w:right="60" w:hanging="320"/>
        <w:spacing w:after="0" w:line="266" w:lineRule="auto"/>
        <w:tabs>
          <w:tab w:leader="none" w:pos="63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of the Company’s securities by an Insider from the Company, including without limitation pursuant to an employee stock purchase plan, or sales of the Company’s securities by an Insider to the Company;</w:t>
      </w:r>
    </w:p>
    <w:p>
      <w:pPr>
        <w:ind w:left="640" w:right="160" w:hanging="320"/>
        <w:spacing w:after="0" w:line="250" w:lineRule="auto"/>
        <w:tabs>
          <w:tab w:leader="none" w:pos="63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1"/>
          <w:szCs w:val="21"/>
          <w:u w:val="single" w:color="auto"/>
          <w:color w:val="auto"/>
        </w:rPr>
        <w:t>does</w:t>
      </w:r>
      <w:r>
        <w:rPr>
          <w:rFonts w:ascii="Times New Roman" w:cs="Times New Roman" w:eastAsia="Times New Roman" w:hAnsi="Times New Roman"/>
          <w:sz w:val="21"/>
          <w:szCs w:val="21"/>
          <w:color w:val="auto"/>
        </w:rPr>
        <w:t xml:space="preserve"> involve a market sale of the Company’s securities, and therefore would not qualify under this exception);</w:t>
      </w:r>
    </w:p>
    <w:p>
      <w:pPr>
        <w:spacing w:after="0" w:line="1" w:lineRule="exact"/>
        <w:rPr>
          <w:rFonts w:ascii="Times New Roman" w:cs="Times New Roman" w:eastAsia="Times New Roman" w:hAnsi="Times New Roman"/>
          <w:sz w:val="21"/>
          <w:szCs w:val="21"/>
          <w:color w:val="auto"/>
        </w:rPr>
      </w:pPr>
    </w:p>
    <w:p>
      <w:pPr>
        <w:ind w:left="640" w:right="80" w:hanging="320"/>
        <w:spacing w:after="0" w:line="247" w:lineRule="auto"/>
        <w:tabs>
          <w:tab w:leader="none" w:pos="63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bona fide </w:t>
      </w:r>
      <w:r>
        <w:rPr>
          <w:rFonts w:ascii="Times New Roman" w:cs="Times New Roman" w:eastAsia="Times New Roman" w:hAnsi="Times New Roman"/>
          <w:sz w:val="21"/>
          <w:szCs w:val="21"/>
          <w:color w:val="auto"/>
        </w:rPr>
        <w:t>gifts of the Company’s securities, unless the person making the gift has reason to believe, or is reckless in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determining, that the recipient intends to sell the securities while the donor is in possession of material nonpublic information about the Company; or</w:t>
      </w:r>
    </w:p>
    <w:p>
      <w:pPr>
        <w:spacing w:after="0" w:line="1" w:lineRule="exact"/>
        <w:rPr>
          <w:rFonts w:ascii="Times New Roman" w:cs="Times New Roman" w:eastAsia="Times New Roman" w:hAnsi="Times New Roman"/>
          <w:sz w:val="21"/>
          <w:szCs w:val="21"/>
          <w:color w:val="auto"/>
        </w:rPr>
      </w:pPr>
    </w:p>
    <w:p>
      <w:pPr>
        <w:ind w:left="640" w:right="120" w:hanging="320"/>
        <w:spacing w:after="0" w:line="258" w:lineRule="auto"/>
        <w:tabs>
          <w:tab w:leader="none" w:pos="63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or sales of the Company’s securities made pursuant to a plan entered into and conducted in good faith in accordance with the Exchange Act Rule 10b5-1 (“Rule 10b5-1”). For more information about Rule 10b5-1 trading plans, see “10b5-1 Trading Plans”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Prohibited Transactions</w:t>
      </w:r>
    </w:p>
    <w:p>
      <w:pPr>
        <w:sectPr>
          <w:pgSz w:w="11900" w:h="16838" w:orient="portrait"/>
          <w:cols w:equalWidth="0" w:num="1">
            <w:col w:w="11240"/>
          </w:cols>
          <w:pgMar w:left="320" w:top="1380" w:right="339" w:bottom="1440" w:gutter="0" w:footer="0" w:header="0"/>
        </w:sectPr>
      </w:pPr>
    </w:p>
    <w:bookmarkStart w:id="155" w:name="page156"/>
    <w:bookmarkEnd w:id="155"/>
    <w:p>
      <w:pPr>
        <w:ind w:right="20"/>
        <w:spacing w:after="0" w:line="253" w:lineRule="auto"/>
        <w:rPr>
          <w:sz w:val="20"/>
          <w:szCs w:val="20"/>
          <w:color w:val="auto"/>
        </w:rPr>
      </w:pPr>
      <w:r>
        <w:rPr>
          <w:rFonts w:ascii="Times New Roman" w:cs="Times New Roman" w:eastAsia="Times New Roman" w:hAnsi="Times New Roman"/>
          <w:sz w:val="21"/>
          <w:szCs w:val="21"/>
          <w:color w:val="auto"/>
        </w:rPr>
        <w:t>No officer or director shall, at any time, engage in any transactions involving any short sales, hedging or derivatives of Company securities, including trading in futures and derivative securities and engaging in hedging activities relating to Company securities, including exchange traded options, puts, calls, collars, forward sale contracts, equity swaps, exchange funds or other arrangements or instruments designed to hedge or offset decreases in the market value of our securities, purchases of the Company’s securities on margin (other than in connection with a cashless exercise of stock options through a broker under the Company’s equity plans), or pledge of the Company’s securities as collateral to secure loans. While employees (other than officers) are not prohibited by this Policy from engaging in these transactions, the Company discourages employees from such activity because there is a heightened legal risk and/or the appearance of improper or inappropriate conduct if Insiders engage in these transactions. In addition, these types of transactions may result in transactions in Company securities during a Closed Window (defined below). Limit orders with brokers should not extend into a Closed Window and be cancellable upon an imposition of a Closed Window. Employees interested in trading during a Closed Window should look into adopting a 10b5-1 trading plan, as described in “10b5-1 Trading Plans”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Trading Window</w:t>
      </w:r>
    </w:p>
    <w:p>
      <w:pPr>
        <w:spacing w:after="0" w:line="24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 xml:space="preserve">The Company has determined that all officers, directors, and those other persons identified on </w:t>
      </w:r>
      <w:r>
        <w:rPr>
          <w:rFonts w:ascii="Times New Roman" w:cs="Times New Roman" w:eastAsia="Times New Roman" w:hAnsi="Times New Roman"/>
          <w:sz w:val="20"/>
          <w:szCs w:val="20"/>
          <w:u w:val="single" w:color="auto"/>
          <w:color w:val="auto"/>
        </w:rPr>
        <w:t>Attachment 1</w:t>
      </w:r>
      <w:r>
        <w:rPr>
          <w:rFonts w:ascii="Times New Roman" w:cs="Times New Roman" w:eastAsia="Times New Roman" w:hAnsi="Times New Roman"/>
          <w:sz w:val="20"/>
          <w:szCs w:val="20"/>
          <w:color w:val="auto"/>
        </w:rPr>
        <w:t xml:space="preserve"> hereto (as may be amended from time to time by the Compliance Officer (as defined below)), shall be prohibited from buying, selling or otherwise effecting transactions in any stock or other securities of the Company or derivative securities thereof during a “Closed Window,” except for purchases and sales made pursuant to the permitted transactions described in “Permitted Transactions” above. The Closed Window shall remain in effect until the Company communicates that it is opening the window to permit trading in any stock or other securities of the Company or derivative securities thereof, which the Company anticipates will occur each fiscal quarter. In addition, from time to time, the Company, through the Company’s Board of Directors (the “Board of Directors”), the Company’s disclosure committee or the Compliance Officer, may recommend that officers, directors, employees or others suspend trading in the Company’s securities because of developments that have not yet been disclosed to the public. All of those affected should not trade in the Company’s securities while the suspension is in effect, and should not disclose to others that the Company has suspended trading.</w:t>
      </w:r>
    </w:p>
    <w:p>
      <w:pPr>
        <w:spacing w:after="0" w:line="18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1"/>
          <w:szCs w:val="21"/>
          <w:color w:val="auto"/>
        </w:rPr>
        <w:t>Exceptions to a Closed Window may be approved only by the Compliance Officer or, in the case of an exception for the Compliance Officer or persons or entities subject to this policy as a result of their relationship with the Compliance Officer, the Chief Executive Officer or, in the case of exceptions for directors or persons or entities subject to this policy as a result of their relationship with a director, the Board of Directors.</w:t>
      </w:r>
    </w:p>
    <w:p>
      <w:pPr>
        <w:spacing w:after="0" w:line="18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21"/>
          <w:szCs w:val="21"/>
          <w:color w:val="auto"/>
        </w:rPr>
        <w:t>It should be noted that even outside of a Closed Window, any person possessing material nonpublic information should not engage in any transactions in the Company’s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Pre-clearance of Trades and Other Transactions by Officers and Directors</w:t>
      </w:r>
    </w:p>
    <w:p>
      <w:pPr>
        <w:sectPr>
          <w:pgSz w:w="11900" w:h="16838" w:orient="portrait"/>
          <w:cols w:equalWidth="0" w:num="1">
            <w:col w:w="11240"/>
          </w:cols>
          <w:pgMar w:left="320" w:top="1384" w:right="339" w:bottom="1440" w:gutter="0" w:footer="0" w:header="0"/>
        </w:sectPr>
      </w:pPr>
    </w:p>
    <w:bookmarkStart w:id="156" w:name="page157"/>
    <w:bookmarkEnd w:id="156"/>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All officers, directors, employees, consultants and contractors of the Company (the “Pre-Clearance Persons”) must refrain from all transactions (including without limitation, acquisitions and dispositions of Company stock (including by gift), the exercise of stock options and the sale of Company stock issued upon exercise of stock options) in the Company’s securities, even outside of a Closed Window, without first seeking pre-clearance from the Compliance Officer or his/her designee, or, in the event the Compliance Officer is seeking pre-clearance, the Company’s Chief Financial Officer, and obtaining pre-clearance to effect a transaction in the Company’s securities.</w:t>
      </w:r>
    </w:p>
    <w:p>
      <w:pPr>
        <w:spacing w:after="0" w:line="19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color w:val="auto"/>
        </w:rPr>
        <w:t>In addition, all officers and directors are required to comply with Section 16 of the Exchange Act, and related rules and regulations which set forth reporting obligations as well as limitations on “short swing” transactions. The Company is available to assist in filing Section 16 reports, however, the obligation to comply with Section 16 is personal. Please direct any inquiries concerning compliance to the Compliance Officer. Officers and directors who wish to pledge the Company's stock as collateral after October 15, 2020 must first contact the Company's Compliance Officer to request an exemption and pre-clearance to enter into the transaction.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Post-Termination Transactions</w:t>
      </w:r>
    </w:p>
    <w:p>
      <w:pPr>
        <w:spacing w:after="0" w:line="24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10b5-1 Trading Plans</w:t>
      </w:r>
    </w:p>
    <w:p>
      <w:pPr>
        <w:spacing w:after="0" w:line="35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1"/>
          <w:szCs w:val="21"/>
          <w:color w:val="auto"/>
        </w:rPr>
        <w:t>The Company permits all directors, officers and other employees to adopt trading plans in accordance with Rule 10b5-1 and otherwise pursuant to the Company’s procedure for adopting such a trading plan (a “Trading Plan”), including the Company’s guidelines for such plans attached hereto as Attachment 2 (the “Guidelines”). The restrictions on trading set forth in this Policy, including pre-clearance and Closed Windows, shall not apply to trades made pursuant to a 10b5-1 trading plan.</w:t>
      </w:r>
    </w:p>
    <w:p>
      <w:pPr>
        <w:spacing w:after="0" w:line="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1"/>
          <w:szCs w:val="21"/>
          <w:color w:val="auto"/>
        </w:rPr>
        <w:t>The Compliance Officer may impose such other conditions on the implementation and operation of the Trading Plan as the Compliance Officer deems necessary or advisable. 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more information concerning Trading Plans, contact the Compliance Officer.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Consequences for Violation</w:t>
      </w:r>
    </w:p>
    <w:p>
      <w:pPr>
        <w:sectPr>
          <w:pgSz w:w="11900" w:h="16838" w:orient="portrait"/>
          <w:cols w:equalWidth="0" w:num="1">
            <w:col w:w="11220"/>
          </w:cols>
          <w:pgMar w:left="320" w:top="1440" w:right="359" w:bottom="1440" w:gutter="0" w:footer="0" w:header="0"/>
        </w:sectPr>
      </w:pPr>
    </w:p>
    <w:bookmarkStart w:id="157" w:name="page158"/>
    <w:bookmarkEnd w:id="157"/>
    <w:p>
      <w:pPr>
        <w:ind w:right="760"/>
        <w:spacing w:after="0" w:line="280" w:lineRule="auto"/>
        <w:rPr>
          <w:sz w:val="20"/>
          <w:szCs w:val="20"/>
          <w:color w:val="auto"/>
        </w:rPr>
      </w:pPr>
      <w:r>
        <w:rPr>
          <w:rFonts w:ascii="Times New Roman" w:cs="Times New Roman" w:eastAsia="Times New Roman" w:hAnsi="Times New Roman"/>
          <w:sz w:val="21"/>
          <w:szCs w:val="21"/>
          <w:color w:val="auto"/>
        </w:rPr>
        <w:t>Employees who violate this Policy shall be subject to disciplinary action by the Company, which may include termination of employment, or ineligibility for future participation in the Company’s equity stock option and other incentive plans.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1"/>
          <w:szCs w:val="21"/>
          <w:color w:val="auto"/>
        </w:rPr>
        <w:t>Pursuant to U.S. federal and state securities laws, Insiders may be subject to criminal and civil fines and penalties as well as imprisonment for engaging in transactions in the Company’s securities at a time when they have knowledge of material nonpublic information regarding the Company or its subsidiaries. In addition, Insiders may be liable for improper transactions by any person (commonly referred to as a “tippee”) to whom they have disclosed material nonpublic information regarding the Company or its subsidiaries or to whom they have made recommendations or expressed opinions on the basis of such information as to trading in the Company’s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Individual Responsibility and Limitation of Liability</w:t>
      </w:r>
    </w:p>
    <w:p>
      <w:pPr>
        <w:spacing w:after="0" w:line="2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1"/>
          <w:szCs w:val="21"/>
          <w:color w:val="auto"/>
        </w:rPr>
        <w:t xml:space="preserve">Every officer, director and other employee, consultant and contractor has the individual responsibility to comply with this Policy, and the applicable laws of their jurisdiction.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 </w:t>
      </w:r>
      <w:r>
        <w:rPr>
          <w:rFonts w:ascii="Times New Roman" w:cs="Times New Roman" w:eastAsia="Times New Roman" w:hAnsi="Times New Roman"/>
          <w:sz w:val="21"/>
          <w:szCs w:val="21"/>
          <w:b w:val="1"/>
          <w:bCs w:val="1"/>
          <w:color w:val="auto"/>
        </w:rPr>
        <w:t>Trading in the Company’s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securities outside of a Closed Window should not be considered a “safe harbor,” and all directors, officers and other persons should use good judgment at all times.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Compliance Officer</w:t>
      </w:r>
    </w:p>
    <w:p>
      <w:pPr>
        <w:spacing w:after="0" w:line="24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21"/>
          <w:szCs w:val="21"/>
          <w:color w:val="auto"/>
        </w:rPr>
        <w:t>The Company’s General Counsel, or such other person as the Board of Directors may designate from time to time, shall serve as the Insider Trading Compliance Officer (the “Compliance Officer”). The duties of the Compliance Officer shall include, but not be limited to, the following:</w:t>
      </w:r>
    </w:p>
    <w:p>
      <w:pPr>
        <w:spacing w:after="0" w:line="50" w:lineRule="exact"/>
        <w:rPr>
          <w:sz w:val="20"/>
          <w:szCs w:val="20"/>
          <w:color w:val="auto"/>
        </w:rPr>
      </w:pPr>
    </w:p>
    <w:p>
      <w:pPr>
        <w:ind w:left="620" w:hanging="300"/>
        <w:spacing w:after="0"/>
        <w:tabs>
          <w:tab w:leader="none" w:pos="6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Pre-clearing transactions and 10b5-1 trading plans as required under this Policy.</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Assisting, as requested, in the preparation and filing of Section 16 reports (Forms 3, 4 and 5) for Section 16 reporting persons.</w:t>
      </w:r>
    </w:p>
    <w:p>
      <w:pPr>
        <w:spacing w:after="0" w:line="112" w:lineRule="exact"/>
        <w:rPr>
          <w:rFonts w:ascii="Times New Roman" w:cs="Times New Roman" w:eastAsia="Times New Roman" w:hAnsi="Times New Roman"/>
          <w:sz w:val="21"/>
          <w:szCs w:val="21"/>
          <w:color w:val="auto"/>
        </w:rPr>
      </w:pPr>
    </w:p>
    <w:p>
      <w:pPr>
        <w:ind w:left="640" w:right="200" w:hanging="320"/>
        <w:spacing w:after="0" w:line="280" w:lineRule="auto"/>
        <w:tabs>
          <w:tab w:leader="none" w:pos="6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Serving as the designated recipient at the Company of copies of reports filed with the Securities and Exchange Commission (“SEC”) by Section 16 reporting persons under Section 16 of the Exchange Act.</w:t>
      </w:r>
    </w:p>
    <w:p>
      <w:pPr>
        <w:spacing w:after="0" w:line="52" w:lineRule="exact"/>
        <w:rPr>
          <w:rFonts w:ascii="Times New Roman" w:cs="Times New Roman" w:eastAsia="Times New Roman" w:hAnsi="Times New Roman"/>
          <w:sz w:val="21"/>
          <w:szCs w:val="21"/>
          <w:color w:val="auto"/>
        </w:rPr>
      </w:pPr>
    </w:p>
    <w:p>
      <w:pPr>
        <w:ind w:left="640" w:right="300" w:hanging="320"/>
        <w:spacing w:after="0" w:line="280" w:lineRule="auto"/>
        <w:tabs>
          <w:tab w:leader="none" w:pos="6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Periodically reminding all Section 16 reporting persons regarding their obligations to report and quarterly reminders of the dates that the Closed Windows described above begin and end.</w:t>
      </w:r>
    </w:p>
    <w:p>
      <w:pPr>
        <w:spacing w:after="0" w:line="39"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Circulating this Policy to all employees, including Section 16 reporting persons, on an annual basis.</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Assisting the Company in implementation of this Policy.</w:t>
      </w:r>
    </w:p>
    <w:p>
      <w:pPr>
        <w:sectPr>
          <w:pgSz w:w="11900" w:h="16838" w:orient="portrait"/>
          <w:cols w:equalWidth="0" w:num="1">
            <w:col w:w="11220"/>
          </w:cols>
          <w:pgMar w:left="320" w:top="1384" w:right="359" w:bottom="1440" w:gutter="0" w:footer="0" w:header="0"/>
        </w:sectPr>
      </w:pPr>
    </w:p>
    <w:bookmarkStart w:id="158" w:name="page159"/>
    <w:bookmarkEnd w:id="158"/>
    <w:p>
      <w:pPr>
        <w:spacing w:after="0" w:line="50" w:lineRule="exact"/>
        <w:rPr>
          <w:sz w:val="20"/>
          <w:szCs w:val="20"/>
          <w:color w:val="auto"/>
        </w:rPr>
      </w:pPr>
    </w:p>
    <w:p>
      <w:pPr>
        <w:ind w:left="640" w:right="40" w:hanging="320"/>
        <w:spacing w:after="0" w:line="264" w:lineRule="auto"/>
        <w:tabs>
          <w:tab w:leader="none" w:pos="63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Coordinating with Company counsel regarding compliance activities with respect to Rule 144 requirements and regarding changing requirements and recommendations for compliance with Section 16 of the Exchange Act and insider trading laws to ensure that this Policy is amended as necessary to comply with such requirements.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duties may be delegated by the Compliance Officer to such other individuals as the Compliance Officer deems appropriate.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Definition of Material Nonpublic Information</w:t>
      </w:r>
    </w:p>
    <w:p>
      <w:pPr>
        <w:spacing w:after="0" w:line="2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It is not possible to define all categories of material information. However, information should be regarded as material if there is a substantial likelihood that it would be considered important to a reasonable investor in making an investment decision regarding the purchase or sale of the Company’s securities or if the information is likely to have a significant effect on the market price of the Company’s securities. Put another way, there must be a substantial likelihood that the information would be viewed by the reasonable investor as having significantly altered the total mix of information available in the market concerning the Company. Either positive or negative information may be material. Information is “nonpublic” if it is not available to the general public.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Questions concerning whether information is material nonpublic information can be directed to the Compliance Officer.</w:t>
      </w:r>
    </w:p>
    <w:p>
      <w:pPr>
        <w:sectPr>
          <w:pgSz w:w="11900" w:h="16838" w:orient="portrait"/>
          <w:cols w:equalWidth="0" w:num="1">
            <w:col w:w="11220"/>
          </w:cols>
          <w:pgMar w:left="320" w:top="1440" w:right="359" w:bottom="1440" w:gutter="0" w:footer="0" w:header="0"/>
        </w:sectPr>
      </w:pPr>
    </w:p>
    <w:bookmarkStart w:id="159" w:name="page160"/>
    <w:bookmarkEnd w:id="159"/>
    <w:p>
      <w:pPr>
        <w:jc w:val="right"/>
        <w:ind w:right="3899"/>
        <w:spacing w:after="0"/>
        <w:rPr>
          <w:sz w:val="20"/>
          <w:szCs w:val="20"/>
          <w:color w:val="auto"/>
        </w:rPr>
      </w:pPr>
      <w:r>
        <w:rPr>
          <w:rFonts w:ascii="Times New Roman" w:cs="Times New Roman" w:eastAsia="Times New Roman" w:hAnsi="Times New Roman"/>
          <w:sz w:val="21"/>
          <w:szCs w:val="21"/>
          <w:b w:val="1"/>
          <w:bCs w:val="1"/>
          <w:u w:val="single" w:color="auto"/>
          <w:color w:val="auto"/>
        </w:rPr>
        <w:t>Attachment 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Praxis employees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Praxis consultants and contractors</w:t>
      </w:r>
    </w:p>
    <w:p>
      <w:pPr>
        <w:sectPr>
          <w:pgSz w:w="11900" w:h="16838" w:orient="portrait"/>
          <w:cols w:equalWidth="0" w:num="1">
            <w:col w:w="10139"/>
          </w:cols>
          <w:pgMar w:left="320" w:top="1380" w:right="1440"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Attachment 2</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Praxis Precision Medicines, Inc.: 10b5-1 Plan Guidelines</w:t>
      </w:r>
    </w:p>
    <w:p>
      <w:pPr>
        <w:sectPr>
          <w:pgSz w:w="11900" w:h="16838" w:orient="portrait"/>
          <w:cols w:equalWidth="0" w:num="1">
            <w:col w:w="9019"/>
          </w:cols>
          <w:pgMar w:left="1440" w:top="1380" w:right="1440" w:bottom="1440" w:gutter="0" w:footer="0" w:header="0"/>
        </w:sectPr>
      </w:pPr>
    </w:p>
    <w:bookmarkStart w:id="161" w:name="page162"/>
    <w:bookmarkEnd w:id="161"/>
    <w:tbl>
      <w:tblPr>
        <w:tblLayout w:type="fixed"/>
        <w:tblInd w:w="10" w:type="dxa"/>
        <w:tblCellMar>
          <w:top w:w="0" w:type="dxa"/>
          <w:left w:w="0" w:type="dxa"/>
          <w:bottom w:w="0" w:type="dxa"/>
          <w:right w:w="0" w:type="dxa"/>
        </w:tblCellMar>
      </w:tblPr>
      <w:tr>
        <w:trPr>
          <w:trHeight w:val="279"/>
        </w:trPr>
        <w:tc>
          <w:tcPr>
            <w:tcW w:w="2200" w:type="dxa"/>
            <w:vAlign w:val="bottom"/>
          </w:tcPr>
          <w:p>
            <w:pPr>
              <w:spacing w:after="0"/>
              <w:rPr>
                <w:sz w:val="24"/>
                <w:szCs w:val="24"/>
                <w:color w:val="auto"/>
              </w:rPr>
            </w:pPr>
          </w:p>
        </w:tc>
        <w:tc>
          <w:tcPr>
            <w:tcW w:w="9060" w:type="dxa"/>
            <w:vAlign w:val="bottom"/>
            <w:gridSpan w:val="5"/>
          </w:tcPr>
          <w:p>
            <w:pPr>
              <w:ind w:left="900"/>
              <w:spacing w:after="0"/>
              <w:rPr>
                <w:sz w:val="20"/>
                <w:szCs w:val="20"/>
                <w:color w:val="auto"/>
              </w:rPr>
            </w:pPr>
            <w:r>
              <w:rPr>
                <w:rFonts w:ascii="Times New Roman" w:cs="Times New Roman" w:eastAsia="Times New Roman" w:hAnsi="Times New Roman"/>
                <w:sz w:val="21"/>
                <w:szCs w:val="21"/>
                <w:b w:val="1"/>
                <w:bCs w:val="1"/>
                <w:color w:val="auto"/>
              </w:rPr>
              <w:t>Praxis Precision Medicines, Inc.: 10b5-1 Plan Guidelines</w:t>
            </w:r>
          </w:p>
        </w:tc>
        <w:tc>
          <w:tcPr>
            <w:tcW w:w="0" w:type="dxa"/>
            <w:vAlign w:val="bottom"/>
          </w:tcPr>
          <w:p>
            <w:pPr>
              <w:spacing w:after="0"/>
              <w:rPr>
                <w:sz w:val="1"/>
                <w:szCs w:val="1"/>
                <w:color w:val="auto"/>
              </w:rPr>
            </w:pPr>
          </w:p>
        </w:tc>
      </w:tr>
      <w:tr>
        <w:trPr>
          <w:trHeight w:val="251"/>
        </w:trPr>
        <w:tc>
          <w:tcPr>
            <w:tcW w:w="22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0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1"/>
                <w:szCs w:val="21"/>
                <w:b w:val="1"/>
                <w:bCs w:val="1"/>
                <w:color w:val="auto"/>
              </w:rPr>
              <w:t>Issue</w:t>
            </w:r>
          </w:p>
        </w:tc>
        <w:tc>
          <w:tcPr>
            <w:tcW w:w="9060" w:type="dxa"/>
            <w:vAlign w:val="bottom"/>
            <w:tcBorders>
              <w:bottom w:val="single" w:sz="8" w:color="auto"/>
              <w:right w:val="single" w:sz="8" w:color="auto"/>
            </w:tcBorders>
            <w:gridSpan w:val="5"/>
            <w:shd w:val="clear" w:color="auto" w:fill="D9D9D9"/>
          </w:tcPr>
          <w:p>
            <w:pPr>
              <w:ind w:left="60"/>
              <w:spacing w:after="0"/>
              <w:rPr>
                <w:sz w:val="20"/>
                <w:szCs w:val="20"/>
                <w:color w:val="auto"/>
              </w:rPr>
            </w:pPr>
            <w:r>
              <w:rPr>
                <w:rFonts w:ascii="Times New Roman" w:cs="Times New Roman" w:eastAsia="Times New Roman" w:hAnsi="Times New Roman"/>
                <w:sz w:val="21"/>
                <w:szCs w:val="21"/>
                <w:b w:val="1"/>
                <w:bCs w:val="1"/>
                <w:color w:val="auto"/>
              </w:rPr>
              <w:t>Guidelines</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1"/>
                <w:szCs w:val="21"/>
                <w:b w:val="1"/>
                <w:bCs w:val="1"/>
                <w:color w:val="auto"/>
              </w:rPr>
              <w:t>Generally Applicable</w:t>
            </w:r>
          </w:p>
        </w:tc>
        <w:tc>
          <w:tcPr>
            <w:tcW w:w="9060" w:type="dxa"/>
            <w:vAlign w:val="bottom"/>
            <w:tcBorders>
              <w:right w:val="single" w:sz="8" w:color="auto"/>
            </w:tcBorders>
            <w:gridSpan w:val="5"/>
          </w:tcPr>
          <w:p>
            <w:pPr>
              <w:ind w:left="60"/>
              <w:spacing w:after="0" w:line="216" w:lineRule="exact"/>
              <w:rPr>
                <w:sz w:val="20"/>
                <w:szCs w:val="20"/>
                <w:color w:val="auto"/>
              </w:rPr>
            </w:pPr>
            <w:r>
              <w:rPr>
                <w:rFonts w:ascii="Times New Roman" w:cs="Times New Roman" w:eastAsia="Times New Roman" w:hAnsi="Times New Roman"/>
                <w:sz w:val="21"/>
                <w:szCs w:val="21"/>
                <w:color w:val="auto"/>
              </w:rPr>
              <w:t>The 10b5-1 trading plan (a “Plan”) must be a written, binding agreement, which the Company may retain</w:t>
            </w:r>
          </w:p>
        </w:tc>
        <w:tc>
          <w:tcPr>
            <w:tcW w:w="0" w:type="dxa"/>
            <w:vAlign w:val="bottom"/>
          </w:tcPr>
          <w:p>
            <w:pPr>
              <w:spacing w:after="0"/>
              <w:rPr>
                <w:sz w:val="1"/>
                <w:szCs w:val="1"/>
                <w:color w:val="auto"/>
              </w:rPr>
            </w:pPr>
          </w:p>
        </w:tc>
      </w:tr>
      <w:tr>
        <w:trPr>
          <w:trHeight w:val="26"/>
        </w:trPr>
        <w:tc>
          <w:tcPr>
            <w:tcW w:w="22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1"/>
                <w:szCs w:val="21"/>
                <w:b w:val="1"/>
                <w:bCs w:val="1"/>
                <w:color w:val="auto"/>
              </w:rPr>
              <w:t>Guidelines</w:t>
            </w:r>
          </w:p>
        </w:tc>
        <w:tc>
          <w:tcPr>
            <w:tcW w:w="2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2200" w:type="dxa"/>
            <w:vAlign w:val="bottom"/>
            <w:tcBorders>
              <w:left w:val="single" w:sz="8" w:color="auto"/>
              <w:right w:val="single" w:sz="8" w:color="auto"/>
            </w:tcBorders>
            <w:vMerge w:val="continue"/>
          </w:tcPr>
          <w:p>
            <w:pPr>
              <w:spacing w:after="0"/>
              <w:rPr>
                <w:sz w:val="23"/>
                <w:szCs w:val="23"/>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a copy of. The Compliance Officer must approve, in writing, each Plan, including any amendment or</w:t>
            </w: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termination. Participants must enter into a Plan in good faith and not as part of a plan or scheme to evade</w:t>
            </w:r>
          </w:p>
        </w:tc>
        <w:tc>
          <w:tcPr>
            <w:tcW w:w="0" w:type="dxa"/>
            <w:vAlign w:val="bottom"/>
          </w:tcPr>
          <w:p>
            <w:pPr>
              <w:spacing w:after="0"/>
              <w:rPr>
                <w:sz w:val="1"/>
                <w:szCs w:val="1"/>
                <w:color w:val="auto"/>
              </w:rPr>
            </w:pPr>
          </w:p>
        </w:tc>
      </w:tr>
      <w:tr>
        <w:trPr>
          <w:trHeight w:val="283"/>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the prohibitions of Rule 10b5.</w:t>
            </w:r>
          </w:p>
        </w:tc>
        <w:tc>
          <w:tcPr>
            <w:tcW w:w="0" w:type="dxa"/>
            <w:vAlign w:val="bottom"/>
          </w:tcPr>
          <w:p>
            <w:pPr>
              <w:spacing w:after="0"/>
              <w:rPr>
                <w:sz w:val="1"/>
                <w:szCs w:val="1"/>
                <w:color w:val="auto"/>
              </w:rPr>
            </w:pPr>
          </w:p>
        </w:tc>
      </w:tr>
      <w:tr>
        <w:trPr>
          <w:trHeight w:val="262"/>
        </w:trPr>
        <w:tc>
          <w:tcPr>
            <w:tcW w:w="2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Designated Broker</w:t>
            </w:r>
          </w:p>
        </w:tc>
        <w:tc>
          <w:tcPr>
            <w:tcW w:w="90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Plans with respect to PRAX equity awards must be adopted through Fidelity.</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1"/>
                <w:szCs w:val="21"/>
                <w:b w:val="1"/>
                <w:bCs w:val="1"/>
                <w:color w:val="auto"/>
              </w:rPr>
              <w:t>Timing of Entering</w:t>
            </w:r>
          </w:p>
        </w:tc>
        <w:tc>
          <w:tcPr>
            <w:tcW w:w="9060" w:type="dxa"/>
            <w:vAlign w:val="bottom"/>
            <w:tcBorders>
              <w:right w:val="single" w:sz="8" w:color="auto"/>
            </w:tcBorders>
            <w:gridSpan w:val="5"/>
          </w:tcPr>
          <w:p>
            <w:pPr>
              <w:ind w:left="60"/>
              <w:spacing w:after="0" w:line="216" w:lineRule="exact"/>
              <w:rPr>
                <w:sz w:val="20"/>
                <w:szCs w:val="20"/>
                <w:color w:val="auto"/>
              </w:rPr>
            </w:pPr>
            <w:r>
              <w:rPr>
                <w:rFonts w:ascii="Times New Roman" w:cs="Times New Roman" w:eastAsia="Times New Roman" w:hAnsi="Times New Roman"/>
                <w:sz w:val="21"/>
                <w:szCs w:val="21"/>
                <w:color w:val="auto"/>
              </w:rPr>
              <w:t>There are limits on when a Plan can be adopted, so plan ahead. In short, a participant can only set up a</w:t>
            </w:r>
          </w:p>
        </w:tc>
        <w:tc>
          <w:tcPr>
            <w:tcW w:w="0" w:type="dxa"/>
            <w:vAlign w:val="bottom"/>
          </w:tcPr>
          <w:p>
            <w:pPr>
              <w:spacing w:after="0"/>
              <w:rPr>
                <w:sz w:val="1"/>
                <w:szCs w:val="1"/>
                <w:color w:val="auto"/>
              </w:rPr>
            </w:pPr>
          </w:p>
        </w:tc>
      </w:tr>
      <w:tr>
        <w:trPr>
          <w:trHeight w:val="300"/>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Into a Plan</w:t>
            </w: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Plan when: (1) the trading window under the Company’s Insider Trading Policy is open and (2) the</w:t>
            </w:r>
          </w:p>
        </w:tc>
        <w:tc>
          <w:tcPr>
            <w:tcW w:w="0" w:type="dxa"/>
            <w:vAlign w:val="bottom"/>
          </w:tcPr>
          <w:p>
            <w:pPr>
              <w:spacing w:after="0"/>
              <w:rPr>
                <w:sz w:val="1"/>
                <w:szCs w:val="1"/>
                <w:color w:val="auto"/>
              </w:rPr>
            </w:pPr>
          </w:p>
        </w:tc>
      </w:tr>
      <w:tr>
        <w:trPr>
          <w:trHeight w:val="224"/>
        </w:trPr>
        <w:tc>
          <w:tcPr>
            <w:tcW w:w="2200" w:type="dxa"/>
            <w:vAlign w:val="bottom"/>
            <w:tcBorders>
              <w:left w:val="single" w:sz="8" w:color="auto"/>
              <w:right w:val="single" w:sz="8" w:color="auto"/>
            </w:tcBorders>
          </w:tcPr>
          <w:p>
            <w:pPr>
              <w:spacing w:after="0"/>
              <w:rPr>
                <w:sz w:val="19"/>
                <w:szCs w:val="19"/>
                <w:color w:val="auto"/>
              </w:rPr>
            </w:pPr>
          </w:p>
        </w:tc>
        <w:tc>
          <w:tcPr>
            <w:tcW w:w="9060" w:type="dxa"/>
            <w:vAlign w:val="bottom"/>
            <w:tcBorders>
              <w:right w:val="single" w:sz="8" w:color="auto"/>
            </w:tcBorders>
            <w:gridSpan w:val="5"/>
          </w:tcPr>
          <w:p>
            <w:pPr>
              <w:ind w:left="60"/>
              <w:spacing w:after="0" w:line="224" w:lineRule="exact"/>
              <w:rPr>
                <w:sz w:val="20"/>
                <w:szCs w:val="20"/>
                <w:color w:val="auto"/>
              </w:rPr>
            </w:pPr>
            <w:r>
              <w:rPr>
                <w:rFonts w:ascii="Times New Roman" w:cs="Times New Roman" w:eastAsia="Times New Roman" w:hAnsi="Times New Roman"/>
                <w:sz w:val="21"/>
                <w:szCs w:val="21"/>
                <w:color w:val="auto"/>
              </w:rPr>
              <w:t>participant does not possess material non-public information (“MNPI”) about the Company. The Plan</w:t>
            </w:r>
          </w:p>
        </w:tc>
        <w:tc>
          <w:tcPr>
            <w:tcW w:w="0" w:type="dxa"/>
            <w:vAlign w:val="bottom"/>
          </w:tcPr>
          <w:p>
            <w:pPr>
              <w:spacing w:after="0"/>
              <w:rPr>
                <w:sz w:val="1"/>
                <w:szCs w:val="1"/>
                <w:color w:val="auto"/>
              </w:rPr>
            </w:pPr>
          </w:p>
        </w:tc>
      </w:tr>
      <w:tr>
        <w:trPr>
          <w:trHeight w:val="20"/>
        </w:trPr>
        <w:tc>
          <w:tcPr>
            <w:tcW w:w="2200" w:type="dxa"/>
            <w:vAlign w:val="bottom"/>
            <w:tcBorders>
              <w:left w:val="single" w:sz="8" w:color="auto"/>
              <w:right w:val="single" w:sz="8" w:color="auto"/>
            </w:tcBorders>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2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must include a representation that, at the time of adoption, the participant does not possess any MNPI</w:t>
            </w: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about the Company and is adopting the Plan in good faith and not as part of a plan or scheme to evade</w:t>
            </w:r>
          </w:p>
        </w:tc>
        <w:tc>
          <w:tcPr>
            <w:tcW w:w="0" w:type="dxa"/>
            <w:vAlign w:val="bottom"/>
          </w:tcPr>
          <w:p>
            <w:pPr>
              <w:spacing w:after="0"/>
              <w:rPr>
                <w:sz w:val="1"/>
                <w:szCs w:val="1"/>
                <w:color w:val="auto"/>
              </w:rPr>
            </w:pPr>
          </w:p>
        </w:tc>
      </w:tr>
      <w:tr>
        <w:trPr>
          <w:trHeight w:val="283"/>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Rule 10b-5.</w:t>
            </w:r>
          </w:p>
        </w:tc>
        <w:tc>
          <w:tcPr>
            <w:tcW w:w="0" w:type="dxa"/>
            <w:vAlign w:val="bottom"/>
          </w:tcPr>
          <w:p>
            <w:pPr>
              <w:spacing w:after="0"/>
              <w:rPr>
                <w:sz w:val="1"/>
                <w:szCs w:val="1"/>
                <w:color w:val="auto"/>
              </w:rPr>
            </w:pPr>
          </w:p>
        </w:tc>
      </w:tr>
      <w:tr>
        <w:trPr>
          <w:trHeight w:val="261"/>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Preclearance of Plan</w:t>
            </w: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Before a Company insider adopts a Plan, the Compliance Officer (currently Alex Nemiroff) must pre-</w:t>
            </w:r>
          </w:p>
        </w:tc>
        <w:tc>
          <w:tcPr>
            <w:tcW w:w="0" w:type="dxa"/>
            <w:vAlign w:val="bottom"/>
          </w:tcPr>
          <w:p>
            <w:pPr>
              <w:spacing w:after="0"/>
              <w:rPr>
                <w:sz w:val="1"/>
                <w:szCs w:val="1"/>
                <w:color w:val="auto"/>
              </w:rPr>
            </w:pPr>
          </w:p>
        </w:tc>
      </w:tr>
      <w:tr>
        <w:trPr>
          <w:trHeight w:val="262"/>
        </w:trPr>
        <w:tc>
          <w:tcPr>
            <w:tcW w:w="22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clear the Plan to ensure that the Company’s policies are being complied with and the selling stockholder</w:t>
            </w: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does not have MNPI at the time the Plan is put into place. The pre-clearance review will focus on (i) the</w:t>
            </w: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existence of MNPI, (ii) the Plan provisions regarding allocation of risk and responsibilities of broker, (iii)</w:t>
            </w: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trading schedule and share amounts and (iv) termination and suspension rights and responsibilities of both</w:t>
            </w: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the Company and the participant.</w:t>
            </w: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In order to use the affirmative defense provided by Rule 10b5-1, a Plan must be put in place while the</w:t>
            </w:r>
          </w:p>
        </w:tc>
        <w:tc>
          <w:tcPr>
            <w:tcW w:w="0" w:type="dxa"/>
            <w:vAlign w:val="bottom"/>
          </w:tcPr>
          <w:p>
            <w:pPr>
              <w:spacing w:after="0"/>
              <w:rPr>
                <w:sz w:val="1"/>
                <w:szCs w:val="1"/>
                <w:color w:val="auto"/>
              </w:rPr>
            </w:pPr>
          </w:p>
        </w:tc>
      </w:tr>
      <w:tr>
        <w:trPr>
          <w:trHeight w:val="251"/>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 xml:space="preserve">insider does not have any MNPI and must be entered into in “good faith.” A participant does </w:t>
            </w:r>
            <w:r>
              <w:rPr>
                <w:rFonts w:ascii="Times New Roman" w:cs="Times New Roman" w:eastAsia="Times New Roman" w:hAnsi="Times New Roman"/>
                <w:sz w:val="21"/>
                <w:szCs w:val="21"/>
                <w:i w:val="1"/>
                <w:iCs w:val="1"/>
                <w:color w:val="auto"/>
              </w:rPr>
              <w:t>not</w:t>
            </w:r>
            <w:r>
              <w:rPr>
                <w:rFonts w:ascii="Times New Roman" w:cs="Times New Roman" w:eastAsia="Times New Roman" w:hAnsi="Times New Roman"/>
                <w:sz w:val="21"/>
                <w:szCs w:val="21"/>
                <w:color w:val="auto"/>
              </w:rPr>
              <w:t xml:space="preserve"> get the</w:t>
            </w: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benefit of the affirmative defense if a Plan is entered into while aware of MNPI, even if no trades will</w:t>
            </w:r>
          </w:p>
        </w:tc>
        <w:tc>
          <w:tcPr>
            <w:tcW w:w="0" w:type="dxa"/>
            <w:vAlign w:val="bottom"/>
          </w:tcPr>
          <w:p>
            <w:pPr>
              <w:spacing w:after="0"/>
              <w:rPr>
                <w:sz w:val="1"/>
                <w:szCs w:val="1"/>
                <w:color w:val="auto"/>
              </w:rPr>
            </w:pPr>
          </w:p>
        </w:tc>
      </w:tr>
      <w:tr>
        <w:trPr>
          <w:trHeight w:val="283"/>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occur until that MNPI becomes public.</w:t>
            </w:r>
          </w:p>
        </w:tc>
        <w:tc>
          <w:tcPr>
            <w:tcW w:w="0" w:type="dxa"/>
            <w:vAlign w:val="bottom"/>
          </w:tcPr>
          <w:p>
            <w:pPr>
              <w:spacing w:after="0"/>
              <w:rPr>
                <w:sz w:val="1"/>
                <w:szCs w:val="1"/>
                <w:color w:val="auto"/>
              </w:rPr>
            </w:pPr>
          </w:p>
        </w:tc>
      </w:tr>
      <w:tr>
        <w:trPr>
          <w:trHeight w:val="261"/>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Number of Plans</w:t>
            </w: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A participant may have only one active Plan in place at a time. However, a single Plan may contain</w:t>
            </w:r>
          </w:p>
        </w:tc>
        <w:tc>
          <w:tcPr>
            <w:tcW w:w="0" w:type="dxa"/>
            <w:vAlign w:val="bottom"/>
          </w:tcPr>
          <w:p>
            <w:pPr>
              <w:spacing w:after="0"/>
              <w:rPr>
                <w:sz w:val="1"/>
                <w:szCs w:val="1"/>
                <w:color w:val="auto"/>
              </w:rPr>
            </w:pPr>
          </w:p>
        </w:tc>
      </w:tr>
      <w:tr>
        <w:trPr>
          <w:trHeight w:val="262"/>
        </w:trPr>
        <w:tc>
          <w:tcPr>
            <w:tcW w:w="22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multiple trading strategies.</w:t>
            </w: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A participant may adopt a new Plan to replace an existing one, but only if the first scheduled trade under</w:t>
            </w:r>
          </w:p>
        </w:tc>
        <w:tc>
          <w:tcPr>
            <w:tcW w:w="0" w:type="dxa"/>
            <w:vAlign w:val="bottom"/>
          </w:tcPr>
          <w:p>
            <w:pPr>
              <w:spacing w:after="0"/>
              <w:rPr>
                <w:sz w:val="1"/>
                <w:szCs w:val="1"/>
                <w:color w:val="auto"/>
              </w:rPr>
            </w:pP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the new 10b5-1 trading plan does not occur before the last scheduled trade of the existing 10b5-1 trading</w:t>
            </w:r>
          </w:p>
        </w:tc>
        <w:tc>
          <w:tcPr>
            <w:tcW w:w="0" w:type="dxa"/>
            <w:vAlign w:val="bottom"/>
          </w:tcPr>
          <w:p>
            <w:pPr>
              <w:spacing w:after="0"/>
              <w:rPr>
                <w:sz w:val="1"/>
                <w:szCs w:val="1"/>
                <w:color w:val="auto"/>
              </w:rPr>
            </w:pPr>
          </w:p>
        </w:tc>
      </w:tr>
      <w:tr>
        <w:trPr>
          <w:trHeight w:val="283"/>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plan.</w:t>
            </w:r>
          </w:p>
        </w:tc>
        <w:tc>
          <w:tcPr>
            <w:tcW w:w="0" w:type="dxa"/>
            <w:vAlign w:val="bottom"/>
          </w:tcPr>
          <w:p>
            <w:pPr>
              <w:spacing w:after="0"/>
              <w:rPr>
                <w:sz w:val="1"/>
                <w:szCs w:val="1"/>
                <w:color w:val="auto"/>
              </w:rPr>
            </w:pPr>
          </w:p>
        </w:tc>
      </w:tr>
      <w:tr>
        <w:trPr>
          <w:trHeight w:val="262"/>
        </w:trPr>
        <w:tc>
          <w:tcPr>
            <w:tcW w:w="2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Duration of Plan</w:t>
            </w:r>
          </w:p>
        </w:tc>
        <w:tc>
          <w:tcPr>
            <w:tcW w:w="90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Each 10b5-1 trading plan must have a term of at least 6 months but no longer than 24 months.</w:t>
            </w:r>
          </w:p>
        </w:tc>
        <w:tc>
          <w:tcPr>
            <w:tcW w:w="0" w:type="dxa"/>
            <w:vAlign w:val="bottom"/>
          </w:tcPr>
          <w:p>
            <w:pPr>
              <w:spacing w:after="0"/>
              <w:rPr>
                <w:sz w:val="1"/>
                <w:szCs w:val="1"/>
                <w:color w:val="auto"/>
              </w:rPr>
            </w:pPr>
          </w:p>
        </w:tc>
      </w:tr>
    </w:tbl>
    <w:p>
      <w:pPr>
        <w:sectPr>
          <w:pgSz w:w="11900" w:h="16838" w:orient="portrait"/>
          <w:cols w:equalWidth="0" w:num="1">
            <w:col w:w="11260"/>
          </w:cols>
          <w:pgMar w:left="320" w:top="1380" w:right="319" w:bottom="1440" w:gutter="0" w:footer="0" w:header="0"/>
        </w:sectPr>
      </w:pPr>
    </w:p>
    <w:bookmarkStart w:id="162" w:name="page163"/>
    <w:bookmarkEnd w:id="1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Cooling-Off Period</w:t>
            </w:r>
          </w:p>
        </w:tc>
        <w:tc>
          <w:tcPr>
            <w:tcW w:w="90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color w:val="auto"/>
              </w:rPr>
              <w:t>Section 16 reporting persons</w:t>
            </w:r>
            <w:r>
              <w:rPr>
                <w:rFonts w:ascii="Times New Roman" w:cs="Times New Roman" w:eastAsia="Times New Roman" w:hAnsi="Times New Roman"/>
                <w:sz w:val="21"/>
                <w:szCs w:val="21"/>
                <w:color w:val="auto"/>
              </w:rPr>
              <w:t>: A Plan must include a cooling-off period that extends to the later of 90</w:t>
            </w: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days after adoption or modification of a Plan or two business days after filing the Form 10-K or Form 10-</w:t>
            </w:r>
          </w:p>
        </w:tc>
      </w:tr>
      <w:tr>
        <w:trPr>
          <w:trHeight w:val="258"/>
        </w:trPr>
        <w:tc>
          <w:tcPr>
            <w:tcW w:w="22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Q covering the fiscal quarter in which the Plan was adopted, up to a maximum of 120 days.</w:t>
            </w:r>
          </w:p>
        </w:tc>
      </w:tr>
      <w:tr>
        <w:trPr>
          <w:trHeight w:val="253"/>
        </w:trPr>
        <w:tc>
          <w:tcPr>
            <w:tcW w:w="22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color w:val="auto"/>
              </w:rPr>
              <w:t xml:space="preserve">Non-Section 16 employees and any other persons: </w:t>
            </w:r>
            <w:r>
              <w:rPr>
                <w:rFonts w:ascii="Times New Roman" w:cs="Times New Roman" w:eastAsia="Times New Roman" w:hAnsi="Times New Roman"/>
                <w:sz w:val="21"/>
                <w:szCs w:val="21"/>
                <w:color w:val="auto"/>
              </w:rPr>
              <w:t>A Plan must include a cooling-off period that</w:t>
            </w:r>
          </w:p>
        </w:tc>
      </w:tr>
      <w:tr>
        <w:trPr>
          <w:trHeight w:val="283"/>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extends 30 days after adoption or modification of a Plan.</w:t>
            </w:r>
          </w:p>
        </w:tc>
      </w:tr>
      <w:tr>
        <w:trPr>
          <w:trHeight w:val="261"/>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Trading Schedule</w:t>
            </w: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The timing of trades under a Plan must be designed to avoid raising “red flags” and assist the insider in</w:t>
            </w: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disputing a claim that the Plan was not entered into in good faith.</w:t>
            </w:r>
          </w:p>
        </w:tc>
      </w:tr>
      <w:tr>
        <w:trPr>
          <w:trHeight w:val="262"/>
        </w:trPr>
        <w:tc>
          <w:tcPr>
            <w:tcW w:w="22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In designing the Plan, avoid setting trade dates that occur in close proximity to earnings releases or other</w:t>
            </w:r>
          </w:p>
        </w:tc>
      </w:tr>
      <w:tr>
        <w:trPr>
          <w:trHeight w:val="283"/>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known significant corporate developments or announcements.</w:t>
            </w:r>
          </w:p>
        </w:tc>
      </w:tr>
      <w:tr>
        <w:trPr>
          <w:trHeight w:val="197"/>
        </w:trPr>
        <w:tc>
          <w:tcPr>
            <w:tcW w:w="220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1"/>
                <w:szCs w:val="21"/>
                <w:b w:val="1"/>
                <w:bCs w:val="1"/>
                <w:color w:val="auto"/>
              </w:rPr>
              <w:t>Modifications and</w:t>
            </w:r>
          </w:p>
        </w:tc>
        <w:tc>
          <w:tcPr>
            <w:tcW w:w="906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1"/>
                <w:szCs w:val="21"/>
                <w:color w:val="auto"/>
              </w:rPr>
              <w:t>Modifications to Plans are permitted only when the participant is not aware of any MNPI. Modifications</w:t>
            </w:r>
          </w:p>
        </w:tc>
      </w:tr>
      <w:tr>
        <w:trPr>
          <w:trHeight w:val="210"/>
        </w:trPr>
        <w:tc>
          <w:tcPr>
            <w:tcW w:w="2200" w:type="dxa"/>
            <w:vAlign w:val="bottom"/>
            <w:tcBorders>
              <w:left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21"/>
                <w:szCs w:val="21"/>
                <w:b w:val="1"/>
                <w:bCs w:val="1"/>
                <w:color w:val="auto"/>
              </w:rPr>
              <w:t>Terminations</w:t>
            </w:r>
          </w:p>
        </w:tc>
        <w:tc>
          <w:tcPr>
            <w:tcW w:w="9060" w:type="dxa"/>
            <w:vAlign w:val="bottom"/>
            <w:tcBorders>
              <w:right w:val="single" w:sz="8" w:color="auto"/>
            </w:tcBorders>
          </w:tcPr>
          <w:p>
            <w:pPr>
              <w:ind w:left="60"/>
              <w:spacing w:after="0" w:line="210" w:lineRule="exact"/>
              <w:rPr>
                <w:sz w:val="20"/>
                <w:szCs w:val="20"/>
                <w:color w:val="auto"/>
              </w:rPr>
            </w:pPr>
            <w:r>
              <w:rPr>
                <w:rFonts w:ascii="Times New Roman" w:cs="Times New Roman" w:eastAsia="Times New Roman" w:hAnsi="Times New Roman"/>
                <w:sz w:val="21"/>
                <w:szCs w:val="21"/>
                <w:color w:val="auto"/>
              </w:rPr>
              <w:t>to, and terminations of, a Trading Plan are subject to preapproval by the Compliance Officer and</w:t>
            </w:r>
          </w:p>
        </w:tc>
      </w:tr>
      <w:tr>
        <w:trPr>
          <w:trHeight w:val="210"/>
        </w:trPr>
        <w:tc>
          <w:tcPr>
            <w:tcW w:w="2200" w:type="dxa"/>
            <w:vAlign w:val="bottom"/>
            <w:tcBorders>
              <w:left w:val="single" w:sz="8" w:color="auto"/>
              <w:right w:val="single" w:sz="8" w:color="auto"/>
            </w:tcBorders>
          </w:tcPr>
          <w:p>
            <w:pPr>
              <w:spacing w:after="0"/>
              <w:rPr>
                <w:sz w:val="18"/>
                <w:szCs w:val="18"/>
                <w:color w:val="auto"/>
              </w:rPr>
            </w:pPr>
          </w:p>
        </w:tc>
        <w:tc>
          <w:tcPr>
            <w:tcW w:w="9060" w:type="dxa"/>
            <w:vAlign w:val="bottom"/>
            <w:tcBorders>
              <w:right w:val="single" w:sz="8" w:color="auto"/>
            </w:tcBorders>
          </w:tcPr>
          <w:p>
            <w:pPr>
              <w:ind w:left="60"/>
              <w:spacing w:after="0" w:line="210" w:lineRule="exact"/>
              <w:rPr>
                <w:sz w:val="20"/>
                <w:szCs w:val="20"/>
                <w:color w:val="auto"/>
              </w:rPr>
            </w:pPr>
            <w:r>
              <w:rPr>
                <w:rFonts w:ascii="Times New Roman" w:cs="Times New Roman" w:eastAsia="Times New Roman" w:hAnsi="Times New Roman"/>
                <w:sz w:val="21"/>
                <w:szCs w:val="21"/>
                <w:color w:val="auto"/>
              </w:rPr>
              <w:t>modifications of a Trading Plan that change the amount, price, or timing of the purchase or sale of the</w:t>
            </w:r>
          </w:p>
        </w:tc>
      </w:tr>
      <w:tr>
        <w:trPr>
          <w:trHeight w:val="275"/>
        </w:trPr>
        <w:tc>
          <w:tcPr>
            <w:tcW w:w="2200" w:type="dxa"/>
            <w:vAlign w:val="bottom"/>
            <w:tcBorders>
              <w:left w:val="single" w:sz="8" w:color="auto"/>
              <w:bottom w:val="single" w:sz="8" w:color="auto"/>
              <w:right w:val="single" w:sz="8" w:color="auto"/>
            </w:tcBorders>
          </w:tcPr>
          <w:p>
            <w:pPr>
              <w:spacing w:after="0"/>
              <w:rPr>
                <w:sz w:val="23"/>
                <w:szCs w:val="23"/>
                <w:color w:val="auto"/>
              </w:rPr>
            </w:pPr>
          </w:p>
        </w:tc>
        <w:tc>
          <w:tcPr>
            <w:tcW w:w="9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securities underlying a Trading Plan will trigger a new cooling-off period (as described above). .</w:t>
            </w:r>
          </w:p>
        </w:tc>
      </w:tr>
      <w:tr>
        <w:trPr>
          <w:trHeight w:val="216"/>
        </w:trPr>
        <w:tc>
          <w:tcPr>
            <w:tcW w:w="22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1"/>
                <w:szCs w:val="21"/>
                <w:b w:val="1"/>
                <w:bCs w:val="1"/>
                <w:color w:val="auto"/>
              </w:rPr>
              <w:t>Sales Outside of</w:t>
            </w:r>
          </w:p>
        </w:tc>
        <w:tc>
          <w:tcPr>
            <w:tcW w:w="906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1"/>
                <w:szCs w:val="21"/>
                <w:color w:val="auto"/>
              </w:rPr>
              <w:t>Each individual cannot complete sales of shares subject to an active Plan (“Active Shares”) outside of the</w:t>
            </w:r>
          </w:p>
        </w:tc>
      </w:tr>
      <w:tr>
        <w:trPr>
          <w:trHeight w:val="249"/>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Existing Plan</w:t>
            </w: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Plan. Note that sales of such Active Shares outside of a 10b5-1 plan could be viewed as “altering or</w:t>
            </w:r>
          </w:p>
        </w:tc>
      </w:tr>
      <w:tr>
        <w:trPr>
          <w:trHeight w:val="210"/>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9060" w:type="dxa"/>
            <w:vAlign w:val="bottom"/>
            <w:tcBorders>
              <w:bottom w:val="single" w:sz="8" w:color="auto"/>
              <w:right w:val="single" w:sz="8" w:color="auto"/>
            </w:tcBorders>
          </w:tcPr>
          <w:p>
            <w:pPr>
              <w:ind w:left="60"/>
              <w:spacing w:after="0" w:line="210" w:lineRule="exact"/>
              <w:rPr>
                <w:sz w:val="20"/>
                <w:szCs w:val="20"/>
                <w:color w:val="auto"/>
              </w:rPr>
            </w:pPr>
            <w:r>
              <w:rPr>
                <w:rFonts w:ascii="Times New Roman" w:cs="Times New Roman" w:eastAsia="Times New Roman" w:hAnsi="Times New Roman"/>
                <w:sz w:val="21"/>
                <w:szCs w:val="21"/>
                <w:color w:val="auto"/>
              </w:rPr>
              <w:t>deviating” from the approved 10b5-1 plan.</w:t>
            </w:r>
          </w:p>
        </w:tc>
      </w:tr>
      <w:tr>
        <w:trPr>
          <w:trHeight w:val="190"/>
        </w:trPr>
        <w:tc>
          <w:tcPr>
            <w:tcW w:w="2200" w:type="dxa"/>
            <w:vAlign w:val="bottom"/>
            <w:tcBorders>
              <w:left w:val="single" w:sz="8" w:color="auto"/>
              <w:right w:val="single" w:sz="8" w:color="auto"/>
            </w:tcBorders>
          </w:tcPr>
          <w:p>
            <w:pPr>
              <w:ind w:left="80"/>
              <w:spacing w:after="0" w:line="190" w:lineRule="exact"/>
              <w:rPr>
                <w:sz w:val="20"/>
                <w:szCs w:val="20"/>
                <w:color w:val="auto"/>
              </w:rPr>
            </w:pPr>
            <w:r>
              <w:rPr>
                <w:rFonts w:ascii="Times New Roman" w:cs="Times New Roman" w:eastAsia="Times New Roman" w:hAnsi="Times New Roman"/>
                <w:sz w:val="21"/>
                <w:szCs w:val="21"/>
                <w:b w:val="1"/>
                <w:bCs w:val="1"/>
                <w:color w:val="auto"/>
              </w:rPr>
              <w:t>Compliance with Rule</w:t>
            </w:r>
          </w:p>
        </w:tc>
        <w:tc>
          <w:tcPr>
            <w:tcW w:w="9060" w:type="dxa"/>
            <w:vAlign w:val="bottom"/>
            <w:tcBorders>
              <w:right w:val="single" w:sz="8" w:color="auto"/>
            </w:tcBorders>
          </w:tcPr>
          <w:p>
            <w:pPr>
              <w:ind w:left="60"/>
              <w:spacing w:after="0" w:line="190" w:lineRule="exact"/>
              <w:rPr>
                <w:sz w:val="20"/>
                <w:szCs w:val="20"/>
                <w:color w:val="auto"/>
              </w:rPr>
            </w:pPr>
            <w:r>
              <w:rPr>
                <w:rFonts w:ascii="Times New Roman" w:cs="Times New Roman" w:eastAsia="Times New Roman" w:hAnsi="Times New Roman"/>
                <w:sz w:val="21"/>
                <w:szCs w:val="21"/>
                <w:color w:val="auto"/>
              </w:rPr>
              <w:t>Each Plan must provide for specific procedures to comply with Rule 144 under the Securities Act of 1933,</w:t>
            </w:r>
          </w:p>
        </w:tc>
      </w:tr>
      <w:tr>
        <w:trPr>
          <w:trHeight w:val="275"/>
        </w:trPr>
        <w:tc>
          <w:tcPr>
            <w:tcW w:w="2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144</w:t>
            </w:r>
          </w:p>
        </w:tc>
        <w:tc>
          <w:tcPr>
            <w:tcW w:w="9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as amended, including the filing of Forms 144, when applicable.</w:t>
            </w:r>
          </w:p>
        </w:tc>
      </w:tr>
      <w:tr>
        <w:trPr>
          <w:trHeight w:val="254"/>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Section 16 Filings</w:t>
            </w: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Sales made on behalf of Section 16 filers pursuant to a Plan are required to be reported on Form 4 within</w:t>
            </w:r>
          </w:p>
        </w:tc>
      </w:tr>
      <w:tr>
        <w:trPr>
          <w:trHeight w:val="249"/>
        </w:trPr>
        <w:tc>
          <w:tcPr>
            <w:tcW w:w="2200" w:type="dxa"/>
            <w:vAlign w:val="bottom"/>
            <w:tcBorders>
              <w:left w:val="single" w:sz="8" w:color="auto"/>
              <w:right w:val="single" w:sz="8" w:color="auto"/>
            </w:tcBorders>
          </w:tcPr>
          <w:p>
            <w:pPr>
              <w:spacing w:after="0"/>
              <w:rPr>
                <w:sz w:val="21"/>
                <w:szCs w:val="21"/>
                <w:color w:val="auto"/>
              </w:rPr>
            </w:pP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two days of the sale. Each Plan must provide that the broker will promptly notify the participant and the</w:t>
            </w:r>
          </w:p>
        </w:tc>
      </w:tr>
      <w:tr>
        <w:trPr>
          <w:trHeight w:val="260"/>
        </w:trPr>
        <w:tc>
          <w:tcPr>
            <w:tcW w:w="22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Company of any trades under the plan so that, where required, the insider can make timely filings under</w:t>
            </w:r>
          </w:p>
        </w:tc>
      </w:tr>
      <w:tr>
        <w:trPr>
          <w:trHeight w:val="277"/>
        </w:trPr>
        <w:tc>
          <w:tcPr>
            <w:tcW w:w="2200" w:type="dxa"/>
            <w:vAlign w:val="bottom"/>
            <w:tcBorders>
              <w:left w:val="single" w:sz="8" w:color="auto"/>
              <w:right w:val="single" w:sz="8" w:color="auto"/>
            </w:tcBorders>
          </w:tcPr>
          <w:p>
            <w:pPr>
              <w:spacing w:after="0"/>
              <w:rPr>
                <w:sz w:val="24"/>
                <w:szCs w:val="24"/>
                <w:color w:val="auto"/>
              </w:rPr>
            </w:pPr>
          </w:p>
        </w:tc>
        <w:tc>
          <w:tcPr>
            <w:tcW w:w="9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the Exchange Act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no later than the close of business on the day of the trade).</w:t>
            </w:r>
          </w:p>
        </w:tc>
      </w:tr>
      <w:tr>
        <w:trPr>
          <w:trHeight w:val="493"/>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The Form 4 must clearly indicate in footnotes that the sales were made pursuant to a Plan.</w:t>
            </w:r>
          </w:p>
        </w:tc>
      </w:tr>
      <w:tr>
        <w:trPr>
          <w:trHeight w:val="197"/>
        </w:trPr>
        <w:tc>
          <w:tcPr>
            <w:tcW w:w="220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1"/>
                <w:szCs w:val="21"/>
                <w:b w:val="1"/>
                <w:bCs w:val="1"/>
                <w:color w:val="auto"/>
              </w:rPr>
              <w:t>Public Disclosure of a</w:t>
            </w:r>
          </w:p>
        </w:tc>
        <w:tc>
          <w:tcPr>
            <w:tcW w:w="906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1"/>
                <w:szCs w:val="21"/>
                <w:color w:val="auto"/>
              </w:rPr>
              <w:t>The Company reserves the right to publicly disclose, announce, or respond to inquiries from the media</w:t>
            </w:r>
          </w:p>
        </w:tc>
      </w:tr>
      <w:tr>
        <w:trPr>
          <w:trHeight w:val="210"/>
        </w:trPr>
        <w:tc>
          <w:tcPr>
            <w:tcW w:w="2200" w:type="dxa"/>
            <w:vAlign w:val="bottom"/>
            <w:tcBorders>
              <w:left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21"/>
                <w:szCs w:val="21"/>
                <w:b w:val="1"/>
                <w:bCs w:val="1"/>
                <w:color w:val="auto"/>
              </w:rPr>
              <w:t>Plan</w:t>
            </w:r>
          </w:p>
        </w:tc>
        <w:tc>
          <w:tcPr>
            <w:tcW w:w="9060" w:type="dxa"/>
            <w:vAlign w:val="bottom"/>
            <w:tcBorders>
              <w:right w:val="single" w:sz="8" w:color="auto"/>
            </w:tcBorders>
          </w:tcPr>
          <w:p>
            <w:pPr>
              <w:ind w:left="60"/>
              <w:spacing w:after="0" w:line="210" w:lineRule="exact"/>
              <w:rPr>
                <w:sz w:val="20"/>
                <w:szCs w:val="20"/>
                <w:color w:val="auto"/>
              </w:rPr>
            </w:pPr>
            <w:r>
              <w:rPr>
                <w:rFonts w:ascii="Times New Roman" w:cs="Times New Roman" w:eastAsia="Times New Roman" w:hAnsi="Times New Roman"/>
                <w:sz w:val="21"/>
                <w:szCs w:val="21"/>
                <w:color w:val="auto"/>
              </w:rPr>
              <w:t>regarding the adoption, modification, or termination of a Trading Plan and non-Rule 10b5-1 trading</w:t>
            </w:r>
          </w:p>
        </w:tc>
      </w:tr>
      <w:tr>
        <w:trPr>
          <w:trHeight w:val="275"/>
        </w:trPr>
        <w:tc>
          <w:tcPr>
            <w:tcW w:w="2200" w:type="dxa"/>
            <w:vAlign w:val="bottom"/>
            <w:tcBorders>
              <w:left w:val="single" w:sz="8" w:color="auto"/>
              <w:bottom w:val="single" w:sz="8" w:color="auto"/>
              <w:right w:val="single" w:sz="8" w:color="auto"/>
            </w:tcBorders>
          </w:tcPr>
          <w:p>
            <w:pPr>
              <w:spacing w:after="0"/>
              <w:rPr>
                <w:sz w:val="23"/>
                <w:szCs w:val="23"/>
                <w:color w:val="auto"/>
              </w:rPr>
            </w:pPr>
          </w:p>
        </w:tc>
        <w:tc>
          <w:tcPr>
            <w:tcW w:w="9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arrangements, or the execution of transactions made under a Trading Plan.</w:t>
            </w:r>
          </w:p>
        </w:tc>
      </w:tr>
    </w:tbl>
    <w:p>
      <w:pPr>
        <w:sectPr>
          <w:pgSz w:w="11900" w:h="16838" w:orient="portrait"/>
          <w:cols w:equalWidth="0" w:num="1">
            <w:col w:w="11260"/>
          </w:cols>
          <w:pgMar w:left="320" w:top="1405" w:right="31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Automatic</w:t>
            </w:r>
          </w:p>
        </w:tc>
        <w:tc>
          <w:tcPr>
            <w:tcW w:w="9200" w:type="dxa"/>
            <w:vAlign w:val="bottom"/>
          </w:tcPr>
          <w:p>
            <w:pPr>
              <w:ind w:left="360"/>
              <w:spacing w:after="0"/>
              <w:rPr>
                <w:sz w:val="20"/>
                <w:szCs w:val="20"/>
                <w:color w:val="auto"/>
              </w:rPr>
            </w:pPr>
            <w:r>
              <w:rPr>
                <w:rFonts w:ascii="Times New Roman" w:cs="Times New Roman" w:eastAsia="Times New Roman" w:hAnsi="Times New Roman"/>
                <w:sz w:val="21"/>
                <w:szCs w:val="21"/>
                <w:color w:val="auto"/>
                <w:w w:val="99"/>
              </w:rPr>
              <w:t>Each Plan must suspend trades or terminate if legal, regulatory, or contractual restrictions are imposed on</w:t>
            </w: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Suspensions and</w:t>
            </w:r>
          </w:p>
        </w:tc>
        <w:tc>
          <w:tcPr>
            <w:tcW w:w="92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the insider, or other events occur that would prohibit sales under such a plan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change in control</w:t>
            </w: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Terminations</w:t>
            </w:r>
          </w:p>
        </w:tc>
        <w:tc>
          <w:tcPr>
            <w:tcW w:w="9200" w:type="dxa"/>
            <w:vAlign w:val="bottom"/>
            <w:vMerge w:val="restart"/>
          </w:tcPr>
          <w:p>
            <w:pPr>
              <w:ind w:left="360"/>
              <w:spacing w:after="0"/>
              <w:rPr>
                <w:sz w:val="20"/>
                <w:szCs w:val="20"/>
                <w:color w:val="auto"/>
              </w:rPr>
            </w:pPr>
            <w:r>
              <w:rPr>
                <w:rFonts w:ascii="Times New Roman" w:cs="Times New Roman" w:eastAsia="Times New Roman" w:hAnsi="Times New Roman"/>
                <w:sz w:val="21"/>
                <w:szCs w:val="21"/>
                <w:color w:val="auto"/>
              </w:rPr>
              <w:t>transactions or public offerings).</w:t>
            </w:r>
          </w:p>
        </w:tc>
        <w:tc>
          <w:tcPr>
            <w:tcW w:w="0" w:type="dxa"/>
            <w:vAlign w:val="bottom"/>
          </w:tcPr>
          <w:p>
            <w:pPr>
              <w:spacing w:after="0"/>
              <w:rPr>
                <w:sz w:val="1"/>
                <w:szCs w:val="1"/>
                <w:color w:val="auto"/>
              </w:rPr>
            </w:pPr>
          </w:p>
        </w:tc>
      </w:tr>
      <w:tr>
        <w:trPr>
          <w:trHeight w:val="64"/>
        </w:trPr>
        <w:tc>
          <w:tcPr>
            <w:tcW w:w="1820" w:type="dxa"/>
            <w:vAlign w:val="bottom"/>
          </w:tcPr>
          <w:p>
            <w:pPr>
              <w:spacing w:after="0"/>
              <w:rPr>
                <w:sz w:val="5"/>
                <w:szCs w:val="5"/>
                <w:color w:val="auto"/>
              </w:rPr>
            </w:pPr>
          </w:p>
        </w:tc>
        <w:tc>
          <w:tcPr>
            <w:tcW w:w="9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-506095</wp:posOffset>
            </wp:positionV>
            <wp:extent cx="7144385" cy="9740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44385" cy="9740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b w:val="1"/>
          <w:bCs w:val="1"/>
          <w:color w:val="auto"/>
        </w:rPr>
        <w:t xml:space="preserve">Company Not Party to  </w:t>
      </w:r>
      <w:r>
        <w:rPr>
          <w:rFonts w:ascii="Times New Roman" w:cs="Times New Roman" w:eastAsia="Times New Roman" w:hAnsi="Times New Roman"/>
          <w:sz w:val="21"/>
          <w:szCs w:val="21"/>
          <w:color w:val="auto"/>
        </w:rPr>
        <w:t>The Plan may not have the Company as party to the Plan, although it can have a representation by the</w:t>
      </w:r>
    </w:p>
    <w:p>
      <w:pPr>
        <w:ind w:left="2180" w:right="140" w:hanging="2176"/>
        <w:spacing w:after="0" w:line="228" w:lineRule="auto"/>
        <w:tabs>
          <w:tab w:leader="none" w:pos="2160" w:val="left"/>
        </w:tabs>
        <w:rPr>
          <w:sz w:val="20"/>
          <w:szCs w:val="20"/>
          <w:color w:val="auto"/>
        </w:rPr>
      </w:pPr>
      <w:r>
        <w:rPr>
          <w:rFonts w:ascii="Times New Roman" w:cs="Times New Roman" w:eastAsia="Times New Roman" w:hAnsi="Times New Roman"/>
          <w:sz w:val="21"/>
          <w:szCs w:val="21"/>
          <w:b w:val="1"/>
          <w:bCs w:val="1"/>
          <w:color w:val="auto"/>
        </w:rPr>
        <w:t>the Plan</w:t>
      </w:r>
      <w:r>
        <w:rPr>
          <w:sz w:val="20"/>
          <w:szCs w:val="20"/>
          <w:color w:val="auto"/>
        </w:rPr>
        <w:tab/>
      </w:r>
      <w:r>
        <w:rPr>
          <w:rFonts w:ascii="Times New Roman" w:cs="Times New Roman" w:eastAsia="Times New Roman" w:hAnsi="Times New Roman"/>
          <w:sz w:val="21"/>
          <w:szCs w:val="21"/>
          <w:color w:val="auto"/>
        </w:rPr>
        <w:t>participant to the effect that the Company has reviewed the Plan and that the Plan is in compliance with Company policy.</w:t>
      </w:r>
    </w:p>
    <w:p>
      <w:pPr>
        <w:sectPr>
          <w:pgSz w:w="11900" w:h="16838" w:orient="portrait"/>
          <w:cols w:equalWidth="0" w:num="1">
            <w:col w:w="11020"/>
          </w:cols>
          <w:pgMar w:left="400" w:top="1419" w:right="47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480" w:type="dxa"/>
            <w:vAlign w:val="bottom"/>
            <w:gridSpan w:val="2"/>
          </w:tcPr>
          <w:p>
            <w:pPr>
              <w:ind w:left="400"/>
              <w:spacing w:after="0"/>
              <w:rPr>
                <w:sz w:val="20"/>
                <w:szCs w:val="20"/>
                <w:color w:val="auto"/>
              </w:rPr>
            </w:pPr>
            <w:r>
              <w:rPr>
                <w:rFonts w:ascii="Times New Roman" w:cs="Times New Roman" w:eastAsia="Times New Roman" w:hAnsi="Times New Roman"/>
                <w:sz w:val="19"/>
                <w:szCs w:val="19"/>
                <w:b w:val="1"/>
                <w:bCs w:val="1"/>
                <w:color w:val="auto"/>
              </w:rPr>
              <w:t>SUBSIDIARIES OF PRAXIS PRECISION MEDICINES, INC.</w:t>
            </w:r>
          </w:p>
        </w:tc>
      </w:tr>
      <w:tr>
        <w:trPr>
          <w:trHeight w:val="388"/>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6"/>
              </w:rPr>
              <w:t>Name</w:t>
            </w:r>
          </w:p>
        </w:tc>
        <w:tc>
          <w:tcPr>
            <w:tcW w:w="20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Jurisdiction of Formation / Incorporation</w:t>
            </w:r>
          </w:p>
        </w:tc>
      </w:tr>
      <w:tr>
        <w:trPr>
          <w:trHeight w:val="313"/>
        </w:trPr>
        <w:tc>
          <w:tcPr>
            <w:tcW w:w="2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Praxis Security Corporation</w:t>
            </w:r>
          </w:p>
        </w:tc>
        <w:tc>
          <w:tcPr>
            <w:tcW w:w="6480" w:type="dxa"/>
            <w:vAlign w:val="bottom"/>
            <w:gridSpan w:val="2"/>
          </w:tcPr>
          <w:p>
            <w:pPr>
              <w:ind w:left="3060"/>
              <w:spacing w:after="0"/>
              <w:rPr>
                <w:sz w:val="20"/>
                <w:szCs w:val="20"/>
                <w:color w:val="auto"/>
              </w:rPr>
            </w:pPr>
            <w:r>
              <w:rPr>
                <w:rFonts w:ascii="Times New Roman" w:cs="Times New Roman" w:eastAsia="Times New Roman" w:hAnsi="Times New Roman"/>
                <w:sz w:val="19"/>
                <w:szCs w:val="19"/>
                <w:color w:val="auto"/>
              </w:rPr>
              <w:t>Massachusetts</w:t>
            </w:r>
          </w:p>
        </w:tc>
      </w:tr>
    </w:tbl>
    <w:p>
      <w:pPr>
        <w:sectPr>
          <w:pgSz w:w="11900" w:h="16838" w:orient="portrait"/>
          <w:cols w:equalWidth="0" w:num="1">
            <w:col w:w="11160"/>
          </w:cols>
          <w:pgMar w:left="400" w:top="114" w:right="339" w:bottom="1440" w:gutter="0" w:footer="0" w:header="0"/>
        </w:sectPr>
      </w:pPr>
    </w:p>
    <w:bookmarkStart w:id="165" w:name="page166"/>
    <w:bookmarkEnd w:id="165"/>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159" w:lineRule="exact"/>
        <w:rPr>
          <w:sz w:val="20"/>
          <w:szCs w:val="20"/>
          <w:color w:val="auto"/>
        </w:rPr>
      </w:pPr>
    </w:p>
    <w:p>
      <w:pPr>
        <w:ind w:left="880" w:hanging="246"/>
        <w:spacing w:after="0"/>
        <w:tabs>
          <w:tab w:leader="none" w:pos="8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and related prospectus (Form S-3 No. 333-284016) of Praxis Precision Medicines, Inc.,</w:t>
      </w:r>
    </w:p>
    <w:p>
      <w:pPr>
        <w:spacing w:after="0" w:line="171" w:lineRule="exact"/>
        <w:rPr>
          <w:rFonts w:ascii="Times New Roman" w:cs="Times New Roman" w:eastAsia="Times New Roman" w:hAnsi="Times New Roman"/>
          <w:sz w:val="17"/>
          <w:szCs w:val="17"/>
          <w:color w:val="auto"/>
        </w:rPr>
      </w:pPr>
    </w:p>
    <w:p>
      <w:pPr>
        <w:jc w:val="both"/>
        <w:ind w:left="640" w:hanging="6"/>
        <w:spacing w:after="0" w:line="285" w:lineRule="auto"/>
        <w:tabs>
          <w:tab w:leader="none" w:pos="88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333-276786) pertaining to the Praxis Precision Medicines, Inc. 2024 Inducement Plan, as amended by Post-Effective Amendment No. 1 to Form S-8 Registration Statement to include the Praxis Precision Medicines, Inc. 2020 Stock Option and Incentive Plan, as Amended and Restated,</w:t>
      </w:r>
    </w:p>
    <w:p>
      <w:pPr>
        <w:spacing w:after="0" w:line="90" w:lineRule="exact"/>
        <w:rPr>
          <w:rFonts w:ascii="Times New Roman" w:cs="Times New Roman" w:eastAsia="Times New Roman" w:hAnsi="Times New Roman"/>
          <w:sz w:val="17"/>
          <w:szCs w:val="17"/>
          <w:color w:val="auto"/>
        </w:rPr>
      </w:pPr>
    </w:p>
    <w:p>
      <w:pPr>
        <w:ind w:left="640" w:hanging="6"/>
        <w:spacing w:after="0" w:line="313" w:lineRule="auto"/>
        <w:tabs>
          <w:tab w:leader="none" w:pos="89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Nos. 333-277652, 333-269615, 333-263081 and 333-254410) pertaining to the Praxis Precision Medicines, Inc. 2020 Stock Option and Incentive Plan and the Praxis Precision Medicines, Inc. 2020 Employee Stock Purchase Plan, and</w:t>
      </w:r>
    </w:p>
    <w:p>
      <w:pPr>
        <w:spacing w:after="0" w:line="67" w:lineRule="exact"/>
        <w:rPr>
          <w:rFonts w:ascii="Times New Roman" w:cs="Times New Roman" w:eastAsia="Times New Roman" w:hAnsi="Times New Roman"/>
          <w:sz w:val="17"/>
          <w:szCs w:val="17"/>
          <w:color w:val="auto"/>
        </w:rPr>
      </w:pPr>
    </w:p>
    <w:p>
      <w:pPr>
        <w:ind w:left="640" w:hanging="6"/>
        <w:spacing w:after="0" w:line="313" w:lineRule="auto"/>
        <w:tabs>
          <w:tab w:leader="none" w:pos="91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333-249522) pertaining to the Praxis Precision Medicines, Inc. 2017 Stock Incentive Plan, the Praxis Precision Medicines, Inc. 2020 Stock Option and Incentive Plan and the Praxis Precision Medicines, Inc. 2020 Employee Stock Purchase Plan;</w:t>
      </w:r>
    </w:p>
    <w:p>
      <w:pPr>
        <w:spacing w:after="0" w:line="6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of our reports dated February 28, 2025, with respect to the consolidated financial statements of Praxis Precision Medicines, Inc. and the effectiveness of internal control over financial reporting of Praxis Precision Medicines, Inc. included in this Annual Report (Form 10-K) of Praxis Precision Medicines, Inc.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2025</w:t>
      </w:r>
    </w:p>
    <w:p>
      <w:pPr>
        <w:sectPr>
          <w:pgSz w:w="11900" w:h="16838" w:orient="portrait"/>
          <w:cols w:equalWidth="0" w:num="1">
            <w:col w:w="11240"/>
          </w:cols>
          <w:pgMar w:left="320" w:top="1440"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RULES 13a-14(a) AND 15d-14(a) UNDER THE SECURITIES EXCHANGE ACT OF 1934,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Marcio Souza, certify that:</w:t>
      </w:r>
    </w:p>
    <w:p>
      <w:pPr>
        <w:spacing w:after="0" w:line="198" w:lineRule="exact"/>
        <w:rPr>
          <w:sz w:val="20"/>
          <w:szCs w:val="20"/>
          <w:color w:val="auto"/>
        </w:rPr>
      </w:pPr>
    </w:p>
    <w:p>
      <w:pPr>
        <w:ind w:left="460" w:hanging="438"/>
        <w:spacing w:after="0"/>
        <w:tabs>
          <w:tab w:leader="none" w:pos="4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Praxis Precision Medicines, Inc.;</w:t>
      </w:r>
    </w:p>
    <w:p>
      <w:pPr>
        <w:spacing w:after="0" w:line="276" w:lineRule="exact"/>
        <w:rPr>
          <w:rFonts w:ascii="Times New Roman" w:cs="Times New Roman" w:eastAsia="Times New Roman" w:hAnsi="Times New Roman"/>
          <w:sz w:val="17"/>
          <w:szCs w:val="17"/>
          <w:color w:val="auto"/>
        </w:rPr>
      </w:pPr>
    </w:p>
    <w:p>
      <w:pPr>
        <w:jc w:val="both"/>
        <w:ind w:left="460" w:right="620" w:hanging="438"/>
        <w:spacing w:after="0" w:line="277" w:lineRule="auto"/>
        <w:tabs>
          <w:tab w:leader="none" w:pos="4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7" w:lineRule="exact"/>
        <w:rPr>
          <w:rFonts w:ascii="Times New Roman" w:cs="Times New Roman" w:eastAsia="Times New Roman" w:hAnsi="Times New Roman"/>
          <w:sz w:val="17"/>
          <w:szCs w:val="17"/>
          <w:color w:val="auto"/>
        </w:rPr>
      </w:pPr>
    </w:p>
    <w:p>
      <w:pPr>
        <w:ind w:left="480" w:right="560" w:hanging="431"/>
        <w:spacing w:after="0" w:line="297" w:lineRule="auto"/>
        <w:tabs>
          <w:tab w:leader="none" w:pos="48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480" w:right="580" w:hanging="431"/>
        <w:spacing w:after="0" w:line="253" w:lineRule="auto"/>
        <w:tabs>
          <w:tab w:leader="none" w:pos="48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7"/>
          <w:szCs w:val="17"/>
          <w:color w:val="auto"/>
        </w:rPr>
      </w:pPr>
    </w:p>
    <w:p>
      <w:pPr>
        <w:ind w:left="1040" w:right="300" w:hanging="572"/>
        <w:spacing w:after="0" w:line="277" w:lineRule="auto"/>
        <w:tabs>
          <w:tab w:leader="none" w:pos="1040"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1040" w:right="600" w:hanging="572"/>
        <w:spacing w:after="0" w:line="261" w:lineRule="auto"/>
        <w:tabs>
          <w:tab w:leader="none" w:pos="1040"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7"/>
          <w:szCs w:val="17"/>
          <w:color w:val="auto"/>
        </w:rPr>
      </w:pPr>
    </w:p>
    <w:p>
      <w:pPr>
        <w:jc w:val="both"/>
        <w:ind w:left="1040" w:right="760" w:hanging="572"/>
        <w:spacing w:after="0" w:line="297" w:lineRule="auto"/>
        <w:tabs>
          <w:tab w:leader="none" w:pos="1040"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7"/>
          <w:szCs w:val="17"/>
          <w:color w:val="auto"/>
        </w:rPr>
      </w:pPr>
    </w:p>
    <w:p>
      <w:pPr>
        <w:ind w:left="1040" w:right="280" w:hanging="572"/>
        <w:spacing w:after="0" w:line="277" w:lineRule="auto"/>
        <w:tabs>
          <w:tab w:leader="none" w:pos="1040"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7"/>
          <w:szCs w:val="17"/>
          <w:color w:val="auto"/>
        </w:rPr>
      </w:pPr>
    </w:p>
    <w:p>
      <w:pPr>
        <w:ind w:left="480" w:right="300" w:hanging="431"/>
        <w:spacing w:after="0" w:line="297" w:lineRule="auto"/>
        <w:tabs>
          <w:tab w:leader="none" w:pos="48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Times New Roman" w:cs="Times New Roman" w:eastAsia="Times New Roman" w:hAnsi="Times New Roman"/>
          <w:sz w:val="17"/>
          <w:szCs w:val="17"/>
          <w:color w:val="auto"/>
        </w:rPr>
      </w:pPr>
    </w:p>
    <w:p>
      <w:pPr>
        <w:ind w:left="1040" w:right="240" w:hanging="572"/>
        <w:spacing w:after="0" w:line="297" w:lineRule="auto"/>
        <w:tabs>
          <w:tab w:leader="none" w:pos="1040"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7"/>
          <w:szCs w:val="17"/>
          <w:color w:val="auto"/>
        </w:rPr>
      </w:pPr>
    </w:p>
    <w:p>
      <w:pPr>
        <w:ind w:left="1040" w:right="740" w:hanging="572"/>
        <w:spacing w:after="0" w:line="297" w:lineRule="auto"/>
        <w:tabs>
          <w:tab w:leader="none" w:pos="1040"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tabs>
          <w:tab w:leader="none" w:pos="5560" w:val="left"/>
          <w:tab w:leader="none" w:pos="7780" w:val="left"/>
        </w:tabs>
        <w:rPr>
          <w:sz w:val="20"/>
          <w:szCs w:val="20"/>
          <w:color w:val="auto"/>
        </w:rPr>
      </w:pPr>
      <w:r>
        <w:rPr>
          <w:rFonts w:ascii="Times New Roman" w:cs="Times New Roman" w:eastAsia="Times New Roman" w:hAnsi="Times New Roman"/>
          <w:sz w:val="17"/>
          <w:szCs w:val="17"/>
          <w:color w:val="auto"/>
        </w:rPr>
        <w:t>Date: February 28,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37465</wp:posOffset>
            </wp:positionV>
            <wp:extent cx="31229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60"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Marcio Souza</w:t>
      </w:r>
    </w:p>
    <w:p>
      <w:pPr>
        <w:spacing w:after="0" w:line="6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6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378"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RULES 13a-14(a) AND 15d-14(a) UNDER THE SECURITIES EXCHANGE ACT OF 1934,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Timothy Kelly, certify that:</w:t>
      </w:r>
    </w:p>
    <w:p>
      <w:pPr>
        <w:spacing w:after="0" w:line="198" w:lineRule="exact"/>
        <w:rPr>
          <w:sz w:val="20"/>
          <w:szCs w:val="20"/>
          <w:color w:val="auto"/>
        </w:rPr>
      </w:pPr>
    </w:p>
    <w:p>
      <w:pPr>
        <w:ind w:left="460" w:hanging="438"/>
        <w:spacing w:after="0"/>
        <w:tabs>
          <w:tab w:leader="none" w:pos="4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Praxis Precision Medicines, Inc.;</w:t>
      </w:r>
    </w:p>
    <w:p>
      <w:pPr>
        <w:spacing w:after="0" w:line="289" w:lineRule="exact"/>
        <w:rPr>
          <w:rFonts w:ascii="Times New Roman" w:cs="Times New Roman" w:eastAsia="Times New Roman" w:hAnsi="Times New Roman"/>
          <w:sz w:val="17"/>
          <w:szCs w:val="17"/>
          <w:color w:val="auto"/>
        </w:rPr>
      </w:pPr>
    </w:p>
    <w:p>
      <w:pPr>
        <w:jc w:val="both"/>
        <w:ind w:left="480" w:right="600" w:hanging="431"/>
        <w:spacing w:after="0" w:line="293" w:lineRule="auto"/>
        <w:tabs>
          <w:tab w:leader="none" w:pos="48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7"/>
          <w:szCs w:val="17"/>
          <w:color w:val="auto"/>
        </w:rPr>
      </w:pPr>
    </w:p>
    <w:p>
      <w:pPr>
        <w:ind w:left="480" w:right="560" w:hanging="431"/>
        <w:spacing w:after="0" w:line="313" w:lineRule="auto"/>
        <w:tabs>
          <w:tab w:leader="none" w:pos="48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7"/>
          <w:szCs w:val="17"/>
          <w:color w:val="auto"/>
        </w:rPr>
      </w:pPr>
    </w:p>
    <w:p>
      <w:pPr>
        <w:jc w:val="both"/>
        <w:ind w:left="480" w:right="580" w:hanging="431"/>
        <w:spacing w:after="0" w:line="253" w:lineRule="auto"/>
        <w:tabs>
          <w:tab w:leader="none" w:pos="48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7"/>
          <w:szCs w:val="17"/>
          <w:color w:val="auto"/>
        </w:rPr>
      </w:pPr>
    </w:p>
    <w:p>
      <w:pPr>
        <w:ind w:left="1040" w:right="300" w:hanging="572"/>
        <w:spacing w:after="0" w:line="293" w:lineRule="auto"/>
        <w:tabs>
          <w:tab w:leader="none" w:pos="104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Times New Roman" w:cs="Times New Roman" w:eastAsia="Times New Roman" w:hAnsi="Times New Roman"/>
          <w:sz w:val="17"/>
          <w:szCs w:val="17"/>
          <w:color w:val="auto"/>
        </w:rPr>
      </w:pPr>
    </w:p>
    <w:p>
      <w:pPr>
        <w:ind w:left="1040" w:right="600" w:hanging="572"/>
        <w:spacing w:after="0" w:line="261" w:lineRule="auto"/>
        <w:tabs>
          <w:tab w:leader="none" w:pos="104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7"/>
          <w:szCs w:val="17"/>
          <w:color w:val="auto"/>
        </w:rPr>
      </w:pPr>
    </w:p>
    <w:p>
      <w:pPr>
        <w:jc w:val="both"/>
        <w:ind w:left="1040" w:right="760" w:hanging="572"/>
        <w:spacing w:after="0" w:line="297" w:lineRule="auto"/>
        <w:tabs>
          <w:tab w:leader="none" w:pos="104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Times New Roman" w:cs="Times New Roman" w:eastAsia="Times New Roman" w:hAnsi="Times New Roman"/>
          <w:sz w:val="17"/>
          <w:szCs w:val="17"/>
          <w:color w:val="auto"/>
        </w:rPr>
      </w:pPr>
    </w:p>
    <w:p>
      <w:pPr>
        <w:ind w:left="1040" w:right="280" w:hanging="572"/>
        <w:spacing w:after="0" w:line="293" w:lineRule="auto"/>
        <w:tabs>
          <w:tab w:leader="none" w:pos="104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Times New Roman" w:cs="Times New Roman" w:eastAsia="Times New Roman" w:hAnsi="Times New Roman"/>
          <w:sz w:val="17"/>
          <w:szCs w:val="17"/>
          <w:color w:val="auto"/>
        </w:rPr>
      </w:pPr>
    </w:p>
    <w:p>
      <w:pPr>
        <w:ind w:left="480" w:right="300" w:hanging="431"/>
        <w:spacing w:after="0" w:line="313" w:lineRule="auto"/>
        <w:tabs>
          <w:tab w:leader="none" w:pos="48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7"/>
          <w:szCs w:val="17"/>
          <w:color w:val="auto"/>
        </w:rPr>
      </w:pPr>
    </w:p>
    <w:p>
      <w:pPr>
        <w:ind w:left="1040" w:right="240" w:hanging="572"/>
        <w:spacing w:after="0" w:line="297" w:lineRule="auto"/>
        <w:tabs>
          <w:tab w:leader="none" w:pos="104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7"/>
          <w:szCs w:val="17"/>
          <w:color w:val="auto"/>
        </w:rPr>
      </w:pPr>
    </w:p>
    <w:p>
      <w:pPr>
        <w:ind w:left="1040" w:right="740" w:hanging="572"/>
        <w:spacing w:after="0" w:line="297" w:lineRule="auto"/>
        <w:tabs>
          <w:tab w:leader="none" w:pos="104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tabs>
          <w:tab w:leader="none" w:pos="5600" w:val="left"/>
          <w:tab w:leader="none" w:pos="7760" w:val="left"/>
        </w:tabs>
        <w:rPr>
          <w:sz w:val="20"/>
          <w:szCs w:val="20"/>
          <w:color w:val="auto"/>
        </w:rPr>
      </w:pPr>
      <w:r>
        <w:rPr>
          <w:rFonts w:ascii="Times New Roman" w:cs="Times New Roman" w:eastAsia="Times New Roman" w:hAnsi="Times New Roman"/>
          <w:sz w:val="17"/>
          <w:szCs w:val="17"/>
          <w:color w:val="auto"/>
        </w:rPr>
        <w:t>Date: February 28,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45720</wp:posOffset>
            </wp:positionV>
            <wp:extent cx="31311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7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color w:val="auto"/>
        </w:rPr>
        <w:t>Timothy Kelly</w:t>
      </w:r>
    </w:p>
    <w:p>
      <w:pPr>
        <w:spacing w:after="0" w:line="8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8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378"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OF PRINCIPAL EXECUTIVE OFFICER AND PRINCIPAL FINANCIAL OFFICER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ind w:right="40" w:firstLine="428"/>
        <w:spacing w:after="0" w:line="277" w:lineRule="auto"/>
        <w:rPr>
          <w:sz w:val="20"/>
          <w:szCs w:val="20"/>
          <w:color w:val="auto"/>
        </w:rPr>
      </w:pPr>
      <w:r>
        <w:rPr>
          <w:rFonts w:ascii="Times New Roman" w:cs="Times New Roman" w:eastAsia="Times New Roman" w:hAnsi="Times New Roman"/>
          <w:sz w:val="17"/>
          <w:szCs w:val="17"/>
          <w:color w:val="auto"/>
        </w:rPr>
        <w:t>In connection with the Annual Report on Form 10-K of Praxis Precision Medicines, Inc. (the “Company”) for the fiscal year ended December 31, 2024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36" w:lineRule="exact"/>
        <w:rPr>
          <w:sz w:val="20"/>
          <w:szCs w:val="20"/>
          <w:color w:val="auto"/>
        </w:rPr>
      </w:pPr>
    </w:p>
    <w:p>
      <w:pPr>
        <w:ind w:left="1000" w:hanging="558"/>
        <w:spacing w:after="0"/>
        <w:tabs>
          <w:tab w:leader="none" w:pos="10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ind w:left="1000" w:right="900" w:hanging="558"/>
        <w:spacing w:after="0" w:line="313" w:lineRule="auto"/>
        <w:tabs>
          <w:tab w:leader="none" w:pos="10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5600" w:val="left"/>
          <w:tab w:leader="none" w:pos="7820" w:val="left"/>
        </w:tabs>
        <w:rPr>
          <w:sz w:val="20"/>
          <w:szCs w:val="20"/>
          <w:color w:val="auto"/>
        </w:rPr>
      </w:pPr>
      <w:r>
        <w:rPr>
          <w:rFonts w:ascii="Times New Roman" w:cs="Times New Roman" w:eastAsia="Times New Roman" w:hAnsi="Times New Roman"/>
          <w:sz w:val="17"/>
          <w:szCs w:val="17"/>
          <w:color w:val="auto"/>
        </w:rPr>
        <w:t>Date: February 28,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45720</wp:posOffset>
            </wp:positionV>
            <wp:extent cx="31229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Marcio Souza</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342" w:lineRule="exact"/>
        <w:rPr>
          <w:sz w:val="20"/>
          <w:szCs w:val="20"/>
          <w:color w:val="auto"/>
        </w:rPr>
      </w:pPr>
    </w:p>
    <w:p>
      <w:pPr>
        <w:ind w:left="20"/>
        <w:spacing w:after="0"/>
        <w:tabs>
          <w:tab w:leader="none" w:pos="5600" w:val="left"/>
          <w:tab w:leader="none" w:pos="7760" w:val="left"/>
        </w:tabs>
        <w:rPr>
          <w:sz w:val="20"/>
          <w:szCs w:val="20"/>
          <w:color w:val="auto"/>
        </w:rPr>
      </w:pPr>
      <w:r>
        <w:rPr>
          <w:rFonts w:ascii="Times New Roman" w:cs="Times New Roman" w:eastAsia="Times New Roman" w:hAnsi="Times New Roman"/>
          <w:sz w:val="17"/>
          <w:szCs w:val="17"/>
          <w:color w:val="auto"/>
        </w:rPr>
        <w:t>Date: February 28,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45720</wp:posOffset>
            </wp:positionV>
            <wp:extent cx="31229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Timothy Kelly</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3"/>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lvl w:ilvl="1">
      <w:lvlJc w:val="left"/>
      <w:lvlText w:val="◦"/>
      <w:numFmt w:val="bullet"/>
      <w:start w:val="1"/>
    </w:lvl>
  </w:abstractNum>
  <w:abstractNum w:abstractNumId="56">
    <w:nsid w:val="799D0247"/>
    <w:multiLevelType w:val="hybridMultilevel"/>
    <w:lvl w:ilvl="0">
      <w:lvlJc w:val="left"/>
      <w:lvlText w:val="•"/>
      <w:numFmt w:val="bullet"/>
      <w:start w:val="1"/>
    </w:lvl>
    <w:lvl w:ilvl="1">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decimal"/>
      <w:start w:val="2"/>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1."/>
      <w:numFmt w:val="decimal"/>
      <w:start w:val="8"/>
    </w:lvl>
  </w:abstractNum>
  <w:abstractNum w:abstractNumId="65">
    <w:nsid w:val="51D9C564"/>
    <w:multiLevelType w:val="hybridMultilevel"/>
    <w:lvl w:ilvl="0">
      <w:lvlJc w:val="left"/>
      <w:lvlText w:val="%1."/>
      <w:numFmt w:val="decimal"/>
      <w:start w:val="9"/>
    </w:lvl>
  </w:abstractNum>
  <w:abstractNum w:abstractNumId="66">
    <w:nsid w:val="613EFDC5"/>
    <w:multiLevelType w:val="hybridMultilevel"/>
    <w:lvl w:ilvl="0">
      <w:lvlJc w:val="left"/>
      <w:lvlText w:val="%1."/>
      <w:numFmt w:val="decimal"/>
      <w:start w:val="10"/>
    </w:lvl>
  </w:abstractNum>
  <w:abstractNum w:abstractNumId="67">
    <w:nsid w:val="BF72B14"/>
    <w:multiLevelType w:val="hybridMultilevel"/>
    <w:lvl w:ilvl="0">
      <w:lvlJc w:val="left"/>
      <w:lvlText w:val="%1."/>
      <w:numFmt w:val="decimal"/>
      <w:start w:val="11"/>
    </w:lvl>
  </w:abstractNum>
  <w:abstractNum w:abstractNumId="68">
    <w:nsid w:val="11447B73"/>
    <w:multiLevelType w:val="hybridMultilevel"/>
    <w:lvl w:ilvl="0">
      <w:lvlJc w:val="left"/>
      <w:lvlText w:val="(%1)"/>
      <w:numFmt w:val="lowerRoman"/>
      <w:start w:val="2"/>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lowerLetter"/>
      <w:start w:val="2"/>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83">
    <w:nsid w:val="7FB7E0A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169" Type="http://schemas.openxmlformats.org/officeDocument/2006/relationships/hyperlink" Target="https://www.sec.gov/Archives/edgar/data/1689548/000119312520272877/d94620dex31.htm" TargetMode="External"/><Relationship Id="rId170" Type="http://schemas.openxmlformats.org/officeDocument/2006/relationships/hyperlink" Target="https://www.sec.gov/Archives/edgar/data/1689548/000168954823000162/exhibit31praxis-reversesto.htm" TargetMode="External"/><Relationship Id="rId171" Type="http://schemas.openxmlformats.org/officeDocument/2006/relationships/hyperlink" Target="https://www.sec.gov/Archives/edgar/data/1689548/000110465922002260/tm222120d1_ex3-1.htm" TargetMode="External"/><Relationship Id="rId172" Type="http://schemas.openxmlformats.org/officeDocument/2006/relationships/hyperlink" Target="https://www.sec.gov/Archives/edgar/data/1689548/000119312520266699/d945651dex41.htm" TargetMode="External"/><Relationship Id="rId173" Type="http://schemas.openxmlformats.org/officeDocument/2006/relationships/hyperlink" Target="https://www.sec.gov/Archives/edgar/data/1689548/000110465921133741/tm2131445d2_ex4-2.htm" TargetMode="External"/><Relationship Id="rId174" Type="http://schemas.openxmlformats.org/officeDocument/2006/relationships/hyperlink" Target="https://www.sec.gov/Archives/edgar/data/1689548/000168954822000014/exhibit43-descriptionofsec.htm" TargetMode="External"/><Relationship Id="rId175" Type="http://schemas.openxmlformats.org/officeDocument/2006/relationships/hyperlink" Target="https://www.sec.gov/Archives/edgar/data/1689548/000110465924003764/tm243213d1_ex4-1.htm" TargetMode="External"/><Relationship Id="rId176" Type="http://schemas.openxmlformats.org/officeDocument/2006/relationships/hyperlink" Target="https://www.sec.gov/Archives/edgar/data/1689548/000110465924041158/tm247764d6_ex4-1.htm" TargetMode="External"/><Relationship Id="rId177" Type="http://schemas.openxmlformats.org/officeDocument/2006/relationships/hyperlink" Target="https://www.sec.gov/Archives/edgar/data/1689548/000119312520266699/d945651dex101.htm" TargetMode="External"/><Relationship Id="rId178" Type="http://schemas.openxmlformats.org/officeDocument/2006/relationships/hyperlink" Target="https://www.sec.gov/Archives/edgar/data/1689548/000119312520254741/d945651dex102.htm" TargetMode="External"/><Relationship Id="rId179" Type="http://schemas.openxmlformats.org/officeDocument/2006/relationships/hyperlink" Target="https://www.sec.gov/Archives/edgar/data/1689548/000168954821000016/exhibit1032017plan.htm" TargetMode="External"/><Relationship Id="rId180" Type="http://schemas.openxmlformats.org/officeDocument/2006/relationships/hyperlink" Target="https://www.sec.gov/Archives/edgar/data/1689548/000168954824000073/praxis-2020stockoptionandi.htm" TargetMode="External"/><Relationship Id="rId181" Type="http://schemas.openxmlformats.org/officeDocument/2006/relationships/hyperlink" Target="https://www.sec.gov/Archives/edgar/data/1689548/000119312520266699/d945651dex105.htm" TargetMode="External"/><Relationship Id="rId182" Type="http://schemas.openxmlformats.org/officeDocument/2006/relationships/hyperlink" Target="https://www.sec.gov/Archives/edgar/data/1689548/000119312520266699/d945651dex106.htm" TargetMode="External"/><Relationship Id="rId183" Type="http://schemas.openxmlformats.org/officeDocument/2006/relationships/hyperlink" Target="https://www.sec.gov/Archives/edgar/data/1689548/000119312520266699/d945651dex107.htm" TargetMode="External"/><Relationship Id="rId186" Type="http://schemas.openxmlformats.org/officeDocument/2006/relationships/hyperlink" Target="https://www.sec.gov/Archives/edgar/data/1689548/000119312520266699/d945651dex108.htm" TargetMode="External"/><Relationship Id="rId187" Type="http://schemas.openxmlformats.org/officeDocument/2006/relationships/hyperlink" Target="https://www.sec.gov/Archives/edgar/data/1689548/000119312520266699/d945651dex109.htm" TargetMode="External"/><Relationship Id="rId188" Type="http://schemas.openxmlformats.org/officeDocument/2006/relationships/hyperlink" Target="https://www.sec.gov/Archives/edgar/data/1689548/000119312520266699/d945651dex1010.htm" TargetMode="External"/><Relationship Id="rId189" Type="http://schemas.openxmlformats.org/officeDocument/2006/relationships/hyperlink" Target="https://www.sec.gov/Archives/edgar/data/1689548/000119312520266699/d945651dex1011.htm" TargetMode="External"/><Relationship Id="rId190" Type="http://schemas.openxmlformats.org/officeDocument/2006/relationships/hyperlink" Target="https://www.sec.gov/Archives/edgar/data/1689548/000110465924008806/tm244488d1_ex99-1.htm" TargetMode="External"/><Relationship Id="rId191" Type="http://schemas.openxmlformats.org/officeDocument/2006/relationships/hyperlink" Target="https://www.sec.gov/Archives/edgar/data/1689548/000168954822000014/exhibit1012.htm" TargetMode="External"/><Relationship Id="rId192" Type="http://schemas.openxmlformats.org/officeDocument/2006/relationships/hyperlink" Target="https://www.sec.gov/Archives/edgar/data/1689548/000168954823000044/exhibit1013-cfoemploymenta.htm" TargetMode="External"/><Relationship Id="rId193" Type="http://schemas.openxmlformats.org/officeDocument/2006/relationships/hyperlink" Target="https://www.sec.gov/Archives/edgar/data/1689548/000168954824000034/exhibit1015_anemploymentag.htm" TargetMode="External"/><Relationship Id="rId194" Type="http://schemas.openxmlformats.org/officeDocument/2006/relationships/hyperlink" Target="https://www.sec.gov/Archives/edgar/data/1689548/000110465924108345/tm2426107d1_ex10-1.htm" TargetMode="External"/><Relationship Id="rId195" Type="http://schemas.openxmlformats.org/officeDocument/2006/relationships/hyperlink" Target="https://www.sec.gov/Archives/edgar/data/1689548/000110465924108345/tm2426107d1_ex10-2.htm" TargetMode="External"/><Relationship Id="rId196" Type="http://schemas.openxmlformats.org/officeDocument/2006/relationships/hyperlink" Target="https://www.sec.gov/Archives/edgar/data/1689548/000110465924108345/tm2426107d1_ex10-3.htm" TargetMode="External"/><Relationship Id="rId197" Type="http://schemas.openxmlformats.org/officeDocument/2006/relationships/hyperlink" Target="https://www.sec.gov/Archives/edgar/data/1689548/000168954824000088/exhibit101prax-nonxemploye.htm" TargetMode="External"/><Relationship Id="rId198" Type="http://schemas.openxmlformats.org/officeDocument/2006/relationships/hyperlink" Target="https://www.sec.gov/Archives/edgar/data/1689548/000119312520254741/d945651dex1015.htm" TargetMode="External"/><Relationship Id="rId199" Type="http://schemas.openxmlformats.org/officeDocument/2006/relationships/hyperlink" Target="https://www.sec.gov/Archives/edgar/data/1689548/000119312520254741/d945651dex1016.htm" TargetMode="External"/><Relationship Id="rId200" Type="http://schemas.openxmlformats.org/officeDocument/2006/relationships/hyperlink" Target="https://www.sec.gov/Archives/edgar/data/1689548/000168954821000054/exhibit10120210527.htm" TargetMode="External"/><Relationship Id="rId203" Type="http://schemas.openxmlformats.org/officeDocument/2006/relationships/hyperlink" Target="https://www.sec.gov/Archives/edgar/data/1689548/000168954824000034/exhibit97_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2025-02-28T07:14:19Z</dcterms:created>
  <dcterms:modified xsi:type="dcterms:W3CDTF">2025-02-28T07:14:19Z</dcterms:modified>
</cp:coreProperties>
</file>