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79375</wp:posOffset>
            </wp:positionV>
            <wp:extent cx="600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139700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hanging="414"/>
        <w:spacing w:after="0" w:line="220" w:lineRule="auto"/>
        <w:tabs>
          <w:tab w:leader="none" w:pos="4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303"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-5080</wp:posOffset>
            </wp:positionV>
            <wp:extent cx="1440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88900</wp:posOffset>
            </wp:positionV>
            <wp:extent cx="60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PRAXIS PRECISION MEDICINES,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117475</wp:posOffset>
            </wp:positionV>
            <wp:extent cx="60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w w:val="99"/>
              </w:rPr>
              <w:t>Delaware</w:t>
            </w:r>
          </w:p>
        </w:tc>
        <w:tc>
          <w:tcPr>
            <w:tcW w:w="940" w:type="dxa"/>
            <w:vAlign w:val="bottom"/>
          </w:tcPr>
          <w:p>
            <w:pPr>
              <w:spacing w:after="0"/>
              <w:rPr>
                <w:sz w:val="19"/>
                <w:szCs w:val="19"/>
                <w:color w:val="auto"/>
              </w:rPr>
            </w:pPr>
          </w:p>
        </w:tc>
        <w:tc>
          <w:tcPr>
            <w:tcW w:w="5100" w:type="dxa"/>
            <w:vAlign w:val="bottom"/>
            <w:gridSpan w:val="3"/>
          </w:tcPr>
          <w:p>
            <w:pPr>
              <w:jc w:val="right"/>
              <w:ind w:right="2186"/>
              <w:spacing w:after="0"/>
              <w:rPr>
                <w:sz w:val="20"/>
                <w:szCs w:val="20"/>
                <w:color w:val="auto"/>
              </w:rPr>
            </w:pPr>
            <w:r>
              <w:rPr>
                <w:rFonts w:ascii="Arial" w:cs="Arial" w:eastAsia="Arial" w:hAnsi="Arial"/>
                <w:sz w:val="16"/>
                <w:szCs w:val="16"/>
                <w:b w:val="1"/>
                <w:bCs w:val="1"/>
                <w:color w:val="auto"/>
              </w:rPr>
              <w:t>47-5195942</w:t>
            </w:r>
          </w:p>
        </w:tc>
        <w:tc>
          <w:tcPr>
            <w:tcW w:w="0" w:type="dxa"/>
            <w:vAlign w:val="bottom"/>
          </w:tcPr>
          <w:p>
            <w:pPr>
              <w:spacing w:after="0"/>
              <w:rPr>
                <w:sz w:val="1"/>
                <w:szCs w:val="1"/>
                <w:color w:val="auto"/>
              </w:rPr>
            </w:pPr>
          </w:p>
        </w:tc>
      </w:tr>
      <w:tr>
        <w:trPr>
          <w:trHeight w:val="229"/>
        </w:trPr>
        <w:tc>
          <w:tcPr>
            <w:tcW w:w="516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940" w:type="dxa"/>
            <w:vAlign w:val="bottom"/>
          </w:tcPr>
          <w:p>
            <w:pPr>
              <w:spacing w:after="0"/>
              <w:rPr>
                <w:sz w:val="19"/>
                <w:szCs w:val="19"/>
                <w:color w:val="auto"/>
              </w:rPr>
            </w:pPr>
          </w:p>
        </w:tc>
        <w:tc>
          <w:tcPr>
            <w:tcW w:w="5100" w:type="dxa"/>
            <w:vAlign w:val="bottom"/>
            <w:gridSpan w:val="3"/>
          </w:tcPr>
          <w:p>
            <w:pPr>
              <w:jc w:val="center"/>
              <w:ind w:right="206"/>
              <w:spacing w:after="0"/>
              <w:rPr>
                <w:sz w:val="20"/>
                <w:szCs w:val="20"/>
                <w:color w:val="auto"/>
              </w:rPr>
            </w:pPr>
            <w:r>
              <w:rPr>
                <w:rFonts w:ascii="Arial" w:cs="Arial" w:eastAsia="Arial" w:hAnsi="Arial"/>
                <w:sz w:val="16"/>
                <w:szCs w:val="16"/>
                <w:b w:val="1"/>
                <w:bCs w:val="1"/>
                <w:color w:val="auto"/>
              </w:rPr>
              <w:t>(I.R.S. Employer Identification No.)</w:t>
            </w:r>
          </w:p>
        </w:tc>
        <w:tc>
          <w:tcPr>
            <w:tcW w:w="0" w:type="dxa"/>
            <w:vAlign w:val="bottom"/>
          </w:tcPr>
          <w:p>
            <w:pPr>
              <w:spacing w:after="0"/>
              <w:rPr>
                <w:sz w:val="1"/>
                <w:szCs w:val="1"/>
                <w:color w:val="auto"/>
              </w:rPr>
            </w:pPr>
          </w:p>
        </w:tc>
      </w:tr>
      <w:tr>
        <w:trPr>
          <w:trHeight w:val="313"/>
        </w:trPr>
        <w:tc>
          <w:tcPr>
            <w:tcW w:w="5160" w:type="dxa"/>
            <w:vAlign w:val="bottom"/>
            <w:gridSpan w:val="3"/>
          </w:tcPr>
          <w:p>
            <w:pPr>
              <w:jc w:val="center"/>
              <w:ind w:left="200"/>
              <w:spacing w:after="0"/>
              <w:rPr>
                <w:sz w:val="20"/>
                <w:szCs w:val="20"/>
                <w:color w:val="auto"/>
              </w:rPr>
            </w:pPr>
            <w:r>
              <w:rPr>
                <w:rFonts w:ascii="Arial" w:cs="Arial" w:eastAsia="Arial" w:hAnsi="Arial"/>
                <w:sz w:val="16"/>
                <w:szCs w:val="16"/>
                <w:b w:val="1"/>
                <w:bCs w:val="1"/>
                <w:color w:val="auto"/>
              </w:rPr>
              <w:t>99 High Street, 30th Floor</w:t>
            </w: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rPr>
              <w:t>Boston, MA</w:t>
            </w:r>
          </w:p>
        </w:tc>
        <w:tc>
          <w:tcPr>
            <w:tcW w:w="940" w:type="dxa"/>
            <w:vAlign w:val="bottom"/>
          </w:tcPr>
          <w:p>
            <w:pPr>
              <w:spacing w:after="0"/>
              <w:rPr>
                <w:sz w:val="19"/>
                <w:szCs w:val="19"/>
                <w:color w:val="auto"/>
              </w:rPr>
            </w:pPr>
          </w:p>
        </w:tc>
        <w:tc>
          <w:tcPr>
            <w:tcW w:w="5100" w:type="dxa"/>
            <w:vAlign w:val="bottom"/>
            <w:gridSpan w:val="3"/>
          </w:tcPr>
          <w:p>
            <w:pPr>
              <w:jc w:val="right"/>
              <w:ind w:right="2406"/>
              <w:spacing w:after="0"/>
              <w:rPr>
                <w:sz w:val="20"/>
                <w:szCs w:val="20"/>
                <w:color w:val="auto"/>
              </w:rPr>
            </w:pPr>
            <w:r>
              <w:rPr>
                <w:rFonts w:ascii="Arial" w:cs="Arial" w:eastAsia="Arial" w:hAnsi="Arial"/>
                <w:sz w:val="16"/>
                <w:szCs w:val="16"/>
                <w:b w:val="1"/>
                <w:bCs w:val="1"/>
                <w:color w:val="auto"/>
              </w:rPr>
              <w:t>02110</w:t>
            </w:r>
          </w:p>
        </w:tc>
        <w:tc>
          <w:tcPr>
            <w:tcW w:w="0" w:type="dxa"/>
            <w:vAlign w:val="bottom"/>
          </w:tcPr>
          <w:p>
            <w:pPr>
              <w:spacing w:after="0"/>
              <w:rPr>
                <w:sz w:val="1"/>
                <w:szCs w:val="1"/>
                <w:color w:val="auto"/>
              </w:rPr>
            </w:pPr>
          </w:p>
        </w:tc>
      </w:tr>
      <w:tr>
        <w:trPr>
          <w:trHeight w:val="200"/>
        </w:trPr>
        <w:tc>
          <w:tcPr>
            <w:tcW w:w="516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rPr>
              <w:t>(Address of principal executive offices)</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jc w:val="center"/>
              <w:ind w:right="1626"/>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433"/>
        </w:trPr>
        <w:tc>
          <w:tcPr>
            <w:tcW w:w="11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Registrant’s telephone number, including area code: 617-300-8460</w:t>
            </w: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11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58"/>
        </w:trPr>
        <w:tc>
          <w:tcPr>
            <w:tcW w:w="5160" w:type="dxa"/>
            <w:vAlign w:val="bottom"/>
            <w:gridSpan w:val="3"/>
            <w:vMerge w:val="restart"/>
          </w:tcPr>
          <w:p>
            <w:pPr>
              <w:jc w:val="center"/>
              <w:ind w:right="1500"/>
              <w:spacing w:after="0"/>
              <w:rPr>
                <w:sz w:val="20"/>
                <w:szCs w:val="20"/>
                <w:color w:val="auto"/>
              </w:rPr>
            </w:pPr>
            <w:r>
              <w:rPr>
                <w:rFonts w:ascii="Arial" w:cs="Arial" w:eastAsia="Arial" w:hAnsi="Arial"/>
                <w:sz w:val="14"/>
                <w:szCs w:val="14"/>
                <w:b w:val="1"/>
                <w:bCs w:val="1"/>
                <w:color w:val="auto"/>
              </w:rPr>
              <w:t>Title of each class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5160" w:type="dxa"/>
            <w:vAlign w:val="bottom"/>
            <w:gridSpan w:val="3"/>
            <w:vMerge w:val="continue"/>
          </w:tcPr>
          <w:p>
            <w:pPr>
              <w:spacing w:after="0"/>
              <w:rPr>
                <w:sz w:val="16"/>
                <w:szCs w:val="16"/>
                <w:color w:val="auto"/>
              </w:rPr>
            </w:pPr>
          </w:p>
        </w:tc>
        <w:tc>
          <w:tcPr>
            <w:tcW w:w="940" w:type="dxa"/>
            <w:vAlign w:val="bottom"/>
          </w:tcPr>
          <w:p>
            <w:pPr>
              <w:jc w:val="center"/>
              <w:ind w:right="5"/>
              <w:spacing w:after="0"/>
              <w:rPr>
                <w:sz w:val="20"/>
                <w:szCs w:val="20"/>
                <w:color w:val="auto"/>
              </w:rPr>
            </w:pPr>
            <w:r>
              <w:rPr>
                <w:rFonts w:ascii="Arial" w:cs="Arial" w:eastAsia="Arial" w:hAnsi="Arial"/>
                <w:sz w:val="14"/>
                <w:szCs w:val="14"/>
                <w:b w:val="1"/>
                <w:bCs w:val="1"/>
                <w:color w:val="auto"/>
              </w:rPr>
              <w:t>Symbol(s)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2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0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5"/>
              <w:spacing w:after="0"/>
              <w:rPr>
                <w:sz w:val="20"/>
                <w:szCs w:val="20"/>
                <w:color w:val="auto"/>
              </w:rPr>
            </w:pPr>
            <w:r>
              <w:rPr>
                <w:rFonts w:ascii="Arial" w:cs="Arial" w:eastAsia="Arial" w:hAnsi="Arial"/>
                <w:sz w:val="16"/>
                <w:szCs w:val="16"/>
                <w:b w:val="1"/>
                <w:bCs w:val="1"/>
                <w:color w:val="auto"/>
              </w:rPr>
              <w:t>PRAX</w:t>
            </w: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445"/>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ind w:right="40" w:firstLine="445"/>
        <w:spacing w:after="0" w:line="25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84" w:lineRule="exact"/>
        <w:tabs>
          <w:tab w:leader="none" w:pos="56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09" w:lineRule="exact"/>
        <w:rPr>
          <w:sz w:val="24"/>
          <w:szCs w:val="24"/>
          <w:color w:val="auto"/>
        </w:rPr>
      </w:pPr>
    </w:p>
    <w:p>
      <w:pPr>
        <w:ind w:right="140" w:firstLine="445"/>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1" w:lineRule="exact"/>
        <w:rPr>
          <w:sz w:val="24"/>
          <w:szCs w:val="24"/>
          <w:color w:val="auto"/>
        </w:rPr>
      </w:pPr>
    </w:p>
    <w:p>
      <w:pPr>
        <w:ind w:right="220" w:firstLine="445"/>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460" w:right="1480"/>
        <w:spacing w:after="0" w:line="27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3, 2023, the registrant had 128,550,152,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3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980" w:right="220" w:hanging="324"/>
        <w:spacing w:after="0" w:line="275"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119" w:lineRule="exact"/>
        <w:rPr>
          <w:rFonts w:ascii="Arial" w:cs="Arial" w:eastAsia="Arial" w:hAnsi="Arial"/>
          <w:sz w:val="18"/>
          <w:szCs w:val="18"/>
          <w:color w:val="auto"/>
        </w:rPr>
      </w:pPr>
    </w:p>
    <w:p>
      <w:pPr>
        <w:ind w:left="980" w:right="300" w:hanging="324"/>
        <w:spacing w:after="0" w:line="275"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11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71" w:lineRule="exact"/>
        <w:rPr>
          <w:rFonts w:ascii="Arial" w:cs="Arial" w:eastAsia="Arial" w:hAnsi="Arial"/>
          <w:sz w:val="18"/>
          <w:szCs w:val="18"/>
          <w:color w:val="auto"/>
        </w:rPr>
      </w:pPr>
    </w:p>
    <w:p>
      <w:pPr>
        <w:ind w:left="980" w:right="240" w:hanging="324"/>
        <w:spacing w:after="0" w:line="275"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if approved, commercialization of our product candidates;</w:t>
      </w:r>
    </w:p>
    <w:p>
      <w:pPr>
        <w:spacing w:after="0" w:line="11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71" w:lineRule="exact"/>
        <w:rPr>
          <w:rFonts w:ascii="Arial" w:cs="Arial" w:eastAsia="Arial" w:hAnsi="Arial"/>
          <w:sz w:val="18"/>
          <w:szCs w:val="18"/>
          <w:color w:val="auto"/>
        </w:rPr>
      </w:pPr>
    </w:p>
    <w:p>
      <w:pPr>
        <w:ind w:left="980" w:right="280" w:hanging="324"/>
        <w:spacing w:after="0" w:line="275"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11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our planned reverse stock split.</w:t>
      </w:r>
    </w:p>
    <w:p>
      <w:pPr>
        <w:spacing w:after="0" w:line="22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sections titled "Risk Factors" in our Annual Report on Form 10-K for the year ended December 31, 2022,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2" w:name="page3"/>
    <w:bookmarkEnd w:id="2"/>
    <w:p>
      <w:pPr>
        <w:ind w:right="60"/>
        <w:spacing w:after="0" w:line="254" w:lineRule="auto"/>
        <w:rPr>
          <w:sz w:val="20"/>
          <w:szCs w:val="20"/>
          <w:color w:val="auto"/>
        </w:rPr>
      </w:pPr>
      <w:r>
        <w:rPr>
          <w:rFonts w:ascii="Arial" w:cs="Arial" w:eastAsia="Arial" w:hAnsi="Arial"/>
          <w:sz w:val="18"/>
          <w:szCs w:val="18"/>
          <w:color w:val="auto"/>
        </w:rPr>
        <w:t>Quarterly Report on Form 10-Q for the quarter ended March 31, 2023, our Quarterly Report on Form 10-Q for the quarter ended June 30, 2023 and this Quarterly Report on Form 10-Q for the quarter ended September 30, 2023.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9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192"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sections titled “Risk Factors” in our Annual Report on Form 10-K for the year ended December 31, 2022, our Quarterly Report on Form 10-Q for the quarter ended March 31, 2023, our Quarterly Report on Form 10-Q for the quarter ended June 30, 2023 and elsewhere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543560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80" w:type="dxa"/>
            <w:vAlign w:val="bottom"/>
            <w:vMerge w:val="continue"/>
          </w:tcPr>
          <w:p>
            <w:pPr>
              <w:spacing w:after="0"/>
              <w:rPr>
                <w:sz w:val="14"/>
                <w:szCs w:val="14"/>
                <w:color w:val="auto"/>
              </w:rPr>
            </w:pPr>
          </w:p>
        </w:tc>
        <w:tc>
          <w:tcPr>
            <w:tcW w:w="8560" w:type="dxa"/>
            <w:vAlign w:val="bottom"/>
            <w:gridSpan w:val="21"/>
          </w:tcPr>
          <w:p>
            <w:pPr>
              <w:spacing w:after="0" w:line="171" w:lineRule="exact"/>
              <w:rPr>
                <w:sz w:val="20"/>
                <w:szCs w:val="20"/>
                <w:color w:val="auto"/>
              </w:rPr>
            </w:pPr>
            <w:r>
              <w:rPr>
                <w:rFonts w:ascii="Arial" w:cs="Arial" w:eastAsia="Arial" w:hAnsi="Arial"/>
                <w:sz w:val="18"/>
                <w:szCs w:val="18"/>
                <w:color w:val="0000FF"/>
              </w:rPr>
              <w:t>FINANCIAL INFORMATION</w:t>
            </w: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Financial Statements (Unaudited)</w:t>
            </w:r>
          </w:p>
        </w:tc>
        <w:tc>
          <w:tcPr>
            <w:tcW w:w="5880" w:type="dxa"/>
            <w:vAlign w:val="bottom"/>
            <w:gridSpan w:val="9"/>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7440" w:type="dxa"/>
            <w:vAlign w:val="bottom"/>
            <w:gridSpan w:val="16"/>
          </w:tcPr>
          <w:p>
            <w:pPr>
              <w:spacing w:after="0"/>
              <w:rPr>
                <w:sz w:val="20"/>
                <w:szCs w:val="20"/>
                <w:color w:val="auto"/>
              </w:rPr>
            </w:pPr>
            <w:r>
              <w:rPr>
                <w:rFonts w:ascii="Arial" w:cs="Arial" w:eastAsia="Arial" w:hAnsi="Arial"/>
                <w:sz w:val="18"/>
                <w:szCs w:val="18"/>
                <w:color w:val="0000FF"/>
                <w:w w:val="99"/>
              </w:rPr>
              <w:t>Condensed Consolidated Balance Sheets as of September 30, 2023 and December 31, 2022</w:t>
            </w:r>
          </w:p>
        </w:tc>
        <w:tc>
          <w:tcPr>
            <w:tcW w:w="1120" w:type="dxa"/>
            <w:vAlign w:val="bottom"/>
            <w:gridSpan w:val="5"/>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856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 for the Three and Nine Months Ended September 30,</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840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2023 and 2022</w:t>
            </w: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Comprehensive Loss for the Three and Nine Months Ended</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44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September 30, 2023 and 2022</w:t>
            </w:r>
          </w:p>
        </w:tc>
        <w:tc>
          <w:tcPr>
            <w:tcW w:w="5560" w:type="dxa"/>
            <w:vAlign w:val="bottom"/>
            <w:tcBorders>
              <w:top w:val="single" w:sz="8" w:color="0000FF"/>
            </w:tcBorders>
            <w:gridSpan w:val="9"/>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Stockholders’ Equity for the Three and Nine Months Ended</w:t>
            </w: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September 30, 2023 and 2022</w:t>
            </w:r>
          </w:p>
        </w:tc>
        <w:tc>
          <w:tcPr>
            <w:tcW w:w="12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560" w:type="dxa"/>
            <w:vAlign w:val="bottom"/>
            <w:gridSpan w:val="21"/>
            <w:vMerge w:val="restart"/>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2023 and</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tcPr>
          <w:p>
            <w:pPr>
              <w:spacing w:after="0"/>
              <w:rPr>
                <w:sz w:val="17"/>
                <w:szCs w:val="17"/>
                <w:color w:val="auto"/>
              </w:rPr>
            </w:pPr>
          </w:p>
        </w:tc>
        <w:tc>
          <w:tcPr>
            <w:tcW w:w="8560" w:type="dxa"/>
            <w:vAlign w:val="bottom"/>
            <w:gridSpan w:val="21"/>
            <w:vMerge w:val="continue"/>
          </w:tcPr>
          <w:p>
            <w:pPr>
              <w:spacing w:after="0"/>
              <w:rPr>
                <w:sz w:val="17"/>
                <w:szCs w:val="17"/>
                <w:color w:val="auto"/>
              </w:rPr>
            </w:pPr>
          </w:p>
        </w:tc>
        <w:tc>
          <w:tcPr>
            <w:tcW w:w="14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0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0000FF"/>
              </w:rPr>
              <w:t>2022</w:t>
            </w:r>
          </w:p>
        </w:tc>
        <w:tc>
          <w:tcPr>
            <w:tcW w:w="2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58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tcPr>
          <w:p>
            <w:pPr>
              <w:spacing w:after="0"/>
              <w:rPr>
                <w:sz w:val="18"/>
                <w:szCs w:val="18"/>
                <w:color w:val="auto"/>
              </w:rPr>
            </w:pPr>
          </w:p>
        </w:tc>
        <w:tc>
          <w:tcPr>
            <w:tcW w:w="4480" w:type="dxa"/>
            <w:vAlign w:val="bottom"/>
            <w:gridSpan w:val="13"/>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4080" w:type="dxa"/>
            <w:vAlign w:val="bottom"/>
            <w:gridSpan w:val="8"/>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856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4720" w:type="dxa"/>
            <w:vAlign w:val="bottom"/>
            <w:gridSpan w:val="14"/>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Pr>
          <w:p>
            <w:pPr>
              <w:spacing w:after="0"/>
              <w:rPr>
                <w:sz w:val="18"/>
                <w:szCs w:val="18"/>
                <w:color w:val="auto"/>
              </w:rPr>
            </w:pPr>
          </w:p>
        </w:tc>
        <w:tc>
          <w:tcPr>
            <w:tcW w:w="1480" w:type="dxa"/>
            <w:vAlign w:val="bottom"/>
            <w:gridSpan w:val="6"/>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6"/>
          </w:tcPr>
          <w:p>
            <w:pPr>
              <w:spacing w:after="0"/>
              <w:rPr>
                <w:sz w:val="18"/>
                <w:szCs w:val="18"/>
                <w:color w:val="auto"/>
              </w:rPr>
            </w:pPr>
          </w:p>
        </w:tc>
        <w:tc>
          <w:tcPr>
            <w:tcW w:w="3840" w:type="dxa"/>
            <w:vAlign w:val="bottom"/>
            <w:gridSpan w:val="7"/>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vMerge w:val="continue"/>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w w:val="97"/>
              </w:rPr>
              <w:t>OTHER INFORMATION</w:t>
            </w:r>
          </w:p>
        </w:tc>
        <w:tc>
          <w:tcPr>
            <w:tcW w:w="662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440" w:type="dxa"/>
            <w:vAlign w:val="bottom"/>
          </w:tcPr>
          <w:p>
            <w:pPr>
              <w:spacing w:after="0"/>
              <w:rPr>
                <w:sz w:val="18"/>
                <w:szCs w:val="18"/>
                <w:color w:val="auto"/>
              </w:rPr>
            </w:pPr>
          </w:p>
        </w:tc>
        <w:tc>
          <w:tcPr>
            <w:tcW w:w="662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7060" w:type="dxa"/>
            <w:vAlign w:val="bottom"/>
            <w:gridSpan w:val="14"/>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856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420" w:type="dxa"/>
            <w:vAlign w:val="bottom"/>
            <w:gridSpan w:val="7"/>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2560" w:type="dxa"/>
            <w:vAlign w:val="bottom"/>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5420" w:type="dxa"/>
            <w:vAlign w:val="bottom"/>
            <w:gridSpan w:val="7"/>
          </w:tcPr>
          <w:p>
            <w:pPr>
              <w:spacing w:after="0"/>
              <w:rPr>
                <w:sz w:val="18"/>
                <w:szCs w:val="18"/>
                <w:color w:val="auto"/>
              </w:rPr>
            </w:pPr>
          </w:p>
        </w:tc>
        <w:tc>
          <w:tcPr>
            <w:tcW w:w="580" w:type="dxa"/>
            <w:vAlign w:val="bottom"/>
            <w:gridSpan w:val="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3"/>
          </w:tcPr>
          <w:p>
            <w:pPr>
              <w:spacing w:after="0"/>
              <w:rPr>
                <w:sz w:val="18"/>
                <w:szCs w:val="18"/>
                <w:color w:val="auto"/>
              </w:rPr>
            </w:pPr>
          </w:p>
        </w:tc>
        <w:tc>
          <w:tcPr>
            <w:tcW w:w="6000" w:type="dxa"/>
            <w:vAlign w:val="bottom"/>
            <w:gridSpan w:val="10"/>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Item 5.</w:t>
            </w:r>
          </w:p>
        </w:tc>
        <w:tc>
          <w:tcPr>
            <w:tcW w:w="1940" w:type="dxa"/>
            <w:vAlign w:val="bottom"/>
            <w:gridSpan w:val="8"/>
          </w:tcPr>
          <w:p>
            <w:pPr>
              <w:spacing w:after="0"/>
              <w:rPr>
                <w:sz w:val="20"/>
                <w:szCs w:val="20"/>
                <w:color w:val="auto"/>
              </w:rPr>
            </w:pPr>
            <w:r>
              <w:rPr>
                <w:rFonts w:ascii="Arial" w:cs="Arial" w:eastAsia="Arial" w:hAnsi="Arial"/>
                <w:sz w:val="18"/>
                <w:szCs w:val="18"/>
                <w:color w:val="0000FF"/>
              </w:rPr>
              <w:t>Other Information</w:t>
            </w:r>
          </w:p>
        </w:tc>
        <w:tc>
          <w:tcPr>
            <w:tcW w:w="6620" w:type="dxa"/>
            <w:vAlign w:val="bottom"/>
            <w:gridSpan w:val="13"/>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160" w:type="dxa"/>
            <w:vAlign w:val="bottom"/>
            <w:gridSpan w:val="1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7160" w:type="dxa"/>
            <w:vAlign w:val="bottom"/>
            <w:gridSpan w:val="15"/>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700" w:type="dxa"/>
            <w:vAlign w:val="bottom"/>
            <w:gridSpan w:val="1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856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118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61,615</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38,874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10,351</w:t>
            </w:r>
          </w:p>
        </w:tc>
        <w:tc>
          <w:tcPr>
            <w:tcW w:w="0" w:type="dxa"/>
            <w:vAlign w:val="bottom"/>
          </w:tcPr>
          <w:p>
            <w:pPr>
              <w:spacing w:after="0"/>
              <w:rPr>
                <w:sz w:val="1"/>
                <w:szCs w:val="1"/>
                <w:color w:val="auto"/>
              </w:rPr>
            </w:pPr>
          </w:p>
        </w:tc>
      </w:tr>
      <w:tr>
        <w:trPr>
          <w:trHeight w:val="206"/>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103,327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110,840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106,725</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115,128</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14,672</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15,850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Current portion of deferred revenue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34,345</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Non-current portion of deferred revenue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39,022</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8060" w:type="dxa"/>
            <w:vAlign w:val="bottom"/>
          </w:tcPr>
          <w:p>
            <w:pPr>
              <w:ind w:left="240"/>
              <w:spacing w:after="0" w:line="165"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60" w:type="dxa"/>
            <w:vAlign w:val="bottom"/>
          </w:tcPr>
          <w:p>
            <w:pPr>
              <w:spacing w:after="0"/>
              <w:rPr>
                <w:sz w:val="14"/>
                <w:szCs w:val="14"/>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60" w:type="dxa"/>
            <w:vAlign w:val="bottom"/>
          </w:tcPr>
          <w:p>
            <w:pPr>
              <w:ind w:left="240"/>
              <w:spacing w:after="0"/>
              <w:rPr>
                <w:sz w:val="20"/>
                <w:szCs w:val="20"/>
                <w:color w:val="auto"/>
              </w:rPr>
            </w:pPr>
            <w:r>
              <w:rPr>
                <w:rFonts w:ascii="Arial" w:cs="Arial" w:eastAsia="Arial" w:hAnsi="Arial"/>
                <w:sz w:val="16"/>
                <w:szCs w:val="16"/>
                <w:color w:val="auto"/>
              </w:rPr>
              <w:t>September 30, 2023 and December 31, 2022</w:t>
            </w: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color w:val="auto"/>
              </w:rPr>
              <w:t>Common stock, $0.0001 par value; 150,000,000 shares authorized; 128,547,336 shares issued and</w:t>
            </w: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outstanding as of September 30, 2023, and 49,382,453 shares issued and outstanding as of December 31,</w:t>
            </w:r>
          </w:p>
        </w:tc>
        <w:tc>
          <w:tcPr>
            <w:tcW w:w="1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713,786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606,918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(627,043)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(530,644)</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86,756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76,106</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106,725</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115,128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126,711</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32,121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46,822</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100,499</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173,533</w:t>
            </w:r>
          </w:p>
        </w:tc>
        <w:tc>
          <w:tcPr>
            <w:tcW w:w="0" w:type="dxa"/>
            <w:vAlign w:val="bottom"/>
          </w:tcPr>
          <w:p>
            <w:pPr>
              <w:spacing w:after="0"/>
              <w:rPr>
                <w:sz w:val="1"/>
                <w:szCs w:val="1"/>
                <w:color w:val="auto"/>
              </w:rPr>
            </w:pPr>
          </w:p>
        </w:tc>
      </w:tr>
      <w:tr>
        <w:trPr>
          <w:trHeight w:val="206"/>
        </w:trPr>
        <w:tc>
          <w:tcPr>
            <w:tcW w:w="48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(25,516)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(44,290)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(98,567)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(173,533)</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12"/>
        </w:trPr>
        <w:tc>
          <w:tcPr>
            <w:tcW w:w="4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(24,632)</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(96,399)</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(172,856)</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82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Net loss per share attributable to common stockholders, basic and</w:t>
            </w: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0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135,591,429</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45,774,376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86,447,174</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45,591,888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1"/>
        </w:trPr>
        <w:tc>
          <w:tcPr>
            <w:tcW w:w="1980" w:type="dxa"/>
            <w:vAlign w:val="bottom"/>
          </w:tcPr>
          <w:p>
            <w:pPr>
              <w:spacing w:after="0"/>
              <w:rPr>
                <w:sz w:val="21"/>
                <w:szCs w:val="21"/>
                <w:color w:val="auto"/>
              </w:rPr>
            </w:pPr>
          </w:p>
        </w:tc>
        <w:tc>
          <w:tcPr>
            <w:tcW w:w="6100" w:type="dxa"/>
            <w:vAlign w:val="bottom"/>
            <w:gridSpan w:val="7"/>
          </w:tcPr>
          <w:p>
            <w:pPr>
              <w:jc w:val="center"/>
              <w:ind w:left="1114"/>
              <w:spacing w:after="0"/>
              <w:rPr>
                <w:sz w:val="20"/>
                <w:szCs w:val="20"/>
                <w:color w:val="auto"/>
              </w:rPr>
            </w:pPr>
            <w:r>
              <w:rPr>
                <w:rFonts w:ascii="Arial" w:cs="Arial" w:eastAsia="Arial" w:hAnsi="Arial"/>
                <w:sz w:val="18"/>
                <w:szCs w:val="18"/>
                <w:b w:val="1"/>
                <w:bCs w:val="1"/>
                <w:color w:val="auto"/>
                <w:w w:val="99"/>
              </w:rPr>
              <w:t>PRAXIS PRECISION MEDICINES, INC.</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980" w:type="dxa"/>
            <w:vAlign w:val="bottom"/>
          </w:tcPr>
          <w:p>
            <w:pPr>
              <w:spacing w:after="0"/>
              <w:rPr>
                <w:sz w:val="24"/>
                <w:szCs w:val="24"/>
                <w:color w:val="auto"/>
              </w:rPr>
            </w:pPr>
          </w:p>
        </w:tc>
        <w:tc>
          <w:tcPr>
            <w:tcW w:w="7720" w:type="dxa"/>
            <w:vAlign w:val="bottom"/>
            <w:gridSpan w:val="10"/>
          </w:tcPr>
          <w:p>
            <w:pPr>
              <w:jc w:val="center"/>
              <w:ind w:right="420"/>
              <w:spacing w:after="0"/>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(Unaudited)</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80" w:type="dxa"/>
            <w:vAlign w:val="bottom"/>
          </w:tcPr>
          <w:p>
            <w:pPr>
              <w:spacing w:after="0"/>
              <w:rPr>
                <w:sz w:val="24"/>
                <w:szCs w:val="24"/>
                <w:color w:val="auto"/>
              </w:rPr>
            </w:pPr>
          </w:p>
        </w:tc>
        <w:tc>
          <w:tcPr>
            <w:tcW w:w="5060" w:type="dxa"/>
            <w:vAlign w:val="bottom"/>
            <w:gridSpan w:val="5"/>
          </w:tcPr>
          <w:p>
            <w:pPr>
              <w:jc w:val="center"/>
              <w:ind w:left="2134"/>
              <w:spacing w:after="0"/>
              <w:rPr>
                <w:sz w:val="20"/>
                <w:szCs w:val="20"/>
                <w:color w:val="auto"/>
              </w:rPr>
            </w:pPr>
            <w:r>
              <w:rPr>
                <w:rFonts w:ascii="Arial" w:cs="Arial" w:eastAsia="Arial" w:hAnsi="Arial"/>
                <w:sz w:val="18"/>
                <w:szCs w:val="18"/>
                <w:b w:val="1"/>
                <w:bCs w:val="1"/>
                <w:color w:val="auto"/>
              </w:rPr>
              <w:t>(Amounts in thousands)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1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820" w:type="dxa"/>
            <w:vAlign w:val="bottom"/>
            <w:gridSpan w:val="4"/>
          </w:tcPr>
          <w:p>
            <w:pPr>
              <w:jc w:val="right"/>
              <w:ind w:right="659"/>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98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(96,399)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(172,856)</w:t>
            </w:r>
          </w:p>
        </w:tc>
        <w:tc>
          <w:tcPr>
            <w:tcW w:w="0" w:type="dxa"/>
            <w:vAlign w:val="bottom"/>
          </w:tcPr>
          <w:p>
            <w:pPr>
              <w:spacing w:after="0"/>
              <w:rPr>
                <w:sz w:val="1"/>
                <w:szCs w:val="1"/>
                <w:color w:val="auto"/>
              </w:rPr>
            </w:pPr>
          </w:p>
        </w:tc>
      </w:tr>
      <w:tr>
        <w:trPr>
          <w:trHeight w:val="165"/>
        </w:trPr>
        <w:tc>
          <w:tcPr>
            <w:tcW w:w="5040" w:type="dxa"/>
            <w:vAlign w:val="bottom"/>
            <w:gridSpan w:val="3"/>
          </w:tcPr>
          <w:p>
            <w:pPr>
              <w:ind w:left="240"/>
              <w:spacing w:after="0" w:line="165" w:lineRule="exact"/>
              <w:rPr>
                <w:sz w:val="20"/>
                <w:szCs w:val="20"/>
                <w:color w:val="auto"/>
              </w:rPr>
            </w:pPr>
            <w:r>
              <w:rPr>
                <w:rFonts w:ascii="Arial" w:cs="Arial" w:eastAsia="Arial" w:hAnsi="Arial"/>
                <w:sz w:val="16"/>
                <w:szCs w:val="16"/>
                <w:color w:val="auto"/>
              </w:rPr>
              <w:t>Change in unrealized losses on marketable securities, net of</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0"/>
        </w:trPr>
        <w:tc>
          <w:tcPr>
            <w:tcW w:w="1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tax</w:t>
            </w:r>
          </w:p>
        </w:tc>
        <w:tc>
          <w:tcPr>
            <w:tcW w:w="2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(96,226)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(173,216)</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106045</wp:posOffset>
            </wp:positionV>
            <wp:extent cx="44062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200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300" w:type="dxa"/>
            <w:vAlign w:val="bottom"/>
          </w:tcPr>
          <w:p>
            <w:pPr>
              <w:spacing w:after="0"/>
              <w:rPr>
                <w:sz w:val="9"/>
                <w:szCs w:val="9"/>
                <w:color w:val="auto"/>
              </w:rPr>
            </w:pPr>
          </w:p>
        </w:tc>
        <w:tc>
          <w:tcPr>
            <w:tcW w:w="200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60"/>
              <w:spacing w:after="0" w:line="104"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9"/>
                <w:szCs w:val="9"/>
                <w:color w:val="auto"/>
              </w:rPr>
            </w:pPr>
          </w:p>
        </w:tc>
        <w:tc>
          <w:tcPr>
            <w:tcW w:w="1060" w:type="dxa"/>
            <w:vAlign w:val="bottom"/>
            <w:gridSpan w:val="2"/>
          </w:tcPr>
          <w:p>
            <w:pPr>
              <w:ind w:left="20"/>
              <w:spacing w:after="0" w:line="104" w:lineRule="exact"/>
              <w:rPr>
                <w:sz w:val="20"/>
                <w:szCs w:val="20"/>
                <w:color w:val="auto"/>
              </w:rPr>
            </w:pPr>
            <w:r>
              <w:rPr>
                <w:rFonts w:ascii="Arial" w:cs="Arial" w:eastAsia="Arial" w:hAnsi="Arial"/>
                <w:sz w:val="12"/>
                <w:szCs w:val="12"/>
                <w:b w:val="1"/>
                <w:bCs w:val="1"/>
                <w:color w:val="auto"/>
              </w:rPr>
              <w:t>Accumulated</w:t>
            </w:r>
          </w:p>
        </w:tc>
        <w:tc>
          <w:tcPr>
            <w:tcW w:w="1160" w:type="dxa"/>
            <w:vAlign w:val="bottom"/>
            <w:gridSpan w:val="3"/>
          </w:tcPr>
          <w:p>
            <w:pPr>
              <w:jc w:val="center"/>
              <w:ind w:right="80"/>
              <w:spacing w:after="0" w:line="104"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980" w:type="dxa"/>
            <w:vAlign w:val="bottom"/>
          </w:tcPr>
          <w:p>
            <w:pPr>
              <w:jc w:val="center"/>
              <w:ind w:right="57"/>
              <w:spacing w:after="0" w:line="10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118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49,382,453</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606,918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(530,644)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76,106</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7,593</w:t>
            </w:r>
          </w:p>
        </w:tc>
        <w:tc>
          <w:tcPr>
            <w:tcW w:w="0" w:type="dxa"/>
            <w:vAlign w:val="bottom"/>
          </w:tcPr>
          <w:p>
            <w:pPr>
              <w:spacing w:after="0"/>
              <w:rPr>
                <w:sz w:val="1"/>
                <w:szCs w:val="1"/>
                <w:color w:val="auto"/>
              </w:rPr>
            </w:pPr>
          </w:p>
        </w:tc>
      </w:tr>
      <w:tr>
        <w:trPr>
          <w:trHeight w:val="129"/>
        </w:trPr>
        <w:tc>
          <w:tcPr>
            <w:tcW w:w="4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common stock from at-the-market public offerings, net of</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8,403,809</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18,096</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3"/>
                <w:szCs w:val="13"/>
                <w:color w:val="auto"/>
              </w:rPr>
              <w:t>172,798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(43,317)</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100" w:type="dxa"/>
            <w:vAlign w:val="bottom"/>
          </w:tcPr>
          <w:p>
            <w:pPr>
              <w:jc w:val="right"/>
              <w:spacing w:after="0"/>
              <w:rPr>
                <w:sz w:val="20"/>
                <w:szCs w:val="20"/>
                <w:color w:val="auto"/>
              </w:rPr>
            </w:pPr>
            <w:r>
              <w:rPr>
                <w:rFonts w:ascii="Arial" w:cs="Arial" w:eastAsia="Arial" w:hAnsi="Arial"/>
                <w:sz w:val="13"/>
                <w:szCs w:val="13"/>
                <w:color w:val="auto"/>
              </w:rPr>
              <w:t>44,644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(37,455)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(37,455)</w:t>
            </w:r>
          </w:p>
        </w:tc>
        <w:tc>
          <w:tcPr>
            <w:tcW w:w="0" w:type="dxa"/>
            <w:vAlign w:val="bottom"/>
          </w:tcPr>
          <w:p>
            <w:pPr>
              <w:spacing w:after="0"/>
              <w:rPr>
                <w:sz w:val="1"/>
                <w:szCs w:val="1"/>
                <w:color w:val="auto"/>
              </w:rPr>
            </w:pPr>
          </w:p>
        </w:tc>
      </w:tr>
      <w:tr>
        <w:trPr>
          <w:trHeight w:val="200"/>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57,960,387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632,580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(568,099)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64,468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18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00" w:type="dxa"/>
            <w:vAlign w:val="bottom"/>
            <w:tcBorders>
              <w:top w:val="single" w:sz="8" w:color="CCEEFF"/>
            </w:tcBorders>
            <w:vMerge w:val="continue"/>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5,775</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7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5,775</w:t>
            </w:r>
          </w:p>
        </w:tc>
        <w:tc>
          <w:tcPr>
            <w:tcW w:w="0" w:type="dxa"/>
            <w:vAlign w:val="bottom"/>
          </w:tcPr>
          <w:p>
            <w:pPr>
              <w:spacing w:after="0"/>
              <w:rPr>
                <w:sz w:val="1"/>
                <w:szCs w:val="1"/>
                <w:color w:val="auto"/>
              </w:rPr>
            </w:pPr>
          </w:p>
        </w:tc>
      </w:tr>
      <w:tr>
        <w:trPr>
          <w:trHeight w:val="129"/>
        </w:trPr>
        <w:tc>
          <w:tcPr>
            <w:tcW w:w="4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Issuance of common stock from follow-on public offering and accompanying</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pre-funded warrants, net of underwriting discounts, commissions and</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$4,484</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64,449,690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63,439</w:t>
            </w:r>
          </w:p>
        </w:tc>
        <w:tc>
          <w:tcPr>
            <w:tcW w:w="0" w:type="dxa"/>
            <w:vAlign w:val="bottom"/>
          </w:tcPr>
          <w:p>
            <w:pPr>
              <w:spacing w:after="0"/>
              <w:rPr>
                <w:sz w:val="1"/>
                <w:szCs w:val="1"/>
                <w:color w:val="auto"/>
              </w:rPr>
            </w:pPr>
          </w:p>
        </w:tc>
      </w:tr>
      <w:tr>
        <w:trPr>
          <w:trHeight w:val="122"/>
        </w:trPr>
        <w:tc>
          <w:tcPr>
            <w:tcW w:w="430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from at-the-market public offerings, net of</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30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1100" w:type="dxa"/>
            <w:vAlign w:val="bottom"/>
          </w:tcPr>
          <w:p>
            <w:pPr>
              <w:jc w:val="right"/>
              <w:spacing w:after="0"/>
              <w:rPr>
                <w:sz w:val="20"/>
                <w:szCs w:val="20"/>
                <w:color w:val="auto"/>
              </w:rPr>
            </w:pPr>
            <w:r>
              <w:rPr>
                <w:rFonts w:ascii="Arial" w:cs="Arial" w:eastAsia="Arial" w:hAnsi="Arial"/>
                <w:sz w:val="13"/>
                <w:szCs w:val="13"/>
                <w:color w:val="auto"/>
              </w:rPr>
              <w:t>5,888,128</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6,032</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234,947</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3"/>
                <w:szCs w:val="13"/>
                <w:color w:val="auto"/>
              </w:rPr>
              <w:t>10,813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(34,312)</w:t>
            </w: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128,540,223</w:t>
            </w: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708,023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(602,411)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105,625</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5,763</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3"/>
                <w:szCs w:val="13"/>
                <w:color w:val="auto"/>
              </w:rPr>
              <w:t>3,500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8"/>
        </w:trPr>
        <w:tc>
          <w:tcPr>
            <w:tcW w:w="43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100" w:type="dxa"/>
            <w:vAlign w:val="bottom"/>
          </w:tcPr>
          <w:p>
            <w:pPr>
              <w:jc w:val="right"/>
              <w:spacing w:after="0"/>
              <w:rPr>
                <w:sz w:val="20"/>
                <w:szCs w:val="20"/>
                <w:color w:val="auto"/>
              </w:rPr>
            </w:pPr>
            <w:r>
              <w:rPr>
                <w:rFonts w:ascii="Arial" w:cs="Arial" w:eastAsia="Arial" w:hAnsi="Arial"/>
                <w:sz w:val="13"/>
                <w:szCs w:val="13"/>
                <w:color w:val="auto"/>
              </w:rPr>
              <w:t>4,672</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(24,632)</w:t>
            </w: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2023</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128,547,336</w:t>
            </w: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713,786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(627,043)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86,756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106045</wp:posOffset>
            </wp:positionV>
            <wp:extent cx="43973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6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116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57"/>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3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5"/>
                <w:szCs w:val="15"/>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45,300,514</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567,598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(316,615)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250,812</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7,886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7,886</w:t>
            </w:r>
          </w:p>
        </w:tc>
        <w:tc>
          <w:tcPr>
            <w:tcW w:w="0" w:type="dxa"/>
            <w:vAlign w:val="bottom"/>
          </w:tcPr>
          <w:p>
            <w:pPr>
              <w:spacing w:after="0"/>
              <w:rPr>
                <w:sz w:val="1"/>
                <w:szCs w:val="1"/>
                <w:color w:val="auto"/>
              </w:rPr>
            </w:pPr>
          </w:p>
        </w:tc>
      </w:tr>
      <w:tr>
        <w:trPr>
          <w:trHeight w:val="129"/>
        </w:trPr>
        <w:tc>
          <w:tcPr>
            <w:tcW w:w="43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70,410</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81,130</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72,278</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(68,717)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(68,717)</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45,506,482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576,955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(385,332)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191,022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20" w:type="dxa"/>
            <w:vAlign w:val="bottom"/>
            <w:tcBorders>
              <w:top w:val="single" w:sz="8" w:color="CCEEFF"/>
            </w:tcBorders>
            <w:vMerge w:val="continue"/>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7,611</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7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7,611</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51,645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6,361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13,143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(60,194)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(60,194)</w:t>
            </w:r>
          </w:p>
        </w:tc>
        <w:tc>
          <w:tcPr>
            <w:tcW w:w="0" w:type="dxa"/>
            <w:vAlign w:val="bottom"/>
          </w:tcPr>
          <w:p>
            <w:pPr>
              <w:spacing w:after="0"/>
              <w:rPr>
                <w:sz w:val="1"/>
                <w:szCs w:val="1"/>
                <w:color w:val="auto"/>
              </w:rPr>
            </w:pPr>
          </w:p>
        </w:tc>
      </w:tr>
      <w:tr>
        <w:trPr>
          <w:trHeight w:val="200"/>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45,575,406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585,070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(445,526)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138,869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20" w:type="dxa"/>
            <w:vAlign w:val="bottom"/>
            <w:tcBorders>
              <w:top w:val="single" w:sz="8" w:color="CCEEFF"/>
            </w:tcBorders>
            <w:vMerge w:val="continue"/>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6,730</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7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6,730</w:t>
            </w:r>
          </w:p>
        </w:tc>
        <w:tc>
          <w:tcPr>
            <w:tcW w:w="0" w:type="dxa"/>
            <w:vAlign w:val="bottom"/>
          </w:tcPr>
          <w:p>
            <w:pPr>
              <w:spacing w:after="0"/>
              <w:rPr>
                <w:sz w:val="1"/>
                <w:szCs w:val="1"/>
                <w:color w:val="auto"/>
              </w:rPr>
            </w:pPr>
          </w:p>
        </w:tc>
      </w:tr>
      <w:tr>
        <w:trPr>
          <w:trHeight w:val="129"/>
        </w:trPr>
        <w:tc>
          <w:tcPr>
            <w:tcW w:w="43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 of $109</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1,105,006</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2,962</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5,312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(1,638)</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180,241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409</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(43,945)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(43,945)</w:t>
            </w:r>
          </w:p>
        </w:tc>
        <w:tc>
          <w:tcPr>
            <w:tcW w:w="0" w:type="dxa"/>
            <w:vAlign w:val="bottom"/>
          </w:tcPr>
          <w:p>
            <w:pPr>
              <w:spacing w:after="0"/>
              <w:rPr>
                <w:sz w:val="1"/>
                <w:szCs w:val="1"/>
                <w:color w:val="auto"/>
              </w:rPr>
            </w:pPr>
          </w:p>
        </w:tc>
      </w:tr>
      <w:tr>
        <w:trPr>
          <w:trHeight w:val="200"/>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46,864,327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595,165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(489,471)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105,163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Nine Months Ended</w:t>
      </w:r>
    </w:p>
    <w:p>
      <w:pPr>
        <w:jc w:val="center"/>
        <w:ind w:left="804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(96,399)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(172,856)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22,227</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(8,431)</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80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(87,275)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(156,237)</w:t>
            </w: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(83,022)</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157,761</w:t>
            </w:r>
          </w:p>
        </w:tc>
        <w:tc>
          <w:tcPr>
            <w:tcW w:w="0" w:type="dxa"/>
            <w:vAlign w:val="bottom"/>
          </w:tcPr>
          <w:p>
            <w:pPr>
              <w:spacing w:after="0"/>
              <w:rPr>
                <w:sz w:val="1"/>
                <w:szCs w:val="1"/>
                <w:color w:val="auto"/>
              </w:rPr>
            </w:pPr>
          </w:p>
        </w:tc>
      </w:tr>
      <w:tr>
        <w:trPr>
          <w:trHeight w:val="207"/>
        </w:trPr>
        <w:tc>
          <w:tcPr>
            <w:tcW w:w="8060" w:type="dxa"/>
            <w:vAlign w:val="bottom"/>
          </w:tcPr>
          <w:p>
            <w:pPr>
              <w:ind w:left="680"/>
              <w:spacing w:after="0"/>
              <w:rPr>
                <w:sz w:val="20"/>
                <w:szCs w:val="20"/>
                <w:color w:val="auto"/>
              </w:rPr>
            </w:pPr>
            <w:r>
              <w:rPr>
                <w:rFonts w:ascii="Arial" w:cs="Arial" w:eastAsia="Arial" w:hAnsi="Arial"/>
                <w:sz w:val="16"/>
                <w:szCs w:val="16"/>
                <w:color w:val="auto"/>
              </w:rPr>
              <w:t>Net cash provided by investing activities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74,295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8060" w:type="dxa"/>
            <w:vAlign w:val="bottom"/>
          </w:tcPr>
          <w:p>
            <w:pPr>
              <w:ind w:left="20"/>
              <w:spacing w:after="0" w:line="165" w:lineRule="exact"/>
              <w:rPr>
                <w:sz w:val="20"/>
                <w:szCs w:val="20"/>
                <w:color w:val="auto"/>
              </w:rPr>
            </w:pPr>
            <w:r>
              <w:rPr>
                <w:rFonts w:ascii="Arial" w:cs="Arial" w:eastAsia="Arial" w:hAnsi="Arial"/>
                <w:sz w:val="16"/>
                <w:szCs w:val="16"/>
                <w:color w:val="auto"/>
              </w:rPr>
              <w:t>Issuance of common stock from follow-on public offering and accompanying pre-funded warrants, net of</w:t>
            </w: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63,439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underwriting discounts, commissions and offering costs</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at-the-market offerings, net of issuance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4,330</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Payment of issuance costs for at-the-market offerings</w:t>
            </w:r>
          </w:p>
        </w:tc>
        <w:tc>
          <w:tcPr>
            <w:tcW w:w="3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exercise of stock options and employee stock purchase plan purchases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5,078</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39,470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(76,864)</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139,720</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62,856</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101,085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62,440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62,856</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color w:val="auto"/>
              </w:rPr>
              <w:t>Offering costs from follow-on public offering included in accounts payable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jc w:val="center"/>
        <w:ind w:left="360" w:right="2660"/>
        <w:spacing w:after="0" w:line="454"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7"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Praxis Precision Medicines, Inc. (“Praxis” or the “Company”) is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71" w:lineRule="exact"/>
        <w:rPr>
          <w:sz w:val="20"/>
          <w:szCs w:val="20"/>
          <w:color w:val="auto"/>
        </w:rPr>
      </w:pPr>
    </w:p>
    <w:p>
      <w:pPr>
        <w:ind w:left="660" w:right="32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the Company's small molecule platform, utilizes deep understanding of neuronal excitability and neuronal networks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applies a 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3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the Company's antisense oligonucleotide, or ASO, platform, is an efficient, targeted precision medicine discovery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engine anchored on a proprietary, computational methodology</w:t>
      </w:r>
    </w:p>
    <w:p>
      <w:pPr>
        <w:spacing w:after="0" w:line="163"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movement disorders and epilepsy. For the Company's most advanced product candidate under the Cerebrum™ platform, ulixacaltamide (also known as PRAX-944), topline results from the Phase 2b Essential1 clinical trial in essential tremor ("ET"), were announced in the first quarter of 2023. The Company initiated its Phase 3 studies in ET in the fourth quarter of 2023, with enrollment expected to complete in the first half of 2024 and topline results expected in the second half of 2024. The Company initiated its PRAX-562 Phase 2 EMBOLD study in the first quarter of 2023 and expects to announce topline results in the first half of 2024. The Company also announced positive results from its PRAX-628 Phase 1 study in May 2023. In June 2023, the Company initiated a Phase 2 proof of concept study evaluating PRAX-628 in patients with a Photo Paroxysmal Response ("PPR"), with results anticipated in the fourth quarter of 2023. Upon completion of the PPR study, Praxis plans to initiate a Phase 2 study of PRAX-628 in focal epilepsy in the first half of 2024. For the Company's most advanced product candidate under the Solidus™ platform, elsunersen (also known as PRAX-222), the Company completed dosing in the first cohort of its EMBRAVE study and announced preliminary data from the first dose cohort in October 2023.</w:t>
      </w:r>
    </w:p>
    <w:p>
      <w:pPr>
        <w:spacing w:after="0" w:line="199" w:lineRule="exact"/>
        <w:rPr>
          <w:sz w:val="20"/>
          <w:szCs w:val="20"/>
          <w:color w:val="auto"/>
        </w:rPr>
      </w:pPr>
    </w:p>
    <w:p>
      <w:pPr>
        <w:ind w:right="120" w:firstLine="445"/>
        <w:spacing w:after="0" w:line="278" w:lineRule="auto"/>
        <w:rPr>
          <w:sz w:val="20"/>
          <w:szCs w:val="20"/>
          <w:color w:val="auto"/>
        </w:rPr>
      </w:pPr>
      <w:r>
        <w:rPr>
          <w:rFonts w:ascii="Arial" w:cs="Arial" w:eastAsia="Arial" w:hAnsi="Arial"/>
          <w:sz w:val="17"/>
          <w:szCs w:val="17"/>
          <w:color w:val="auto"/>
        </w:rPr>
        <w:t>Praxis was incorporated in 2015 and commenced operations in 2016. The Company has funded its operations primarily with proceeds from the issuance of redeemable convertible preferred stock, and from the sale of common stock and pre-funded warrants through an initial public offering, follow-on public offerings and at-the-market offerings under its shelf registration statement. From inception through September 30, 2023, the Company raised $613.6 million in aggregate cash proceeds from these transactions, net of issuance costs.</w:t>
      </w:r>
    </w:p>
    <w:p>
      <w:pPr>
        <w:spacing w:after="0" w:line="174" w:lineRule="exact"/>
        <w:rPr>
          <w:sz w:val="20"/>
          <w:szCs w:val="20"/>
          <w:color w:val="auto"/>
        </w:rPr>
      </w:pPr>
    </w:p>
    <w:p>
      <w:pPr>
        <w:ind w:right="220" w:firstLine="445"/>
        <w:spacing w:after="0" w:line="254"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1" w:name="page12"/>
    <w:bookmarkEnd w:id="11"/>
    <w:p>
      <w:pPr>
        <w:ind w:right="140" w:firstLine="445"/>
        <w:spacing w:after="0" w:line="261"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86" w:lineRule="exact"/>
        <w:rPr>
          <w:sz w:val="20"/>
          <w:szCs w:val="20"/>
          <w:color w:val="auto"/>
        </w:rPr>
      </w:pPr>
    </w:p>
    <w:p>
      <w:pPr>
        <w:ind w:right="520" w:firstLine="445"/>
        <w:spacing w:after="0" w:line="263" w:lineRule="auto"/>
        <w:rPr>
          <w:sz w:val="20"/>
          <w:szCs w:val="20"/>
          <w:color w:val="auto"/>
        </w:rPr>
      </w:pPr>
      <w:r>
        <w:rPr>
          <w:rFonts w:ascii="Arial" w:cs="Arial" w:eastAsia="Arial" w:hAnsi="Arial"/>
          <w:sz w:val="18"/>
          <w:szCs w:val="18"/>
          <w:color w:val="auto"/>
        </w:rPr>
        <w:t>The Company has incurred recurring losses since its inception, including a net loss of $96.4 million for the nine months ended September 30, 2023. In addition, as of September 30, 2023, the Company had an accumulated deficit of $627.0 million. The Company expects to continue to generate operating losses for the foreseeable future.</w:t>
      </w:r>
    </w:p>
    <w:p>
      <w:pPr>
        <w:spacing w:after="0" w:line="184"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Company expects that its cash and cash equivalents as of September 30, 2023 of $101.1 million will be sufficient to fund the operating expenditures and capital expenditure requirements necessary to advance its research efforts and clinical trials for at least one year from the date of issuance of these condensed consolidated financial statements. The analysis included consideration of the Company's current financial needs and ongoing research and development plans, which are limited to advancing product candidates through, but not beyond, their current clinical trials. As a result, the Company concluded that it did not identify conditions or events that raise substantial doubt about the Company’s ability to continue as a going concern within one year from the date these condensed consolidated financial statements were issued. The Company’s current operating plan is based on assumptions that may prove to be wrong, and the Company could use its capital resources sooner than it expects. In this case, the Company would evaluate further reductions in its expenses or to obtain additional financing sooner than it otherwise would, which may not be available or may only be available on terms that are not acceptable to the Company.</w:t>
      </w:r>
    </w:p>
    <w:p>
      <w:pPr>
        <w:spacing w:after="0" w:line="292" w:lineRule="exact"/>
        <w:rPr>
          <w:sz w:val="20"/>
          <w:szCs w:val="20"/>
          <w:color w:val="auto"/>
        </w:rPr>
      </w:pPr>
    </w:p>
    <w:p>
      <w:pPr>
        <w:ind w:right="7240" w:firstLine="8"/>
        <w:spacing w:after="0" w:line="381"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84" w:lineRule="exact"/>
        <w:rPr>
          <w:sz w:val="20"/>
          <w:szCs w:val="20"/>
          <w:color w:val="auto"/>
        </w:rPr>
      </w:pPr>
    </w:p>
    <w:p>
      <w:pPr>
        <w:jc w:val="both"/>
        <w:ind w:right="320" w:firstLine="445"/>
        <w:spacing w:after="0" w:line="263"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nine months ended September 30, 2023 are consistent with those discussed in Note 2 to the consolidated financial statements included in the Company's 2022 Annual Report on Form 10-K, other than as noted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2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accompanying condensed consolidated balance sheet as of September 30, 2023, the condensed consolidated statements of operations for the three and nine months ended September 30, 2023 and 2022, the condensed consolidated statements of comprehensive loss for the three and nine months ended September 30, 2023 and 2022, the condensed consolidated statements of cash flows for the nine months ended September 30, 2023 and 2022 and the condensed consolidated statements of stockholders’ equity for the three and nine months ended September 30, 2023 and 2022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September 30, 2023, the results of its operations for the three and nine months ended September 30, 2023 and 2022 and its cash flows for the nine months ended September 30, 2023 and 2022. Financial statement disclosures for the three and nine months ended September 30, 2023 and 2022 are condensed and do not include all disclosures required for an annual set of financial statements in accordance with GAAP.</w:t>
      </w:r>
    </w:p>
    <w:p>
      <w:pPr>
        <w:spacing w:after="0" w:line="194" w:lineRule="exact"/>
        <w:rPr>
          <w:sz w:val="20"/>
          <w:szCs w:val="20"/>
          <w:color w:val="auto"/>
        </w:rPr>
      </w:pPr>
    </w:p>
    <w:p>
      <w:pPr>
        <w:ind w:right="320" w:firstLine="445"/>
        <w:spacing w:after="0" w:line="275" w:lineRule="auto"/>
        <w:rPr>
          <w:sz w:val="20"/>
          <w:szCs w:val="20"/>
          <w:color w:val="auto"/>
        </w:rPr>
      </w:pPr>
      <w:r>
        <w:rPr>
          <w:rFonts w:ascii="Arial" w:cs="Arial" w:eastAsia="Arial" w:hAnsi="Arial"/>
          <w:sz w:val="18"/>
          <w:szCs w:val="18"/>
          <w:color w:val="auto"/>
        </w:rPr>
        <w:t>The results for the three and nine months ended September 30, 2023 are not necessarily indicative of results to be expected for the year ended December 31, 2023, any other interim periods, or any future year or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7" w:lineRule="exact"/>
        <w:rPr>
          <w:sz w:val="20"/>
          <w:szCs w:val="20"/>
          <w:color w:val="auto"/>
        </w:rPr>
      </w:pPr>
    </w:p>
    <w:p>
      <w:pPr>
        <w:ind w:right="20" w:firstLine="445"/>
        <w:spacing w:after="0" w:line="275"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the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18"/>
          <w:szCs w:val="18"/>
          <w:color w:val="auto"/>
        </w:rPr>
        <w:t>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accrued and prepaid research and development expense, collaboration revenue,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27"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 xml:space="preserve">The Company accounts for warrants to purchase shares of its common stock in accordance with the guidance in FASB ASC No.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(ASC 480) and ASC No. 815,</w:t>
      </w:r>
      <w:r>
        <w:rPr>
          <w:rFonts w:ascii="Arial" w:cs="Arial" w:eastAsia="Arial" w:hAnsi="Arial"/>
          <w:sz w:val="18"/>
          <w:szCs w:val="18"/>
          <w:i w:val="1"/>
          <w:iCs w:val="1"/>
          <w:color w:val="auto"/>
        </w:rPr>
        <w:t xml:space="preserve"> Derivatives and Hedging </w:t>
      </w:r>
      <w:r>
        <w:rPr>
          <w:rFonts w:ascii="Arial" w:cs="Arial" w:eastAsia="Arial" w:hAnsi="Arial"/>
          <w:sz w:val="18"/>
          <w:szCs w:val="18"/>
          <w:color w:val="auto"/>
        </w:rPr>
        <w:t>(ASC 815). The Company classifies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 The Company determines the classification for its warrants at the time of issuance and updates its assessment, as necessary. Warrants that meet all of the criteria for equity classification are recorded as a component of additional paid-in capital.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27"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The calculation of weighted average number of common shares outstanding excludes shares of restricted common stock that are not vested but includes shares of common stock underlying pre-funded warrants. Diluted net loss per share is computed by dividing net loss by the weighted average number of common shares outstanding for the period, after giving consideration to the dilutive effect of potentially dilutive common shares. For purposes of this calculation, outstanding options to purchase shares of common stock, unvested shares of restricted common stock and potential shares issuable under the 2020 ESPP are considered potentially dilutive common shares. The Company has generated a net loss in all periods presented so the basic and diluted net loss per share are the same, as the inclusion of the potentially dilutive securities would be anti-dilutive.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1" w:lineRule="exact"/>
        <w:rPr>
          <w:sz w:val="20"/>
          <w:szCs w:val="20"/>
          <w:color w:val="auto"/>
        </w:rPr>
      </w:pPr>
    </w:p>
    <w:p>
      <w:pPr>
        <w:ind w:right="200" w:firstLine="445"/>
        <w:spacing w:after="0" w:line="253" w:lineRule="auto"/>
        <w:rPr>
          <w:sz w:val="20"/>
          <w:szCs w:val="20"/>
          <w:color w:val="auto"/>
        </w:rPr>
      </w:pPr>
      <w:r>
        <w:rPr>
          <w:rFonts w:ascii="Arial" w:cs="Arial" w:eastAsia="Arial" w:hAnsi="Arial"/>
          <w:sz w:val="18"/>
          <w:szCs w:val="18"/>
          <w:color w:val="auto"/>
        </w:rPr>
        <w:t xml:space="preserve">On August 5, 2020, the FASB issued ASU No. 2020-06, </w:t>
      </w:r>
      <w:r>
        <w:rPr>
          <w:rFonts w:ascii="Arial" w:cs="Arial" w:eastAsia="Arial" w:hAnsi="Arial"/>
          <w:sz w:val="18"/>
          <w:szCs w:val="18"/>
          <w:i w:val="1"/>
          <w:iCs w:val="1"/>
          <w:color w:val="auto"/>
        </w:rPr>
        <w:t>Debt – 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Derivatives and Hedging – Contracts in Entity’s Own Equity (Subtopic 815-40): Accounting for Convertible Instruments and Contracts in an Entity’s Own Equity </w:t>
      </w:r>
      <w:r>
        <w:rPr>
          <w:rFonts w:ascii="Arial" w:cs="Arial" w:eastAsia="Arial" w:hAnsi="Arial"/>
          <w:sz w:val="18"/>
          <w:szCs w:val="18"/>
          <w:color w:val="auto"/>
        </w:rPr>
        <w:t>(ASU 2020-06). ASU 2020-06 simplifies the accounting for certain financial instruments with characteristics of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equity, including convertible instruments and contracts on an entity’s own equity. ASU 2020-06 eliminates the separation models for convertible debt with cash conversion features and convertible instruments with beneficial conversion features and simplifies the derivative scope exception guidance pertaining to equity classification of contracts in an entity’s own equity. Additionally, ASU 2020-06 amends the diluted earnings per share guidance, including the requirement to use the if-converted method for all convertible instruments. The new standard also introduces additional disclosures for convertible instruments. ASU 2020-06 was effective for public companies that are not smaller reporting companies for fiscal years beginning after December 15, 2021. For all other entities, ASU 2020-06 is effective for fiscal years beginning after December 15, 2023. Early adoption is permitted, but no earlier than fiscal years beginning after December 15, 2020. ASU 2020-06 is required to be adopted as of the beginning of a fiscal year. ASU 2020-06 may be applied using either a full or modified retrospective method of transition. The Company adopted ASU 2020-06 effective as of January 1. 2023. The adoption of ASU 2020-06 did not have an impact on the Company’s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7" w:lineRule="exact"/>
        <w:rPr>
          <w:sz w:val="20"/>
          <w:szCs w:val="20"/>
          <w:color w:val="auto"/>
        </w:rPr>
      </w:pPr>
    </w:p>
    <w:p>
      <w:pPr>
        <w:ind w:right="740" w:firstLine="445"/>
        <w:spacing w:after="0" w:line="275" w:lineRule="auto"/>
        <w:rPr>
          <w:sz w:val="20"/>
          <w:szCs w:val="20"/>
          <w:color w:val="auto"/>
        </w:rPr>
      </w:pPr>
      <w:r>
        <w:rPr>
          <w:rFonts w:ascii="Arial" w:cs="Arial" w:eastAsia="Arial" w:hAnsi="Arial"/>
          <w:sz w:val="18"/>
          <w:szCs w:val="18"/>
          <w:color w:val="auto"/>
        </w:rPr>
        <w:t>The Company did not hold any marketable securities as of September 30, 2023. The following is a summary of the Company's investment portfolio as of December 31, 2022 (in thousands):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1"/>
        </w:trPr>
        <w:tc>
          <w:tcPr>
            <w:tcW w:w="60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05"/>
        </w:trPr>
        <w:tc>
          <w:tcPr>
            <w:tcW w:w="6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6"/>
          </w:tcPr>
          <w:p>
            <w:pPr>
              <w:ind w:left="300"/>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21"/>
        </w:trPr>
        <w:tc>
          <w:tcPr>
            <w:tcW w:w="6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Cost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6"/>
                <w:szCs w:val="16"/>
                <w:b w:val="1"/>
                <w:bCs w:val="1"/>
                <w:color w:val="auto"/>
                <w:w w:val="94"/>
              </w:rPr>
              <w:t>Gains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9"/>
                <w:szCs w:val="19"/>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09"/>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35,042</w:t>
            </w:r>
          </w:p>
        </w:tc>
        <w:tc>
          <w:tcPr>
            <w:tcW w:w="10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34,879</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securities issued by U.S. government agencies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r>
      <w:tr>
        <w:trPr>
          <w:trHeight w:val="207"/>
        </w:trPr>
        <w:tc>
          <w:tcPr>
            <w:tcW w:w="6060" w:type="dxa"/>
            <w:vAlign w:val="bottom"/>
          </w:tcPr>
          <w:p>
            <w:pPr>
              <w:ind w:left="20"/>
              <w:spacing w:after="0"/>
              <w:rPr>
                <w:sz w:val="20"/>
                <w:szCs w:val="20"/>
                <w:color w:val="auto"/>
              </w:rPr>
            </w:pPr>
            <w:r>
              <w:rPr>
                <w:rFonts w:ascii="Arial" w:cs="Arial" w:eastAsia="Arial" w:hAnsi="Arial"/>
                <w:sz w:val="16"/>
                <w:szCs w:val="16"/>
                <w:color w:val="auto"/>
              </w:rPr>
              <w:t>Total securities with a maturity of one year or less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39,047</w:t>
            </w:r>
          </w:p>
        </w:tc>
        <w:tc>
          <w:tcPr>
            <w:tcW w:w="10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38,874</w:t>
            </w:r>
          </w:p>
        </w:tc>
      </w:tr>
      <w:tr>
        <w:trPr>
          <w:trHeight w:val="253"/>
        </w:trPr>
        <w:tc>
          <w:tcPr>
            <w:tcW w:w="606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spacing w:after="0"/>
              <w:rPr>
                <w:sz w:val="22"/>
                <w:szCs w:val="22"/>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Total available-for-sale securities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39,047</w:t>
            </w:r>
          </w:p>
        </w:tc>
        <w:tc>
          <w:tcPr>
            <w:tcW w:w="10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38,874</w:t>
            </w:r>
          </w:p>
        </w:tc>
      </w:tr>
      <w:tr>
        <w:trPr>
          <w:trHeight w:val="21"/>
        </w:trPr>
        <w:tc>
          <w:tcPr>
            <w:tcW w:w="6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2022, the Company had 7 securities with a total fair market value of $38.9 million in an unrealized loss position.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anticipated a full recovery of the amortized cost basis of its debt securities at maturity and an allowance was not recognized.</w:t>
      </w:r>
    </w:p>
    <w:p>
      <w:pPr>
        <w:spacing w:after="0" w:line="213" w:lineRule="exact"/>
        <w:rPr>
          <w:sz w:val="20"/>
          <w:szCs w:val="20"/>
          <w:color w:val="auto"/>
        </w:rPr>
      </w:pPr>
    </w:p>
    <w:p>
      <w:pPr>
        <w:ind w:right="160" w:firstLine="445"/>
        <w:spacing w:after="0" w:line="275"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and nine months ended September 30, 2023 and 2022.</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7"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7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w:t>
      </w:r>
    </w:p>
    <w:p>
      <w:pPr>
        <w:spacing w:after="0" w:line="117" w:lineRule="exact"/>
        <w:rPr>
          <w:rFonts w:ascii="Arial" w:cs="Arial" w:eastAsia="Arial" w:hAnsi="Arial"/>
          <w:sz w:val="18"/>
          <w:szCs w:val="18"/>
          <w:color w:val="auto"/>
        </w:rPr>
      </w:pPr>
    </w:p>
    <w:p>
      <w:pPr>
        <w:ind w:left="660" w:right="840" w:hanging="328"/>
        <w:spacing w:after="0" w:line="27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225"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Company did not hold any financial assets measured at fair value on a recurring basis as of September 30, 2023. The following table presents information about the Company’s financial assets measured at fair value on a recurring basis and indicates the level of the fair value hierarchy utilized to determine such fair values as of December 31, 2022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As of December 31, 2022</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09"/>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34,181</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r>
      <w:tr>
        <w:trPr>
          <w:trHeight w:val="213"/>
        </w:trPr>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w:t>
            </w:r>
          </w:p>
        </w:tc>
      </w:tr>
      <w:tr>
        <w:trPr>
          <w:trHeight w:val="230"/>
        </w:trPr>
        <w:tc>
          <w:tcPr>
            <w:tcW w:w="5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73,055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10,734</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2,803</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6,979</w:t>
            </w:r>
          </w:p>
        </w:tc>
        <w:tc>
          <w:tcPr>
            <w:tcW w:w="10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15,850</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7"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that expires on January 31, 2026, with no option to renew or terminate early. The base rent increases by approximately 2% annually. The Company issued a letter of credit to the landlord related to the security deposit, secured by restricted cash, which is reflected within other non-current assets on the accompanying condensed consolidated balance sheets as of September 30, 2023 and December 31, 2022. This lease qualifies as an operating 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UCB Option and License Agreement</w:t>
      </w:r>
    </w:p>
    <w:p>
      <w:pPr>
        <w:spacing w:after="0" w:line="12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 December 2022, the Company entered into an Option and License Agreement (“the Collaboration Agreement”) with UCB Biopharma SRL (“UCB”) for the discovery of small molecule therapeutics as potential treatments of KCNT1-related epilepsies. Under the terms of the Collaboration Agreement, the Company has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exercises its option to in-license global development and commercialization rights, the Collaboration Agreement stipulates that UCB will assume research, development, manufacturing and commercialization responsibilities and costs. Under the terms of the Collaboration Agreement, the Company will be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194" w:lineRule="exact"/>
        <w:rPr>
          <w:sz w:val="20"/>
          <w:szCs w:val="20"/>
          <w:color w:val="auto"/>
        </w:rPr>
      </w:pPr>
    </w:p>
    <w:p>
      <w:pPr>
        <w:ind w:right="20" w:firstLine="445"/>
        <w:spacing w:after="0" w:line="258" w:lineRule="auto"/>
        <w:rPr>
          <w:sz w:val="20"/>
          <w:szCs w:val="20"/>
          <w:color w:val="auto"/>
        </w:rPr>
      </w:pPr>
      <w:r>
        <w:rPr>
          <w:rFonts w:ascii="Arial" w:cs="Arial" w:eastAsia="Arial" w:hAnsi="Arial"/>
          <w:sz w:val="18"/>
          <w:szCs w:val="18"/>
          <w:color w:val="auto"/>
        </w:rPr>
        <w:t>The Company concluded that UCB is a customer, and as such, the arrangement falls within the scope of Topic 606. 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190"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The Company recognizes revenue for its research services performance obligation over time using an input method over the duration of the research services. During the three and nine months ended September 30, 2023, the Company recognized $0.5 million and $1.9 million, respectively, in collaboration revenue related to the Collaboration Agreement in the condensed consolidated statement of operations. As of September 30, 2023, $3.1 million was included in deferred revenue in the condensed consolidated balance sheet, of which $1.6 million was classified as current.</w:t>
      </w:r>
    </w:p>
    <w:p>
      <w:pPr>
        <w:spacing w:after="0" w:line="290" w:lineRule="exact"/>
        <w:rPr>
          <w:sz w:val="20"/>
          <w:szCs w:val="20"/>
          <w:color w:val="auto"/>
        </w:rPr>
      </w:pPr>
    </w:p>
    <w:p>
      <w:pPr>
        <w:ind w:right="7960" w:firstLine="8"/>
        <w:spacing w:after="0" w:line="381" w:lineRule="auto"/>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right="560" w:firstLine="445"/>
        <w:spacing w:after="0" w:line="275" w:lineRule="auto"/>
        <w:rPr>
          <w:sz w:val="20"/>
          <w:szCs w:val="20"/>
          <w:color w:val="auto"/>
        </w:rPr>
      </w:pPr>
      <w:r>
        <w:rPr>
          <w:rFonts w:ascii="Arial" w:cs="Arial" w:eastAsia="Arial" w:hAnsi="Arial"/>
          <w:sz w:val="18"/>
          <w:szCs w:val="18"/>
          <w:color w:val="auto"/>
        </w:rPr>
        <w:t>As of September 30, 2023 and December 31, 2022, the authorized capital stock of the Company included 150,000,000 shares of common stock, $0.0001 par value.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2023 and December 31, 2022, the Company did not hold any treasury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2023 Public Offering</w:t>
      </w:r>
    </w:p>
    <w:p>
      <w:pPr>
        <w:spacing w:after="0" w:line="127"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On June 21, 2023, the Company completed a public offering of: (i) an aggregate of 64,449,690 shares of its common stock at a public offering price of $0.95 per share, including the underwriters’ full exercise of their option to purchase 9,299,690 additional shares of common stock, and (ii) pre-funded warrants to purchase 7,050,000 shares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5" w:name="page16"/>
    <w:bookmarkEnd w:id="15"/>
    <w:p>
      <w:pPr>
        <w:ind w:right="160"/>
        <w:spacing w:after="0" w:line="258" w:lineRule="auto"/>
        <w:rPr>
          <w:sz w:val="20"/>
          <w:szCs w:val="20"/>
          <w:color w:val="auto"/>
        </w:rPr>
      </w:pPr>
      <w:r>
        <w:rPr>
          <w:rFonts w:ascii="Arial" w:cs="Arial" w:eastAsia="Arial" w:hAnsi="Arial"/>
          <w:sz w:val="18"/>
          <w:szCs w:val="18"/>
          <w:color w:val="auto"/>
        </w:rPr>
        <w:t>of common stock at a public offering price of $0.9499 per share of common stock underlying the warrants. The purchase price per share for each pre-funded warrant represents the per share offering price for the common stock, less the $0.0001 per share exercise price for each underlying share. Total net proceeds generated from the offering were approximately $63.4 million, after deducting underwriting discounts, commissions and other offering expenses payable by the Company.</w:t>
      </w:r>
    </w:p>
    <w:p>
      <w:pPr>
        <w:spacing w:after="0" w:line="82"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either the aggregate number of shares of common stock beneficially owned by such holder, together with its affiliates, to exceed 9.99%, or the combined voting power of the securities beneficially owned by such holder, together with its affiliates, to exceed 9.99%. A holder of a pre-funded warrant may increase or decrease this percentage up to 19.99% by providing at least 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In the event of certain fundamental transactions where the consideration payable to the holders of shares of common stock consists solely of cash and/or marketable securities, the pre-funded warrants will automatically be deemed to be exercised in full pursuant to a cashless exercise effective immediately prior to and contingent upon the consummation of such transaction. As of September 30, 2023, none of the pre-funded warrants had been exercised and remain outstanding.</w:t>
      </w:r>
    </w:p>
    <w:p>
      <w:pPr>
        <w:spacing w:after="0" w:line="92"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 xml:space="preserve">The Company determined that the pre-funded warrants are freestanding financial instruments because they are both legally detachable and separately exercisable from the common stock sold in the offering. As such, the Company evaluated the pre-funded warrants to determine whether they represent instruments that require liability classification pursuant to the guidance in ASC 480. However, the Company concluded that the pre-funded warrants are not a liability within the scope of ASC 480 due to their characteristics. Further, the Company determined that the pre-funded warrants do not meet the definition of a derivative under ASC 815 because they do not meet the criteria regarding no or little initial net investment. Accordingly, the Company assessed the pre-funded warrants relative to the guidance in ASC No. 815-40,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to determine the appropriate treatment. The Company concluded that the pre-funded warrants are both indexed to its own stock and meet all other conditions for equity classification. Accordingly, the Company has classified the pre-funded warrants as permanent equity.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36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9,876,256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8,838,028</w:t>
            </w:r>
          </w:p>
        </w:tc>
      </w:tr>
      <w:tr>
        <w:trPr>
          <w:trHeight w:val="213"/>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w:t>
            </w:r>
          </w:p>
        </w:tc>
        <w:tc>
          <w:tcPr>
            <w:tcW w:w="1520" w:type="dxa"/>
            <w:vAlign w:val="bottom"/>
          </w:tcPr>
          <w:p>
            <w:pPr>
              <w:jc w:val="right"/>
              <w:spacing w:after="0"/>
              <w:rPr>
                <w:sz w:val="20"/>
                <w:szCs w:val="20"/>
                <w:color w:val="auto"/>
              </w:rPr>
            </w:pPr>
            <w:r>
              <w:rPr>
                <w:rFonts w:ascii="Arial" w:cs="Arial" w:eastAsia="Arial" w:hAnsi="Arial"/>
                <w:sz w:val="16"/>
                <w:szCs w:val="16"/>
                <w:color w:val="auto"/>
              </w:rPr>
              <w:t>7,050,000</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and Incentive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2,444,985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1,650,955</w:t>
            </w: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520" w:type="dxa"/>
            <w:vAlign w:val="bottom"/>
          </w:tcPr>
          <w:p>
            <w:pPr>
              <w:jc w:val="right"/>
              <w:spacing w:after="0"/>
              <w:rPr>
                <w:sz w:val="20"/>
                <w:szCs w:val="20"/>
                <w:color w:val="auto"/>
              </w:rPr>
            </w:pPr>
            <w:r>
              <w:rPr>
                <w:rFonts w:ascii="Arial" w:cs="Arial" w:eastAsia="Arial" w:hAnsi="Arial"/>
                <w:sz w:val="16"/>
                <w:szCs w:val="16"/>
                <w:color w:val="auto"/>
              </w:rPr>
              <w:t>932,077</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839,922</w:t>
            </w:r>
          </w:p>
        </w:tc>
      </w:tr>
      <w:tr>
        <w:trPr>
          <w:trHeight w:val="21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633,615</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743,950</w:t>
            </w:r>
          </w:p>
        </w:tc>
      </w:tr>
      <w:tr>
        <w:trPr>
          <w:trHeight w:val="213"/>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20,936,933</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12,072,855</w:t>
            </w:r>
          </w:p>
        </w:tc>
      </w:tr>
      <w:tr>
        <w:trPr>
          <w:trHeight w:val="20"/>
        </w:trPr>
        <w:tc>
          <w:tcPr>
            <w:tcW w:w="36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7" w:lineRule="exact"/>
        <w:rPr>
          <w:sz w:val="20"/>
          <w:szCs w:val="20"/>
          <w:color w:val="auto"/>
        </w:rPr>
      </w:pPr>
    </w:p>
    <w:p>
      <w:pPr>
        <w:ind w:right="660" w:firstLine="445"/>
        <w:spacing w:after="0" w:line="275" w:lineRule="auto"/>
        <w:rPr>
          <w:sz w:val="20"/>
          <w:szCs w:val="20"/>
          <w:color w:val="auto"/>
        </w:rPr>
      </w:pPr>
      <w:r>
        <w:rPr>
          <w:rFonts w:ascii="Arial" w:cs="Arial" w:eastAsia="Arial" w:hAnsi="Arial"/>
          <w:sz w:val="18"/>
          <w:szCs w:val="18"/>
          <w:color w:val="auto"/>
        </w:rPr>
        <w:t>As of September 30, 2023 and December 31, 2022, the authorized capital stock of the Company included 10,000,000 shares of undesignated preferred stock, $0.0001 par value.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27" w:lineRule="exact"/>
        <w:rPr>
          <w:sz w:val="20"/>
          <w:szCs w:val="20"/>
          <w:color w:val="auto"/>
        </w:rPr>
      </w:pPr>
    </w:p>
    <w:p>
      <w:pPr>
        <w:ind w:right="40" w:firstLine="445"/>
        <w:spacing w:after="0" w:line="275" w:lineRule="auto"/>
        <w:rPr>
          <w:sz w:val="20"/>
          <w:szCs w:val="20"/>
          <w:color w:val="auto"/>
        </w:rPr>
      </w:pPr>
      <w:r>
        <w:rPr>
          <w:rFonts w:ascii="Arial" w:cs="Arial" w:eastAsia="Arial" w:hAnsi="Arial"/>
          <w:sz w:val="18"/>
          <w:szCs w:val="18"/>
          <w:color w:val="auto"/>
        </w:rPr>
        <w:t>The total number of shares of common stock authorized for issuance under the 2020 Stock Option and Incentive Plan (the "2020 Plan”) as of September 30, 2023 and December 31, 2022 was 9,918,602 shares and 7,449,480 shares,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6" w:name="page17"/>
    <w:bookmarkEnd w:id="16"/>
    <w:p>
      <w:pPr>
        <w:jc w:val="both"/>
        <w:ind w:right="520" w:firstLine="445"/>
        <w:spacing w:after="0" w:line="263"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September 30, 2023 and December 31, 2022 was 5,937,763 shares. Any authorization to issue new options under the 2017 Plan was cancelled upon the effectiveness of the 2020 Plan and no further awards will be granted under the 2017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27" w:lineRule="exact"/>
        <w:rPr>
          <w:sz w:val="20"/>
          <w:szCs w:val="20"/>
          <w:color w:val="auto"/>
        </w:rPr>
      </w:pPr>
    </w:p>
    <w:p>
      <w:pPr>
        <w:ind w:right="620" w:firstLine="445"/>
        <w:spacing w:after="0" w:line="275"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September 30, 2023 and December 31, 2022 was 1,308,408 shares and 981,306 shares,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9"/>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2022</w:t>
            </w:r>
          </w:p>
        </w:tc>
        <w:tc>
          <w:tcPr>
            <w:tcW w:w="1540" w:type="dxa"/>
            <w:vAlign w:val="bottom"/>
            <w:tcBorders>
              <w:top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color w:val="auto"/>
              </w:rPr>
              <w:t>743,950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213"/>
        </w:trPr>
        <w:tc>
          <w:tcPr>
            <w:tcW w:w="804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center"/>
              <w:ind w:left="719"/>
              <w:spacing w:after="0"/>
              <w:rPr>
                <w:sz w:val="20"/>
                <w:szCs w:val="20"/>
                <w:color w:val="auto"/>
              </w:rPr>
            </w:pPr>
            <w:r>
              <w:rPr>
                <w:rFonts w:ascii="Arial" w:cs="Arial" w:eastAsia="Arial" w:hAnsi="Arial"/>
                <w:sz w:val="16"/>
                <w:szCs w:val="16"/>
                <w:color w:val="auto"/>
              </w:rPr>
              <w:t>316,750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6"/>
              </w:rPr>
              <w:t>(187,111)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(239,974)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3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September 30, 2023</w:t>
            </w:r>
          </w:p>
        </w:tc>
        <w:tc>
          <w:tcPr>
            <w:tcW w:w="154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color w:val="auto"/>
              </w:rPr>
              <w:t>633,615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240" w:firstLine="445"/>
        <w:spacing w:after="0" w:line="275" w:lineRule="auto"/>
        <w:rPr>
          <w:sz w:val="20"/>
          <w:szCs w:val="20"/>
          <w:color w:val="auto"/>
        </w:rPr>
      </w:pPr>
      <w:r>
        <w:rPr>
          <w:rFonts w:ascii="Arial" w:cs="Arial" w:eastAsia="Arial" w:hAnsi="Arial"/>
          <w:sz w:val="18"/>
          <w:szCs w:val="18"/>
          <w:color w:val="auto"/>
        </w:rPr>
        <w:t>As of September 30, 2023, total unrecognized compensation cost related to unvested restricted stock units was $7.4 million, which is expected to be recognized over a weighted-average period of 2.04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4"/>
                <w:szCs w:val="14"/>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Exercise Price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per Share</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8"/>
                <w:szCs w:val="18"/>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8,838,028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2,925,941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2.78</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(1,838,397)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September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9,876,256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September 30, 2023</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7.44</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line="20" w:lineRule="exact"/>
              <w:rPr>
                <w:sz w:val="1"/>
                <w:szCs w:val="1"/>
                <w:color w:val="auto"/>
              </w:rPr>
            </w:pPr>
          </w:p>
        </w:tc>
      </w:tr>
      <w:tr>
        <w:trPr>
          <w:trHeight w:val="187"/>
        </w:trPr>
        <w:tc>
          <w:tcPr>
            <w:tcW w:w="482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5,223,043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12.59</w:t>
            </w: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September 30, 2023</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9,876,256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127"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three and nine months ended September 30, 2023:</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60" w:type="dxa"/>
            <w:vAlign w:val="bottom"/>
          </w:tcPr>
          <w:p>
            <w:pPr>
              <w:jc w:val="center"/>
              <w:ind w:right="9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8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2023</w:t>
            </w:r>
          </w:p>
        </w:tc>
      </w:tr>
      <w:tr>
        <w:trPr>
          <w:trHeight w:val="210"/>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3.57 %</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88.30 %</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grant-date fair value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w:t>
            </w:r>
          </w:p>
        </w:tc>
      </w:tr>
    </w:tbl>
    <w:p>
      <w:pPr>
        <w:spacing w:after="0" w:line="200" w:lineRule="exact"/>
        <w:rPr>
          <w:sz w:val="20"/>
          <w:szCs w:val="20"/>
          <w:color w:val="auto"/>
        </w:rPr>
      </w:pPr>
    </w:p>
    <w:p>
      <w:pPr>
        <w:sectPr>
          <w:pgSz w:w="11900" w:h="16838" w:orient="portrait"/>
          <w:cols w:equalWidth="0" w:num="1">
            <w:col w:w="11240"/>
          </w:cols>
          <w:pgMar w:left="320" w:top="1004"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type w:val="continuous"/>
        </w:sectPr>
      </w:pPr>
    </w:p>
    <w:bookmarkStart w:id="17" w:name="page18"/>
    <w:bookmarkEnd w:id="17"/>
    <w:p>
      <w:pPr>
        <w:ind w:right="720" w:firstLine="445"/>
        <w:spacing w:after="0" w:line="275" w:lineRule="auto"/>
        <w:rPr>
          <w:sz w:val="20"/>
          <w:szCs w:val="20"/>
          <w:color w:val="auto"/>
        </w:rPr>
      </w:pPr>
      <w:r>
        <w:rPr>
          <w:rFonts w:ascii="Arial" w:cs="Arial" w:eastAsia="Arial" w:hAnsi="Arial"/>
          <w:sz w:val="18"/>
          <w:szCs w:val="18"/>
          <w:color w:val="auto"/>
        </w:rPr>
        <w:t>As of September 30, 2023, total unrecognized compensation cost related to unvested stock options was $29.1 million, which is expected to be recognized over a weighted-average period of 1.68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6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8,200</w:t>
            </w:r>
          </w:p>
        </w:tc>
      </w:tr>
      <w:tr>
        <w:trPr>
          <w:trHeight w:val="21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14,027</w:t>
            </w:r>
          </w:p>
        </w:tc>
      </w:tr>
      <w:tr>
        <w:trPr>
          <w:trHeight w:val="23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5,763</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19,131</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27" w:lineRule="exact"/>
        <w:rPr>
          <w:sz w:val="20"/>
          <w:szCs w:val="20"/>
          <w:color w:val="auto"/>
        </w:rPr>
      </w:pPr>
    </w:p>
    <w:p>
      <w:pPr>
        <w:ind w:right="300" w:firstLine="445"/>
        <w:spacing w:after="0" w:line="263" w:lineRule="auto"/>
        <w:rPr>
          <w:sz w:val="20"/>
          <w:szCs w:val="20"/>
          <w:color w:val="auto"/>
        </w:rPr>
      </w:pPr>
      <w:r>
        <w:rPr>
          <w:rFonts w:ascii="Arial" w:cs="Arial" w:eastAsia="Arial" w:hAnsi="Arial"/>
          <w:sz w:val="18"/>
          <w:szCs w:val="18"/>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32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14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820" w:type="dxa"/>
            <w:vAlign w:val="bottom"/>
          </w:tcPr>
          <w:p>
            <w:pPr>
              <w:spacing w:after="0"/>
              <w:rPr>
                <w:sz w:val="18"/>
                <w:szCs w:val="18"/>
                <w:color w:val="auto"/>
              </w:rPr>
            </w:pPr>
          </w:p>
        </w:tc>
        <w:tc>
          <w:tcPr>
            <w:tcW w:w="216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09"/>
        </w:trPr>
        <w:tc>
          <w:tcPr>
            <w:tcW w:w="48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9,876,256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9,159,415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9,876,256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9,159,415</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633,615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789,419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633,615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789,419</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2020 ESPP</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161,713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48,182</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161,713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48,182</w:t>
            </w:r>
          </w:p>
        </w:tc>
      </w:tr>
      <w:tr>
        <w:trPr>
          <w:trHeight w:val="210"/>
        </w:trPr>
        <w:tc>
          <w:tcPr>
            <w:tcW w:w="48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10,671,584</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9,997,016</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10,671,584</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9,997,016</w:t>
            </w:r>
          </w:p>
        </w:tc>
      </w:tr>
      <w:tr>
        <w:trPr>
          <w:trHeight w:val="24"/>
        </w:trPr>
        <w:tc>
          <w:tcPr>
            <w:tcW w:w="48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98"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Common shares issuable upon exercise of the pre-funded warrants that were sold in connection with the June 2023 underwritten public offering are included in the calculation of weighted average number of common shares outstanding for the three and nine months ended September 30, 2023.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net loss per share from the date of issuance.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7"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 activities performed under the License Agreement. Expenses incurred during all periods presented were not material.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7" w:lineRule="exact"/>
        <w:rPr>
          <w:sz w:val="20"/>
          <w:szCs w:val="20"/>
          <w:color w:val="auto"/>
        </w:rPr>
      </w:pPr>
    </w:p>
    <w:p>
      <w:pPr>
        <w:ind w:right="700" w:firstLine="445"/>
        <w:spacing w:after="0" w:line="275" w:lineRule="auto"/>
        <w:rPr>
          <w:sz w:val="20"/>
          <w:szCs w:val="20"/>
          <w:color w:val="auto"/>
        </w:rPr>
      </w:pPr>
      <w:r>
        <w:rPr>
          <w:rFonts w:ascii="Arial" w:cs="Arial" w:eastAsia="Arial" w:hAnsi="Arial"/>
          <w:sz w:val="18"/>
          <w:szCs w:val="18"/>
          <w:color w:val="auto"/>
        </w:rPr>
        <w:t>In June 2022, the Company began a strategic realignment across the Cerebrum™ and Solidus™ platforms, which resulted in a reduction of the Company's workforce.</w:t>
      </w:r>
    </w:p>
    <w:p>
      <w:pPr>
        <w:spacing w:after="0" w:line="66"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The Company incurred $1.0 million of costs related to the realignment, of which $0.6 million was recognized in research and development expenses and $0.4 million was recognized in general and administrative expenses in the consolidated statement of operations during the nine months ended September 30, 2022. These costs related to</w:t>
      </w:r>
    </w:p>
    <w:p>
      <w:pPr>
        <w:sectPr>
          <w:pgSz w:w="11900" w:h="16838" w:orient="portrait"/>
          <w:cols w:equalWidth="0" w:num="1">
            <w:col w:w="11240"/>
          </w:cols>
          <w:pgMar w:left="320" w:top="1112"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employee severance, benefits and related costs. As of December 31, 2022, all costs related to the strategic realignment had been paid.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4"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(the "SEC") on February 7, 2023.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sections of our Annual Report on Form 10-K for the year ended December 31, 2022, our Quarterly Report on Form 10-Q for the quarter ended March 31, 2023, our Quarterly Report on Form 10-Q for the quarter ended June 30, 2023 and this Quarterly Report on Form 10-Q for the quarter ended September 30, 2023, our actual results could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7" w:lineRule="exact"/>
        <w:rPr>
          <w:sz w:val="20"/>
          <w:szCs w:val="20"/>
          <w:color w:val="auto"/>
        </w:rPr>
      </w:pPr>
    </w:p>
    <w:p>
      <w:pPr>
        <w:ind w:right="160" w:firstLine="445"/>
        <w:spacing w:after="0" w:line="255" w:lineRule="auto"/>
        <w:rPr>
          <w:sz w:val="20"/>
          <w:szCs w:val="20"/>
          <w:color w:val="auto"/>
        </w:rPr>
      </w:pPr>
      <w:r>
        <w:rPr>
          <w:rFonts w:ascii="Arial" w:cs="Arial" w:eastAsia="Arial" w:hAnsi="Arial"/>
          <w:sz w:val="18"/>
          <w:szCs w:val="18"/>
          <w:color w:val="auto"/>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69" w:lineRule="exact"/>
        <w:rPr>
          <w:sz w:val="20"/>
          <w:szCs w:val="20"/>
          <w:color w:val="auto"/>
        </w:rPr>
      </w:pPr>
    </w:p>
    <w:p>
      <w:pPr>
        <w:ind w:left="660" w:right="140" w:hanging="328"/>
        <w:spacing w:after="0" w:line="237"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our small molecule platform, utilizes deep understanding of neuronal excitability and neuronal networks and applies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20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our antisense oligonucleotide, or ASO, platform, is an efficient, targeted precision medicine discovery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anchored on a proprietary, computational methodology</w:t>
      </w:r>
    </w:p>
    <w:p>
      <w:pPr>
        <w:spacing w:after="0" w:line="163"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 For our most advanced product candidate under the Cerebrum™ platform, ulixacaltamide (also known as PRAX-944), topline results from the Phase 2b Essential1 clinical trial in essential tremor, or ET, were announced in the first quarter of 2023. We initiated our Phase 3 studies in ET in the fourth quarter of 2023, with enrollment expected to complete in the first half of 2024 and topline results expected in the second half of 2024. We initiated the PRAX-562 Phase 2 EMBOLD study in the first quarter of 2023 and expect to announce topline results in the first half of 2024. We also announced positive results from our PRAX-628 Phase 1 study in May 2023. In June 2023, we initiated a Phase 2 proof of concept study evaluating PRAX-628 in patients with a Photo Paroxysmal Response, or PPR, with results anticipated in the fourth quarter of 2023. Upon completion of the PPR study, we plan to initiate a Phase 2 study in focal epilepsy in the first half of 2024. For our most advanced product candidate under the Solidus™ platform, elsunersen (also known as PRAX-222), we completed dosing in the first cohort of the EMBRAVE study and announced preliminary data from the first dose cohort in October 2023.</w:t>
      </w:r>
    </w:p>
    <w:p>
      <w:pPr>
        <w:spacing w:after="0" w:line="199"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 organizations, or CROs, to conduct our preclinical and clinical activities. Since inception, we have financed our operations primarily with proceeds from the sale and issuance of equity securities.</w:t>
      </w:r>
    </w:p>
    <w:p>
      <w:pPr>
        <w:spacing w:after="0" w:line="192" w:lineRule="exact"/>
        <w:rPr>
          <w:sz w:val="20"/>
          <w:szCs w:val="20"/>
          <w:color w:val="auto"/>
        </w:rPr>
      </w:pPr>
    </w:p>
    <w:p>
      <w:pPr>
        <w:ind w:right="420" w:firstLine="445"/>
        <w:spacing w:after="0" w:line="275" w:lineRule="auto"/>
        <w:rPr>
          <w:sz w:val="20"/>
          <w:szCs w:val="20"/>
          <w:color w:val="auto"/>
        </w:rPr>
      </w:pPr>
      <w:r>
        <w:rPr>
          <w:rFonts w:ascii="Arial" w:cs="Arial" w:eastAsia="Arial" w:hAnsi="Arial"/>
          <w:sz w:val="18"/>
          <w:szCs w:val="18"/>
          <w:color w:val="auto"/>
        </w:rPr>
        <w:t>We are a development stage company and we have not generated any revenue from product sales, and do not expect to do so for several years, if at all. All of our product candidates are still in preclinical and clinical</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0" w:name="page21"/>
    <w:bookmarkEnd w:id="20"/>
    <w:p>
      <w:pPr>
        <w:spacing w:after="0" w:line="254" w:lineRule="auto"/>
        <w:rPr>
          <w:sz w:val="20"/>
          <w:szCs w:val="20"/>
          <w:color w:val="auto"/>
        </w:rPr>
      </w:pPr>
      <w:r>
        <w:rPr>
          <w:rFonts w:ascii="Arial" w:cs="Arial" w:eastAsia="Arial" w:hAnsi="Arial"/>
          <w:sz w:val="18"/>
          <w:szCs w:val="18"/>
          <w:color w:val="auto"/>
        </w:rPr>
        <w:t>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$96.4 million for the nine months ended September 30, 2023. As of September 30, 2023, we had an accumulated deficit of $627.0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4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lead product candidate, ulixacaltamide, to a late stage clinical trial for the treatment of 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PRAX-562 product candidate in the EMBOLD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PRAX-222 product candidate in the EMBRAVE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PRAX-628 product candidate;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71" w:lineRule="exact"/>
        <w:rPr>
          <w:rFonts w:ascii="Arial" w:cs="Arial" w:eastAsia="Arial" w:hAnsi="Arial"/>
          <w:sz w:val="18"/>
          <w:szCs w:val="18"/>
          <w:color w:val="auto"/>
        </w:rPr>
      </w:pPr>
    </w:p>
    <w:p>
      <w:pPr>
        <w:ind w:left="660" w:right="680" w:hanging="328"/>
        <w:spacing w:after="0" w:line="27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needed, increase our headcount to support our development efforts and any future commercialization efforts.</w:t>
      </w:r>
    </w:p>
    <w:p>
      <w:pPr>
        <w:spacing w:after="0" w:line="225"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92" w:lineRule="exact"/>
        <w:rPr>
          <w:sz w:val="20"/>
          <w:szCs w:val="20"/>
          <w:color w:val="auto"/>
        </w:rPr>
      </w:pPr>
    </w:p>
    <w:p>
      <w:pPr>
        <w:ind w:right="20" w:firstLine="445"/>
        <w:spacing w:after="0" w:line="258"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0"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As of September 30, 2023, we had cash and cash equivalents of $101.1 million. We believe that our cash and cash equivalents as of September 30, 2023 will enable us to fund our operating expenses and capital expenditures into the first quarter of 2025. We have based this analysis on our current financial needs and ongoing research and development plans, which are limited to advancing product candidates through, but not beyond, their current clinical trials. We have based our assessment on assumptions that may prove to be wrong, and we could use our capital resources sooner than we currently expect. See “—Liquidity and Capital Resources.”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2" w:right="359" w:bottom="1440" w:gutter="0" w:footer="0" w:header="0"/>
        </w:sectPr>
      </w:pPr>
    </w:p>
    <w:bookmarkStart w:id="21" w:name="page22"/>
    <w:bookmarkEnd w:id="21"/>
    <w:p>
      <w:pPr>
        <w:ind w:right="20" w:firstLine="445"/>
        <w:spacing w:after="0" w:line="256" w:lineRule="auto"/>
        <w:rPr>
          <w:sz w:val="20"/>
          <w:szCs w:val="20"/>
          <w:color w:val="auto"/>
        </w:rPr>
      </w:pPr>
      <w:r>
        <w:rPr>
          <w:rFonts w:ascii="Arial" w:cs="Arial" w:eastAsia="Arial" w:hAnsi="Arial"/>
          <w:sz w:val="18"/>
          <w:szCs w:val="18"/>
          <w:color w:val="auto"/>
        </w:rPr>
        <w:t>We have not generated any revenue from the sale of products since inception and do not expect to generate any revenue from the sale of products for several years, if at all. As discussed in Note 7 to our condensed consolidated financial statements, we entered into an Option and License Agreement, or the Collaboration Agreement, with UCB Biopharma SRL, or UCB, in December 2022. We recognized $0.5 million and $1.9 million of collaboration revenue from the Collaboration Agreement during the three and nine months ended September 30, 2023,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5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to develop our IP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71" w:lineRule="exact"/>
        <w:rPr>
          <w:rFonts w:ascii="Arial" w:cs="Arial" w:eastAsia="Arial" w:hAnsi="Arial"/>
          <w:sz w:val="18"/>
          <w:szCs w:val="18"/>
          <w:color w:val="auto"/>
        </w:rPr>
      </w:pPr>
    </w:p>
    <w:p>
      <w:pPr>
        <w:ind w:left="460" w:right="5340" w:hanging="128"/>
        <w:spacing w:after="0" w:line="438"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 The costs above comprise the following categories: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71" w:lineRule="exact"/>
        <w:rPr>
          <w:rFonts w:ascii="Arial" w:cs="Arial" w:eastAsia="Arial" w:hAnsi="Arial"/>
          <w:sz w:val="18"/>
          <w:szCs w:val="18"/>
          <w:color w:val="auto"/>
        </w:rPr>
      </w:pPr>
    </w:p>
    <w:p>
      <w:pPr>
        <w:ind w:left="660" w:right="760" w:hanging="328"/>
        <w:spacing w:after="0" w:line="27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171" w:lineRule="exact"/>
        <w:rPr>
          <w:rFonts w:ascii="Arial" w:cs="Arial" w:eastAsia="Arial" w:hAnsi="Arial"/>
          <w:sz w:val="18"/>
          <w:szCs w:val="18"/>
          <w:color w:val="auto"/>
        </w:rPr>
      </w:pPr>
    </w:p>
    <w:p>
      <w:pPr>
        <w:ind w:left="660" w:right="40" w:hanging="328"/>
        <w:spacing w:after="0" w:line="27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119" w:lineRule="exact"/>
        <w:rPr>
          <w:rFonts w:ascii="Arial" w:cs="Arial" w:eastAsia="Arial" w:hAnsi="Arial"/>
          <w:sz w:val="18"/>
          <w:szCs w:val="18"/>
          <w:color w:val="auto"/>
        </w:rPr>
      </w:pPr>
    </w:p>
    <w:p>
      <w:pPr>
        <w:ind w:left="660" w:right="360" w:hanging="328"/>
        <w:spacing w:after="0" w:line="27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and other operating costs, such as information technology, incurred as a result of our research and development activities.</w:t>
      </w:r>
    </w:p>
    <w:p>
      <w:pPr>
        <w:spacing w:after="0" w:line="174"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condensed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9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92" w:lineRule="exact"/>
        <w:rPr>
          <w:sz w:val="20"/>
          <w:szCs w:val="20"/>
          <w:color w:val="auto"/>
        </w:rPr>
      </w:pPr>
    </w:p>
    <w:p>
      <w:pPr>
        <w:ind w:right="40" w:firstLine="445"/>
        <w:spacing w:after="0" w:line="275"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platform and indirect or shared operating costs recognized as research and development expenses during each period presented (in thousands):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5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8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10"/>
        </w:trPr>
        <w:tc>
          <w:tcPr>
            <w:tcW w:w="48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16,293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76,720</w:t>
            </w: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Solidus™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2,806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13,883</w:t>
            </w: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30,590</w:t>
            </w:r>
          </w:p>
        </w:tc>
      </w:tr>
      <w:tr>
        <w:trPr>
          <w:trHeight w:val="21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5,518</w:t>
            </w: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17,260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30,439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68,378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126,711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92" w:lineRule="exact"/>
        <w:rPr>
          <w:sz w:val="20"/>
          <w:szCs w:val="20"/>
          <w:color w:val="auto"/>
        </w:rPr>
      </w:pPr>
    </w:p>
    <w:p>
      <w:pPr>
        <w:ind w:right="120" w:firstLine="445"/>
        <w:spacing w:after="0" w:line="258"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3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71" w:lineRule="exact"/>
        <w:rPr>
          <w:rFonts w:ascii="Arial" w:cs="Arial" w:eastAsia="Arial" w:hAnsi="Arial"/>
          <w:sz w:val="18"/>
          <w:szCs w:val="18"/>
          <w:color w:val="auto"/>
        </w:rPr>
      </w:pPr>
    </w:p>
    <w:p>
      <w:pPr>
        <w:ind w:left="660" w:right="280" w:hanging="328"/>
        <w:spacing w:after="0" w:line="27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FDA or any comparable foreign regulatory authority;</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71" w:lineRule="exact"/>
        <w:rPr>
          <w:rFonts w:ascii="Arial" w:cs="Arial" w:eastAsia="Arial" w:hAnsi="Arial"/>
          <w:sz w:val="18"/>
          <w:szCs w:val="18"/>
          <w:color w:val="auto"/>
        </w:rPr>
      </w:pPr>
    </w:p>
    <w:p>
      <w:pPr>
        <w:ind w:left="660" w:right="1120" w:hanging="328"/>
        <w:spacing w:after="0" w:line="27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119" w:lineRule="exact"/>
        <w:rPr>
          <w:rFonts w:ascii="Arial" w:cs="Arial" w:eastAsia="Arial" w:hAnsi="Arial"/>
          <w:sz w:val="18"/>
          <w:szCs w:val="18"/>
          <w:color w:val="auto"/>
        </w:rPr>
      </w:pPr>
    </w:p>
    <w:p>
      <w:pPr>
        <w:ind w:left="660" w:right="260" w:hanging="328"/>
        <w:spacing w:after="0" w:line="27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119" w:lineRule="exact"/>
        <w:rPr>
          <w:rFonts w:ascii="Arial" w:cs="Arial" w:eastAsia="Arial" w:hAnsi="Arial"/>
          <w:sz w:val="18"/>
          <w:szCs w:val="18"/>
          <w:color w:val="auto"/>
        </w:rPr>
      </w:pPr>
    </w:p>
    <w:p>
      <w:pPr>
        <w:ind w:left="660" w:right="20" w:hanging="328"/>
        <w:spacing w:after="0" w:line="27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119" w:lineRule="exact"/>
        <w:rPr>
          <w:rFonts w:ascii="Arial" w:cs="Arial" w:eastAsia="Arial" w:hAnsi="Arial"/>
          <w:sz w:val="18"/>
          <w:szCs w:val="18"/>
          <w:color w:val="auto"/>
        </w:rPr>
      </w:pPr>
    </w:p>
    <w:p>
      <w:pPr>
        <w:ind w:left="660" w:right="260" w:hanging="328"/>
        <w:spacing w:after="0" w:line="27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119" w:lineRule="exact"/>
        <w:rPr>
          <w:rFonts w:ascii="Arial" w:cs="Arial" w:eastAsia="Arial" w:hAnsi="Arial"/>
          <w:sz w:val="18"/>
          <w:szCs w:val="18"/>
          <w:color w:val="auto"/>
        </w:rPr>
      </w:pPr>
    </w:p>
    <w:p>
      <w:pPr>
        <w:ind w:left="660" w:right="120" w:hanging="328"/>
        <w:spacing w:after="0" w:line="27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acceptable safety profiles of our product candidates.</w:t>
      </w:r>
    </w:p>
    <w:p>
      <w:pPr>
        <w:spacing w:after="0" w:line="225" w:lineRule="exact"/>
        <w:rPr>
          <w:sz w:val="20"/>
          <w:szCs w:val="20"/>
          <w:color w:val="auto"/>
        </w:rPr>
      </w:pPr>
    </w:p>
    <w:p>
      <w:pPr>
        <w:ind w:right="100" w:firstLine="445"/>
        <w:spacing w:after="0" w:line="258"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w:t>
      </w:r>
    </w:p>
    <w:p>
      <w:pPr>
        <w:sectPr>
          <w:pgSz w:w="11900" w:h="16838" w:orient="portrait"/>
          <w:cols w:equalWidth="0" w:num="1">
            <w:col w:w="11240"/>
          </w:cols>
          <w:pgMar w:left="320" w:top="1009"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type w:val="continuous"/>
        </w:sectPr>
      </w:pPr>
    </w:p>
    <w:bookmarkStart w:id="23" w:name="page24"/>
    <w:bookmarkEnd w:id="23"/>
    <w:p>
      <w:pPr>
        <w:ind w:right="80"/>
        <w:spacing w:after="0" w:line="263" w:lineRule="auto"/>
        <w:rPr>
          <w:sz w:val="20"/>
          <w:szCs w:val="20"/>
          <w:color w:val="auto"/>
        </w:rPr>
      </w:pPr>
      <w:r>
        <w:rPr>
          <w:rFonts w:ascii="Arial" w:cs="Arial" w:eastAsia="Arial" w:hAnsi="Arial"/>
          <w:sz w:val="18"/>
          <w:szCs w:val="18"/>
          <w:color w:val="auto"/>
        </w:rPr>
        <w:t>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23"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192" w:lineRule="exact"/>
        <w:rPr>
          <w:sz w:val="20"/>
          <w:szCs w:val="20"/>
          <w:color w:val="auto"/>
        </w:rPr>
      </w:pPr>
    </w:p>
    <w:p>
      <w:pPr>
        <w:ind w:right="60" w:firstLine="445"/>
        <w:spacing w:after="0" w:line="258" w:lineRule="auto"/>
        <w:rPr>
          <w:sz w:val="20"/>
          <w:szCs w:val="20"/>
          <w:color w:val="auto"/>
        </w:rPr>
      </w:pPr>
      <w:r>
        <w:rPr>
          <w:rFonts w:ascii="Arial" w:cs="Arial" w:eastAsia="Arial" w:hAnsi="Arial"/>
          <w:sz w:val="18"/>
          <w:szCs w:val="18"/>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23" w:lineRule="exact"/>
        <w:rPr>
          <w:sz w:val="20"/>
          <w:szCs w:val="20"/>
          <w:color w:val="auto"/>
        </w:rPr>
      </w:pPr>
    </w:p>
    <w:p>
      <w:pPr>
        <w:ind w:right="920" w:firstLine="445"/>
        <w:spacing w:after="0" w:line="275"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7"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three and nine months ended September 30, 2023 and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(13,179)</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(5,127)</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(18,306)</w:t>
            </w:r>
          </w:p>
        </w:tc>
        <w:tc>
          <w:tcPr>
            <w:tcW w:w="0" w:type="dxa"/>
            <w:vAlign w:val="bottom"/>
          </w:tcPr>
          <w:p>
            <w:pPr>
              <w:spacing w:after="0"/>
              <w:rPr>
                <w:sz w:val="1"/>
                <w:szCs w:val="1"/>
                <w:color w:val="auto"/>
              </w:rPr>
            </w:pPr>
          </w:p>
        </w:tc>
      </w:tr>
      <w:tr>
        <w:trPr>
          <w:trHeight w:val="206"/>
        </w:trPr>
        <w:tc>
          <w:tcPr>
            <w:tcW w:w="64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(25,516)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(44,290)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18,774</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(24,632)</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19,313</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4" w:name="page25"/>
    <w:bookmarkEnd w:id="24"/>
    <w:p>
      <w:pPr>
        <w:ind w:right="20" w:firstLine="445"/>
        <w:spacing w:after="0" w:line="275" w:lineRule="auto"/>
        <w:rPr>
          <w:sz w:val="20"/>
          <w:szCs w:val="20"/>
          <w:color w:val="auto"/>
        </w:rPr>
      </w:pPr>
      <w:r>
        <w:rPr>
          <w:rFonts w:ascii="Arial" w:cs="Arial" w:eastAsia="Arial" w:hAnsi="Arial"/>
          <w:sz w:val="18"/>
          <w:szCs w:val="18"/>
          <w:color w:val="auto"/>
        </w:rPr>
        <w:t>The $0.5 million increase in collaboration revenue is associated with the revenue recorded as research services are provided and costs are incurred under the Collaboration Agreement with UCB that was executed in December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23" w:lineRule="exact"/>
        <w:rPr>
          <w:sz w:val="20"/>
          <w:szCs w:val="20"/>
          <w:color w:val="auto"/>
        </w:rPr>
      </w:pPr>
    </w:p>
    <w:p>
      <w:pPr>
        <w:ind w:right="220" w:firstLine="445"/>
        <w:spacing w:after="0" w:line="275"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(10,461)</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2,806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0" w:type="dxa"/>
            <w:vAlign w:val="bottom"/>
          </w:tcPr>
          <w:p>
            <w:pPr>
              <w:spacing w:after="0"/>
              <w:rPr>
                <w:sz w:val="1"/>
                <w:szCs w:val="1"/>
                <w:color w:val="auto"/>
              </w:rPr>
            </w:pPr>
          </w:p>
        </w:tc>
      </w:tr>
      <w:tr>
        <w:trPr>
          <w:trHeight w:val="21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30,439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(13,179)</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$13.2 million decrease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$10.5 million decrease in expense related to our Cerebrum™ platform, driven primarily by:</w:t>
      </w:r>
    </w:p>
    <w:p>
      <w:pPr>
        <w:spacing w:after="0" w:line="171" w:lineRule="exact"/>
        <w:rPr>
          <w:rFonts w:ascii="Arial" w:cs="Arial" w:eastAsia="Arial" w:hAnsi="Arial"/>
          <w:sz w:val="18"/>
          <w:szCs w:val="18"/>
          <w:color w:val="auto"/>
        </w:rPr>
      </w:pPr>
    </w:p>
    <w:p>
      <w:pPr>
        <w:ind w:left="1300" w:right="140" w:hanging="320"/>
        <w:spacing w:after="0" w:line="275"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$4.2 million decrease in spend for our ulixacaltamide program, primarily due to prior year Phase 1 spending and decreased activity related to our Essential1 study, partially offset by costs related to Essential3 study start up activities;</w:t>
      </w:r>
    </w:p>
    <w:p>
      <w:pPr>
        <w:spacing w:after="0" w:line="119" w:lineRule="exact"/>
        <w:rPr>
          <w:rFonts w:ascii="Arial" w:cs="Arial" w:eastAsia="Arial" w:hAnsi="Arial"/>
          <w:sz w:val="18"/>
          <w:szCs w:val="18"/>
          <w:color w:val="auto"/>
        </w:rPr>
      </w:pPr>
    </w:p>
    <w:p>
      <w:pPr>
        <w:ind w:left="1300" w:right="420" w:hanging="320"/>
        <w:spacing w:after="0" w:line="275"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$2.9 million decrease in clinical-related spend for our PRAX-114 program due to our strategic realignment in the second quarter of 2022;</w:t>
      </w:r>
    </w:p>
    <w:p>
      <w:pPr>
        <w:spacing w:after="0" w:line="119" w:lineRule="exact"/>
        <w:rPr>
          <w:rFonts w:ascii="Arial" w:cs="Arial" w:eastAsia="Arial" w:hAnsi="Arial"/>
          <w:sz w:val="18"/>
          <w:szCs w:val="18"/>
          <w:color w:val="auto"/>
        </w:rPr>
      </w:pPr>
    </w:p>
    <w:p>
      <w:pPr>
        <w:ind w:left="1300" w:right="120" w:hanging="320"/>
        <w:spacing w:after="0" w:line="275"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$1.4 million decrease in spend for our PRAX-562 program, primarily related to prior year manufacturing spend and Phase 1 trial spend, partially offset by current quarter costs related to the EMBOLD Phase 2 clinical trial;</w:t>
      </w:r>
    </w:p>
    <w:p>
      <w:pPr>
        <w:spacing w:after="0" w:line="119"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$1.4 million decrease in activities for our earlier stage assets;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$0.6 million decrease in clinical-related spend for our PRAX-628 Phase 1 clinical trial.</w:t>
      </w:r>
    </w:p>
    <w:p>
      <w:pPr>
        <w:spacing w:after="0" w:line="171" w:lineRule="exact"/>
        <w:rPr>
          <w:rFonts w:ascii="Arial" w:cs="Arial" w:eastAsia="Arial" w:hAnsi="Arial"/>
          <w:sz w:val="18"/>
          <w:szCs w:val="18"/>
          <w:color w:val="auto"/>
        </w:rPr>
      </w:pPr>
    </w:p>
    <w:p>
      <w:pPr>
        <w:ind w:left="660" w:right="280" w:hanging="328"/>
        <w:spacing w:after="0" w:line="27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$0.8 million decrease in expense related to our Solidus™ platform, primarily related to prior year PRAX-222 toxicology spend and clinical study spend, partially offset by current quarter spend for our EMBRAVE Phase 2 clinical trial; and</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$1.9 million decrease in personnel-related costs due to decreased headcount.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$5.1 million decrease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 million decrease in personnel costs due to decreased headcount;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$1.9 million decrease in consulting expenses and professional fees,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$0.7 million decrease in other general and administrative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23" w:lineRule="exact"/>
        <w:rPr>
          <w:sz w:val="20"/>
          <w:szCs w:val="20"/>
          <w:color w:val="auto"/>
        </w:rPr>
      </w:pPr>
    </w:p>
    <w:p>
      <w:pPr>
        <w:ind w:right="300" w:firstLine="445"/>
        <w:spacing w:after="0" w:line="263" w:lineRule="auto"/>
        <w:rPr>
          <w:sz w:val="20"/>
          <w:szCs w:val="20"/>
          <w:color w:val="auto"/>
        </w:rPr>
      </w:pPr>
      <w:r>
        <w:rPr>
          <w:rFonts w:ascii="Arial" w:cs="Arial" w:eastAsia="Arial" w:hAnsi="Arial"/>
          <w:sz w:val="18"/>
          <w:szCs w:val="18"/>
          <w:color w:val="auto"/>
        </w:rPr>
        <w:t>Other income for the three months ended September 30, 2023 was comprised of interest income on our cash and cash equivalents. Other income for the three months ended September 30, 2022 was comprised of interest income on our cash, cash equivalents and marketable securities and investment premium and discount amortization.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8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(58,333)</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(14,701)</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100,499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173,533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(73,034)</w:t>
            </w:r>
          </w:p>
        </w:tc>
        <w:tc>
          <w:tcPr>
            <w:tcW w:w="0" w:type="dxa"/>
            <w:vAlign w:val="bottom"/>
          </w:tcPr>
          <w:p>
            <w:pPr>
              <w:spacing w:after="0"/>
              <w:rPr>
                <w:sz w:val="1"/>
                <w:szCs w:val="1"/>
                <w:color w:val="auto"/>
              </w:rPr>
            </w:pPr>
          </w:p>
        </w:tc>
      </w:tr>
      <w:tr>
        <w:trPr>
          <w:trHeight w:val="207"/>
        </w:trPr>
        <w:tc>
          <w:tcPr>
            <w:tcW w:w="64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(98,567)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(173,533)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74,966</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0" w:type="dxa"/>
            <w:vAlign w:val="bottom"/>
          </w:tcPr>
          <w:p>
            <w:pPr>
              <w:spacing w:after="0"/>
              <w:rPr>
                <w:sz w:val="1"/>
                <w:szCs w:val="1"/>
                <w:color w:val="auto"/>
              </w:rPr>
            </w:pPr>
          </w:p>
        </w:tc>
      </w:tr>
      <w:tr>
        <w:trPr>
          <w:trHeight w:val="212"/>
        </w:trPr>
        <w:tc>
          <w:tcPr>
            <w:tcW w:w="6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(96,399)</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(172,856)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76,457</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23" w:lineRule="exact"/>
        <w:rPr>
          <w:sz w:val="20"/>
          <w:szCs w:val="20"/>
          <w:color w:val="auto"/>
        </w:rPr>
      </w:pPr>
    </w:p>
    <w:p>
      <w:pPr>
        <w:jc w:val="both"/>
        <w:ind w:right="40" w:firstLine="445"/>
        <w:spacing w:after="0" w:line="275" w:lineRule="auto"/>
        <w:rPr>
          <w:sz w:val="20"/>
          <w:szCs w:val="20"/>
          <w:color w:val="auto"/>
        </w:rPr>
      </w:pPr>
      <w:r>
        <w:rPr>
          <w:rFonts w:ascii="Arial" w:cs="Arial" w:eastAsia="Arial" w:hAnsi="Arial"/>
          <w:sz w:val="18"/>
          <w:szCs w:val="18"/>
          <w:color w:val="auto"/>
        </w:rPr>
        <w:t>The $1.9 million increase in collaboration revenue is associated with the revenue recorded as research services are provided and costs are incurred under the Collaboration Agreement with UCB that was executed in December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23" w:lineRule="exact"/>
        <w:rPr>
          <w:sz w:val="20"/>
          <w:szCs w:val="20"/>
          <w:color w:val="auto"/>
        </w:rPr>
      </w:pPr>
    </w:p>
    <w:p>
      <w:pPr>
        <w:ind w:right="240" w:firstLine="445"/>
        <w:spacing w:after="0" w:line="275"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8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(52,863)</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16,330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2,447</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(8,846)</w:t>
            </w:r>
          </w:p>
        </w:tc>
        <w:tc>
          <w:tcPr>
            <w:tcW w:w="0" w:type="dxa"/>
            <w:vAlign w:val="bottom"/>
          </w:tcPr>
          <w:p>
            <w:pPr>
              <w:spacing w:after="0"/>
              <w:rPr>
                <w:sz w:val="1"/>
                <w:szCs w:val="1"/>
                <w:color w:val="auto"/>
              </w:rPr>
            </w:pPr>
          </w:p>
        </w:tc>
      </w:tr>
      <w:tr>
        <w:trPr>
          <w:trHeight w:val="21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3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68,378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126,711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(58,333)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$58.3 million decrease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$52.9 million decrease in expense related to our Cerebrum™ platform, driven primarily by:</w:t>
      </w:r>
    </w:p>
    <w:p>
      <w:pPr>
        <w:spacing w:after="0" w:line="171" w:lineRule="exact"/>
        <w:rPr>
          <w:rFonts w:ascii="Arial" w:cs="Arial" w:eastAsia="Arial" w:hAnsi="Arial"/>
          <w:sz w:val="18"/>
          <w:szCs w:val="18"/>
          <w:color w:val="auto"/>
        </w:rPr>
      </w:pPr>
    </w:p>
    <w:p>
      <w:pPr>
        <w:ind w:left="1300" w:right="340" w:hanging="320"/>
        <w:spacing w:after="0" w:line="275"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$29.0 million decrease in clinical-related spend for our PRAX-114 program due to our strategic realignment in the second quarter of 2022;</w:t>
      </w:r>
    </w:p>
    <w:p>
      <w:pPr>
        <w:spacing w:after="0" w:line="119" w:lineRule="exact"/>
        <w:rPr>
          <w:rFonts w:ascii="Arial" w:cs="Arial" w:eastAsia="Arial" w:hAnsi="Arial"/>
          <w:sz w:val="18"/>
          <w:szCs w:val="18"/>
          <w:color w:val="auto"/>
        </w:rPr>
      </w:pPr>
    </w:p>
    <w:p>
      <w:pPr>
        <w:ind w:left="1300" w:right="100" w:hanging="320"/>
        <w:spacing w:after="0" w:line="275"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$11.6 million decrease in spend for our PRAX-562 program primarily related to prior year manufacturing spend and Phase 1 trial spending, partially offset by costs for our EMBOLD Phase 2 clinical trial in 2023;</w:t>
      </w:r>
    </w:p>
    <w:p>
      <w:pPr>
        <w:spacing w:after="0" w:line="119" w:lineRule="exact"/>
        <w:rPr>
          <w:rFonts w:ascii="Arial" w:cs="Arial" w:eastAsia="Arial" w:hAnsi="Arial"/>
          <w:sz w:val="18"/>
          <w:szCs w:val="18"/>
          <w:color w:val="auto"/>
        </w:rPr>
      </w:pPr>
    </w:p>
    <w:p>
      <w:pPr>
        <w:ind w:left="1300" w:right="80" w:hanging="320"/>
        <w:spacing w:after="0" w:line="263"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$9.1 million decrease in spend for our ulixacaltamide program, primarily due to prior year Phase 2a and Phase 1 trial spend, prior year manufacturing costs and decreased spend in the current year related to our Essential1 trial, partially offset by startup costs related to our Essential3 study;</w:t>
      </w:r>
    </w:p>
    <w:p>
      <w:pPr>
        <w:spacing w:after="0" w:line="129"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$5.4 million decrease in activities for our earlier stage assets due to prioritization of our clinical-stage programs; and</w:t>
      </w:r>
    </w:p>
    <w:p>
      <w:pPr>
        <w:spacing w:after="0" w:line="171" w:lineRule="exact"/>
        <w:rPr>
          <w:rFonts w:ascii="Arial" w:cs="Arial" w:eastAsia="Arial" w:hAnsi="Arial"/>
          <w:sz w:val="18"/>
          <w:szCs w:val="18"/>
          <w:color w:val="auto"/>
        </w:rPr>
      </w:pPr>
    </w:p>
    <w:p>
      <w:pPr>
        <w:ind w:left="1300" w:right="80" w:hanging="320"/>
        <w:spacing w:after="0" w:line="264" w:lineRule="auto"/>
        <w:tabs>
          <w:tab w:leader="none" w:pos="1303" w:val="left"/>
        </w:tabs>
        <w:numPr>
          <w:ilvl w:val="1"/>
          <w:numId w:val="14"/>
        </w:numPr>
        <w:rPr>
          <w:rFonts w:ascii="Arial" w:cs="Arial" w:eastAsia="Arial" w:hAnsi="Arial"/>
          <w:sz w:val="20"/>
          <w:szCs w:val="20"/>
          <w:color w:val="auto"/>
        </w:rPr>
      </w:pPr>
      <w:r>
        <w:rPr>
          <w:rFonts w:ascii="Arial" w:cs="Arial" w:eastAsia="Arial" w:hAnsi="Arial"/>
          <w:sz w:val="18"/>
          <w:szCs w:val="18"/>
          <w:color w:val="auto"/>
        </w:rPr>
        <w:t>$2.2 million increase in clinical-related spend for our PRAX-628 program driven by our Phase 1 clinical trial and our Phase 2 PPR clinical trial.</w:t>
      </w:r>
    </w:p>
    <w:p>
      <w:pPr>
        <w:spacing w:after="0" w:line="126" w:lineRule="exact"/>
        <w:rPr>
          <w:rFonts w:ascii="Arial" w:cs="Arial" w:eastAsia="Arial" w:hAnsi="Arial"/>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$8.8 million decrease in personnel-related costs due to decreased headcount;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6" w:name="page27"/>
    <w:bookmarkEnd w:id="26"/>
    <w:p>
      <w:pPr>
        <w:ind w:left="660" w:right="42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$2.4 million increase in expense related to our Solidus™ platform, primarily driven by costs associated with the initiation of the PRAX-222 EMBRAVE study in 2023 and associated milestone payment earned by Ionis Pharmaceuticals, Inc., or Ionis, partially offset by manufacturing expenses incurred in the prior year and a $2.0 million license fee earned by Ionis in 2022;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$0.9 million increase in indirect expenses, none of which were individually significant.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$14.7 million decrease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$6.8 million decrease in professional fees and consulting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$5.6 million decrease in personnel-related costs due to decreased headcount;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$2.3 million decrease in other general and administrative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23" w:lineRule="exact"/>
        <w:rPr>
          <w:sz w:val="20"/>
          <w:szCs w:val="20"/>
          <w:color w:val="auto"/>
        </w:rPr>
      </w:pPr>
    </w:p>
    <w:p>
      <w:pPr>
        <w:ind w:right="900" w:firstLine="445"/>
        <w:spacing w:after="0" w:line="275" w:lineRule="auto"/>
        <w:rPr>
          <w:sz w:val="20"/>
          <w:szCs w:val="20"/>
          <w:color w:val="auto"/>
        </w:rPr>
      </w:pPr>
      <w:r>
        <w:rPr>
          <w:rFonts w:ascii="Arial" w:cs="Arial" w:eastAsia="Arial" w:hAnsi="Arial"/>
          <w:sz w:val="18"/>
          <w:szCs w:val="18"/>
          <w:color w:val="auto"/>
        </w:rPr>
        <w:t>Other income for the nine months ended September 30, 2023 and 2022 was comprised of interest income on our cash, cash equivalents and marketable securities and investment premium and discount amortization.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7"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184"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To date, we have financed our operations primarily with proceeds from the issuance of redeemable convertible preferred stock and from the sale of common stock through an initial public offering, follow-on public offerings and at-the-market offerings under our shelf registration statement. From inception through September 30, 2023, we have raised $613.6 million in aggregate cash proceeds from such transactions, net of issuance costs. As of September 30, 2023, we had cash and cash equivalents of $101.1 million.</w:t>
      </w:r>
    </w:p>
    <w:p>
      <w:pPr>
        <w:spacing w:after="0" w:line="190"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November 2021, we entered into an Open Market Sale Agreement, or the Sales Agreement, with Jefferies LLC, or Jefferies, to provide for the offering, issuance and sale of up to an aggregate amount of $125.0 million of common stock from time to time in at-the-market offerings for which Jefferies acted as sales agent. We terminated the Sales Agreement in June 2023. During the nine months ended September 30, 2023, we issued and sold 14,291,937 shares under the sales agreement for aggregate net proceeds of $24.1 million. We issued and sold a total of 18,279,207 shares under the Sales Agreement for aggregate net proceeds of $40.7 million after deducting commissions and offering expenses payable by us.</w:t>
      </w:r>
    </w:p>
    <w:p>
      <w:pPr>
        <w:spacing w:after="0" w:line="192"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On June 21, 2023, we completed a public offering of: (i) an aggregate of 64,449,690 shares of common stock at a public offering price of $0.95 per share, including the underwriters' full exercise of their option to purchase 9,299,690 additional shares of common stock, and (ii) pre-funded warrants to purchase 7,050,000 shares of common stock at a public offering price of $0.9499 per share. The purchase prices per share for each pre-funded warrant represents the per share offering price for the common stock, less the $0.0001 per share exercise price for each underlying share. Total net proceeds generated from the offering were approximately $63.4 million, after deducting underwriting discounts, commissions and other offering expenses payable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27" w:name="page28"/>
    <w:bookmarkEnd w:id="27"/>
    <w:p>
      <w:pPr>
        <w:jc w:val="center"/>
        <w:ind w:left="8040"/>
        <w:spacing w:after="0"/>
        <w:rPr>
          <w:sz w:val="20"/>
          <w:szCs w:val="20"/>
          <w:color w:val="auto"/>
        </w:rPr>
      </w:pPr>
      <w:r>
        <w:rPr>
          <w:rFonts w:ascii="Arial" w:cs="Arial" w:eastAsia="Arial" w:hAnsi="Arial"/>
          <w:sz w:val="16"/>
          <w:szCs w:val="16"/>
          <w:b w:val="1"/>
          <w:bCs w:val="1"/>
          <w:color w:val="auto"/>
        </w:rPr>
        <w:t>Nine Months Ended</w:t>
      </w:r>
    </w:p>
    <w:p>
      <w:pPr>
        <w:jc w:val="center"/>
        <w:ind w:left="804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center"/>
              <w:ind w:left="459"/>
              <w:spacing w:after="0"/>
              <w:rPr>
                <w:sz w:val="20"/>
                <w:szCs w:val="20"/>
                <w:color w:val="auto"/>
              </w:rPr>
            </w:pPr>
            <w:r>
              <w:rPr>
                <w:rFonts w:ascii="Arial" w:cs="Arial" w:eastAsia="Arial" w:hAnsi="Arial"/>
                <w:sz w:val="16"/>
                <w:szCs w:val="16"/>
                <w:color w:val="auto"/>
              </w:rPr>
              <w:t>(87,275)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(156,237)</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rPr>
              <w:t>39,000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74,295</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rPr>
              <w:t>87,745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5,078</w:t>
            </w:r>
          </w:p>
        </w:tc>
      </w:tr>
      <w:tr>
        <w:trPr>
          <w:trHeight w:val="23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center"/>
              <w:ind w:left="479"/>
              <w:spacing w:after="0"/>
              <w:rPr>
                <w:sz w:val="20"/>
                <w:szCs w:val="20"/>
                <w:color w:val="auto"/>
              </w:rPr>
            </w:pPr>
            <w:r>
              <w:rPr>
                <w:rFonts w:ascii="Arial" w:cs="Arial" w:eastAsia="Arial" w:hAnsi="Arial"/>
                <w:sz w:val="16"/>
                <w:szCs w:val="16"/>
                <w:color w:val="auto"/>
              </w:rPr>
              <w:t>39,470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(76,864)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23"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 which are primarily the result of increased expenses and timing of vendor payments.</w:t>
      </w:r>
    </w:p>
    <w:p>
      <w:pPr>
        <w:spacing w:after="0" w:line="192"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During the nine months ended September 30, 2023, net cash used in operating activities of $87.3 million was primarily due to our $96.4 million net loss and $11.0 million in changes in operating assets and liabilities primarily related to decreases in accrued expenses and accounts payable, partially offset by $20.1 million of non-cash charges primarily related to stock-based compensation.</w:t>
      </w:r>
    </w:p>
    <w:p>
      <w:pPr>
        <w:spacing w:after="0" w:line="184" w:lineRule="exact"/>
        <w:rPr>
          <w:sz w:val="20"/>
          <w:szCs w:val="20"/>
          <w:color w:val="auto"/>
        </w:rPr>
      </w:pPr>
    </w:p>
    <w:p>
      <w:pPr>
        <w:jc w:val="both"/>
        <w:ind w:right="360" w:firstLine="445"/>
        <w:spacing w:after="0" w:line="263" w:lineRule="auto"/>
        <w:rPr>
          <w:sz w:val="20"/>
          <w:szCs w:val="20"/>
          <w:color w:val="auto"/>
        </w:rPr>
      </w:pPr>
      <w:r>
        <w:rPr>
          <w:rFonts w:ascii="Arial" w:cs="Arial" w:eastAsia="Arial" w:hAnsi="Arial"/>
          <w:sz w:val="18"/>
          <w:szCs w:val="18"/>
          <w:color w:val="auto"/>
        </w:rPr>
        <w:t>During the nine months ended September 30, 2022, net cash used in operating activities of $156.2 million was primarily due to our $172.9 million net loss and $7.3 million in changes in operating assets and liabilities primarily related to a decrease in accrued expenses, partially offset by $23.9 million of non-cash charges primarily related to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23" w:lineRule="exact"/>
        <w:rPr>
          <w:sz w:val="20"/>
          <w:szCs w:val="20"/>
          <w:color w:val="auto"/>
        </w:rPr>
      </w:pPr>
    </w:p>
    <w:p>
      <w:pPr>
        <w:ind w:right="280" w:firstLine="445"/>
        <w:spacing w:after="0" w:line="275" w:lineRule="auto"/>
        <w:rPr>
          <w:sz w:val="20"/>
          <w:szCs w:val="20"/>
          <w:color w:val="auto"/>
        </w:rPr>
      </w:pPr>
      <w:r>
        <w:rPr>
          <w:rFonts w:ascii="Arial" w:cs="Arial" w:eastAsia="Arial" w:hAnsi="Arial"/>
          <w:sz w:val="18"/>
          <w:szCs w:val="18"/>
          <w:color w:val="auto"/>
        </w:rPr>
        <w:t>During the nine months ended September 30, 2023, net cash provided by investing activities of $39.0 million was primarily related to maturities of marketable securities.</w:t>
      </w:r>
    </w:p>
    <w:p>
      <w:pPr>
        <w:spacing w:after="0" w:line="174" w:lineRule="exact"/>
        <w:rPr>
          <w:sz w:val="20"/>
          <w:szCs w:val="20"/>
          <w:color w:val="auto"/>
        </w:rPr>
      </w:pPr>
    </w:p>
    <w:p>
      <w:pPr>
        <w:ind w:right="280" w:firstLine="445"/>
        <w:spacing w:after="0" w:line="275" w:lineRule="auto"/>
        <w:rPr>
          <w:sz w:val="20"/>
          <w:szCs w:val="20"/>
          <w:color w:val="auto"/>
        </w:rPr>
      </w:pPr>
      <w:r>
        <w:rPr>
          <w:rFonts w:ascii="Arial" w:cs="Arial" w:eastAsia="Arial" w:hAnsi="Arial"/>
          <w:sz w:val="18"/>
          <w:szCs w:val="18"/>
          <w:color w:val="auto"/>
        </w:rPr>
        <w:t>During the nine months ended September 30, 2022, net cash provided by investing activities of $74.3 million was primarily related to maturities of marketable securities, partially offset by purchases of marketable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23" w:lineRule="exact"/>
        <w:rPr>
          <w:sz w:val="20"/>
          <w:szCs w:val="20"/>
          <w:color w:val="auto"/>
        </w:rPr>
      </w:pPr>
    </w:p>
    <w:p>
      <w:pPr>
        <w:ind w:right="120" w:firstLine="445"/>
        <w:spacing w:after="0" w:line="275" w:lineRule="auto"/>
        <w:rPr>
          <w:sz w:val="20"/>
          <w:szCs w:val="20"/>
          <w:color w:val="auto"/>
        </w:rPr>
      </w:pPr>
      <w:r>
        <w:rPr>
          <w:rFonts w:ascii="Arial" w:cs="Arial" w:eastAsia="Arial" w:hAnsi="Arial"/>
          <w:sz w:val="18"/>
          <w:szCs w:val="18"/>
          <w:color w:val="auto"/>
        </w:rPr>
        <w:t>During the nine months ended September 30, 2023, net cash provided by financing activities of $87.7 million consisted primarily of net proceeds from at-the-market offerings and our June 2023 follow-on public offering.</w:t>
      </w:r>
    </w:p>
    <w:p>
      <w:pPr>
        <w:spacing w:after="0" w:line="174" w:lineRule="exact"/>
        <w:rPr>
          <w:sz w:val="20"/>
          <w:szCs w:val="20"/>
          <w:color w:val="auto"/>
        </w:rPr>
      </w:pPr>
    </w:p>
    <w:p>
      <w:pPr>
        <w:ind w:right="140" w:firstLine="445"/>
        <w:spacing w:after="0" w:line="258" w:lineRule="auto"/>
        <w:rPr>
          <w:sz w:val="20"/>
          <w:szCs w:val="20"/>
          <w:color w:val="auto"/>
        </w:rPr>
      </w:pPr>
      <w:r>
        <w:rPr>
          <w:rFonts w:ascii="Arial" w:cs="Arial" w:eastAsia="Arial" w:hAnsi="Arial"/>
          <w:sz w:val="18"/>
          <w:szCs w:val="18"/>
          <w:color w:val="auto"/>
        </w:rPr>
        <w:t>During the nine months ended September 30, 2022, net cash provided by financing activities of $5.1 million consisted of net proceeds from at-the-market offerings of $4.3 million and proceeds from purchases of common stock under our employee stock purchase plan and from the exercise of stock options, partially offset by the payment of issuance costs for our at-the-market offerings and the payment of taxes related to the vesting of restricted stock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27"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3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Cerebrum™ and Solidus™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28" w:name="page29"/>
    <w:bookmarkEnd w:id="28"/>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71" w:lineRule="exact"/>
        <w:rPr>
          <w:rFonts w:ascii="Arial" w:cs="Arial" w:eastAsia="Arial" w:hAnsi="Arial"/>
          <w:sz w:val="18"/>
          <w:szCs w:val="18"/>
          <w:color w:val="auto"/>
        </w:rPr>
      </w:pPr>
    </w:p>
    <w:p>
      <w:pPr>
        <w:ind w:left="660" w:right="160" w:hanging="328"/>
        <w:spacing w:after="0" w:line="27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65"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75" w:lineRule="exact"/>
        <w:rPr>
          <w:rFonts w:ascii="Arial" w:cs="Arial" w:eastAsia="Arial" w:hAnsi="Arial"/>
          <w:sz w:val="18"/>
          <w:szCs w:val="18"/>
          <w:color w:val="auto"/>
        </w:rPr>
      </w:pPr>
    </w:p>
    <w:p>
      <w:pPr>
        <w:ind w:left="660" w:right="380" w:hanging="328"/>
        <w:spacing w:after="0" w:line="27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4" w:lineRule="exact"/>
        <w:rPr>
          <w:sz w:val="20"/>
          <w:szCs w:val="20"/>
          <w:color w:val="auto"/>
        </w:rPr>
      </w:pPr>
    </w:p>
    <w:p>
      <w:pPr>
        <w:ind w:right="100" w:firstLine="445"/>
        <w:spacing w:after="0" w:line="258"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cash and cash equivalents as of September 30, 2023 will enable us to fund our operating expenses and capital expenditure requirements into the first quarter of 2025. However, we have based this estimate on assumptions that may prove to be wrong and we could exhaust our capital resources sooner than we expect.</w:t>
      </w:r>
    </w:p>
    <w:p>
      <w:pPr>
        <w:spacing w:after="0" w:line="190"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36"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platforms and product candidates;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171" w:lineRule="exact"/>
        <w:rPr>
          <w:rFonts w:ascii="Arial" w:cs="Arial" w:eastAsia="Arial" w:hAnsi="Arial"/>
          <w:sz w:val="18"/>
          <w:szCs w:val="18"/>
          <w:color w:val="auto"/>
        </w:rPr>
      </w:pPr>
    </w:p>
    <w:p>
      <w:pPr>
        <w:ind w:left="820" w:right="20" w:hanging="326"/>
        <w:spacing w:after="0" w:line="275"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19" w:lineRule="exact"/>
        <w:rPr>
          <w:rFonts w:ascii="Arial" w:cs="Arial" w:eastAsia="Arial" w:hAnsi="Arial"/>
          <w:sz w:val="18"/>
          <w:szCs w:val="18"/>
          <w:color w:val="auto"/>
        </w:rPr>
      </w:pPr>
    </w:p>
    <w:p>
      <w:pPr>
        <w:ind w:left="820" w:right="40" w:hanging="326"/>
        <w:spacing w:after="0" w:line="275"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119" w:lineRule="exact"/>
        <w:rPr>
          <w:rFonts w:ascii="Arial" w:cs="Arial" w:eastAsia="Arial" w:hAnsi="Arial"/>
          <w:sz w:val="18"/>
          <w:szCs w:val="18"/>
          <w:color w:val="auto"/>
        </w:rPr>
      </w:pPr>
    </w:p>
    <w:p>
      <w:pPr>
        <w:ind w:left="820" w:right="80" w:hanging="326"/>
        <w:spacing w:after="0" w:line="275"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11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71" w:lineRule="exact"/>
        <w:rPr>
          <w:rFonts w:ascii="Arial" w:cs="Arial" w:eastAsia="Arial" w:hAnsi="Arial"/>
          <w:sz w:val="18"/>
          <w:szCs w:val="18"/>
          <w:color w:val="auto"/>
        </w:rPr>
      </w:pPr>
    </w:p>
    <w:p>
      <w:pPr>
        <w:ind w:left="820" w:right="40" w:hanging="326"/>
        <w:spacing w:after="0" w:line="263"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84" w:lineRule="exact"/>
        <w:rPr>
          <w:sz w:val="20"/>
          <w:szCs w:val="20"/>
          <w:color w:val="auto"/>
        </w:rPr>
      </w:pPr>
    </w:p>
    <w:p>
      <w:pPr>
        <w:ind w:right="80" w:firstLine="445"/>
        <w:spacing w:after="0" w:line="258"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8" w:right="359" w:bottom="1440" w:gutter="0" w:footer="0" w:header="0"/>
        </w:sectPr>
      </w:pPr>
    </w:p>
    <w:bookmarkStart w:id="29" w:name="page30"/>
    <w:bookmarkEnd w:id="29"/>
    <w:p>
      <w:pPr>
        <w:ind w:right="740"/>
        <w:spacing w:after="0" w:line="275" w:lineRule="auto"/>
        <w:rPr>
          <w:sz w:val="20"/>
          <w:szCs w:val="20"/>
          <w:color w:val="auto"/>
        </w:rPr>
      </w:pPr>
      <w:r>
        <w:rPr>
          <w:rFonts w:ascii="Arial" w:cs="Arial" w:eastAsia="Arial" w:hAnsi="Arial"/>
          <w:sz w:val="18"/>
          <w:szCs w:val="18"/>
          <w:color w:val="auto"/>
        </w:rPr>
        <w:t>from sales of products that we do not expect to be commercially available for many years, if ever. Accordingly, we will need to obtain substantial additional funds to achieve our business objectives.</w:t>
      </w:r>
    </w:p>
    <w:p>
      <w:pPr>
        <w:spacing w:after="0" w:line="174"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95"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20" w:firstLine="445"/>
        <w:spacing w:after="0" w:line="258"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February 7, 2023, other than as disclosed in Note 2 to our condensed consolidated financial statements appearing elsewhere in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cash, cash equivalents and marketable securities we may hold at any time may be in the form of money market funds or marketable debt securities or may be invested in U.S. Treasury and U.S. government agency obligations. However, because of the short-term nature and low risk profile of the instruments in our portfolio at any given time, an immediate change in market interest rates of 100 basis points would not have a material impact on our financial position or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0" w:name="page31"/>
    <w:bookmarkEnd w:id="30"/>
    <w:p>
      <w:pPr>
        <w:ind w:right="20" w:firstLine="445"/>
        <w:spacing w:after="0" w:line="253"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94"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2023. Based on the evaluation of our disclosure controls and procedures as of September 30, 2023, our Chief Executive Officer and Chief Financial Officer concluded that, as of such date, our disclosure controls and procedures were effective at the reasonable assurance level.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7" w:lineRule="exact"/>
        <w:rPr>
          <w:sz w:val="20"/>
          <w:szCs w:val="20"/>
          <w:color w:val="auto"/>
        </w:rPr>
      </w:pPr>
    </w:p>
    <w:p>
      <w:pPr>
        <w:ind w:right="160" w:firstLine="445"/>
        <w:spacing w:after="0" w:line="275"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7" w:lineRule="exact"/>
        <w:rPr>
          <w:sz w:val="20"/>
          <w:szCs w:val="20"/>
          <w:color w:val="auto"/>
        </w:rPr>
      </w:pPr>
    </w:p>
    <w:p>
      <w:pPr>
        <w:ind w:right="20" w:firstLine="445"/>
        <w:spacing w:after="0" w:line="258"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7" w:lineRule="exact"/>
        <w:rPr>
          <w:sz w:val="20"/>
          <w:szCs w:val="20"/>
          <w:color w:val="auto"/>
        </w:rPr>
      </w:pPr>
    </w:p>
    <w:p>
      <w:pPr>
        <w:ind w:right="120" w:firstLine="445"/>
        <w:spacing w:after="0" w:line="258" w:lineRule="auto"/>
        <w:rPr>
          <w:sz w:val="20"/>
          <w:szCs w:val="20"/>
          <w:color w:val="auto"/>
        </w:rPr>
      </w:pPr>
      <w:r>
        <w:rPr>
          <w:rFonts w:ascii="Arial" w:cs="Arial" w:eastAsia="Arial" w:hAnsi="Arial"/>
          <w:sz w:val="18"/>
          <w:szCs w:val="18"/>
          <w:color w:val="auto"/>
        </w:rPr>
        <w:t>The risk factors set forth below update, and should be read in conjunction with, the risk factors previously disclosed in the section entitled "Risk Factors" of our Annual Report on Form 10-K for the year ended December 31, 2022 filed with the SEC on February 7, 2023 and in the sections entitled "Risk Factors" of our Quarterly Reports on Form 10-Q for the quarters ended March 31, 2023 and June 30, 2023 filed with the SEC on May 11, 2023 and August 9, 2023,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Preclinical and Clinical Development</w:t>
      </w:r>
    </w:p>
    <w:p>
      <w:pPr>
        <w:spacing w:after="0" w:line="10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4"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From time to time, we may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reported. As a result, topline and preliminary data should be viewed with caution until the final data are available.</w:t>
      </w:r>
    </w:p>
    <w:p>
      <w:pPr>
        <w:spacing w:after="0" w:line="84"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From time to time, we disclose interim data from our preclinical studies and clinical trials. Interim data from clinical trials that we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84"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In addition, the information we choose to publicly disclose regarding a particular study or clinical trial is typically selected from a more extensive amount of available information.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preliminary or topline data that we report differ from later, final or actual results, or if others, including the FDA and comparable foreign regulatory authorities, disagree with the conclusions reached, our ability to obtain approval for, and commercialize our product candidates may be harmed, which could harm our business, financial condition, results of operations and prospects.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Reverse Stock Split</w:t>
      </w:r>
    </w:p>
    <w:p>
      <w:pPr>
        <w:spacing w:after="0" w:line="10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i w:val="1"/>
          <w:iCs w:val="1"/>
          <w:color w:val="auto"/>
        </w:rPr>
        <w:t>The reverse stock split may not increase the market price per share of our common stock meaningfully or at all, and any such increase may not be sustained or may be insufficient to generate increased investor interest, maintain liquidity for our stockholders, or maintain our market capitalization.</w:t>
      </w:r>
    </w:p>
    <w:p>
      <w:pPr>
        <w:spacing w:after="0" w:line="5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November 6, 2023, our stockholders approved amendments to our Amended and Restated Certificate of Incorporation to effect a reverse stock split to all of the outstanding shares of our common stock at a ratio ranging from any whole number between 1-for-5 and 1-for-25, or the reverse stock split, subject to our board of directors’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32" w:name="page33"/>
    <w:bookmarkEnd w:id="32"/>
    <w:p>
      <w:pPr>
        <w:spacing w:after="0" w:line="256" w:lineRule="auto"/>
        <w:rPr>
          <w:sz w:val="20"/>
          <w:szCs w:val="20"/>
          <w:color w:val="auto"/>
        </w:rPr>
      </w:pPr>
      <w:r>
        <w:rPr>
          <w:rFonts w:ascii="Arial" w:cs="Arial" w:eastAsia="Arial" w:hAnsi="Arial"/>
          <w:sz w:val="18"/>
          <w:szCs w:val="18"/>
          <w:color w:val="auto"/>
        </w:rPr>
        <w:t>authority to elect, without further action on the part of our stockholders, whether to effect the reverse stock split and, if so, to determine the reverse stock split ratio from among the approved range. While we anticipate that the reverse stock split will result in an increase in the market price per share of our common stock, we cannot be assured that such increase will occur or, if it does, that such increase will result in any permanent or sustained increase in the market price of our common stock, which is dependent upon many factors, including our business and financial performance, general market conditions and our prospects for future success.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Even assuming an increase in the market price per share of our common stock occurs as a result of the reverse stock split, there is no guarantee that such increase will enhance the level of investment in our common stock by institutional investors or increase analyst and broker interest in our company. In addition, it is possible that the reverse stock split may adversely affect our stockholders’ liquidity by reducing the number of shares outstanding after the reverse stock split, particularly if the price of our common stock does not increase as a result of the reverse stock split, or if it does not increase in proportion to the reduction in the number of shares of our common stock outstanding immediately before the reverse stock split. The reduction in the number of outstanding shares may lead to reduced trading and a smaller number of market makers for our common stock, thus reducing our stockholders’ liquidity.</w:t>
      </w:r>
    </w:p>
    <w:p>
      <w:pPr>
        <w:spacing w:after="0" w:line="8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Furthermore, should the per share market price of our common stock fail to increase in proportion to the reverse stock split ratio, or should the overall value of our common stock decline, after the reverse stock split, then the value of the shares of our common stock held by our stockholders will also decrease. In some cases, the per-share stock price of companies that have effected reverse stock splits subsequently declined back to pre-reverse split levels, and accordingly, it cannot be assured that the total market value of our common stock will remain the same after the reverse stock split is effected.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would have an adverse effect on our common stock and could adversely affect our business.</w:t>
      </w:r>
    </w:p>
    <w:p>
      <w:pPr>
        <w:spacing w:after="0" w:line="107"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auto"/>
        </w:rPr>
        <w:t>The reverse stock split may not result in more normalized trading in our common stock or decrease the market volatility of our common stock and could result in increased trading costs for our stockholders.</w:t>
      </w:r>
    </w:p>
    <w:p>
      <w:pPr>
        <w:spacing w:after="0" w:line="3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Reverse stock splits can be viewed negatively by the market and it is difficult to predict how the market will respond to a reverse stock split of our common stock. Due to the smaller number of shares of our common stock that will be outstanding after the reverse stock split, trading in our common stock may decrease and, due to the decrease in trading volume, smaller trades in our common stock could result in increased volatility as compared to the trading volume and volatility of our common stock prior to the reverse stock split.</w:t>
      </w:r>
    </w:p>
    <w:p>
      <w:pPr>
        <w:spacing w:after="0" w:line="8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reverse stock split will also increase the number of stockholders who own “odd lots” of less than 100 shares of our common stock. A purchase or sale of less than 100 shares (an “odd lot” transaction) may result in incrementally higher trading costs through certain brokers, particularly “full service” brokers. Therefore, those stockholders who own fewer than 100 shares of our common stock following the reverse stock split may be required to pay higher transaction costs if they sell their shares of our common stock.</w:t>
      </w:r>
    </w:p>
    <w:p>
      <w:pPr>
        <w:spacing w:after="0" w:line="72"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b w:val="1"/>
          <w:bCs w:val="1"/>
          <w:i w:val="1"/>
          <w:iCs w:val="1"/>
          <w:color w:val="auto"/>
        </w:rPr>
        <w:t>The authorized shares of common stock that will become available as a result of the reverse stock split may not be sufficient to fulfill our current and anticipated corporate purposes.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Because the reverse stock split will decrease the number of outstanding shares of our common stock by a ratio in the range of 1-for-5 to 1-for-25 but would not effect a decrease to the number of shares of common stock that we are authorized to issue, the reverse stock split will result in a relative increase in the number of unissued shares of our common stock. Such relative increase in the number of unissued shares of our common stock may not be sufficient to fulfill our current and anticipated corporate purposes, including financing activities, public or private offerings of common stock, issuance of options and other equity awards pursuant to our incentive plans, and strategic business development transactions. If the increase in the number of unissued shares of our common stock generated by the reverse stock split proves insufficient to fulfill our corporate purposes, we may need to delay corporate activities and incur additional expenses in order to obtain stockholder approval to increase our authorized shares of common stock, or we may have to abandon such activities entirely. Accordingly, we may be prevented from acting promptly, or at all, to fulfill our corporate purposes, which could adversely affect our business and prospects.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sales of unregistered securities during the three months ended September 30, 2023.</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4"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did not make any repurchases of shares of common stock during the three months ended September 30, 2023.</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2"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00" w:type="dxa"/>
            <w:vAlign w:val="bottom"/>
            <w:gridSpan w:val="5"/>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60" w:type="dxa"/>
            <w:vAlign w:val="bottom"/>
            <w:gridSpan w:val="11"/>
            <w:vMerge w:val="restart"/>
          </w:tcPr>
          <w:p>
            <w:pPr>
              <w:ind w:left="22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5"/>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96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Borders>
              <w:top w:val="single" w:sz="8" w:color="auto"/>
            </w:tcBorders>
            <w:gridSpan w:val="3"/>
          </w:tcPr>
          <w:p>
            <w:pPr>
              <w:ind w:left="20"/>
              <w:spacing w:after="0"/>
              <w:rPr>
                <w:rFonts w:ascii="Arial" w:cs="Arial" w:eastAsia="Arial" w:hAnsi="Arial"/>
                <w:sz w:val="18"/>
                <w:szCs w:val="18"/>
                <w:color w:val="0000FF"/>
              </w:rPr>
            </w:pPr>
            <w:hyperlink r:id="rId5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460" w:type="dxa"/>
            <w:vAlign w:val="bottom"/>
            <w:tcBorders>
              <w:top w:val="single" w:sz="8" w:color="auto"/>
            </w:tcBorders>
            <w:gridSpan w:val="12"/>
          </w:tcPr>
          <w:p>
            <w:pPr>
              <w:spacing w:after="0"/>
              <w:rPr>
                <w:rFonts w:ascii="Arial" w:cs="Arial" w:eastAsia="Arial" w:hAnsi="Arial"/>
                <w:sz w:val="18"/>
                <w:szCs w:val="18"/>
                <w:color w:val="0000FF"/>
              </w:rPr>
            </w:pPr>
            <w:hyperlink r:id="rId54">
              <w:r>
                <w:rPr>
                  <w:rFonts w:ascii="Arial" w:cs="Arial" w:eastAsia="Arial" w:hAnsi="Arial"/>
                  <w:sz w:val="18"/>
                  <w:szCs w:val="18"/>
                  <w:color w:val="0000FF"/>
                </w:rPr>
                <w:t>Amended and Restated Certificate of Incorporation of Praxis Precision Medicines, Inc. (incorporated by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reference to Exhibit 3.1 to the Registrant's Current Report on Form 8-K (File No. 001-39620) filed on</w:t>
              </w:r>
            </w:hyperlink>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1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54">
              <w:r>
                <w:rPr>
                  <w:rFonts w:ascii="Arial" w:cs="Arial" w:eastAsia="Arial" w:hAnsi="Arial"/>
                  <w:sz w:val="18"/>
                  <w:szCs w:val="18"/>
                  <w:color w:val="0000FF"/>
                  <w:w w:val="98"/>
                </w:rPr>
                <w:t>October 20, 2020).</w:t>
              </w:r>
            </w:hyperlink>
          </w:p>
        </w:tc>
        <w:tc>
          <w:tcPr>
            <w:tcW w:w="6460" w:type="dxa"/>
            <w:vAlign w:val="bottom"/>
            <w:tcBorders>
              <w:top w:val="single" w:sz="8" w:color="0000FF"/>
            </w:tcBorders>
            <w:gridSpan w:val="6"/>
          </w:tcPr>
          <w:p>
            <w:pPr>
              <w:spacing w:after="0"/>
              <w:rPr>
                <w:sz w:val="13"/>
                <w:szCs w:val="13"/>
                <w:color w:val="auto"/>
              </w:rPr>
            </w:pPr>
          </w:p>
        </w:tc>
        <w:tc>
          <w:tcPr>
            <w:tcW w:w="2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40" w:type="dxa"/>
            <w:vAlign w:val="bottom"/>
            <w:gridSpan w:val="3"/>
          </w:tcPr>
          <w:p>
            <w:pPr>
              <w:ind w:left="20"/>
              <w:spacing w:after="0"/>
              <w:rPr>
                <w:rFonts w:ascii="Arial" w:cs="Arial" w:eastAsia="Arial" w:hAnsi="Arial"/>
                <w:sz w:val="18"/>
                <w:szCs w:val="18"/>
                <w:color w:val="0000FF"/>
              </w:rPr>
            </w:pPr>
            <w:hyperlink r:id="rId5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2"/>
          </w:tcPr>
          <w:p>
            <w:pPr>
              <w:spacing w:after="0"/>
              <w:rPr>
                <w:rFonts w:ascii="Arial" w:cs="Arial" w:eastAsia="Arial" w:hAnsi="Arial"/>
                <w:sz w:val="18"/>
                <w:szCs w:val="18"/>
                <w:color w:val="0000FF"/>
              </w:rPr>
            </w:pPr>
            <w:hyperlink r:id="rId55">
              <w:r>
                <w:rPr>
                  <w:rFonts w:ascii="Arial" w:cs="Arial" w:eastAsia="Arial" w:hAnsi="Arial"/>
                  <w:sz w:val="18"/>
                  <w:szCs w:val="18"/>
                  <w:color w:val="0000FF"/>
                </w:rPr>
                <w:t>Amended and Restated Bylaws of Praxis Precision Medicines, Inc. (incorporated by reference to Exhibit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8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55">
              <w:r>
                <w:rPr>
                  <w:rFonts w:ascii="Arial" w:cs="Arial" w:eastAsia="Arial" w:hAnsi="Arial"/>
                  <w:sz w:val="18"/>
                  <w:szCs w:val="18"/>
                  <w:color w:val="0000FF"/>
                  <w:w w:val="99"/>
                </w:rPr>
                <w:t>3.</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Current Report on Form 8-K (File No. 001-39620) filed on January 7, 2022).</w:t>
              </w:r>
            </w:hyperlink>
          </w:p>
        </w:tc>
        <w:tc>
          <w:tcPr>
            <w:tcW w:w="420" w:type="dxa"/>
            <w:vAlign w:val="bottom"/>
            <w:tcBorders>
              <w:top w:val="single" w:sz="8" w:color="0000FF"/>
            </w:tcBorders>
            <w:gridSpan w:val="3"/>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4"/>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760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Exchange Act of 1934, as Adopted Pursuant to Section 302 of the Sarbanes-Oxley Act of 2002.</w:t>
            </w:r>
          </w:p>
        </w:tc>
        <w:tc>
          <w:tcPr>
            <w:tcW w:w="8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4"/>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38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20" w:type="dxa"/>
            <w:vAlign w:val="bottom"/>
            <w:gridSpan w:val="5"/>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5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w:t>
            </w:r>
          </w:p>
        </w:tc>
        <w:tc>
          <w:tcPr>
            <w:tcW w:w="8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688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9"/>
              </w:rPr>
              <w:t>Section 1350, as Adopted Pursuant to Section 906 of the Sarbanes-Oxley Act of 2002.</w:t>
            </w:r>
          </w:p>
        </w:tc>
        <w:tc>
          <w:tcPr>
            <w:tcW w:w="640" w:type="dxa"/>
            <w:vAlign w:val="bottom"/>
            <w:tcBorders>
              <w:top w:val="single" w:sz="8" w:color="0000FF"/>
            </w:tcBorders>
          </w:tcPr>
          <w:p>
            <w:pPr>
              <w:spacing w:after="0"/>
              <w:rPr>
                <w:sz w:val="13"/>
                <w:szCs w:val="13"/>
                <w:color w:val="auto"/>
              </w:rPr>
            </w:pPr>
          </w:p>
        </w:tc>
        <w:tc>
          <w:tcPr>
            <w:tcW w:w="9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right="3600" w:firstLine="26"/>
        <w:spacing w:after="0" w:line="304" w:lineRule="auto"/>
        <w:tabs>
          <w:tab w:leader="none" w:pos="1327"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ind w:left="340" w:hanging="332"/>
        <w:spacing w:after="0" w:line="254" w:lineRule="auto"/>
        <w:tabs>
          <w:tab w:leader="none" w:pos="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35" w:name="page36"/>
    <w:bookmarkEnd w:id="35"/>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5" w:lineRule="exact"/>
        <w:rPr>
          <w:sz w:val="20"/>
          <w:szCs w:val="20"/>
          <w:color w:val="auto"/>
        </w:rPr>
      </w:pPr>
    </w:p>
    <w:p>
      <w:pPr>
        <w:ind w:right="360" w:firstLine="445"/>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PRAXIS PRECISION MEDICINES, INC.</w:t>
      </w:r>
    </w:p>
    <w:p>
      <w:pPr>
        <w:spacing w:after="0" w:line="303"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13970</wp:posOffset>
            </wp:positionV>
            <wp:extent cx="3197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6"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Marcio Souza</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00"/>
        <w:spacing w:after="0"/>
        <w:rPr>
          <w:sz w:val="20"/>
          <w:szCs w:val="20"/>
          <w:color w:val="auto"/>
        </w:rPr>
      </w:pPr>
      <w:r>
        <w:rPr>
          <w:rFonts w:ascii="Arial" w:cs="Arial" w:eastAsia="Arial" w:hAnsi="Arial"/>
          <w:sz w:val="18"/>
          <w:szCs w:val="18"/>
          <w:b w:val="1"/>
          <w:bCs w:val="1"/>
          <w:color w:val="auto"/>
        </w:rPr>
        <w:t>Officer)</w:t>
      </w:r>
    </w:p>
    <w:p>
      <w:pPr>
        <w:spacing w:after="0" w:line="294"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13970</wp:posOffset>
            </wp:positionV>
            <wp:extent cx="3197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Timothy Kelly</w:t>
      </w:r>
    </w:p>
    <w:p>
      <w:pPr>
        <w:spacing w:after="0" w:line="44"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886"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Marcio Souza, certify that:</w:t>
      </w:r>
    </w:p>
    <w:p>
      <w:pPr>
        <w:spacing w:after="0" w:line="25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right="20" w:hanging="332"/>
        <w:spacing w:after="0" w:line="248"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60" w:hanging="328"/>
        <w:spacing w:after="0" w:line="248" w:lineRule="auto"/>
        <w:tabs>
          <w:tab w:leader="none" w:pos="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20" w:hanging="328"/>
        <w:spacing w:after="0" w:line="308" w:lineRule="auto"/>
        <w:tabs>
          <w:tab w:leader="none" w:pos="657"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November 7, 2023</w:t>
            </w:r>
          </w:p>
        </w:tc>
        <w:tc>
          <w:tcPr>
            <w:tcW w:w="2960" w:type="dxa"/>
            <w:vAlign w:val="bottom"/>
          </w:tcPr>
          <w:p>
            <w:pPr>
              <w:ind w:left="224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MARCIO SOUZA</w:t>
            </w:r>
          </w:p>
        </w:tc>
      </w:tr>
      <w:tr>
        <w:trPr>
          <w:trHeight w:val="222"/>
        </w:trPr>
        <w:tc>
          <w:tcPr>
            <w:tcW w:w="4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2"/>
              </w:rPr>
              <w:t>Marcio Souza</w:t>
            </w:r>
          </w:p>
        </w:tc>
      </w:tr>
      <w:tr>
        <w:trPr>
          <w:trHeight w:val="229"/>
        </w:trPr>
        <w:tc>
          <w:tcPr>
            <w:tcW w:w="4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4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Timothy Kelly, certify that:</w:t>
      </w:r>
    </w:p>
    <w:p>
      <w:pPr>
        <w:spacing w:after="0" w:line="25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right="20" w:hanging="332"/>
        <w:spacing w:after="0" w:line="24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60" w:hanging="328"/>
        <w:spacing w:after="0" w:line="248" w:lineRule="auto"/>
        <w:tabs>
          <w:tab w:leader="none" w:pos="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20" w:hanging="328"/>
        <w:spacing w:after="0" w:line="308" w:lineRule="auto"/>
        <w:tabs>
          <w:tab w:leader="none" w:pos="657"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November 7, 2023</w:t>
            </w:r>
          </w:p>
        </w:tc>
        <w:tc>
          <w:tcPr>
            <w:tcW w:w="2980" w:type="dxa"/>
            <w:vAlign w:val="bottom"/>
          </w:tcPr>
          <w:p>
            <w:pPr>
              <w:ind w:left="22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KELLY</w:t>
            </w:r>
          </w:p>
        </w:tc>
      </w:tr>
      <w:tr>
        <w:trPr>
          <w:trHeight w:val="222"/>
        </w:trPr>
        <w:tc>
          <w:tcPr>
            <w:tcW w:w="4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8"/>
              </w:rPr>
              <w:t>Timothy Kelly</w:t>
            </w:r>
          </w:p>
        </w:tc>
      </w:tr>
      <w:tr>
        <w:trPr>
          <w:trHeight w:val="229"/>
        </w:trPr>
        <w:tc>
          <w:tcPr>
            <w:tcW w:w="4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42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bl>
    <w:p>
      <w:pPr>
        <w:sectPr>
          <w:pgSz w:w="11900" w:h="16838" w:orient="portrait"/>
          <w:cols w:equalWidth="0" w:num="1">
            <w:col w:w="11240"/>
          </w:cols>
          <w:pgMar w:left="320" w:top="891" w:right="339" w:bottom="1440" w:gutter="0" w:footer="0" w:header="0"/>
        </w:sectPr>
      </w:pPr>
    </w:p>
    <w:bookmarkStart w:id="38" w:name="page39"/>
    <w:bookmarkEnd w:id="38"/>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 Quarterly Report on Form 10-Q of Praxis Precision Medicines, Inc. (the “Company”) for the quarter ended September 30,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2023 as filed with the Securities and Exchange Commission on the date hereof (the “Report”), the undersigned hereby certify, pursuant to 18 U.S.C.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their knowledge:</w:t>
      </w:r>
    </w:p>
    <w:p>
      <w:pPr>
        <w:spacing w:after="0" w:line="130" w:lineRule="exact"/>
        <w:rPr>
          <w:sz w:val="20"/>
          <w:szCs w:val="20"/>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700" w:type="dxa"/>
            <w:vAlign w:val="bottom"/>
          </w:tcPr>
          <w:p>
            <w:pPr>
              <w:ind w:left="100"/>
              <w:spacing w:after="0"/>
              <w:rPr>
                <w:sz w:val="20"/>
                <w:szCs w:val="20"/>
                <w:color w:val="auto"/>
              </w:rPr>
            </w:pPr>
            <w:r>
              <w:rPr>
                <w:rFonts w:ascii="Arial" w:cs="Arial" w:eastAsia="Arial" w:hAnsi="Arial"/>
                <w:sz w:val="18"/>
                <w:szCs w:val="18"/>
                <w:color w:val="auto"/>
              </w:rPr>
              <w:t>November 7, 2023</w:t>
            </w:r>
          </w:p>
        </w:tc>
        <w:tc>
          <w:tcPr>
            <w:tcW w:w="2980" w:type="dxa"/>
            <w:vAlign w:val="bottom"/>
          </w:tcPr>
          <w:p>
            <w:pPr>
              <w:ind w:left="22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MARCIO SOUZA</w:t>
            </w:r>
          </w:p>
        </w:tc>
      </w:tr>
      <w:tr>
        <w:trPr>
          <w:trHeight w:val="222"/>
        </w:trPr>
        <w:tc>
          <w:tcPr>
            <w:tcW w:w="5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2"/>
              </w:rPr>
              <w:t>Marcio Souza</w:t>
            </w:r>
          </w:p>
        </w:tc>
      </w:tr>
      <w:tr>
        <w:trPr>
          <w:trHeight w:val="230"/>
        </w:trPr>
        <w:tc>
          <w:tcPr>
            <w:tcW w:w="5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700" w:type="dxa"/>
            <w:vAlign w:val="bottom"/>
          </w:tcPr>
          <w:p>
            <w:pPr>
              <w:ind w:left="100"/>
              <w:spacing w:after="0"/>
              <w:rPr>
                <w:sz w:val="20"/>
                <w:szCs w:val="20"/>
                <w:color w:val="auto"/>
              </w:rPr>
            </w:pPr>
            <w:r>
              <w:rPr>
                <w:rFonts w:ascii="Arial" w:cs="Arial" w:eastAsia="Arial" w:hAnsi="Arial"/>
                <w:sz w:val="18"/>
                <w:szCs w:val="18"/>
                <w:color w:val="auto"/>
              </w:rPr>
              <w:t>November 7, 2023</w:t>
            </w:r>
          </w:p>
        </w:tc>
        <w:tc>
          <w:tcPr>
            <w:tcW w:w="2980" w:type="dxa"/>
            <w:vAlign w:val="bottom"/>
          </w:tcPr>
          <w:p>
            <w:pPr>
              <w:ind w:left="22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KELLY</w:t>
            </w:r>
          </w:p>
        </w:tc>
      </w:tr>
      <w:tr>
        <w:trPr>
          <w:trHeight w:val="222"/>
        </w:trPr>
        <w:tc>
          <w:tcPr>
            <w:tcW w:w="5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8"/>
              </w:rPr>
              <w:t>Timothy Kelly</w:t>
            </w:r>
          </w:p>
        </w:tc>
      </w:tr>
      <w:tr>
        <w:trPr>
          <w:trHeight w:val="229"/>
        </w:trPr>
        <w:tc>
          <w:tcPr>
            <w:tcW w:w="5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8"/>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lvl w:ilvl="1">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lvl w:ilvl="1">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lvl w:ilvl="1">
      <w:lvlJc w:val="left"/>
      <w:lvlText w:val="%2"/>
      <w:numFmt w:val="decimal"/>
      <w:start w:val="104"/>
    </w:lvl>
  </w:abstractNum>
  <w:abstractNum w:abstractNumId="20">
    <w:nsid w:val="2443A858"/>
    <w:multiLevelType w:val="hybridMultilevel"/>
    <w:lvl w:ilvl="0">
      <w:lvlJc w:val="left"/>
      <w:lvlText w:val="**"/>
      <w:numFmt w:val="bullet"/>
      <w:start w:val="1"/>
    </w:lvl>
    <w:lvl w:ilvl="1">
      <w:lvlJc w:val="left"/>
      <w:lvlText w:val="%2"/>
      <w:numFmt w:val="decimal"/>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4" Type="http://schemas.openxmlformats.org/officeDocument/2006/relationships/hyperlink" Target="https://www.sec.gov/Archives/edgar/data/1689548/000119312520272877/d94620dex31.htm" TargetMode="External"/><Relationship Id="rId55" Type="http://schemas.openxmlformats.org/officeDocument/2006/relationships/hyperlink" Target="https://www.sec.gov/Archives/edgar/data/1689548/000110465922002260/tm222120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2023-11-07T06:51:41Z</dcterms:created>
  <dcterms:modified xsi:type="dcterms:W3CDTF">2023-11-07T06:51:41Z</dcterms:modified>
</cp:coreProperties>
</file>