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200660</wp:posOffset>
            </wp:positionH>
            <wp:positionV relativeFrom="page">
              <wp:posOffset>432435</wp:posOffset>
            </wp:positionV>
            <wp:extent cx="7147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762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401955</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3273425</wp:posOffset>
            </wp:positionH>
            <wp:positionV relativeFrom="paragraph">
              <wp:posOffset>61595</wp:posOffset>
            </wp:positionV>
            <wp:extent cx="6032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3273425</wp:posOffset>
            </wp:positionH>
            <wp:positionV relativeFrom="paragraph">
              <wp:posOffset>123190</wp:posOffset>
            </wp:positionV>
            <wp:extent cx="603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3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440" w:hanging="428"/>
        <w:spacing w:after="0"/>
        <w:tabs>
          <w:tab w:leader="none" w:pos="440" w:val="left"/>
        </w:tabs>
        <w:numPr>
          <w:ilvl w:val="0"/>
          <w:numId w:val="1"/>
        </w:numPr>
        <w:rPr>
          <w:rFonts w:ascii="MS PGothic" w:cs="MS PGothic" w:eastAsia="MS PGothic" w:hAnsi="MS PGothic"/>
          <w:sz w:val="19"/>
          <w:szCs w:val="19"/>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440" w:hanging="428"/>
        <w:spacing w:after="0" w:line="208" w:lineRule="auto"/>
        <w:tabs>
          <w:tab w:leader="none" w:pos="440" w:val="left"/>
        </w:tabs>
        <w:numPr>
          <w:ilvl w:val="0"/>
          <w:numId w:val="2"/>
        </w:numPr>
        <w:rPr>
          <w:rFonts w:ascii="MS PGothic" w:cs="MS PGothic" w:eastAsia="MS PGothic" w:hAnsi="MS PGothic"/>
          <w:sz w:val="38"/>
          <w:szCs w:val="38"/>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80" w:lineRule="exact"/>
        <w:rPr>
          <w:sz w:val="24"/>
          <w:szCs w:val="24"/>
          <w:color w:val="auto"/>
        </w:rPr>
      </w:pPr>
    </w:p>
    <w:p>
      <w:pPr>
        <w:ind w:left="346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3658870</wp:posOffset>
            </wp:positionH>
            <wp:positionV relativeFrom="paragraph">
              <wp:posOffset>-3810</wp:posOffset>
            </wp:positionV>
            <wp:extent cx="12833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3335" cy="7620"/>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3273425</wp:posOffset>
            </wp:positionH>
            <wp:positionV relativeFrom="paragraph">
              <wp:posOffset>86995</wp:posOffset>
            </wp:positionV>
            <wp:extent cx="6032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PRAXIS PRECISION MEDICINES,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3273425</wp:posOffset>
            </wp:positionH>
            <wp:positionV relativeFrom="paragraph">
              <wp:posOffset>105410</wp:posOffset>
            </wp:positionV>
            <wp:extent cx="6032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0" cy="7620"/>
                    </a:xfrm>
                    <a:prstGeom prst="rect">
                      <a:avLst/>
                    </a:prstGeom>
                    <a:noFill/>
                  </pic:spPr>
                </pic:pic>
              </a:graphicData>
            </a:graphic>
          </wp:anchor>
        </w:drawing>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516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Delaware</w:t>
            </w:r>
          </w:p>
        </w:tc>
        <w:tc>
          <w:tcPr>
            <w:tcW w:w="940" w:type="dxa"/>
            <w:vAlign w:val="bottom"/>
          </w:tcPr>
          <w:p>
            <w:pPr>
              <w:spacing w:after="0"/>
              <w:rPr>
                <w:sz w:val="16"/>
                <w:szCs w:val="16"/>
                <w:color w:val="auto"/>
              </w:rPr>
            </w:pPr>
          </w:p>
        </w:tc>
        <w:tc>
          <w:tcPr>
            <w:tcW w:w="5120" w:type="dxa"/>
            <w:vAlign w:val="bottom"/>
            <w:gridSpan w:val="3"/>
          </w:tcPr>
          <w:p>
            <w:pPr>
              <w:jc w:val="right"/>
              <w:ind w:right="2274"/>
              <w:spacing w:after="0"/>
              <w:rPr>
                <w:sz w:val="20"/>
                <w:szCs w:val="20"/>
                <w:color w:val="auto"/>
              </w:rPr>
            </w:pPr>
            <w:r>
              <w:rPr>
                <w:rFonts w:ascii="Arial" w:cs="Arial" w:eastAsia="Arial" w:hAnsi="Arial"/>
                <w:sz w:val="14"/>
                <w:szCs w:val="14"/>
                <w:b w:val="1"/>
                <w:bCs w:val="1"/>
                <w:color w:val="auto"/>
              </w:rPr>
              <w:t>47-5195942</w:t>
            </w:r>
          </w:p>
        </w:tc>
        <w:tc>
          <w:tcPr>
            <w:tcW w:w="0" w:type="dxa"/>
            <w:vAlign w:val="bottom"/>
          </w:tcPr>
          <w:p>
            <w:pPr>
              <w:spacing w:after="0"/>
              <w:rPr>
                <w:sz w:val="1"/>
                <w:szCs w:val="1"/>
                <w:color w:val="auto"/>
              </w:rPr>
            </w:pPr>
          </w:p>
        </w:tc>
      </w:tr>
      <w:tr>
        <w:trPr>
          <w:trHeight w:val="212"/>
        </w:trPr>
        <w:tc>
          <w:tcPr>
            <w:tcW w:w="5160" w:type="dxa"/>
            <w:vAlign w:val="bottom"/>
            <w:gridSpan w:val="3"/>
          </w:tcPr>
          <w:p>
            <w:pPr>
              <w:jc w:val="center"/>
              <w:ind w:left="209"/>
              <w:spacing w:after="0"/>
              <w:rPr>
                <w:sz w:val="20"/>
                <w:szCs w:val="20"/>
                <w:color w:val="auto"/>
              </w:rPr>
            </w:pPr>
            <w:r>
              <w:rPr>
                <w:rFonts w:ascii="Arial" w:cs="Arial" w:eastAsia="Arial" w:hAnsi="Arial"/>
                <w:sz w:val="13"/>
                <w:szCs w:val="13"/>
                <w:b w:val="1"/>
                <w:bCs w:val="1"/>
                <w:color w:val="auto"/>
                <w:w w:val="98"/>
              </w:rPr>
              <w:t>(State or other jurisdiction of incorporation or organization)</w:t>
            </w:r>
          </w:p>
        </w:tc>
        <w:tc>
          <w:tcPr>
            <w:tcW w:w="940" w:type="dxa"/>
            <w:vAlign w:val="bottom"/>
          </w:tcPr>
          <w:p>
            <w:pPr>
              <w:spacing w:after="0"/>
              <w:rPr>
                <w:sz w:val="18"/>
                <w:szCs w:val="18"/>
                <w:color w:val="auto"/>
              </w:rPr>
            </w:pPr>
          </w:p>
        </w:tc>
        <w:tc>
          <w:tcPr>
            <w:tcW w:w="5120" w:type="dxa"/>
            <w:vAlign w:val="bottom"/>
            <w:gridSpan w:val="3"/>
          </w:tcPr>
          <w:p>
            <w:pPr>
              <w:jc w:val="center"/>
              <w:ind w:right="254"/>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81"/>
        </w:trPr>
        <w:tc>
          <w:tcPr>
            <w:tcW w:w="516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99 High Street, 30th Floor</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60" w:type="dxa"/>
            <w:vAlign w:val="bottom"/>
            <w:gridSpan w:val="3"/>
          </w:tcPr>
          <w:p>
            <w:pPr>
              <w:jc w:val="center"/>
              <w:ind w:left="209"/>
              <w:spacing w:after="0"/>
              <w:rPr>
                <w:sz w:val="20"/>
                <w:szCs w:val="20"/>
                <w:color w:val="auto"/>
              </w:rPr>
            </w:pPr>
            <w:r>
              <w:rPr>
                <w:rFonts w:ascii="Arial" w:cs="Arial" w:eastAsia="Arial" w:hAnsi="Arial"/>
                <w:sz w:val="14"/>
                <w:szCs w:val="14"/>
                <w:b w:val="1"/>
                <w:bCs w:val="1"/>
                <w:color w:val="auto"/>
              </w:rPr>
              <w:t>Boston, MA</w:t>
            </w:r>
          </w:p>
        </w:tc>
        <w:tc>
          <w:tcPr>
            <w:tcW w:w="940" w:type="dxa"/>
            <w:vAlign w:val="bottom"/>
          </w:tcPr>
          <w:p>
            <w:pPr>
              <w:spacing w:after="0"/>
              <w:rPr>
                <w:sz w:val="16"/>
                <w:szCs w:val="16"/>
                <w:color w:val="auto"/>
              </w:rPr>
            </w:pPr>
          </w:p>
        </w:tc>
        <w:tc>
          <w:tcPr>
            <w:tcW w:w="5120" w:type="dxa"/>
            <w:vAlign w:val="bottom"/>
            <w:gridSpan w:val="3"/>
          </w:tcPr>
          <w:p>
            <w:pPr>
              <w:jc w:val="right"/>
              <w:ind w:right="2454"/>
              <w:spacing w:after="0"/>
              <w:rPr>
                <w:sz w:val="20"/>
                <w:szCs w:val="20"/>
                <w:color w:val="auto"/>
              </w:rPr>
            </w:pPr>
            <w:r>
              <w:rPr>
                <w:rFonts w:ascii="Arial" w:cs="Arial" w:eastAsia="Arial" w:hAnsi="Arial"/>
                <w:sz w:val="14"/>
                <w:szCs w:val="14"/>
                <w:b w:val="1"/>
                <w:bCs w:val="1"/>
                <w:color w:val="auto"/>
              </w:rPr>
              <w:t>02110</w:t>
            </w:r>
          </w:p>
        </w:tc>
        <w:tc>
          <w:tcPr>
            <w:tcW w:w="0" w:type="dxa"/>
            <w:vAlign w:val="bottom"/>
          </w:tcPr>
          <w:p>
            <w:pPr>
              <w:spacing w:after="0"/>
              <w:rPr>
                <w:sz w:val="1"/>
                <w:szCs w:val="1"/>
                <w:color w:val="auto"/>
              </w:rPr>
            </w:pPr>
          </w:p>
        </w:tc>
      </w:tr>
      <w:tr>
        <w:trPr>
          <w:trHeight w:val="176"/>
        </w:trPr>
        <w:tc>
          <w:tcPr>
            <w:tcW w:w="5160" w:type="dxa"/>
            <w:vAlign w:val="bottom"/>
            <w:gridSpan w:val="3"/>
          </w:tcPr>
          <w:p>
            <w:pPr>
              <w:jc w:val="center"/>
              <w:ind w:left="209"/>
              <w:spacing w:after="0"/>
              <w:rPr>
                <w:sz w:val="20"/>
                <w:szCs w:val="20"/>
                <w:color w:val="auto"/>
              </w:rPr>
            </w:pPr>
            <w:r>
              <w:rPr>
                <w:rFonts w:ascii="Arial" w:cs="Arial" w:eastAsia="Arial" w:hAnsi="Arial"/>
                <w:sz w:val="13"/>
                <w:szCs w:val="13"/>
                <w:b w:val="1"/>
                <w:bCs w:val="1"/>
                <w:color w:val="auto"/>
                <w:w w:val="98"/>
              </w:rPr>
              <w:t>(Address of principal executive offices)</w:t>
            </w: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ind w:right="1694"/>
              <w:spacing w:after="0"/>
              <w:rPr>
                <w:sz w:val="20"/>
                <w:szCs w:val="20"/>
                <w:color w:val="auto"/>
              </w:rPr>
            </w:pPr>
            <w:r>
              <w:rPr>
                <w:rFonts w:ascii="Arial" w:cs="Arial" w:eastAsia="Arial" w:hAnsi="Arial"/>
                <w:sz w:val="13"/>
                <w:szCs w:val="13"/>
                <w:b w:val="1"/>
                <w:bCs w:val="1"/>
                <w:color w:val="auto"/>
                <w:w w:val="99"/>
              </w:rPr>
              <w:t>(Zip Code)</w:t>
            </w:r>
          </w:p>
        </w:tc>
        <w:tc>
          <w:tcPr>
            <w:tcW w:w="0" w:type="dxa"/>
            <w:vAlign w:val="bottom"/>
          </w:tcPr>
          <w:p>
            <w:pPr>
              <w:spacing w:after="0"/>
              <w:rPr>
                <w:sz w:val="1"/>
                <w:szCs w:val="1"/>
                <w:color w:val="auto"/>
              </w:rPr>
            </w:pPr>
          </w:p>
        </w:tc>
      </w:tr>
      <w:tr>
        <w:trPr>
          <w:trHeight w:val="359"/>
        </w:trPr>
        <w:tc>
          <w:tcPr>
            <w:tcW w:w="112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11220" w:type="dxa"/>
            <w:vAlign w:val="bottom"/>
            <w:gridSpan w:val="7"/>
          </w:tcPr>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1"/>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3"/>
                <w:szCs w:val="13"/>
                <w:b w:val="1"/>
                <w:bCs w:val="1"/>
                <w:color w:val="auto"/>
                <w:w w:val="98"/>
              </w:rPr>
              <w:t>Title of each class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Trading</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w w:val="98"/>
              </w:rPr>
              <w:t>Name of each exchange</w:t>
            </w:r>
          </w:p>
        </w:tc>
        <w:tc>
          <w:tcPr>
            <w:tcW w:w="0" w:type="dxa"/>
            <w:vAlign w:val="bottom"/>
          </w:tcPr>
          <w:p>
            <w:pPr>
              <w:spacing w:after="0"/>
              <w:rPr>
                <w:sz w:val="1"/>
                <w:szCs w:val="1"/>
                <w:color w:val="auto"/>
              </w:rPr>
            </w:pPr>
          </w:p>
        </w:tc>
      </w:tr>
      <w:tr>
        <w:trPr>
          <w:trHeight w:val="156"/>
        </w:trPr>
        <w:tc>
          <w:tcPr>
            <w:tcW w:w="5160" w:type="dxa"/>
            <w:vAlign w:val="bottom"/>
            <w:gridSpan w:val="3"/>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jc w:val="center"/>
              <w:spacing w:after="0"/>
              <w:rPr>
                <w:sz w:val="20"/>
                <w:szCs w:val="20"/>
                <w:color w:val="auto"/>
              </w:rPr>
            </w:pPr>
            <w:r>
              <w:rPr>
                <w:rFonts w:ascii="Arial" w:cs="Arial" w:eastAsia="Arial" w:hAnsi="Arial"/>
                <w:sz w:val="13"/>
                <w:szCs w:val="13"/>
                <w:b w:val="1"/>
                <w:bCs w:val="1"/>
                <w:color w:val="auto"/>
                <w:w w:val="97"/>
              </w:rPr>
              <w:t>on which registered</w:t>
            </w:r>
          </w:p>
        </w:tc>
        <w:tc>
          <w:tcPr>
            <w:tcW w:w="0" w:type="dxa"/>
            <w:vAlign w:val="bottom"/>
          </w:tcPr>
          <w:p>
            <w:pPr>
              <w:spacing w:after="0"/>
              <w:rPr>
                <w:sz w:val="1"/>
                <w:szCs w:val="1"/>
                <w:color w:val="auto"/>
              </w:rPr>
            </w:pPr>
          </w:p>
        </w:tc>
      </w:tr>
      <w:tr>
        <w:trPr>
          <w:trHeight w:val="183"/>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par value $0.0001 per share</w:t>
            </w: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PRAX</w:t>
            </w: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184" w:lineRule="exact"/>
        <w:rPr>
          <w:sz w:val="24"/>
          <w:szCs w:val="24"/>
          <w:color w:val="auto"/>
        </w:rPr>
      </w:pPr>
    </w:p>
    <w:p>
      <w:pPr>
        <w:jc w:val="both"/>
        <w:ind w:right="520" w:firstLine="397"/>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240" w:firstLine="397"/>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160" w:firstLine="397"/>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8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1"/>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8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1"/>
        </w:trPr>
        <w:tc>
          <w:tcPr>
            <w:tcW w:w="1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18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4" w:lineRule="exact"/>
        <w:rPr>
          <w:sz w:val="24"/>
          <w:szCs w:val="24"/>
          <w:color w:val="auto"/>
        </w:rPr>
      </w:pPr>
    </w:p>
    <w:p>
      <w:pPr>
        <w:ind w:right="440" w:firstLine="397"/>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400" w:right="2460"/>
        <w:spacing w:after="0" w:line="21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October 29, 2021, the registrant had 44,855,777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365760</wp:posOffset>
            </wp:positionV>
            <wp:extent cx="717296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40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7147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71475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0" w:num="1">
            <w:col w:w="11220"/>
          </w:cols>
          <w:pgMar w:left="320" w:top="801"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35" w:lineRule="exact"/>
        <w:rPr>
          <w:sz w:val="20"/>
          <w:szCs w:val="20"/>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cost and timing of our product candidate development activities and clinical trials;</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and maintain intellectual property protection for our product candidates;</w:t>
      </w:r>
    </w:p>
    <w:p>
      <w:pPr>
        <w:spacing w:after="0" w:line="152" w:lineRule="exact"/>
        <w:rPr>
          <w:rFonts w:ascii="Arial" w:cs="Arial" w:eastAsia="Arial" w:hAnsi="Arial"/>
          <w:sz w:val="16"/>
          <w:szCs w:val="16"/>
          <w:color w:val="auto"/>
        </w:rPr>
      </w:pPr>
    </w:p>
    <w:p>
      <w:pPr>
        <w:ind w:left="860" w:right="340" w:hanging="287"/>
        <w:spacing w:after="0" w:line="262" w:lineRule="auto"/>
        <w:tabs>
          <w:tab w:leader="none" w:pos="8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license additional intellectual property relating to our product candidates from third parties and to comply with our existing license agreements and collaboration agreements;</w:t>
      </w:r>
    </w:p>
    <w:p>
      <w:pPr>
        <w:spacing w:after="0" w:line="127" w:lineRule="exact"/>
        <w:rPr>
          <w:rFonts w:ascii="Arial" w:cs="Arial" w:eastAsia="Arial" w:hAnsi="Arial"/>
          <w:sz w:val="16"/>
          <w:szCs w:val="16"/>
          <w:color w:val="auto"/>
        </w:rPr>
      </w:pPr>
    </w:p>
    <w:p>
      <w:pPr>
        <w:ind w:left="860" w:right="520" w:hanging="287"/>
        <w:spacing w:after="0" w:line="262" w:lineRule="auto"/>
        <w:tabs>
          <w:tab w:leader="none" w:pos="8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and willingness of our third-party research institution collaborators to continue research and development activities relating to our product candidates;</w:t>
      </w:r>
    </w:p>
    <w:p>
      <w:pPr>
        <w:spacing w:after="0" w:line="127"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commercialize our product candidates, if approved, in light of the intellectual property rights of others;</w:t>
      </w:r>
    </w:p>
    <w:p>
      <w:pPr>
        <w:spacing w:after="0" w:line="152" w:lineRule="exact"/>
        <w:rPr>
          <w:rFonts w:ascii="Arial" w:cs="Arial" w:eastAsia="Arial" w:hAnsi="Arial"/>
          <w:sz w:val="16"/>
          <w:szCs w:val="16"/>
          <w:color w:val="auto"/>
        </w:rPr>
      </w:pPr>
    </w:p>
    <w:p>
      <w:pPr>
        <w:ind w:left="860" w:hanging="287"/>
        <w:spacing w:after="0" w:line="262" w:lineRule="auto"/>
        <w:tabs>
          <w:tab w:leader="none" w:pos="85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complete further development and, if approved, commercialization of our product candidates;</w:t>
      </w:r>
    </w:p>
    <w:p>
      <w:pPr>
        <w:spacing w:after="0" w:line="127"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commercialization of our product candidates, if approved;</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research, develop and, if approved, commercialize our product candidates;</w:t>
      </w:r>
    </w:p>
    <w:p>
      <w:pPr>
        <w:spacing w:after="0" w:line="152" w:lineRule="exact"/>
        <w:rPr>
          <w:rFonts w:ascii="Arial" w:cs="Arial" w:eastAsia="Arial" w:hAnsi="Arial"/>
          <w:sz w:val="16"/>
          <w:szCs w:val="16"/>
          <w:color w:val="auto"/>
        </w:rPr>
      </w:pPr>
    </w:p>
    <w:p>
      <w:pPr>
        <w:ind w:left="860" w:right="420" w:hanging="287"/>
        <w:spacing w:after="0" w:line="262" w:lineRule="auto"/>
        <w:tabs>
          <w:tab w:leader="none" w:pos="856"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agreements with third parties in connection with the commercialization of our product candidates, if approved, and any other approved product;</w:t>
      </w:r>
    </w:p>
    <w:p>
      <w:pPr>
        <w:spacing w:after="0" w:line="127"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and our ability to serve those markets;</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if approved;</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pricing and reimbursement of our product candidates, if approved;</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contract with third-party suppliers and manufacturers and their ability to perform adequately;</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competing therapies that are or may become available;</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scientific or management personnel;</w:t>
      </w:r>
    </w:p>
    <w:p>
      <w:pPr>
        <w:spacing w:after="0" w:line="152" w:lineRule="exact"/>
        <w:rPr>
          <w:rFonts w:ascii="Arial" w:cs="Arial" w:eastAsia="Arial" w:hAnsi="Arial"/>
          <w:sz w:val="16"/>
          <w:szCs w:val="16"/>
          <w:color w:val="auto"/>
        </w:rPr>
      </w:pPr>
    </w:p>
    <w:p>
      <w:pPr>
        <w:ind w:left="860" w:hanging="28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 capital requirements and needs for additional financing; and</w:t>
      </w:r>
    </w:p>
    <w:p>
      <w:pPr>
        <w:spacing w:after="0" w:line="152" w:lineRule="exact"/>
        <w:rPr>
          <w:rFonts w:ascii="Arial" w:cs="Arial" w:eastAsia="Arial" w:hAnsi="Arial"/>
          <w:sz w:val="16"/>
          <w:szCs w:val="16"/>
          <w:color w:val="auto"/>
        </w:rPr>
      </w:pPr>
    </w:p>
    <w:p>
      <w:pPr>
        <w:ind w:left="860" w:right="180" w:hanging="287"/>
        <w:spacing w:after="0" w:line="262" w:lineRule="auto"/>
        <w:tabs>
          <w:tab w:leader="none" w:pos="8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the COVID-19 pandemic, including mitigation efforts and economic effects, on any of the foregoing or other aspects of our business operations, including but not limited to our ongoing and planned preclinical studies and clinical trials.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478155</wp:posOffset>
            </wp:positionV>
            <wp:extent cx="717296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2" w:name="page3"/>
    <w:bookmarkEnd w:id="2"/>
    <w:p>
      <w:pPr>
        <w:ind w:right="20"/>
        <w:spacing w:after="0" w:line="252" w:lineRule="auto"/>
        <w:rPr>
          <w:sz w:val="20"/>
          <w:szCs w:val="20"/>
          <w:color w:val="auto"/>
        </w:rPr>
      </w:pPr>
      <w:r>
        <w:rPr>
          <w:rFonts w:ascii="Arial" w:cs="Arial" w:eastAsia="Arial" w:hAnsi="Arial"/>
          <w:sz w:val="16"/>
          <w:szCs w:val="16"/>
          <w:color w:val="auto"/>
        </w:rPr>
        <w:t>actual results to differ materially from current expectations include, among other things, those listed under the section titled “Risk Factors” in our Annual Report on Form 10-K for the year ended December 31, 2020 and under the section titled "Risk Factors"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8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2020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479425</wp:posOffset>
            </wp:positionV>
            <wp:extent cx="717296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ind w:left="5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Borders>
              <w:bottom w:val="single" w:sz="8" w:color="0000FF"/>
            </w:tcBorders>
            <w:gridSpan w:val="9"/>
          </w:tcPr>
          <w:p>
            <w:pPr>
              <w:spacing w:after="0" w:line="148" w:lineRule="exact"/>
              <w:rPr>
                <w:rFonts w:ascii="Arial" w:cs="Arial" w:eastAsia="Arial" w:hAnsi="Arial"/>
                <w:sz w:val="16"/>
                <w:szCs w:val="16"/>
                <w:color w:val="0000FF"/>
                <w:w w:val="98"/>
              </w:rPr>
            </w:pPr>
            <w:hyperlink w:anchor="page4">
              <w:r>
                <w:rPr>
                  <w:rFonts w:ascii="Arial" w:cs="Arial" w:eastAsia="Arial" w:hAnsi="Arial"/>
                  <w:sz w:val="16"/>
                  <w:szCs w:val="16"/>
                  <w:color w:val="0000FF"/>
                  <w:w w:val="98"/>
                </w:rPr>
                <w:t>FINANCIAL INFORMATION</w:t>
              </w:r>
            </w:hyperlink>
          </w:p>
        </w:tc>
        <w:tc>
          <w:tcPr>
            <w:tcW w:w="6580" w:type="dxa"/>
            <w:vAlign w:val="bottom"/>
            <w:gridSpan w:val="12"/>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tcBorders>
              <w:bottom w:val="single" w:sz="8" w:color="0000FF"/>
            </w:tcBorders>
            <w:gridSpan w:val="11"/>
          </w:tcPr>
          <w:p>
            <w:pPr>
              <w:spacing w:after="0"/>
              <w:rPr>
                <w:rFonts w:ascii="Arial" w:cs="Arial" w:eastAsia="Arial" w:hAnsi="Arial"/>
                <w:sz w:val="16"/>
                <w:szCs w:val="16"/>
                <w:color w:val="0000FF"/>
                <w:w w:val="99"/>
              </w:rPr>
            </w:pPr>
            <w:hyperlink w:anchor="page5">
              <w:r>
                <w:rPr>
                  <w:rFonts w:ascii="Arial" w:cs="Arial" w:eastAsia="Arial" w:hAnsi="Arial"/>
                  <w:sz w:val="16"/>
                  <w:szCs w:val="16"/>
                  <w:color w:val="0000FF"/>
                  <w:w w:val="99"/>
                </w:rPr>
                <w:t>Financial Statements (Unaudited)</w:t>
              </w:r>
            </w:hyperlink>
          </w:p>
        </w:tc>
        <w:tc>
          <w:tcPr>
            <w:tcW w:w="6200" w:type="dxa"/>
            <w:vAlign w:val="bottom"/>
            <w:gridSpan w:val="10"/>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20" w:type="dxa"/>
            <w:vAlign w:val="bottom"/>
            <w:tcBorders>
              <w:bottom w:val="single" w:sz="8" w:color="0000FF"/>
            </w:tcBorders>
            <w:gridSpan w:val="17"/>
          </w:tcPr>
          <w:p>
            <w:pPr>
              <w:spacing w:after="0"/>
              <w:rPr>
                <w:rFonts w:ascii="Arial" w:cs="Arial" w:eastAsia="Arial" w:hAnsi="Arial"/>
                <w:sz w:val="16"/>
                <w:szCs w:val="16"/>
                <w:color w:val="0000FF"/>
                <w:w w:val="99"/>
              </w:rPr>
            </w:pPr>
            <w:hyperlink w:anchor="page5">
              <w:r>
                <w:rPr>
                  <w:rFonts w:ascii="Arial" w:cs="Arial" w:eastAsia="Arial" w:hAnsi="Arial"/>
                  <w:sz w:val="16"/>
                  <w:szCs w:val="16"/>
                  <w:color w:val="0000FF"/>
                  <w:w w:val="99"/>
                </w:rPr>
                <w:t>Condensed Consolidated Balance Sheets as of September 30, 2021 and December 31, 2020</w:t>
              </w:r>
            </w:hyperlink>
          </w:p>
        </w:tc>
        <w:tc>
          <w:tcPr>
            <w:tcW w:w="1960" w:type="dxa"/>
            <w:vAlign w:val="bottom"/>
            <w:gridSpan w:val="4"/>
          </w:tcPr>
          <w:p>
            <w:pPr>
              <w:spacing w:after="0"/>
              <w:rPr>
                <w:sz w:val="16"/>
                <w:szCs w:val="16"/>
                <w:color w:val="auto"/>
              </w:rPr>
            </w:pPr>
          </w:p>
        </w:tc>
        <w:tc>
          <w:tcPr>
            <w:tcW w:w="136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gridSpan w:val="21"/>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Operations for the Three and Nine Months Ended September 30, 2021 and</w:t>
              </w:r>
            </w:hyperlink>
          </w:p>
        </w:tc>
        <w:tc>
          <w:tcPr>
            <w:tcW w:w="1360" w:type="dxa"/>
            <w:vAlign w:val="bottom"/>
            <w:gridSpan w:val="2"/>
            <w:vMerge w:val="restart"/>
          </w:tcPr>
          <w:p>
            <w:pPr>
              <w:spacing w:after="0"/>
              <w:rPr>
                <w:sz w:val="16"/>
                <w:szCs w:val="16"/>
                <w:color w:val="auto"/>
              </w:rPr>
            </w:pPr>
          </w:p>
        </w:tc>
        <w:tc>
          <w:tcPr>
            <w:tcW w:w="100" w:type="dxa"/>
            <w:vAlign w:val="bottom"/>
            <w:vMerge w:val="restart"/>
          </w:tcPr>
          <w:p>
            <w:pPr>
              <w:jc w:val="right"/>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top w:val="single" w:sz="8" w:color="0000FF"/>
              <w:bottom w:val="single" w:sz="8" w:color="0000FF"/>
            </w:tcBorders>
          </w:tcPr>
          <w:p>
            <w:pPr>
              <w:spacing w:after="0" w:line="136" w:lineRule="exact"/>
              <w:rPr>
                <w:rFonts w:ascii="Arial" w:cs="Arial" w:eastAsia="Arial" w:hAnsi="Arial"/>
                <w:sz w:val="15"/>
                <w:szCs w:val="15"/>
                <w:color w:val="0000FF"/>
              </w:rPr>
            </w:pPr>
            <w:hyperlink w:anchor="page5">
              <w:r>
                <w:rPr>
                  <w:rFonts w:ascii="Arial" w:cs="Arial" w:eastAsia="Arial" w:hAnsi="Arial"/>
                  <w:sz w:val="15"/>
                  <w:szCs w:val="15"/>
                  <w:color w:val="0000FF"/>
                </w:rPr>
                <w:t>2020</w:t>
              </w:r>
            </w:hyperlink>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6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26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Borders>
              <w:bottom w:val="single" w:sz="8" w:color="0000FF"/>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gridSpan w:val="21"/>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Comprehensive Loss for the Three and Nine Months Ended September 30,</w:t>
              </w:r>
            </w:hyperlink>
          </w:p>
        </w:tc>
        <w:tc>
          <w:tcPr>
            <w:tcW w:w="1460" w:type="dxa"/>
            <w:vAlign w:val="bottom"/>
            <w:gridSpan w:val="3"/>
            <w:vMerge w:val="restart"/>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0" w:type="dxa"/>
            <w:vAlign w:val="bottom"/>
            <w:tcBorders>
              <w:top w:val="single" w:sz="8" w:color="0000FF"/>
            </w:tcBorders>
            <w:gridSpan w:val="19"/>
          </w:tcPr>
          <w:p>
            <w:pPr>
              <w:spacing w:after="0" w:line="136" w:lineRule="exact"/>
              <w:rPr>
                <w:rFonts w:ascii="Arial" w:cs="Arial" w:eastAsia="Arial" w:hAnsi="Arial"/>
                <w:sz w:val="15"/>
                <w:szCs w:val="15"/>
                <w:color w:val="0000FF"/>
              </w:rPr>
            </w:pPr>
            <w:hyperlink w:anchor="page6">
              <w:r>
                <w:rPr>
                  <w:rFonts w:ascii="Arial" w:cs="Arial" w:eastAsia="Arial" w:hAnsi="Arial"/>
                  <w:sz w:val="15"/>
                  <w:szCs w:val="15"/>
                  <w:color w:val="0000FF"/>
                </w:rPr>
                <w:t>2021 and 2020</w:t>
              </w:r>
            </w:hyperlink>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gridSpan w:val="21"/>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Redeemable Convertible Preferred Stock and Stockholders’ Equity (Deficit) for</w:t>
              </w:r>
            </w:hyperlink>
          </w:p>
        </w:tc>
        <w:tc>
          <w:tcPr>
            <w:tcW w:w="1360" w:type="dxa"/>
            <w:vAlign w:val="bottom"/>
            <w:gridSpan w:val="2"/>
            <w:vMerge w:val="restart"/>
          </w:tcPr>
          <w:p>
            <w:pPr>
              <w:spacing w:after="0"/>
              <w:rPr>
                <w:sz w:val="16"/>
                <w:szCs w:val="16"/>
                <w:color w:val="auto"/>
              </w:rPr>
            </w:pPr>
          </w:p>
        </w:tc>
        <w:tc>
          <w:tcPr>
            <w:tcW w:w="100" w:type="dxa"/>
            <w:vAlign w:val="bottom"/>
            <w:vMerge w:val="restart"/>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60" w:type="dxa"/>
            <w:vAlign w:val="bottom"/>
            <w:tcBorders>
              <w:top w:val="single" w:sz="8" w:color="0000FF"/>
              <w:bottom w:val="single" w:sz="8" w:color="0000FF"/>
            </w:tcBorders>
            <w:gridSpan w:val="15"/>
          </w:tcPr>
          <w:p>
            <w:pPr>
              <w:spacing w:after="0" w:line="136" w:lineRule="exact"/>
              <w:rPr>
                <w:rFonts w:ascii="Arial" w:cs="Arial" w:eastAsia="Arial" w:hAnsi="Arial"/>
                <w:sz w:val="15"/>
                <w:szCs w:val="15"/>
                <w:color w:val="0000FF"/>
              </w:rPr>
            </w:pPr>
            <w:hyperlink w:anchor="page7">
              <w:r>
                <w:rPr>
                  <w:rFonts w:ascii="Arial" w:cs="Arial" w:eastAsia="Arial" w:hAnsi="Arial"/>
                  <w:sz w:val="15"/>
                  <w:szCs w:val="15"/>
                  <w:color w:val="0000FF"/>
                </w:rPr>
                <w:t>the Three and Nine Months Ended September 30, 2021 and 2020</w:t>
              </w:r>
            </w:hyperlink>
          </w:p>
        </w:tc>
        <w:tc>
          <w:tcPr>
            <w:tcW w:w="3780" w:type="dxa"/>
            <w:vAlign w:val="bottom"/>
            <w:tcBorders>
              <w:top w:val="single" w:sz="8" w:color="0000FF"/>
            </w:tcBorders>
            <w:gridSpan w:val="5"/>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0" w:type="dxa"/>
            <w:vAlign w:val="bottom"/>
            <w:tcBorders>
              <w:bottom w:val="single" w:sz="8" w:color="0000FF"/>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Borders>
              <w:bottom w:val="single" w:sz="8" w:color="0000FF"/>
            </w:tcBorders>
            <w:gridSpan w:val="18"/>
          </w:tcPr>
          <w:p>
            <w:pPr>
              <w:spacing w:after="0"/>
              <w:rPr>
                <w:rFonts w:ascii="Arial" w:cs="Arial" w:eastAsia="Arial" w:hAnsi="Arial"/>
                <w:sz w:val="16"/>
                <w:szCs w:val="16"/>
                <w:color w:val="0000FF"/>
                <w:w w:val="99"/>
              </w:rPr>
            </w:pPr>
            <w:hyperlink w:anchor="page9">
              <w:r>
                <w:rPr>
                  <w:rFonts w:ascii="Arial" w:cs="Arial" w:eastAsia="Arial" w:hAnsi="Arial"/>
                  <w:sz w:val="16"/>
                  <w:szCs w:val="16"/>
                  <w:color w:val="0000FF"/>
                  <w:w w:val="99"/>
                </w:rPr>
                <w:t>Condensed Consolidated Statements of Cash Flows for the Nine Months Ended September 30, 2021 and 2020</w:t>
              </w:r>
            </w:hyperlink>
          </w:p>
        </w:tc>
        <w:tc>
          <w:tcPr>
            <w:tcW w:w="700" w:type="dxa"/>
            <w:vAlign w:val="bottom"/>
            <w:gridSpan w:val="3"/>
          </w:tcPr>
          <w:p>
            <w:pPr>
              <w:spacing w:after="0"/>
              <w:rPr>
                <w:sz w:val="16"/>
                <w:szCs w:val="16"/>
                <w:color w:val="auto"/>
              </w:rPr>
            </w:pPr>
          </w:p>
        </w:tc>
        <w:tc>
          <w:tcPr>
            <w:tcW w:w="136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
              <w:r>
                <w:rPr>
                  <w:rFonts w:ascii="Arial" w:cs="Arial" w:eastAsia="Arial" w:hAnsi="Arial"/>
                  <w:sz w:val="16"/>
                  <w:szCs w:val="16"/>
                  <w:color w:val="0000FF"/>
                  <w:w w:val="89"/>
                </w:rPr>
                <w:t>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gridSpan w:val="21"/>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1460" w:type="dxa"/>
            <w:vAlign w:val="bottom"/>
            <w:gridSpan w:val="3"/>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7</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580" w:type="dxa"/>
            <w:vAlign w:val="bottom"/>
            <w:gridSpan w:val="21"/>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Management’s Discussion and Analysis of Financial Condition and Results of Operations</w:t>
              </w:r>
            </w:hyperlink>
          </w:p>
        </w:tc>
        <w:tc>
          <w:tcPr>
            <w:tcW w:w="1460" w:type="dxa"/>
            <w:vAlign w:val="bottom"/>
            <w:gridSpan w:val="3"/>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0" w:type="dxa"/>
            <w:vAlign w:val="bottom"/>
            <w:gridSpan w:val="13"/>
          </w:tcPr>
          <w:p>
            <w:pPr>
              <w:spacing w:after="0"/>
              <w:rPr>
                <w:rFonts w:ascii="Arial" w:cs="Arial" w:eastAsia="Arial" w:hAnsi="Arial"/>
                <w:sz w:val="16"/>
                <w:szCs w:val="16"/>
                <w:color w:val="0000FF"/>
                <w:w w:val="99"/>
              </w:rPr>
            </w:pPr>
            <w:hyperlink w:anchor="page32">
              <w:r>
                <w:rPr>
                  <w:rFonts w:ascii="Arial" w:cs="Arial" w:eastAsia="Arial" w:hAnsi="Arial"/>
                  <w:sz w:val="16"/>
                  <w:szCs w:val="16"/>
                  <w:color w:val="0000FF"/>
                  <w:w w:val="99"/>
                </w:rPr>
                <w:t>Quantitative and Qualitative Disclosures About Market Risk</w:t>
              </w:r>
            </w:hyperlink>
          </w:p>
        </w:tc>
        <w:tc>
          <w:tcPr>
            <w:tcW w:w="2100" w:type="dxa"/>
            <w:vAlign w:val="bottom"/>
            <w:gridSpan w:val="3"/>
          </w:tcPr>
          <w:p>
            <w:pPr>
              <w:spacing w:after="0"/>
              <w:rPr>
                <w:sz w:val="16"/>
                <w:szCs w:val="16"/>
                <w:color w:val="auto"/>
              </w:rPr>
            </w:pPr>
          </w:p>
        </w:tc>
        <w:tc>
          <w:tcPr>
            <w:tcW w:w="2280" w:type="dxa"/>
            <w:vAlign w:val="bottom"/>
            <w:gridSpan w:val="5"/>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28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8"/>
          </w:tcPr>
          <w:p>
            <w:pPr>
              <w:spacing w:after="0"/>
              <w:rPr>
                <w:rFonts w:ascii="Arial" w:cs="Arial" w:eastAsia="Arial" w:hAnsi="Arial"/>
                <w:sz w:val="16"/>
                <w:szCs w:val="16"/>
                <w:color w:val="0000FF"/>
                <w:w w:val="94"/>
              </w:rPr>
            </w:pPr>
            <w:hyperlink w:anchor="page32">
              <w:r>
                <w:rPr>
                  <w:rFonts w:ascii="Arial" w:cs="Arial" w:eastAsia="Arial" w:hAnsi="Arial"/>
                  <w:sz w:val="16"/>
                  <w:szCs w:val="16"/>
                  <w:color w:val="0000FF"/>
                  <w:w w:val="94"/>
                </w:rPr>
                <w:t>Controls and Procedures</w:t>
              </w:r>
            </w:hyperlink>
          </w:p>
        </w:tc>
        <w:tc>
          <w:tcPr>
            <w:tcW w:w="2480" w:type="dxa"/>
            <w:vAlign w:val="bottom"/>
            <w:gridSpan w:val="5"/>
          </w:tcPr>
          <w:p>
            <w:pPr>
              <w:spacing w:after="0"/>
              <w:rPr>
                <w:sz w:val="16"/>
                <w:szCs w:val="16"/>
                <w:color w:val="auto"/>
              </w:rPr>
            </w:pPr>
          </w:p>
        </w:tc>
        <w:tc>
          <w:tcPr>
            <w:tcW w:w="4380" w:type="dxa"/>
            <w:vAlign w:val="bottom"/>
            <w:gridSpan w:val="8"/>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28</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PART II.</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8"/>
          </w:tcPr>
          <w:p>
            <w:pPr>
              <w:spacing w:after="0"/>
              <w:rPr>
                <w:rFonts w:ascii="Arial" w:cs="Arial" w:eastAsia="Arial" w:hAnsi="Arial"/>
                <w:sz w:val="16"/>
                <w:szCs w:val="16"/>
                <w:color w:val="0000FF"/>
                <w:w w:val="97"/>
              </w:rPr>
            </w:pPr>
            <w:hyperlink w:anchor="page33">
              <w:r>
                <w:rPr>
                  <w:rFonts w:ascii="Arial" w:cs="Arial" w:eastAsia="Arial" w:hAnsi="Arial"/>
                  <w:sz w:val="16"/>
                  <w:szCs w:val="16"/>
                  <w:color w:val="0000FF"/>
                  <w:w w:val="97"/>
                </w:rPr>
                <w:t>OTHER INFORMATION</w:t>
              </w:r>
            </w:hyperlink>
          </w:p>
        </w:tc>
        <w:tc>
          <w:tcPr>
            <w:tcW w:w="6860" w:type="dxa"/>
            <w:vAlign w:val="bottom"/>
            <w:gridSpan w:val="13"/>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6860" w:type="dxa"/>
            <w:vAlign w:val="bottom"/>
            <w:gridSpan w:val="13"/>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7"/>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7260" w:type="dxa"/>
            <w:vAlign w:val="bottom"/>
            <w:gridSpan w:val="14"/>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30</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20" w:type="dxa"/>
            <w:vAlign w:val="bottom"/>
            <w:gridSpan w:val="14"/>
          </w:tcPr>
          <w:p>
            <w:pPr>
              <w:spacing w:after="0"/>
              <w:rPr>
                <w:rFonts w:ascii="Arial" w:cs="Arial" w:eastAsia="Arial" w:hAnsi="Arial"/>
                <w:sz w:val="16"/>
                <w:szCs w:val="16"/>
                <w:color w:val="0000FF"/>
                <w:w w:val="99"/>
              </w:rPr>
            </w:pPr>
            <w:hyperlink w:anchor="page36">
              <w:r>
                <w:rPr>
                  <w:rFonts w:ascii="Arial" w:cs="Arial" w:eastAsia="Arial" w:hAnsi="Arial"/>
                  <w:sz w:val="16"/>
                  <w:szCs w:val="16"/>
                  <w:color w:val="0000FF"/>
                  <w:w w:val="99"/>
                </w:rPr>
                <w:t>Unregistered Sales of Equity Securities and Use of Proceeds</w:t>
              </w:r>
            </w:hyperlink>
          </w:p>
        </w:tc>
        <w:tc>
          <w:tcPr>
            <w:tcW w:w="4260" w:type="dxa"/>
            <w:vAlign w:val="bottom"/>
            <w:gridSpan w:val="7"/>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10"/>
          </w:tcPr>
          <w:p>
            <w:pPr>
              <w:spacing w:after="0"/>
              <w:rPr>
                <w:rFonts w:ascii="Arial" w:cs="Arial" w:eastAsia="Arial" w:hAnsi="Arial"/>
                <w:sz w:val="16"/>
                <w:szCs w:val="16"/>
                <w:color w:val="0000FF"/>
                <w:w w:val="99"/>
              </w:rPr>
            </w:pPr>
            <w:hyperlink w:anchor="page36">
              <w:r>
                <w:rPr>
                  <w:rFonts w:ascii="Arial" w:cs="Arial" w:eastAsia="Arial" w:hAnsi="Arial"/>
                  <w:sz w:val="16"/>
                  <w:szCs w:val="16"/>
                  <w:color w:val="0000FF"/>
                  <w:w w:val="99"/>
                </w:rPr>
                <w:t>Defaults Upon Senior Securities</w:t>
              </w:r>
            </w:hyperlink>
          </w:p>
        </w:tc>
        <w:tc>
          <w:tcPr>
            <w:tcW w:w="2040" w:type="dxa"/>
            <w:vAlign w:val="bottom"/>
            <w:gridSpan w:val="4"/>
          </w:tcPr>
          <w:p>
            <w:pPr>
              <w:spacing w:after="0"/>
              <w:rPr>
                <w:sz w:val="16"/>
                <w:szCs w:val="16"/>
                <w:color w:val="auto"/>
              </w:rPr>
            </w:pPr>
          </w:p>
        </w:tc>
        <w:tc>
          <w:tcPr>
            <w:tcW w:w="4260" w:type="dxa"/>
            <w:vAlign w:val="bottom"/>
            <w:gridSpan w:val="7"/>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8"/>
          </w:tcPr>
          <w:p>
            <w:pPr>
              <w:spacing w:after="0"/>
              <w:rPr>
                <w:rFonts w:ascii="Arial" w:cs="Arial" w:eastAsia="Arial" w:hAnsi="Arial"/>
                <w:sz w:val="16"/>
                <w:szCs w:val="16"/>
                <w:color w:val="0000FF"/>
                <w:w w:val="97"/>
              </w:rPr>
            </w:pPr>
            <w:hyperlink w:anchor="page37">
              <w:r>
                <w:rPr>
                  <w:rFonts w:ascii="Arial" w:cs="Arial" w:eastAsia="Arial" w:hAnsi="Arial"/>
                  <w:sz w:val="16"/>
                  <w:szCs w:val="16"/>
                  <w:color w:val="0000FF"/>
                  <w:w w:val="97"/>
                </w:rPr>
                <w:t>Mine Safety Disclosures</w:t>
              </w:r>
            </w:hyperlink>
          </w:p>
        </w:tc>
        <w:tc>
          <w:tcPr>
            <w:tcW w:w="560" w:type="dxa"/>
            <w:vAlign w:val="bottom"/>
            <w:gridSpan w:val="2"/>
          </w:tcPr>
          <w:p>
            <w:pPr>
              <w:spacing w:after="0"/>
              <w:rPr>
                <w:sz w:val="16"/>
                <w:szCs w:val="16"/>
                <w:color w:val="auto"/>
              </w:rPr>
            </w:pPr>
          </w:p>
        </w:tc>
        <w:tc>
          <w:tcPr>
            <w:tcW w:w="6300" w:type="dxa"/>
            <w:vAlign w:val="bottom"/>
            <w:gridSpan w:val="11"/>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8"/>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Other Information</w:t>
              </w:r>
            </w:hyperlink>
          </w:p>
        </w:tc>
        <w:tc>
          <w:tcPr>
            <w:tcW w:w="6860" w:type="dxa"/>
            <w:vAlign w:val="bottom"/>
            <w:gridSpan w:val="13"/>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ind w:left="20"/>
              <w:spacing w:after="0"/>
              <w:rPr>
                <w:sz w:val="20"/>
                <w:szCs w:val="20"/>
                <w:color w:val="auto"/>
              </w:rPr>
            </w:pPr>
            <w:r>
              <w:rPr>
                <w:rFonts w:ascii="Arial" w:cs="Arial" w:eastAsia="Arial" w:hAnsi="Arial"/>
                <w:sz w:val="16"/>
                <w:szCs w:val="16"/>
                <w:color w:val="auto"/>
              </w:rPr>
              <w:t>Item 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gridSpan w:val="3"/>
          </w:tcPr>
          <w:p>
            <w:pPr>
              <w:spacing w:after="0"/>
              <w:rPr>
                <w:rFonts w:ascii="Arial" w:cs="Arial" w:eastAsia="Arial" w:hAnsi="Arial"/>
                <w:sz w:val="16"/>
                <w:szCs w:val="16"/>
                <w:color w:val="0000FF"/>
                <w:w w:val="96"/>
              </w:rPr>
            </w:pPr>
            <w:hyperlink w:anchor="page37">
              <w:r>
                <w:rPr>
                  <w:rFonts w:ascii="Arial" w:cs="Arial" w:eastAsia="Arial" w:hAnsi="Arial"/>
                  <w:sz w:val="16"/>
                  <w:szCs w:val="16"/>
                  <w:color w:val="0000FF"/>
                  <w:w w:val="96"/>
                </w:rPr>
                <w:t>Exhibits</w:t>
              </w:r>
            </w:hyperlink>
          </w:p>
        </w:tc>
        <w:tc>
          <w:tcPr>
            <w:tcW w:w="680" w:type="dxa"/>
            <w:vAlign w:val="bottom"/>
            <w:gridSpan w:val="3"/>
          </w:tcPr>
          <w:p>
            <w:pPr>
              <w:spacing w:after="0"/>
              <w:rPr>
                <w:sz w:val="16"/>
                <w:szCs w:val="16"/>
                <w:color w:val="auto"/>
              </w:rPr>
            </w:pPr>
          </w:p>
        </w:tc>
        <w:tc>
          <w:tcPr>
            <w:tcW w:w="7340" w:type="dxa"/>
            <w:vAlign w:val="bottom"/>
            <w:gridSpan w:val="15"/>
          </w:tcPr>
          <w:p>
            <w:pPr>
              <w:spacing w:after="0"/>
              <w:rPr>
                <w:sz w:val="16"/>
                <w:szCs w:val="16"/>
                <w:color w:val="auto"/>
              </w:rPr>
            </w:pPr>
          </w:p>
        </w:tc>
        <w:tc>
          <w:tcPr>
            <w:tcW w:w="1460" w:type="dxa"/>
            <w:vAlign w:val="bottom"/>
            <w:gridSpan w:val="3"/>
          </w:tcPr>
          <w:p>
            <w:pPr>
              <w:jc w:val="right"/>
              <w:spacing w:after="0"/>
              <w:rPr>
                <w:rFonts w:ascii="Arial" w:cs="Arial" w:eastAsia="Arial" w:hAnsi="Arial"/>
                <w:sz w:val="16"/>
                <w:szCs w:val="16"/>
                <w:color w:val="0000FF"/>
              </w:rPr>
            </w:pPr>
            <w:hyperlink w:anchor="page37">
              <w:r>
                <w:rPr>
                  <w:rFonts w:ascii="Arial" w:cs="Arial" w:eastAsia="Arial" w:hAnsi="Arial"/>
                  <w:sz w:val="16"/>
                  <w:szCs w:val="16"/>
                  <w:color w:val="0000FF"/>
                </w:rPr>
                <w:t>34</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20" w:type="dxa"/>
            <w:vAlign w:val="bottom"/>
            <w:gridSpan w:val="1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0" w:type="dxa"/>
            <w:vAlign w:val="bottom"/>
          </w:tcPr>
          <w:p>
            <w:pPr>
              <w:spacing w:after="0"/>
              <w:rPr>
                <w:sz w:val="16"/>
                <w:szCs w:val="16"/>
                <w:color w:val="auto"/>
              </w:rPr>
            </w:pPr>
          </w:p>
        </w:tc>
        <w:tc>
          <w:tcPr>
            <w:tcW w:w="9020" w:type="dxa"/>
            <w:vAlign w:val="bottom"/>
            <w:gridSpan w:val="23"/>
          </w:tcPr>
          <w:p>
            <w:pPr>
              <w:ind w:left="120"/>
              <w:spacing w:after="0"/>
              <w:rPr>
                <w:rFonts w:ascii="Arial" w:cs="Arial" w:eastAsia="Arial" w:hAnsi="Arial"/>
                <w:sz w:val="16"/>
                <w:szCs w:val="16"/>
                <w:color w:val="0000FF"/>
              </w:rPr>
            </w:pPr>
            <w:hyperlink w:anchor="page38">
              <w:r>
                <w:rPr>
                  <w:rFonts w:ascii="Arial" w:cs="Arial" w:eastAsia="Arial" w:hAnsi="Arial"/>
                  <w:sz w:val="16"/>
                  <w:szCs w:val="16"/>
                  <w:color w:val="0000FF"/>
                </w:rPr>
                <w:t>Signatures</w:t>
              </w:r>
            </w:hyperlink>
          </w:p>
        </w:tc>
        <w:tc>
          <w:tcPr>
            <w:tcW w:w="1460" w:type="dxa"/>
            <w:vAlign w:val="bottom"/>
            <w:gridSpan w:val="3"/>
          </w:tcPr>
          <w:p>
            <w:pPr>
              <w:jc w:val="right"/>
              <w:spacing w:after="0"/>
              <w:rPr>
                <w:rFonts w:ascii="Arial" w:cs="Arial" w:eastAsia="Arial" w:hAnsi="Arial"/>
                <w:sz w:val="16"/>
                <w:szCs w:val="16"/>
                <w:color w:val="0000FF"/>
              </w:rPr>
            </w:pPr>
            <w:hyperlink w:anchor="page38">
              <w:r>
                <w:rPr>
                  <w:rFonts w:ascii="Arial" w:cs="Arial" w:eastAsia="Arial" w:hAnsi="Arial"/>
                  <w:sz w:val="16"/>
                  <w:szCs w:val="16"/>
                  <w:color w:val="0000FF"/>
                </w:rPr>
                <w:t>35</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4"/>
        </w:trPr>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PRAXIS PRECISION MEDICINES, INC.</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2020</w:t>
            </w:r>
          </w:p>
        </w:tc>
      </w:tr>
      <w:tr>
        <w:trPr>
          <w:trHeight w:val="175"/>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165,679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296,608</w:t>
            </w:r>
          </w:p>
        </w:tc>
      </w:tr>
      <w:tr>
        <w:trPr>
          <w:trHeight w:val="189"/>
        </w:trPr>
        <w:tc>
          <w:tcPr>
            <w:tcW w:w="806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5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148,691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5,718</w:t>
            </w:r>
          </w:p>
        </w:tc>
      </w:tr>
      <w:tr>
        <w:trPr>
          <w:trHeight w:val="184"/>
        </w:trPr>
        <w:tc>
          <w:tcPr>
            <w:tcW w:w="806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5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319,339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302,326</w:t>
            </w:r>
          </w:p>
        </w:tc>
      </w:tr>
      <w:tr>
        <w:trPr>
          <w:trHeight w:val="19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5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754</w:t>
            </w:r>
          </w:p>
        </w:tc>
      </w:tr>
      <w:tr>
        <w:trPr>
          <w:trHeight w:val="19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r>
      <w:tr>
        <w:trPr>
          <w:trHeight w:val="187"/>
        </w:trPr>
        <w:tc>
          <w:tcPr>
            <w:tcW w:w="8060" w:type="dxa"/>
            <w:vAlign w:val="bottom"/>
          </w:tcPr>
          <w:p>
            <w:pPr>
              <w:ind w:left="400"/>
              <w:spacing w:after="0"/>
              <w:rPr>
                <w:sz w:val="20"/>
                <w:szCs w:val="20"/>
                <w:color w:val="auto"/>
              </w:rPr>
            </w:pPr>
            <w:r>
              <w:rPr>
                <w:rFonts w:ascii="Arial" w:cs="Arial" w:eastAsia="Arial" w:hAnsi="Arial"/>
                <w:sz w:val="14"/>
                <w:szCs w:val="14"/>
                <w:color w:val="auto"/>
              </w:rPr>
              <w:t>Total assets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324,408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303,177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6"/>
        </w:trPr>
        <w:tc>
          <w:tcPr>
            <w:tcW w:w="80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stockholders’ equity</w:t>
            </w: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7,544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4,088</w:t>
            </w:r>
          </w:p>
        </w:tc>
      </w:tr>
      <w:tr>
        <w:trPr>
          <w:trHeight w:val="189"/>
        </w:trPr>
        <w:tc>
          <w:tcPr>
            <w:tcW w:w="806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5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10,869</w:t>
            </w:r>
          </w:p>
        </w:tc>
      </w:tr>
      <w:tr>
        <w:trPr>
          <w:trHeight w:val="192"/>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liabilities</w:t>
            </w: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681</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r>
      <w:tr>
        <w:trPr>
          <w:trHeight w:val="184"/>
        </w:trPr>
        <w:tc>
          <w:tcPr>
            <w:tcW w:w="806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24,754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15,720</w:t>
            </w:r>
          </w:p>
        </w:tc>
      </w:tr>
      <w:tr>
        <w:trPr>
          <w:trHeight w:val="17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9"/>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Non-current portion of operating lease liabilities</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7"/>
        </w:trPr>
        <w:tc>
          <w:tcPr>
            <w:tcW w:w="80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liabilities</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15,720</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Commitments and contingencies (Note 6)</w:t>
            </w: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5"/>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58"/>
        </w:trPr>
        <w:tc>
          <w:tcPr>
            <w:tcW w:w="8060" w:type="dxa"/>
            <w:vAlign w:val="bottom"/>
          </w:tcPr>
          <w:p>
            <w:pPr>
              <w:ind w:left="200"/>
              <w:spacing w:after="0" w:line="158" w:lineRule="exact"/>
              <w:rPr>
                <w:sz w:val="20"/>
                <w:szCs w:val="20"/>
                <w:color w:val="auto"/>
              </w:rPr>
            </w:pPr>
            <w:r>
              <w:rPr>
                <w:rFonts w:ascii="Arial" w:cs="Arial" w:eastAsia="Arial" w:hAnsi="Arial"/>
                <w:sz w:val="14"/>
                <w:szCs w:val="14"/>
                <w:color w:val="auto"/>
              </w:rPr>
              <w:t>Preferred stock, $0.0001 par value; 10,000,000 shares authorized and no shares issued or outstanding as of September</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6"/>
        </w:trPr>
        <w:tc>
          <w:tcPr>
            <w:tcW w:w="8060" w:type="dxa"/>
            <w:vAlign w:val="bottom"/>
          </w:tcPr>
          <w:p>
            <w:pPr>
              <w:ind w:left="200"/>
              <w:spacing w:after="0"/>
              <w:rPr>
                <w:sz w:val="20"/>
                <w:szCs w:val="20"/>
                <w:color w:val="auto"/>
              </w:rPr>
            </w:pPr>
            <w:r>
              <w:rPr>
                <w:rFonts w:ascii="Arial" w:cs="Arial" w:eastAsia="Arial" w:hAnsi="Arial"/>
                <w:sz w:val="14"/>
                <w:szCs w:val="14"/>
                <w:color w:val="auto"/>
              </w:rPr>
              <w:t>30, 2021 and December 31, 2020</w:t>
            </w:r>
          </w:p>
        </w:tc>
        <w:tc>
          <w:tcPr>
            <w:tcW w:w="5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1"/>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stock, $0.0001 par value; 150,000,000 shares authorized; 44,784,071 shares issued and outstanding as of</w:t>
            </w: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9"/>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September 30, 2021, and 38,268,543 shares issued and outstanding as of December 31, 2020</w:t>
            </w: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9"/>
        </w:trPr>
        <w:tc>
          <w:tcPr>
            <w:tcW w:w="806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553,975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437,007</w:t>
            </w:r>
          </w:p>
        </w:tc>
      </w:tr>
      <w:tr>
        <w:trPr>
          <w:trHeight w:val="195"/>
        </w:trPr>
        <w:tc>
          <w:tcPr>
            <w:tcW w:w="8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Accumulated other comprehensive loss</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Accumulated deficit</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(258,033)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(149,554)</w:t>
            </w:r>
          </w:p>
        </w:tc>
      </w:tr>
      <w:tr>
        <w:trPr>
          <w:trHeight w:val="184"/>
        </w:trPr>
        <w:tc>
          <w:tcPr>
            <w:tcW w:w="80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stockholders’ equity</w:t>
            </w: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295,922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287,457</w:t>
            </w:r>
          </w:p>
        </w:tc>
      </w:tr>
      <w:tr>
        <w:trPr>
          <w:trHeight w:val="187"/>
        </w:trPr>
        <w:tc>
          <w:tcPr>
            <w:tcW w:w="8060" w:type="dxa"/>
            <w:vAlign w:val="bottom"/>
          </w:tcPr>
          <w:p>
            <w:pPr>
              <w:ind w:left="400"/>
              <w:spacing w:after="0"/>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324,408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303,177</w:t>
            </w:r>
          </w:p>
        </w:tc>
      </w:tr>
      <w:tr>
        <w:trPr>
          <w:trHeight w:val="20"/>
        </w:trPr>
        <w:tc>
          <w:tcPr>
            <w:tcW w:w="8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3"/>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33,139</w:t>
            </w:r>
          </w:p>
        </w:tc>
        <w:tc>
          <w:tcPr>
            <w:tcW w:w="8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12,786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76,746</w:t>
            </w:r>
          </w:p>
        </w:tc>
        <w:tc>
          <w:tcPr>
            <w:tcW w:w="8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28,704</w:t>
            </w: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31,929</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7,552</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108,675</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36,256</w:t>
            </w:r>
          </w:p>
        </w:tc>
        <w:tc>
          <w:tcPr>
            <w:tcW w:w="0" w:type="dxa"/>
            <w:vAlign w:val="bottom"/>
          </w:tcPr>
          <w:p>
            <w:pPr>
              <w:spacing w:after="0"/>
              <w:rPr>
                <w:sz w:val="1"/>
                <w:szCs w:val="1"/>
                <w:color w:val="auto"/>
              </w:rPr>
            </w:pPr>
          </w:p>
        </w:tc>
      </w:tr>
      <w:tr>
        <w:trPr>
          <w:trHeight w:val="18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(108,675)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(36,256)</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 net</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other income</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(108,474)</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(44,705)</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(108,479)</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(36,114)</w:t>
            </w:r>
          </w:p>
        </w:tc>
        <w:tc>
          <w:tcPr>
            <w:tcW w:w="0" w:type="dxa"/>
            <w:vAlign w:val="bottom"/>
          </w:tcPr>
          <w:p>
            <w:pPr>
              <w:spacing w:after="0"/>
              <w:rPr>
                <w:sz w:val="1"/>
                <w:szCs w:val="1"/>
                <w:color w:val="auto"/>
              </w:rPr>
            </w:pPr>
          </w:p>
        </w:tc>
      </w:tr>
      <w:tr>
        <w:trPr>
          <w:trHeight w:val="138"/>
        </w:trPr>
        <w:tc>
          <w:tcPr>
            <w:tcW w:w="4400" w:type="dxa"/>
            <w:vAlign w:val="bottom"/>
          </w:tcPr>
          <w:p>
            <w:pPr>
              <w:ind w:left="200"/>
              <w:spacing w:after="0" w:line="138" w:lineRule="exact"/>
              <w:rPr>
                <w:sz w:val="20"/>
                <w:szCs w:val="20"/>
                <w:color w:val="auto"/>
              </w:rPr>
            </w:pPr>
            <w:r>
              <w:rPr>
                <w:rFonts w:ascii="Arial" w:cs="Arial" w:eastAsia="Arial" w:hAnsi="Arial"/>
                <w:sz w:val="14"/>
                <w:szCs w:val="14"/>
                <w:color w:val="auto"/>
              </w:rPr>
              <w:t>Accretion and cumulative dividends on redeemable convertible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38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(8,046)</w:t>
            </w:r>
          </w:p>
        </w:tc>
        <w:tc>
          <w:tcPr>
            <w:tcW w:w="0" w:type="dxa"/>
            <w:vAlign w:val="bottom"/>
          </w:tcPr>
          <w:p>
            <w:pPr>
              <w:spacing w:after="0"/>
              <w:rPr>
                <w:sz w:val="1"/>
                <w:szCs w:val="1"/>
                <w:color w:val="auto"/>
              </w:rPr>
            </w:pPr>
          </w:p>
        </w:tc>
      </w:tr>
      <w:tr>
        <w:trPr>
          <w:trHeight w:val="192"/>
        </w:trPr>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repurchase of redeemable convertible preferred stock</w:t>
            </w: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7"/>
        </w:trPr>
        <w:tc>
          <w:tcPr>
            <w:tcW w:w="440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(44,705)</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(108,479)</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(43,667)</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40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color w:val="auto"/>
              </w:rPr>
              <w:t>Net loss per share attributable to common stockholders, basic and</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175"/>
        </w:trPr>
        <w:tc>
          <w:tcPr>
            <w:tcW w:w="44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basic and diluted</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44,714,941</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1,665,902</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41,608,017</w:t>
            </w: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1,645,982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r>
      <w:tr>
        <w:trPr>
          <w:trHeight w:val="191"/>
        </w:trPr>
        <w:tc>
          <w:tcPr>
            <w:tcW w:w="44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84"/>
        </w:trPr>
        <w:tc>
          <w:tcPr>
            <w:tcW w:w="44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2020</w:t>
            </w:r>
          </w:p>
        </w:tc>
      </w:tr>
      <w:tr>
        <w:trPr>
          <w:trHeight w:val="185"/>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(108,479)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(36,114)</w:t>
            </w:r>
          </w:p>
        </w:tc>
      </w:tr>
      <w:tr>
        <w:trPr>
          <w:trHeight w:val="189"/>
        </w:trPr>
        <w:tc>
          <w:tcPr>
            <w:tcW w:w="4420" w:type="dxa"/>
            <w:vAlign w:val="bottom"/>
          </w:tcPr>
          <w:p>
            <w:pPr>
              <w:ind w:left="200"/>
              <w:spacing w:after="0"/>
              <w:rPr>
                <w:sz w:val="20"/>
                <w:szCs w:val="20"/>
                <w:color w:val="auto"/>
              </w:rPr>
            </w:pPr>
            <w:r>
              <w:rPr>
                <w:rFonts w:ascii="Arial" w:cs="Arial" w:eastAsia="Arial" w:hAnsi="Arial"/>
                <w:sz w:val="14"/>
                <w:szCs w:val="14"/>
                <w:color w:val="auto"/>
              </w:rPr>
              <w:t>Unrealized gains (losses) on marketable securities, net of tax</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2"/>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2"/>
        </w:trPr>
        <w:tc>
          <w:tcPr>
            <w:tcW w:w="5260" w:type="dxa"/>
            <w:vAlign w:val="bottom"/>
          </w:tcPr>
          <w:p>
            <w:pPr>
              <w:spacing w:after="0"/>
              <w:rPr>
                <w:sz w:val="11"/>
                <w:szCs w:val="11"/>
                <w:color w:val="auto"/>
              </w:rPr>
            </w:pPr>
          </w:p>
        </w:tc>
        <w:tc>
          <w:tcPr>
            <w:tcW w:w="1740" w:type="dxa"/>
            <w:vAlign w:val="bottom"/>
            <w:gridSpan w:val="3"/>
          </w:tcPr>
          <w:p>
            <w:pPr>
              <w:jc w:val="right"/>
              <w:ind w:right="304"/>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1"/>
                <w:szCs w:val="11"/>
                <w:color w:val="auto"/>
              </w:rPr>
            </w:pPr>
          </w:p>
        </w:tc>
        <w:tc>
          <w:tcPr>
            <w:tcW w:w="860" w:type="dxa"/>
            <w:vAlign w:val="bottom"/>
          </w:tcPr>
          <w:p>
            <w:pPr>
              <w:jc w:val="center"/>
              <w:ind w:right="26"/>
              <w:spacing w:after="0"/>
              <w:rPr>
                <w:sz w:val="20"/>
                <w:szCs w:val="20"/>
                <w:color w:val="auto"/>
              </w:rPr>
            </w:pPr>
            <w:r>
              <w:rPr>
                <w:rFonts w:ascii="Arial" w:cs="Arial" w:eastAsia="Arial" w:hAnsi="Arial"/>
                <w:sz w:val="11"/>
                <w:szCs w:val="11"/>
                <w:b w:val="1"/>
                <w:bCs w:val="1"/>
                <w:color w:val="auto"/>
                <w:w w:val="98"/>
              </w:rPr>
              <w:t>Total</w:t>
            </w:r>
          </w:p>
        </w:tc>
      </w:tr>
      <w:tr>
        <w:trPr>
          <w:trHeight w:val="48"/>
        </w:trPr>
        <w:tc>
          <w:tcPr>
            <w:tcW w:w="52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4"/>
                <w:szCs w:val="4"/>
                <w:b w:val="1"/>
                <w:bCs w:val="1"/>
                <w:color w:val="auto"/>
              </w:rPr>
              <w:t>Paid-In</w:t>
            </w:r>
          </w:p>
        </w:tc>
        <w:tc>
          <w:tcPr>
            <w:tcW w:w="100" w:type="dxa"/>
            <w:vAlign w:val="bottom"/>
          </w:tcPr>
          <w:p>
            <w:pPr>
              <w:spacing w:after="0"/>
              <w:rPr>
                <w:sz w:val="4"/>
                <w:szCs w:val="4"/>
                <w:color w:val="auto"/>
              </w:rPr>
            </w:pPr>
          </w:p>
        </w:tc>
        <w:tc>
          <w:tcPr>
            <w:tcW w:w="900" w:type="dxa"/>
            <w:vAlign w:val="bottom"/>
            <w:gridSpan w:val="2"/>
          </w:tcPr>
          <w:p>
            <w:pPr>
              <w:ind w:left="20"/>
              <w:spacing w:after="0"/>
              <w:rPr>
                <w:sz w:val="20"/>
                <w:szCs w:val="20"/>
                <w:color w:val="auto"/>
              </w:rPr>
            </w:pPr>
            <w:r>
              <w:rPr>
                <w:rFonts w:ascii="Arial" w:cs="Arial" w:eastAsia="Arial" w:hAnsi="Arial"/>
                <w:sz w:val="4"/>
                <w:szCs w:val="4"/>
                <w:b w:val="1"/>
                <w:bCs w:val="1"/>
                <w:color w:val="auto"/>
              </w:rPr>
              <w:t>Accumulated</w:t>
            </w:r>
          </w:p>
        </w:tc>
        <w:tc>
          <w:tcPr>
            <w:tcW w:w="1020" w:type="dxa"/>
            <w:vAlign w:val="bottom"/>
            <w:gridSpan w:val="3"/>
          </w:tcPr>
          <w:p>
            <w:pPr>
              <w:jc w:val="center"/>
              <w:ind w:right="60"/>
              <w:spacing w:after="0"/>
              <w:rPr>
                <w:sz w:val="20"/>
                <w:szCs w:val="20"/>
                <w:color w:val="auto"/>
              </w:rPr>
            </w:pPr>
            <w:r>
              <w:rPr>
                <w:rFonts w:ascii="Arial" w:cs="Arial" w:eastAsia="Arial" w:hAnsi="Arial"/>
                <w:sz w:val="4"/>
                <w:szCs w:val="4"/>
                <w:b w:val="1"/>
                <w:bCs w:val="1"/>
                <w:color w:val="auto"/>
              </w:rPr>
              <w:t>Comprehensive</w:t>
            </w:r>
          </w:p>
        </w:tc>
        <w:tc>
          <w:tcPr>
            <w:tcW w:w="80" w:type="dxa"/>
            <w:vAlign w:val="bottom"/>
          </w:tcPr>
          <w:p>
            <w:pPr>
              <w:spacing w:after="0"/>
              <w:rPr>
                <w:sz w:val="4"/>
                <w:szCs w:val="4"/>
                <w:color w:val="auto"/>
              </w:rPr>
            </w:pPr>
          </w:p>
        </w:tc>
        <w:tc>
          <w:tcPr>
            <w:tcW w:w="860" w:type="dxa"/>
            <w:vAlign w:val="bottom"/>
          </w:tcPr>
          <w:p>
            <w:pPr>
              <w:jc w:val="center"/>
              <w:ind w:right="26"/>
              <w:spacing w:after="0"/>
              <w:rPr>
                <w:sz w:val="20"/>
                <w:szCs w:val="20"/>
                <w:color w:val="auto"/>
              </w:rPr>
            </w:pPr>
            <w:r>
              <w:rPr>
                <w:rFonts w:ascii="Arial" w:cs="Arial" w:eastAsia="Arial" w:hAnsi="Arial"/>
                <w:sz w:val="4"/>
                <w:szCs w:val="4"/>
                <w:b w:val="1"/>
                <w:bCs w:val="1"/>
                <w:color w:val="auto"/>
              </w:rPr>
              <w:t>Stockholders’</w:t>
            </w:r>
          </w:p>
        </w:tc>
      </w:tr>
      <w:tr>
        <w:trPr>
          <w:trHeight w:val="168"/>
        </w:trPr>
        <w:tc>
          <w:tcPr>
            <w:tcW w:w="5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1"/>
                <w:szCs w:val="11"/>
                <w:b w:val="1"/>
                <w:bCs w:val="1"/>
                <w:color w:val="auto"/>
              </w:rPr>
              <w:t>Loss</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Equity (Deficit)</w:t>
            </w:r>
          </w:p>
        </w:tc>
      </w:tr>
      <w:tr>
        <w:trPr>
          <w:trHeight w:val="153"/>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38,268,543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437,007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(149,554)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287,457</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4,666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4,666</w:t>
            </w:r>
          </w:p>
        </w:tc>
      </w:tr>
      <w:tr>
        <w:trPr>
          <w:trHeight w:val="164"/>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352,506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851</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Unrealized loss on marketable securities, net of tax</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(86)</w:t>
            </w:r>
          </w:p>
        </w:tc>
      </w:tr>
      <w:tr>
        <w:trPr>
          <w:trHeight w:val="156"/>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(27,373)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(27,373)</w:t>
            </w:r>
          </w:p>
        </w:tc>
      </w:tr>
      <w:tr>
        <w:trPr>
          <w:trHeight w:val="156"/>
        </w:trPr>
        <w:tc>
          <w:tcPr>
            <w:tcW w:w="526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38,621,049</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442,524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(176,927)</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265,515</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4"/>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5,400</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Issuance of common stock from follow-on public offering, net of offering costs of $229</w:t>
            </w: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5,750,000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98,412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98,413</w:t>
            </w:r>
          </w:p>
        </w:tc>
      </w:tr>
      <w:tr>
        <w:trPr>
          <w:trHeight w:val="164"/>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322,113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809</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Change unrealized loss on marketable securities, net of tax</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36</w:t>
            </w:r>
          </w:p>
        </w:tc>
      </w:tr>
      <w:tr>
        <w:trPr>
          <w:trHeight w:val="156"/>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(36,401)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(36,401)</w:t>
            </w:r>
          </w:p>
        </w:tc>
      </w:tr>
      <w:tr>
        <w:trPr>
          <w:trHeight w:val="156"/>
        </w:trPr>
        <w:tc>
          <w:tcPr>
            <w:tcW w:w="526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44,693,162</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547,145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(213,328)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333,772</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4"/>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6,521</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Issuance of common stock upon exercise of stock options</w:t>
            </w: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90,909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309</w:t>
            </w:r>
          </w:p>
        </w:tc>
      </w:tr>
      <w:tr>
        <w:trPr>
          <w:trHeight w:val="164"/>
        </w:trPr>
        <w:tc>
          <w:tcPr>
            <w:tcW w:w="5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unrealized loss on marketable securities,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r>
      <w:tr>
        <w:trPr>
          <w:trHeight w:val="148"/>
        </w:trPr>
        <w:tc>
          <w:tcPr>
            <w:tcW w:w="52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(44,705)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(44,705)</w:t>
            </w:r>
          </w:p>
        </w:tc>
      </w:tr>
      <w:tr>
        <w:trPr>
          <w:trHeight w:val="181"/>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2021</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44,784,071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553,975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(258,033)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295,922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249" w:right="31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12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Series A</w:t>
            </w:r>
          </w:p>
        </w:tc>
        <w:tc>
          <w:tcPr>
            <w:tcW w:w="12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99"/>
              </w:rPr>
              <w:t>Series B</w:t>
            </w:r>
          </w:p>
        </w:tc>
        <w:tc>
          <w:tcPr>
            <w:tcW w:w="120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Series B-1</w:t>
            </w:r>
          </w:p>
        </w:tc>
        <w:tc>
          <w:tcPr>
            <w:tcW w:w="126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99"/>
              </w:rPr>
              <w:t>Series C</w:t>
            </w:r>
          </w:p>
        </w:tc>
        <w:tc>
          <w:tcPr>
            <w:tcW w:w="13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rPr>
              <w:t>Series C-1</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200" w:type="dxa"/>
            <w:vAlign w:val="bottom"/>
            <w:gridSpan w:val="5"/>
          </w:tcPr>
          <w:p>
            <w:pPr>
              <w:jc w:val="center"/>
              <w:ind w:right="60"/>
              <w:spacing w:after="0" w:line="109" w:lineRule="exact"/>
              <w:rPr>
                <w:sz w:val="20"/>
                <w:szCs w:val="20"/>
                <w:color w:val="auto"/>
              </w:rPr>
            </w:pPr>
            <w:r>
              <w:rPr>
                <w:rFonts w:ascii="Arial" w:cs="Arial" w:eastAsia="Arial" w:hAnsi="Arial"/>
                <w:sz w:val="11"/>
                <w:szCs w:val="11"/>
                <w:b w:val="1"/>
                <w:bCs w:val="1"/>
                <w:color w:val="auto"/>
              </w:rPr>
              <w:t>Redeemable</w:t>
            </w:r>
          </w:p>
        </w:tc>
        <w:tc>
          <w:tcPr>
            <w:tcW w:w="126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Redeemable</w:t>
            </w:r>
          </w:p>
        </w:tc>
        <w:tc>
          <w:tcPr>
            <w:tcW w:w="120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Redeemable</w:t>
            </w:r>
          </w:p>
        </w:tc>
        <w:tc>
          <w:tcPr>
            <w:tcW w:w="1260" w:type="dxa"/>
            <w:vAlign w:val="bottom"/>
            <w:gridSpan w:val="4"/>
          </w:tcPr>
          <w:p>
            <w:pPr>
              <w:jc w:val="center"/>
              <w:ind w:right="80"/>
              <w:spacing w:after="0" w:line="109" w:lineRule="exact"/>
              <w:rPr>
                <w:sz w:val="20"/>
                <w:szCs w:val="20"/>
                <w:color w:val="auto"/>
              </w:rPr>
            </w:pPr>
            <w:r>
              <w:rPr>
                <w:rFonts w:ascii="Arial" w:cs="Arial" w:eastAsia="Arial" w:hAnsi="Arial"/>
                <w:sz w:val="11"/>
                <w:szCs w:val="11"/>
                <w:b w:val="1"/>
                <w:bCs w:val="1"/>
                <w:color w:val="auto"/>
              </w:rPr>
              <w:t>Redeemable</w:t>
            </w:r>
          </w:p>
        </w:tc>
        <w:tc>
          <w:tcPr>
            <w:tcW w:w="1320" w:type="dxa"/>
            <w:vAlign w:val="bottom"/>
            <w:gridSpan w:val="5"/>
          </w:tcPr>
          <w:p>
            <w:pPr>
              <w:jc w:val="center"/>
              <w:ind w:right="60"/>
              <w:spacing w:after="0" w:line="109" w:lineRule="exact"/>
              <w:rPr>
                <w:sz w:val="20"/>
                <w:szCs w:val="20"/>
                <w:color w:val="auto"/>
              </w:rPr>
            </w:pPr>
            <w:r>
              <w:rPr>
                <w:rFonts w:ascii="Arial" w:cs="Arial" w:eastAsia="Arial" w:hAnsi="Arial"/>
                <w:sz w:val="11"/>
                <w:szCs w:val="11"/>
                <w:b w:val="1"/>
                <w:bCs w:val="1"/>
                <w:color w:val="auto"/>
              </w:rPr>
              <w:t>Redeemable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640" w:type="dxa"/>
            <w:vAlign w:val="bottom"/>
            <w:vMerge w:val="restart"/>
          </w:tcPr>
          <w:p>
            <w:pPr>
              <w:jc w:val="center"/>
              <w:ind w:right="85"/>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200" w:type="dxa"/>
            <w:vAlign w:val="bottom"/>
            <w:gridSpan w:val="5"/>
          </w:tcPr>
          <w:p>
            <w:pPr>
              <w:jc w:val="center"/>
              <w:ind w:right="60"/>
              <w:spacing w:after="0" w:line="109" w:lineRule="exact"/>
              <w:rPr>
                <w:sz w:val="20"/>
                <w:szCs w:val="20"/>
                <w:color w:val="auto"/>
              </w:rPr>
            </w:pPr>
            <w:r>
              <w:rPr>
                <w:rFonts w:ascii="Arial" w:cs="Arial" w:eastAsia="Arial" w:hAnsi="Arial"/>
                <w:sz w:val="11"/>
                <w:szCs w:val="11"/>
                <w:b w:val="1"/>
                <w:bCs w:val="1"/>
                <w:color w:val="auto"/>
              </w:rPr>
              <w:t>Convertible</w:t>
            </w:r>
          </w:p>
        </w:tc>
        <w:tc>
          <w:tcPr>
            <w:tcW w:w="126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w w:val="99"/>
              </w:rPr>
              <w:t>Convertible</w:t>
            </w:r>
          </w:p>
        </w:tc>
        <w:tc>
          <w:tcPr>
            <w:tcW w:w="120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Convertible</w:t>
            </w:r>
          </w:p>
        </w:tc>
        <w:tc>
          <w:tcPr>
            <w:tcW w:w="126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w w:val="99"/>
              </w:rPr>
              <w:t>Convertible</w:t>
            </w:r>
          </w:p>
        </w:tc>
        <w:tc>
          <w:tcPr>
            <w:tcW w:w="1320" w:type="dxa"/>
            <w:vAlign w:val="bottom"/>
            <w:gridSpan w:val="5"/>
          </w:tcPr>
          <w:p>
            <w:pPr>
              <w:jc w:val="center"/>
              <w:ind w:right="60"/>
              <w:spacing w:after="0" w:line="109" w:lineRule="exact"/>
              <w:rPr>
                <w:sz w:val="20"/>
                <w:szCs w:val="20"/>
                <w:color w:val="auto"/>
              </w:rPr>
            </w:pPr>
            <w:r>
              <w:rPr>
                <w:rFonts w:ascii="Arial" w:cs="Arial" w:eastAsia="Arial" w:hAnsi="Arial"/>
                <w:sz w:val="11"/>
                <w:szCs w:val="11"/>
                <w:b w:val="1"/>
                <w:bCs w:val="1"/>
                <w:color w:val="auto"/>
              </w:rPr>
              <w:t>Convertible</w:t>
            </w:r>
          </w:p>
        </w:tc>
        <w:tc>
          <w:tcPr>
            <w:tcW w:w="1160" w:type="dxa"/>
            <w:vAlign w:val="bottom"/>
            <w:gridSpan w:val="5"/>
            <w:vMerge w:val="restart"/>
          </w:tcPr>
          <w:p>
            <w:pPr>
              <w:ind w:left="14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1200" w:type="dxa"/>
            <w:vAlign w:val="bottom"/>
            <w:gridSpan w:val="5"/>
          </w:tcPr>
          <w:p>
            <w:pPr>
              <w:jc w:val="center"/>
              <w:ind w:right="80"/>
              <w:spacing w:after="0" w:line="109" w:lineRule="exact"/>
              <w:rPr>
                <w:sz w:val="20"/>
                <w:szCs w:val="20"/>
                <w:color w:val="auto"/>
              </w:rPr>
            </w:pPr>
            <w:r>
              <w:rPr>
                <w:rFonts w:ascii="Arial" w:cs="Arial" w:eastAsia="Arial" w:hAnsi="Arial"/>
                <w:sz w:val="11"/>
                <w:szCs w:val="11"/>
                <w:b w:val="1"/>
                <w:bCs w:val="1"/>
                <w:color w:val="auto"/>
              </w:rPr>
              <w:t>Preferred Stock</w:t>
            </w:r>
          </w:p>
        </w:tc>
        <w:tc>
          <w:tcPr>
            <w:tcW w:w="126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Preferred Stock</w:t>
            </w:r>
          </w:p>
        </w:tc>
        <w:tc>
          <w:tcPr>
            <w:tcW w:w="120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Preferred Stock</w:t>
            </w:r>
          </w:p>
        </w:tc>
        <w:tc>
          <w:tcPr>
            <w:tcW w:w="1260" w:type="dxa"/>
            <w:vAlign w:val="bottom"/>
            <w:gridSpan w:val="4"/>
          </w:tcPr>
          <w:p>
            <w:pPr>
              <w:jc w:val="center"/>
              <w:ind w:right="60"/>
              <w:spacing w:after="0" w:line="109" w:lineRule="exact"/>
              <w:rPr>
                <w:sz w:val="20"/>
                <w:szCs w:val="20"/>
                <w:color w:val="auto"/>
              </w:rPr>
            </w:pPr>
            <w:r>
              <w:rPr>
                <w:rFonts w:ascii="Arial" w:cs="Arial" w:eastAsia="Arial" w:hAnsi="Arial"/>
                <w:sz w:val="11"/>
                <w:szCs w:val="11"/>
                <w:b w:val="1"/>
                <w:bCs w:val="1"/>
                <w:color w:val="auto"/>
              </w:rPr>
              <w:t>Preferred Stock</w:t>
            </w:r>
          </w:p>
        </w:tc>
        <w:tc>
          <w:tcPr>
            <w:tcW w:w="1320" w:type="dxa"/>
            <w:vAlign w:val="bottom"/>
            <w:gridSpan w:val="5"/>
          </w:tcPr>
          <w:p>
            <w:pPr>
              <w:jc w:val="center"/>
              <w:ind w:right="80"/>
              <w:spacing w:after="0" w:line="109" w:lineRule="exact"/>
              <w:rPr>
                <w:sz w:val="20"/>
                <w:szCs w:val="20"/>
                <w:color w:val="auto"/>
              </w:rPr>
            </w:pPr>
            <w:r>
              <w:rPr>
                <w:rFonts w:ascii="Arial" w:cs="Arial" w:eastAsia="Arial" w:hAnsi="Arial"/>
                <w:sz w:val="11"/>
                <w:szCs w:val="11"/>
                <w:b w:val="1"/>
                <w:bCs w:val="1"/>
                <w:color w:val="auto"/>
              </w:rPr>
              <w:t>Preferred Stock</w:t>
            </w:r>
          </w:p>
        </w:tc>
        <w:tc>
          <w:tcPr>
            <w:tcW w:w="1160" w:type="dxa"/>
            <w:vAlign w:val="bottom"/>
            <w:gridSpan w:val="5"/>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5"/>
              </w:rPr>
              <w:t>Other</w:t>
            </w:r>
          </w:p>
        </w:tc>
        <w:tc>
          <w:tcPr>
            <w:tcW w:w="78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tcPr>
          <w:p>
            <w:pPr>
              <w:ind w:left="20"/>
              <w:spacing w:after="0"/>
              <w:rPr>
                <w:sz w:val="20"/>
                <w:szCs w:val="20"/>
                <w:color w:val="auto"/>
              </w:rPr>
            </w:pPr>
            <w:r>
              <w:rPr>
                <w:rFonts w:ascii="Arial" w:cs="Arial" w:eastAsia="Arial" w:hAnsi="Arial"/>
                <w:sz w:val="4"/>
                <w:szCs w:val="4"/>
                <w:b w:val="1"/>
                <w:bCs w:val="1"/>
                <w:color w:val="auto"/>
              </w:rPr>
              <w:t>Paid-In</w:t>
            </w:r>
          </w:p>
        </w:tc>
        <w:tc>
          <w:tcPr>
            <w:tcW w:w="800" w:type="dxa"/>
            <w:vAlign w:val="bottom"/>
            <w:gridSpan w:val="3"/>
          </w:tcPr>
          <w:p>
            <w:pPr>
              <w:spacing w:after="0"/>
              <w:rPr>
                <w:sz w:val="20"/>
                <w:szCs w:val="20"/>
                <w:color w:val="auto"/>
              </w:rPr>
            </w:pPr>
            <w:r>
              <w:rPr>
                <w:rFonts w:ascii="Arial" w:cs="Arial" w:eastAsia="Arial" w:hAnsi="Arial"/>
                <w:sz w:val="4"/>
                <w:szCs w:val="4"/>
                <w:b w:val="1"/>
                <w:bCs w:val="1"/>
                <w:color w:val="auto"/>
              </w:rPr>
              <w:t>Accumulated</w:t>
            </w:r>
          </w:p>
        </w:tc>
        <w:tc>
          <w:tcPr>
            <w:tcW w:w="940" w:type="dxa"/>
            <w:vAlign w:val="bottom"/>
            <w:gridSpan w:val="3"/>
          </w:tcPr>
          <w:p>
            <w:pPr>
              <w:ind w:left="20"/>
              <w:spacing w:after="0"/>
              <w:rPr>
                <w:sz w:val="20"/>
                <w:szCs w:val="20"/>
                <w:color w:val="auto"/>
              </w:rPr>
            </w:pPr>
            <w:r>
              <w:rPr>
                <w:rFonts w:ascii="Arial" w:cs="Arial" w:eastAsia="Arial" w:hAnsi="Arial"/>
                <w:sz w:val="4"/>
                <w:szCs w:val="4"/>
                <w:b w:val="1"/>
                <w:bCs w:val="1"/>
                <w:color w:val="auto"/>
              </w:rPr>
              <w:t>Comprehensive</w:t>
            </w:r>
          </w:p>
        </w:tc>
        <w:tc>
          <w:tcPr>
            <w:tcW w:w="140" w:type="dxa"/>
            <w:vAlign w:val="bottom"/>
          </w:tcPr>
          <w:p>
            <w:pPr>
              <w:spacing w:after="0"/>
              <w:rPr>
                <w:sz w:val="4"/>
                <w:szCs w:val="4"/>
                <w:color w:val="auto"/>
              </w:rPr>
            </w:pPr>
          </w:p>
        </w:tc>
        <w:tc>
          <w:tcPr>
            <w:tcW w:w="640" w:type="dxa"/>
            <w:vAlign w:val="bottom"/>
          </w:tcPr>
          <w:p>
            <w:pPr>
              <w:jc w:val="center"/>
              <w:ind w:right="85"/>
              <w:spacing w:after="0"/>
              <w:rPr>
                <w:sz w:val="20"/>
                <w:szCs w:val="20"/>
                <w:color w:val="auto"/>
              </w:rPr>
            </w:pPr>
            <w:r>
              <w:rPr>
                <w:rFonts w:ascii="Arial" w:cs="Arial" w:eastAsia="Arial" w:hAnsi="Arial"/>
                <w:sz w:val="4"/>
                <w:szCs w:val="4"/>
                <w:b w:val="1"/>
                <w:bCs w:val="1"/>
                <w:color w:val="auto"/>
              </w:rPr>
              <w:t>Equity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4"/>
                <w:szCs w:val="14"/>
                <w:color w:val="auto"/>
              </w:rPr>
            </w:pPr>
          </w:p>
        </w:tc>
        <w:tc>
          <w:tcPr>
            <w:tcW w:w="640" w:type="dxa"/>
            <w:vAlign w:val="bottom"/>
          </w:tcPr>
          <w:p>
            <w:pPr>
              <w:jc w:val="center"/>
              <w:ind w:right="85"/>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93"/>
        </w:trPr>
        <w:tc>
          <w:tcPr>
            <w:tcW w:w="740" w:type="dxa"/>
            <w:vAlign w:val="bottom"/>
            <w:tcBorders>
              <w:top w:val="single" w:sz="8" w:color="CCEEFF"/>
            </w:tcBorders>
            <w:shd w:val="clear" w:color="auto" w:fill="CCEEFF"/>
          </w:tcPr>
          <w:p>
            <w:pPr>
              <w:ind w:left="20"/>
              <w:spacing w:after="0" w:line="93" w:lineRule="exact"/>
              <w:rPr>
                <w:sz w:val="20"/>
                <w:szCs w:val="20"/>
                <w:color w:val="auto"/>
              </w:rPr>
            </w:pPr>
            <w:r>
              <w:rPr>
                <w:rFonts w:ascii="Arial" w:cs="Arial" w:eastAsia="Arial" w:hAnsi="Arial"/>
                <w:sz w:val="10"/>
                <w:szCs w:val="10"/>
                <w:b w:val="1"/>
                <w:bCs w:val="1"/>
                <w:color w:val="auto"/>
              </w:rPr>
              <w:t>Balance at</w:t>
            </w: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b w:val="1"/>
                <w:bCs w:val="1"/>
                <w:color w:val="auto"/>
              </w:rPr>
              <w:t>December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8,075,799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9,932</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14,913,704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$ 49,969</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2,666,666</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$ 10,431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9,805,827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$ 50,789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1,621,880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(81,008)</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Repurchase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of Series C</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stock</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(5,825,243)</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(30,493)</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493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Series C</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Vesting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restricted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stock awards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13,143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Stock-based</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Accretion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stock to</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redemption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value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Arial" w:cs="Arial" w:eastAsia="Arial" w:hAnsi="Arial"/>
                <w:sz w:val="11"/>
                <w:szCs w:val="11"/>
                <w:color w:val="auto"/>
              </w:rPr>
              <w:t>160</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890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199</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815</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(2,064)</w:t>
            </w:r>
          </w:p>
        </w:tc>
        <w:tc>
          <w:tcPr>
            <w:tcW w:w="0" w:type="dxa"/>
            <w:vAlign w:val="bottom"/>
          </w:tcPr>
          <w:p>
            <w:pPr>
              <w:spacing w:after="0"/>
              <w:rPr>
                <w:sz w:val="1"/>
                <w:szCs w:val="1"/>
                <w:color w:val="auto"/>
              </w:rPr>
            </w:pPr>
          </w:p>
        </w:tc>
      </w:tr>
      <w:tr>
        <w:trPr>
          <w:trHeight w:val="164"/>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(8,330)</w:t>
            </w:r>
          </w:p>
        </w:tc>
        <w:tc>
          <w:tcPr>
            <w:tcW w:w="0" w:type="dxa"/>
            <w:vAlign w:val="bottom"/>
          </w:tcPr>
          <w:p>
            <w:pPr>
              <w:spacing w:after="0"/>
              <w:rPr>
                <w:sz w:val="1"/>
                <w:szCs w:val="1"/>
                <w:color w:val="auto"/>
              </w:rPr>
            </w:pPr>
          </w:p>
        </w:tc>
      </w:tr>
      <w:tr>
        <w:trPr>
          <w:trHeight w:val="88"/>
        </w:trPr>
        <w:tc>
          <w:tcPr>
            <w:tcW w:w="740" w:type="dxa"/>
            <w:vAlign w:val="bottom"/>
          </w:tcPr>
          <w:p>
            <w:pPr>
              <w:ind w:left="20"/>
              <w:spacing w:after="0" w:line="89" w:lineRule="exact"/>
              <w:rPr>
                <w:sz w:val="20"/>
                <w:szCs w:val="20"/>
                <w:color w:val="auto"/>
              </w:rPr>
            </w:pPr>
            <w:r>
              <w:rPr>
                <w:rFonts w:ascii="Arial" w:cs="Arial" w:eastAsia="Arial" w:hAnsi="Arial"/>
                <w:sz w:val="10"/>
                <w:szCs w:val="10"/>
                <w:b w:val="1"/>
                <w:bCs w:val="1"/>
                <w:color w:val="auto"/>
              </w:rPr>
              <w:t>Balance at</w:t>
            </w: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March 31,</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8,075,799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4"/>
              <w:spacing w:after="0"/>
              <w:rPr>
                <w:sz w:val="20"/>
                <w:szCs w:val="20"/>
                <w:color w:val="auto"/>
              </w:rPr>
            </w:pPr>
            <w:r>
              <w:rPr>
                <w:rFonts w:ascii="Arial" w:cs="Arial" w:eastAsia="Arial" w:hAnsi="Arial"/>
                <w:sz w:val="11"/>
                <w:szCs w:val="11"/>
                <w:color w:val="auto"/>
              </w:rPr>
              <w:t>10,092</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14,913,704</w:t>
            </w:r>
          </w:p>
        </w:tc>
        <w:tc>
          <w:tcPr>
            <w:tcW w:w="80" w:type="dxa"/>
            <w:vAlign w:val="bottom"/>
          </w:tcPr>
          <w:p>
            <w:pPr>
              <w:spacing w:after="0"/>
              <w:rPr>
                <w:sz w:val="9"/>
                <w:szCs w:val="9"/>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auto"/>
                <w:w w:val="97"/>
              </w:rPr>
              <w:t>$ 50,859</w:t>
            </w:r>
          </w:p>
        </w:tc>
        <w:tc>
          <w:tcPr>
            <w:tcW w:w="60" w:type="dxa"/>
            <w:vAlign w:val="bottom"/>
          </w:tcPr>
          <w:p>
            <w:pPr>
              <w:spacing w:after="0"/>
              <w:rPr>
                <w:sz w:val="9"/>
                <w:szCs w:val="9"/>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auto"/>
              </w:rPr>
              <w:t>2,666,666</w:t>
            </w:r>
          </w:p>
        </w:tc>
        <w:tc>
          <w:tcPr>
            <w:tcW w:w="60" w:type="dxa"/>
            <w:vAlign w:val="bottom"/>
          </w:tcPr>
          <w:p>
            <w:pPr>
              <w:spacing w:after="0"/>
              <w:rPr>
                <w:sz w:val="9"/>
                <w:szCs w:val="9"/>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auto"/>
                <w:w w:val="97"/>
              </w:rPr>
              <w:t>$ 10,630</w:t>
            </w:r>
          </w:p>
        </w:tc>
        <w:tc>
          <w:tcPr>
            <w:tcW w:w="60" w:type="dxa"/>
            <w:vAlign w:val="bottom"/>
          </w:tcPr>
          <w:p>
            <w:pPr>
              <w:spacing w:after="0"/>
              <w:rPr>
                <w:sz w:val="9"/>
                <w:szCs w:val="9"/>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3,980,584</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97"/>
              </w:rPr>
              <w:t>$ 21,074</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1,635,023</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(90,763)</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ind w:left="620"/>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(90,762)</w:t>
            </w:r>
          </w:p>
        </w:tc>
        <w:tc>
          <w:tcPr>
            <w:tcW w:w="0" w:type="dxa"/>
            <w:vAlign w:val="bottom"/>
          </w:tcPr>
          <w:p>
            <w:pPr>
              <w:spacing w:after="0"/>
              <w:rPr>
                <w:sz w:val="1"/>
                <w:szCs w:val="1"/>
                <w:color w:val="auto"/>
              </w:rPr>
            </w:pPr>
          </w:p>
        </w:tc>
      </w:tr>
      <w:tr>
        <w:trPr>
          <w:trHeight w:val="132"/>
        </w:trPr>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40" w:type="dxa"/>
            <w:vAlign w:val="bottom"/>
            <w:shd w:val="clear" w:color="auto" w:fill="CCEEFF"/>
          </w:tcPr>
          <w:p>
            <w:pPr>
              <w:ind w:left="20"/>
              <w:spacing w:after="0" w:line="79" w:lineRule="exact"/>
              <w:rPr>
                <w:sz w:val="20"/>
                <w:szCs w:val="20"/>
                <w:color w:val="auto"/>
              </w:rPr>
            </w:pPr>
            <w:r>
              <w:rPr>
                <w:rFonts w:ascii="Arial" w:cs="Arial" w:eastAsia="Arial" w:hAnsi="Arial"/>
                <w:sz w:val="9"/>
                <w:szCs w:val="9"/>
                <w:color w:val="auto"/>
              </w:rPr>
              <w:t>Issuance of</w:t>
            </w: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Series C</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net of</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of $4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4,563,108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23,496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Vesting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restricted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stock awards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13,142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Stock-based</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Accretion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stock to</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redemption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value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20" w:type="dxa"/>
            <w:vAlign w:val="bottom"/>
          </w:tcPr>
          <w:p>
            <w:pPr>
              <w:jc w:val="right"/>
              <w:ind w:right="4"/>
              <w:spacing w:after="0"/>
              <w:rPr>
                <w:sz w:val="20"/>
                <w:szCs w:val="20"/>
                <w:color w:val="auto"/>
              </w:rPr>
            </w:pPr>
            <w:r>
              <w:rPr>
                <w:rFonts w:ascii="Arial" w:cs="Arial" w:eastAsia="Arial" w:hAnsi="Arial"/>
                <w:sz w:val="11"/>
                <w:szCs w:val="11"/>
                <w:color w:val="auto"/>
              </w:rPr>
              <w:t>162</w:t>
            </w: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890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198</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789</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(2,039)</w:t>
            </w:r>
          </w:p>
        </w:tc>
        <w:tc>
          <w:tcPr>
            <w:tcW w:w="0" w:type="dxa"/>
            <w:vAlign w:val="bottom"/>
          </w:tcPr>
          <w:p>
            <w:pPr>
              <w:spacing w:after="0"/>
              <w:rPr>
                <w:sz w:val="1"/>
                <w:szCs w:val="1"/>
                <w:color w:val="auto"/>
              </w:rPr>
            </w:pPr>
          </w:p>
        </w:tc>
      </w:tr>
      <w:tr>
        <w:trPr>
          <w:trHeight w:val="164"/>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(11,568)</w:t>
            </w:r>
          </w:p>
        </w:tc>
        <w:tc>
          <w:tcPr>
            <w:tcW w:w="0" w:type="dxa"/>
            <w:vAlign w:val="bottom"/>
          </w:tcPr>
          <w:p>
            <w:pPr>
              <w:spacing w:after="0"/>
              <w:rPr>
                <w:sz w:val="1"/>
                <w:szCs w:val="1"/>
                <w:color w:val="auto"/>
              </w:rPr>
            </w:pPr>
          </w:p>
        </w:tc>
      </w:tr>
      <w:tr>
        <w:trPr>
          <w:trHeight w:val="88"/>
        </w:trPr>
        <w:tc>
          <w:tcPr>
            <w:tcW w:w="740" w:type="dxa"/>
            <w:vAlign w:val="bottom"/>
          </w:tcPr>
          <w:p>
            <w:pPr>
              <w:ind w:left="20"/>
              <w:spacing w:after="0" w:line="89" w:lineRule="exact"/>
              <w:rPr>
                <w:sz w:val="20"/>
                <w:szCs w:val="20"/>
                <w:color w:val="auto"/>
              </w:rPr>
            </w:pPr>
            <w:r>
              <w:rPr>
                <w:rFonts w:ascii="Arial" w:cs="Arial" w:eastAsia="Arial" w:hAnsi="Arial"/>
                <w:sz w:val="10"/>
                <w:szCs w:val="10"/>
                <w:b w:val="1"/>
                <w:bCs w:val="1"/>
                <w:color w:val="auto"/>
              </w:rPr>
              <w:t>Balance at</w:t>
            </w: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June 30,</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8,075,799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4"/>
              <w:spacing w:after="0"/>
              <w:rPr>
                <w:sz w:val="20"/>
                <w:szCs w:val="20"/>
                <w:color w:val="auto"/>
              </w:rPr>
            </w:pPr>
            <w:r>
              <w:rPr>
                <w:rFonts w:ascii="Arial" w:cs="Arial" w:eastAsia="Arial" w:hAnsi="Arial"/>
                <w:sz w:val="11"/>
                <w:szCs w:val="11"/>
                <w:color w:val="auto"/>
              </w:rPr>
              <w:t>10,254</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14,913,704</w:t>
            </w:r>
          </w:p>
        </w:tc>
        <w:tc>
          <w:tcPr>
            <w:tcW w:w="80" w:type="dxa"/>
            <w:vAlign w:val="bottom"/>
          </w:tcPr>
          <w:p>
            <w:pPr>
              <w:spacing w:after="0"/>
              <w:rPr>
                <w:sz w:val="9"/>
                <w:szCs w:val="9"/>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auto"/>
                <w:w w:val="97"/>
              </w:rPr>
              <w:t>$ 51,749</w:t>
            </w:r>
          </w:p>
        </w:tc>
        <w:tc>
          <w:tcPr>
            <w:tcW w:w="60" w:type="dxa"/>
            <w:vAlign w:val="bottom"/>
          </w:tcPr>
          <w:p>
            <w:pPr>
              <w:spacing w:after="0"/>
              <w:rPr>
                <w:sz w:val="9"/>
                <w:szCs w:val="9"/>
                <w:color w:val="auto"/>
              </w:rPr>
            </w:pPr>
          </w:p>
        </w:tc>
        <w:tc>
          <w:tcPr>
            <w:tcW w:w="580" w:type="dxa"/>
            <w:vAlign w:val="bottom"/>
            <w:vMerge w:val="restart"/>
          </w:tcPr>
          <w:p>
            <w:pPr>
              <w:jc w:val="right"/>
              <w:ind w:right="4"/>
              <w:spacing w:after="0"/>
              <w:rPr>
                <w:sz w:val="20"/>
                <w:szCs w:val="20"/>
                <w:color w:val="auto"/>
              </w:rPr>
            </w:pPr>
            <w:r>
              <w:rPr>
                <w:rFonts w:ascii="Arial" w:cs="Arial" w:eastAsia="Arial" w:hAnsi="Arial"/>
                <w:sz w:val="11"/>
                <w:szCs w:val="11"/>
                <w:color w:val="auto"/>
              </w:rPr>
              <w:t>2,666,666</w:t>
            </w:r>
          </w:p>
        </w:tc>
        <w:tc>
          <w:tcPr>
            <w:tcW w:w="60" w:type="dxa"/>
            <w:vAlign w:val="bottom"/>
          </w:tcPr>
          <w:p>
            <w:pPr>
              <w:spacing w:after="0"/>
              <w:rPr>
                <w:sz w:val="9"/>
                <w:szCs w:val="9"/>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1"/>
                <w:szCs w:val="11"/>
                <w:color w:val="auto"/>
                <w:w w:val="97"/>
              </w:rPr>
              <w:t>$ 10,828</w:t>
            </w:r>
          </w:p>
        </w:tc>
        <w:tc>
          <w:tcPr>
            <w:tcW w:w="60" w:type="dxa"/>
            <w:vAlign w:val="bottom"/>
          </w:tcPr>
          <w:p>
            <w:pPr>
              <w:spacing w:after="0"/>
              <w:rPr>
                <w:sz w:val="9"/>
                <w:szCs w:val="9"/>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8,543,692</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97"/>
              </w:rPr>
              <w:t>$ 45,359</w:t>
            </w:r>
          </w:p>
        </w:tc>
        <w:tc>
          <w:tcPr>
            <w:tcW w:w="8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1,648,165</w:t>
            </w:r>
          </w:p>
        </w:tc>
        <w:tc>
          <w:tcPr>
            <w:tcW w:w="8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(104,085)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tcPr>
          <w:p>
            <w:pPr>
              <w:ind w:left="620"/>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(104,084)</w:t>
            </w:r>
          </w:p>
        </w:tc>
        <w:tc>
          <w:tcPr>
            <w:tcW w:w="0" w:type="dxa"/>
            <w:vAlign w:val="bottom"/>
          </w:tcPr>
          <w:p>
            <w:pPr>
              <w:spacing w:after="0"/>
              <w:rPr>
                <w:sz w:val="1"/>
                <w:szCs w:val="1"/>
                <w:color w:val="auto"/>
              </w:rPr>
            </w:pPr>
          </w:p>
        </w:tc>
      </w:tr>
      <w:tr>
        <w:trPr>
          <w:trHeight w:val="132"/>
        </w:trPr>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740" w:type="dxa"/>
            <w:vAlign w:val="bottom"/>
            <w:shd w:val="clear" w:color="auto" w:fill="CCEEFF"/>
          </w:tcPr>
          <w:p>
            <w:pPr>
              <w:ind w:left="20"/>
              <w:spacing w:after="0" w:line="79" w:lineRule="exact"/>
              <w:rPr>
                <w:sz w:val="20"/>
                <w:szCs w:val="20"/>
                <w:color w:val="auto"/>
              </w:rPr>
            </w:pPr>
            <w:r>
              <w:rPr>
                <w:rFonts w:ascii="Arial" w:cs="Arial" w:eastAsia="Arial" w:hAnsi="Arial"/>
                <w:sz w:val="9"/>
                <w:szCs w:val="9"/>
                <w:color w:val="auto"/>
              </w:rPr>
              <w:t>Issuance of</w:t>
            </w: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Series C-1</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net of</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of $154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19,444,453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110,096</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Vesting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restricted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stock awards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13,142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Stock-based</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compensation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953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953</w:t>
            </w:r>
          </w:p>
        </w:tc>
        <w:tc>
          <w:tcPr>
            <w:tcW w:w="0" w:type="dxa"/>
            <w:vAlign w:val="bottom"/>
          </w:tcPr>
          <w:p>
            <w:pPr>
              <w:spacing w:after="0"/>
              <w:rPr>
                <w:sz w:val="1"/>
                <w:szCs w:val="1"/>
                <w:color w:val="auto"/>
              </w:rPr>
            </w:pPr>
          </w:p>
        </w:tc>
      </w:tr>
      <w:tr>
        <w:trPr>
          <w:trHeight w:val="115"/>
        </w:trPr>
        <w:tc>
          <w:tcPr>
            <w:tcW w:w="740" w:type="dxa"/>
            <w:vAlign w:val="bottom"/>
          </w:tcPr>
          <w:p>
            <w:pPr>
              <w:ind w:left="20"/>
              <w:spacing w:after="0" w:line="115" w:lineRule="exact"/>
              <w:rPr>
                <w:sz w:val="20"/>
                <w:szCs w:val="20"/>
                <w:color w:val="auto"/>
              </w:rPr>
            </w:pPr>
            <w:r>
              <w:rPr>
                <w:rFonts w:ascii="Arial" w:cs="Arial" w:eastAsia="Arial" w:hAnsi="Arial"/>
                <w:sz w:val="11"/>
                <w:szCs w:val="11"/>
                <w:color w:val="auto"/>
              </w:rPr>
              <w:t>Issuance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common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stock upon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ind w:left="20"/>
              <w:spacing w:after="0" w:line="109" w:lineRule="exact"/>
              <w:rPr>
                <w:sz w:val="20"/>
                <w:szCs w:val="20"/>
                <w:color w:val="auto"/>
              </w:rPr>
            </w:pPr>
            <w:r>
              <w:rPr>
                <w:rFonts w:ascii="Arial" w:cs="Arial" w:eastAsia="Arial" w:hAnsi="Arial"/>
                <w:sz w:val="11"/>
                <w:szCs w:val="11"/>
                <w:color w:val="auto"/>
              </w:rPr>
              <w:t>exercise of</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40" w:type="dxa"/>
            <w:vAlign w:val="bottom"/>
          </w:tcPr>
          <w:p>
            <w:pPr>
              <w:ind w:left="20"/>
              <w:spacing w:after="0"/>
              <w:rPr>
                <w:sz w:val="20"/>
                <w:szCs w:val="20"/>
                <w:color w:val="auto"/>
              </w:rPr>
            </w:pPr>
            <w:r>
              <w:rPr>
                <w:rFonts w:ascii="Arial" w:cs="Arial" w:eastAsia="Arial" w:hAnsi="Arial"/>
                <w:sz w:val="11"/>
                <w:szCs w:val="11"/>
                <w:color w:val="auto"/>
              </w:rPr>
              <w:t>stock options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11,628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tcPr>
          <w:p>
            <w:pPr>
              <w:jc w:val="right"/>
              <w:ind w:right="5"/>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23"/>
        </w:trPr>
        <w:tc>
          <w:tcPr>
            <w:tcW w:w="74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color w:val="auto"/>
              </w:rPr>
              <w:t>Accretion of</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redeemable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convertible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preferred</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to</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redemption</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899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1,796</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(3,943)</w:t>
            </w:r>
          </w:p>
        </w:tc>
        <w:tc>
          <w:tcPr>
            <w:tcW w:w="0" w:type="dxa"/>
            <w:vAlign w:val="bottom"/>
          </w:tcPr>
          <w:p>
            <w:pPr>
              <w:spacing w:after="0"/>
              <w:rPr>
                <w:sz w:val="1"/>
                <w:szCs w:val="1"/>
                <w:color w:val="auto"/>
              </w:rPr>
            </w:pPr>
          </w:p>
        </w:tc>
      </w:tr>
      <w:tr>
        <w:trPr>
          <w:trHeight w:val="148"/>
        </w:trPr>
        <w:tc>
          <w:tcPr>
            <w:tcW w:w="74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(16,216)</w:t>
            </w:r>
          </w:p>
        </w:tc>
        <w:tc>
          <w:tcPr>
            <w:tcW w:w="0" w:type="dxa"/>
            <w:vAlign w:val="bottom"/>
          </w:tcPr>
          <w:p>
            <w:pPr>
              <w:spacing w:after="0"/>
              <w:rPr>
                <w:sz w:val="1"/>
                <w:szCs w:val="1"/>
                <w:color w:val="auto"/>
              </w:rPr>
            </w:pPr>
          </w:p>
        </w:tc>
      </w:tr>
      <w:tr>
        <w:trPr>
          <w:trHeight w:val="96"/>
        </w:trPr>
        <w:tc>
          <w:tcPr>
            <w:tcW w:w="740" w:type="dxa"/>
            <w:vAlign w:val="bottom"/>
            <w:tcBorders>
              <w:top w:val="single" w:sz="8" w:color="CCEEFF"/>
            </w:tcBorders>
            <w:shd w:val="clear" w:color="auto" w:fill="CCEEFF"/>
          </w:tcPr>
          <w:p>
            <w:pPr>
              <w:ind w:left="20"/>
              <w:spacing w:after="0" w:line="96" w:lineRule="exact"/>
              <w:rPr>
                <w:sz w:val="20"/>
                <w:szCs w:val="20"/>
                <w:color w:val="auto"/>
              </w:rPr>
            </w:pPr>
            <w:r>
              <w:rPr>
                <w:rFonts w:ascii="Arial" w:cs="Arial" w:eastAsia="Arial" w:hAnsi="Arial"/>
                <w:sz w:val="11"/>
                <w:szCs w:val="11"/>
                <w:b w:val="1"/>
                <w:bCs w:val="1"/>
                <w:color w:val="auto"/>
              </w:rPr>
              <w:t>Balance at</w:t>
            </w: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b w:val="1"/>
                <w:bCs w:val="1"/>
                <w:color w:val="auto"/>
              </w:rPr>
              <w:t>September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8,075,799</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10,416</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14,913,704</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97"/>
              </w:rPr>
              <w:t>$ 52,648</w:t>
            </w: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2,666,666</w:t>
            </w:r>
          </w:p>
        </w:tc>
        <w:tc>
          <w:tcPr>
            <w:tcW w:w="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w w:val="97"/>
              </w:rPr>
              <w:t>$ 11,029</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8,543,692</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$ 46,244</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19,444,453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111,892</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1,672,935</w:t>
            </w:r>
          </w:p>
        </w:tc>
        <w:tc>
          <w:tcPr>
            <w:tcW w:w="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(123,264)</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(123,263)</w:t>
            </w:r>
          </w:p>
        </w:tc>
        <w:tc>
          <w:tcPr>
            <w:tcW w:w="0" w:type="dxa"/>
            <w:vAlign w:val="bottom"/>
          </w:tcPr>
          <w:p>
            <w:pPr>
              <w:spacing w:after="0"/>
              <w:rPr>
                <w:sz w:val="1"/>
                <w:szCs w:val="1"/>
                <w:color w:val="auto"/>
              </w:rPr>
            </w:pPr>
          </w:p>
        </w:tc>
      </w:tr>
      <w:tr>
        <w:trPr>
          <w:trHeight w:val="152"/>
        </w:trPr>
        <w:tc>
          <w:tcPr>
            <w:tcW w:w="7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30, 2020</w:t>
            </w: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340"/>
          </w:cols>
          <w:pgMar w:left="320" w:top="840"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68580</wp:posOffset>
            </wp:positionV>
            <wp:extent cx="71729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0"/>
          </w:cols>
          <w:pgMar w:left="320" w:top="840" w:right="2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thousands)</w:t>
      </w:r>
    </w:p>
    <w:p>
      <w:pPr>
        <w:spacing w:after="0" w:line="145"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(108,479)</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(36,114)</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200"/>
              <w:spacing w:after="0"/>
              <w:rPr>
                <w:sz w:val="20"/>
                <w:szCs w:val="20"/>
                <w:color w:val="auto"/>
              </w:rPr>
            </w:pPr>
            <w:r>
              <w:rPr>
                <w:rFonts w:ascii="Arial" w:cs="Arial" w:eastAsia="Arial" w:hAnsi="Arial"/>
                <w:sz w:val="14"/>
                <w:szCs w:val="14"/>
                <w:color w:val="auto"/>
              </w:rPr>
              <w:t>Depreciation expense</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189"/>
        </w:trPr>
        <w:tc>
          <w:tcPr>
            <w:tcW w:w="788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premiums and discounts on marketable securities, net</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8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9"/>
        </w:trPr>
        <w:tc>
          <w:tcPr>
            <w:tcW w:w="7880" w:type="dxa"/>
            <w:vAlign w:val="bottom"/>
          </w:tcPr>
          <w:p>
            <w:pPr>
              <w:ind w:left="400"/>
              <w:spacing w:after="0"/>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Accrued expenses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9"/>
        </w:trPr>
        <w:tc>
          <w:tcPr>
            <w:tcW w:w="7880" w:type="dxa"/>
            <w:vAlign w:val="bottom"/>
          </w:tcPr>
          <w:p>
            <w:pPr>
              <w:ind w:left="40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92"/>
        </w:trPr>
        <w:tc>
          <w:tcPr>
            <w:tcW w:w="7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7880" w:type="dxa"/>
            <w:vAlign w:val="bottom"/>
          </w:tcPr>
          <w:p>
            <w:pPr>
              <w:ind w:left="58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(79,697)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(32,395)</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(164,170)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Maturities of marketable securities</w:t>
            </w: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8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(150,689)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follow-on public offering, net of issuance costs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98,480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4"/>
                <w:szCs w:val="14"/>
                <w:color w:val="auto"/>
              </w:rPr>
              <w:t>Payment of issuance costs for initial public offering and issuance of redeemable convertible preferred stock</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options to purchase common stock</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7880" w:type="dxa"/>
            <w:vAlign w:val="bottom"/>
          </w:tcPr>
          <w:p>
            <w:pPr>
              <w:ind w:left="2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9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133,442</w:t>
            </w:r>
          </w:p>
        </w:tc>
        <w:tc>
          <w:tcPr>
            <w:tcW w:w="0" w:type="dxa"/>
            <w:vAlign w:val="bottom"/>
          </w:tcPr>
          <w:p>
            <w:pPr>
              <w:spacing w:after="0"/>
              <w:rPr>
                <w:sz w:val="1"/>
                <w:szCs w:val="1"/>
                <w:color w:val="auto"/>
              </w:rPr>
            </w:pP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Series C redeemable convertible preferred stock</w:t>
            </w:r>
          </w:p>
        </w:tc>
        <w:tc>
          <w:tcPr>
            <w:tcW w:w="9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84"/>
        </w:trPr>
        <w:tc>
          <w:tcPr>
            <w:tcW w:w="788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99,873</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102,352</w:t>
            </w:r>
          </w:p>
        </w:tc>
        <w:tc>
          <w:tcPr>
            <w:tcW w:w="0" w:type="dxa"/>
            <w:vAlign w:val="bottom"/>
          </w:tcPr>
          <w:p>
            <w:pPr>
              <w:spacing w:after="0"/>
              <w:rPr>
                <w:sz w:val="1"/>
                <w:szCs w:val="1"/>
                <w:color w:val="auto"/>
              </w:rPr>
            </w:pPr>
          </w:p>
        </w:tc>
      </w:tr>
      <w:tr>
        <w:trPr>
          <w:trHeight w:val="18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(130,513)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69,957</w:t>
            </w: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297,208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45,415</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166,695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115,372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165,679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114,772</w:t>
            </w:r>
          </w:p>
        </w:tc>
        <w:tc>
          <w:tcPr>
            <w:tcW w:w="0" w:type="dxa"/>
            <w:vAlign w:val="bottom"/>
          </w:tcPr>
          <w:p>
            <w:pPr>
              <w:spacing w:after="0"/>
              <w:rPr>
                <w:sz w:val="1"/>
                <w:szCs w:val="1"/>
                <w:color w:val="auto"/>
              </w:rPr>
            </w:pPr>
          </w:p>
        </w:tc>
      </w:tr>
      <w:tr>
        <w:trPr>
          <w:trHeight w:val="18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cash, cash equivalents and restricted cash</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166,695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115,372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non-cash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8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tcPr>
          <w:p>
            <w:pPr>
              <w:ind w:left="20"/>
              <w:spacing w:after="0"/>
              <w:rPr>
                <w:sz w:val="20"/>
                <w:szCs w:val="20"/>
                <w:color w:val="auto"/>
              </w:rPr>
            </w:pPr>
            <w:r>
              <w:rPr>
                <w:rFonts w:ascii="Arial" w:cs="Arial" w:eastAsia="Arial" w:hAnsi="Arial"/>
                <w:sz w:val="14"/>
                <w:szCs w:val="14"/>
                <w:color w:val="auto"/>
              </w:rPr>
              <w:t>Deferred offering costs included in accrued expenses</w:t>
            </w: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 included in accrued expenses</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tcPr>
          <w:p>
            <w:pPr>
              <w:ind w:left="20"/>
              <w:spacing w:after="0"/>
              <w:rPr>
                <w:sz w:val="20"/>
                <w:szCs w:val="20"/>
                <w:color w:val="auto"/>
              </w:rPr>
            </w:pPr>
            <w:r>
              <w:rPr>
                <w:rFonts w:ascii="Arial" w:cs="Arial" w:eastAsia="Arial" w:hAnsi="Arial"/>
                <w:sz w:val="14"/>
                <w:szCs w:val="14"/>
                <w:color w:val="auto"/>
              </w:rPr>
              <w:t>Accretion of redeemable convertible preferred stock to redemption value</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8,046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PRAXIS PRECISION MEDICINES,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the Business</w:t>
      </w:r>
    </w:p>
    <w:p>
      <w:pPr>
        <w:spacing w:after="0" w:line="89" w:lineRule="exact"/>
        <w:rPr>
          <w:sz w:val="20"/>
          <w:szCs w:val="20"/>
          <w:color w:val="auto"/>
        </w:rPr>
      </w:pPr>
    </w:p>
    <w:p>
      <w:pPr>
        <w:ind w:right="20" w:firstLine="397"/>
        <w:spacing w:after="0" w:line="251" w:lineRule="auto"/>
        <w:rPr>
          <w:sz w:val="20"/>
          <w:szCs w:val="20"/>
          <w:color w:val="auto"/>
        </w:rPr>
      </w:pPr>
      <w:r>
        <w:rPr>
          <w:rFonts w:ascii="Arial" w:cs="Arial" w:eastAsia="Arial" w:hAnsi="Arial"/>
          <w:sz w:val="16"/>
          <w:szCs w:val="16"/>
          <w:color w:val="auto"/>
        </w:rPr>
        <w:t>Praxis Precision Medicines, Inc. (“Praxis” or the “Company”) is a clinical-stage biopharmaceutical company translating genetic insights into the development of therapies for central nervous system (“CNS”) disorders characterized by neuronal imbalance. The Company has established a broad portfolio, including multiple disclosed programs across CNS disorders, including depression, epilepsy, movement disorders and pain syndromes, with three clinical-stage product candidates. The Company intends to develop differentiated therapies that can deliver long-term benefits to human health by meaningfully impacting patients and society. The Company’s most advanced programs, PRAX-114 and PRAX-944, are currently in Phase 2/3 and Phase 2 development, respectively. PRAX-114 is an extrasynaptic GABA</w:t>
      </w:r>
      <w:r>
        <w:rPr>
          <w:rFonts w:ascii="Arial" w:cs="Arial" w:eastAsia="Arial" w:hAnsi="Arial"/>
          <w:sz w:val="14"/>
          <w:szCs w:val="14"/>
          <w:color w:val="auto"/>
        </w:rPr>
        <w:t>A</w:t>
      </w:r>
      <w:r>
        <w:rPr>
          <w:rFonts w:ascii="Arial" w:cs="Arial" w:eastAsia="Arial" w:hAnsi="Arial"/>
          <w:sz w:val="16"/>
          <w:szCs w:val="16"/>
          <w:color w:val="auto"/>
        </w:rPr>
        <w:t xml:space="preserve"> receptor preferring positive allosteric modulator currently being developed for the treatment of major depressive disorder and for the treatment of women with menopausal and mood symptoms. The Company plans to initiate Phase 2 trials of PRAX-114 in post-traumatic stress disorder and essential tremor ("ET") in the fourth quarter of 2021 and intends to disclose plans for a Phase 2b trial in women with menopausal and mood symptoms in the fourth quarter of 2021. PRAX-944 is a selective small molecule inhibitor of T-type calcium channels currently being developed for the treatment of ET. The Company plans to initiate a Phase 2 trial of PRAX-944 in Parkinson's disease in the first half of 2022. In addition, the Company completed a Phase 1 healthy volunteer trial of its third clinical program, PRAX-562, a persistent sodium current blocker, for the potential treatment of a broad range of rare CNS disorders, such as severe pediatric epilepsies and rare adult cephalgias. The Company plans to initiate a Phase 2 trial in rare adult cephalgias in the fourth quarter of 2021. In addition to the clinical programs, the Company has multiple disclosed preclinical and discovery product candidates in development for severe genetic epilepsies and multiple undisclosed preclinical and discovery product candidates for a range of CNS disorders.</w:t>
      </w:r>
    </w:p>
    <w:p>
      <w:pPr>
        <w:spacing w:after="0" w:line="192" w:lineRule="exact"/>
        <w:rPr>
          <w:sz w:val="20"/>
          <w:szCs w:val="20"/>
          <w:color w:val="auto"/>
        </w:rPr>
      </w:pPr>
    </w:p>
    <w:p>
      <w:pPr>
        <w:ind w:right="20" w:firstLine="397"/>
        <w:spacing w:after="0" w:line="254" w:lineRule="auto"/>
        <w:rPr>
          <w:sz w:val="20"/>
          <w:szCs w:val="20"/>
          <w:color w:val="auto"/>
        </w:rPr>
      </w:pPr>
      <w:r>
        <w:rPr>
          <w:rFonts w:ascii="Arial" w:cs="Arial" w:eastAsia="Arial" w:hAnsi="Arial"/>
          <w:sz w:val="16"/>
          <w:szCs w:val="16"/>
          <w:color w:val="auto"/>
        </w:rPr>
        <w:t>Praxis was incorporated in 2015 and commenced operations in 2016. The Company has funded its operations primarily with proceeds from the issuance of convertible debt and redeemable convertible preferred stock, and from the sale of common stock through an initial public offering and a follow-on public offering. From inception through September 30, 2021, the Company raised $509.4 million in aggregate cash proceeds from these transactions, net of issuance costs.</w:t>
      </w:r>
    </w:p>
    <w:p>
      <w:pPr>
        <w:spacing w:after="0" w:line="183" w:lineRule="exact"/>
        <w:rPr>
          <w:sz w:val="20"/>
          <w:szCs w:val="20"/>
          <w:color w:val="auto"/>
        </w:rPr>
      </w:pPr>
    </w:p>
    <w:p>
      <w:pPr>
        <w:ind w:right="120" w:firstLine="397"/>
        <w:spacing w:after="0" w:line="254" w:lineRule="auto"/>
        <w:rPr>
          <w:sz w:val="20"/>
          <w:szCs w:val="20"/>
          <w:color w:val="auto"/>
        </w:rPr>
      </w:pPr>
      <w:r>
        <w:rPr>
          <w:rFonts w:ascii="Arial" w:cs="Arial" w:eastAsia="Arial" w:hAnsi="Arial"/>
          <w:sz w:val="16"/>
          <w:szCs w:val="16"/>
          <w:color w:val="auto"/>
        </w:rPr>
        <w:t>In May 2021, the Company completed a follow-on public offering in which the Company issued and sold 5,750,000 shares of its common stock at a public offering price of $18.25 per share, including 750,000 shares of common stock issued and sold pursuant to the underwriters' exercise, in full, of their option to purchase additional shares of common stock, for aggregate gross proceeds of $104.9 million. The Company received approximately $98.4 million in net proceeds after deducting discounts, commissions and offering expenses payable by the Company.</w:t>
      </w:r>
    </w:p>
    <w:p>
      <w:pPr>
        <w:spacing w:after="0" w:line="183" w:lineRule="exact"/>
        <w:rPr>
          <w:sz w:val="20"/>
          <w:szCs w:val="20"/>
          <w:color w:val="auto"/>
        </w:rPr>
      </w:pPr>
    </w:p>
    <w:p>
      <w:pPr>
        <w:ind w:firstLine="397"/>
        <w:spacing w:after="0" w:line="252"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09" w:lineRule="exact"/>
        <w:rPr>
          <w:sz w:val="20"/>
          <w:szCs w:val="20"/>
          <w:color w:val="auto"/>
        </w:rPr>
      </w:pPr>
    </w:p>
    <w:p>
      <w:pPr>
        <w:ind w:right="80" w:firstLine="397"/>
        <w:spacing w:after="0" w:line="261" w:lineRule="auto"/>
        <w:rPr>
          <w:sz w:val="20"/>
          <w:szCs w:val="20"/>
          <w:color w:val="auto"/>
        </w:rPr>
      </w:pPr>
      <w:r>
        <w:rPr>
          <w:rFonts w:ascii="Arial" w:cs="Arial" w:eastAsia="Arial" w:hAnsi="Arial"/>
          <w:sz w:val="16"/>
          <w:szCs w:val="16"/>
          <w:color w:val="auto"/>
        </w:rPr>
        <w:t xml:space="preserve">In accordance with the Financial Accounting Standards Board (“FASB”) Accounting Standards Update (“ASU”) 2014-15, </w:t>
      </w:r>
      <w:r>
        <w:rPr>
          <w:rFonts w:ascii="Arial" w:cs="Arial" w:eastAsia="Arial" w:hAnsi="Arial"/>
          <w:sz w:val="16"/>
          <w:szCs w:val="16"/>
          <w:i w:val="1"/>
          <w:iCs w:val="1"/>
          <w:color w:val="auto"/>
        </w:rPr>
        <w:t>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 (Subtopic 205-40)</w:t>
      </w:r>
      <w:r>
        <w:rPr>
          <w:rFonts w:ascii="Arial" w:cs="Arial" w:eastAsia="Arial" w:hAnsi="Arial"/>
          <w:sz w:val="16"/>
          <w:szCs w:val="16"/>
          <w:color w:val="auto"/>
        </w:rPr>
        <w:t>, the Company has evaluated whether there are conditions and events, considered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aggregate, that raise substantial doubt about the Company’s ability to continue as a going concern within one year after the date that these condensed consolidated financial statements are issued.</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11" w:name="page12"/>
    <w:bookmarkEnd w:id="11"/>
    <w:p>
      <w:pPr>
        <w:ind w:left="4" w:right="100" w:firstLine="397"/>
        <w:spacing w:after="0" w:line="256" w:lineRule="auto"/>
        <w:rPr>
          <w:sz w:val="20"/>
          <w:szCs w:val="20"/>
          <w:color w:val="auto"/>
        </w:rPr>
      </w:pPr>
      <w:r>
        <w:rPr>
          <w:rFonts w:ascii="Arial" w:cs="Arial" w:eastAsia="Arial" w:hAnsi="Arial"/>
          <w:sz w:val="16"/>
          <w:szCs w:val="16"/>
          <w:color w:val="auto"/>
        </w:rPr>
        <w:t>The Company has incurred recurring losses since its inception, including net losses of $108.5 million for the nine months ended September 30, 2021. In addition, as of September 30, 2021, the Company had an accumulated deficit of $258.0 million. The Company expects to continue to generate operating losses for the foreseeable future.</w:t>
      </w:r>
    </w:p>
    <w:p>
      <w:pPr>
        <w:spacing w:after="0" w:line="181" w:lineRule="exact"/>
        <w:rPr>
          <w:sz w:val="20"/>
          <w:szCs w:val="20"/>
          <w:color w:val="auto"/>
        </w:rPr>
      </w:pPr>
    </w:p>
    <w:p>
      <w:pPr>
        <w:ind w:left="4" w:right="100" w:firstLine="397"/>
        <w:spacing w:after="0" w:line="253" w:lineRule="auto"/>
        <w:rPr>
          <w:sz w:val="20"/>
          <w:szCs w:val="20"/>
          <w:color w:val="auto"/>
        </w:rPr>
      </w:pPr>
      <w:r>
        <w:rPr>
          <w:rFonts w:ascii="Arial" w:cs="Arial" w:eastAsia="Arial" w:hAnsi="Arial"/>
          <w:sz w:val="16"/>
          <w:szCs w:val="16"/>
          <w:color w:val="auto"/>
        </w:rPr>
        <w:t>The Company expects that its cash, cash equivalents and marketable securities as of September 30, 2021 of $314.4 million will be sufficient to fund the operating expenses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59" w:lineRule="exact"/>
        <w:rPr>
          <w:sz w:val="20"/>
          <w:szCs w:val="20"/>
          <w:color w:val="auto"/>
        </w:rPr>
      </w:pPr>
    </w:p>
    <w:p>
      <w:pPr>
        <w:ind w:left="4" w:right="7700" w:hanging="4"/>
        <w:spacing w:after="0" w:line="389" w:lineRule="auto"/>
        <w:tabs>
          <w:tab w:leader="none" w:pos="18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left="4" w:firstLine="397"/>
        <w:spacing w:after="0" w:line="256"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81" w:lineRule="exact"/>
        <w:rPr>
          <w:sz w:val="20"/>
          <w:szCs w:val="20"/>
          <w:color w:val="auto"/>
        </w:rPr>
      </w:pPr>
    </w:p>
    <w:p>
      <w:pPr>
        <w:ind w:left="4" w:right="80" w:firstLine="397"/>
        <w:spacing w:after="0" w:line="256"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and nine months ended September 30, 2021 are consistent with those discussed in Note 2 to the consolidated financial statements included in the Company's 2020 Annual Report on Form 10-K, other than as noted below.</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Unaudited Interim Condensed Consolidated Financial Information</w:t>
      </w:r>
    </w:p>
    <w:p>
      <w:pPr>
        <w:spacing w:after="0" w:line="125" w:lineRule="exact"/>
        <w:rPr>
          <w:sz w:val="20"/>
          <w:szCs w:val="20"/>
          <w:color w:val="auto"/>
        </w:rPr>
      </w:pPr>
    </w:p>
    <w:p>
      <w:pPr>
        <w:ind w:left="4" w:firstLine="397"/>
        <w:spacing w:after="0" w:line="252" w:lineRule="auto"/>
        <w:rPr>
          <w:sz w:val="20"/>
          <w:szCs w:val="20"/>
          <w:color w:val="auto"/>
        </w:rPr>
      </w:pPr>
      <w:r>
        <w:rPr>
          <w:rFonts w:ascii="Arial" w:cs="Arial" w:eastAsia="Arial" w:hAnsi="Arial"/>
          <w:sz w:val="16"/>
          <w:szCs w:val="16"/>
          <w:color w:val="auto"/>
        </w:rPr>
        <w:t>The accompanying condensed consolidated balance sheet as of September 30, 2021, the condensed consolidated statements of operations for the three and nine months ended September 30, 2021 and 2020, the condensed consolidated statements of comprehensive loss for the three and nine months ended September 30, 2021 and 2020, the condensed consolidated statements of cash flows for the nine months ended September 30, 2021 and 2020 and the condensed consolidated statements of redeemable convertible preferred stock and stockholders’ equity (deficit) for the three and nine months ended September 30, 2021 and 2020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2021, the results of its operations for the three and nine months ended September 30, 2021 and 2020 and its cash flows for the nine months ended September 30, 2021 and 2020. Financial statement disclosures for the three and nine months ended September 30, 2021 and 2020 are condensed and do not include all disclosures required for an annual set of financial statements in accordance with GAAP.</w:t>
      </w:r>
    </w:p>
    <w:p>
      <w:pPr>
        <w:spacing w:after="0" w:line="185" w:lineRule="exact"/>
        <w:rPr>
          <w:sz w:val="20"/>
          <w:szCs w:val="20"/>
          <w:color w:val="auto"/>
        </w:rPr>
      </w:pPr>
    </w:p>
    <w:p>
      <w:pPr>
        <w:ind w:left="4" w:right="700" w:firstLine="397"/>
        <w:spacing w:after="0" w:line="262" w:lineRule="auto"/>
        <w:rPr>
          <w:sz w:val="20"/>
          <w:szCs w:val="20"/>
          <w:color w:val="auto"/>
        </w:rPr>
      </w:pPr>
      <w:r>
        <w:rPr>
          <w:rFonts w:ascii="Arial" w:cs="Arial" w:eastAsia="Arial" w:hAnsi="Arial"/>
          <w:sz w:val="16"/>
          <w:szCs w:val="16"/>
          <w:color w:val="auto"/>
        </w:rPr>
        <w:t>The results for the three and nine months ended September 30, 2021 are not necessarily indicative of results to be expected for the year ended December 31, 2021, any other interim periods, or any future year or period.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5" w:lineRule="exact"/>
        <w:rPr>
          <w:sz w:val="20"/>
          <w:szCs w:val="20"/>
          <w:color w:val="auto"/>
        </w:rPr>
      </w:pPr>
    </w:p>
    <w:p>
      <w:pPr>
        <w:ind w:left="4" w:right="80" w:firstLine="433"/>
        <w:spacing w:after="0" w:line="253"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 stock-based compensation expense, and the valuation of equity awards prior to the Company's initial public offering. Estimates are periodically reviewed in light of changes in circumstances, facts and experience. Changes in estimates are recorded in the period in which they become known.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7296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4"/>
          </w:cols>
          <w:pgMar w:left="316" w:top="101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125" w:lineRule="exact"/>
        <w:rPr>
          <w:sz w:val="20"/>
          <w:szCs w:val="20"/>
          <w:color w:val="auto"/>
        </w:rPr>
      </w:pPr>
    </w:p>
    <w:p>
      <w:pPr>
        <w:ind w:firstLine="397"/>
        <w:spacing w:after="0" w:line="252" w:lineRule="auto"/>
        <w:rPr>
          <w:sz w:val="20"/>
          <w:szCs w:val="20"/>
          <w:color w:val="auto"/>
        </w:rPr>
      </w:pPr>
      <w:r>
        <w:rPr>
          <w:rFonts w:ascii="Arial" w:cs="Arial" w:eastAsia="Arial" w:hAnsi="Arial"/>
          <w:sz w:val="16"/>
          <w:szCs w:val="16"/>
          <w:color w:val="auto"/>
        </w:rPr>
        <w:t>The Company invests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in its marketable securities. The Company has established guidelines relative to diversification and maturities that maintain safety and liquidity, and periodically reviews and modifies these guidelines to maximize trends in yields and interest rates without 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gain (loss), a component of stockholders’ equity. Realized gains and losses are included in the Company's condensed consolidated statements of operations. All of the Company's available-for-sale securities are available for use in its current operations. As a result, the Company has categorized all of these securities as current assets even though the stated maturity of some individual securities may be one year or more beyond the balance sheet date.</w:t>
      </w: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income, net of applicable taxes unless deemed other than temporary.</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44" w:lineRule="exact"/>
        <w:rPr>
          <w:sz w:val="20"/>
          <w:szCs w:val="20"/>
          <w:color w:val="auto"/>
        </w:rPr>
      </w:pPr>
    </w:p>
    <w:p>
      <w:pPr>
        <w:ind w:firstLine="397"/>
        <w:spacing w:after="0" w:line="257"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740)—Simplifying the Accounting for Income Taxes</w:t>
      </w:r>
      <w:r>
        <w:rPr>
          <w:rFonts w:ascii="Arial" w:cs="Arial" w:eastAsia="Arial" w:hAnsi="Arial"/>
          <w:sz w:val="16"/>
          <w:szCs w:val="16"/>
          <w:color w:val="auto"/>
        </w:rPr>
        <w:t xml:space="preserve"> ("ASU 2019-12"). The ASU simplifies the accounting for income taxes by eliminating certain exceptions to the guidance in ASC 740, Income Taxes, related to the approach for allocating income tax expense or benefit for the year to continuing operations, discontinued operations, other comprehensive income, and other charges or credits recorded directly to shareholders’ equity; the methodology for calculating income taxes in an interim period; and the recognition of deferred tax liabilities for outside basis differences. On January 1, 2021, the Company early adopted ASU 2019-12 on a prospective basis, with no material impact on its condensed consolidated financial statements and related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Issued Accounting Pronouncements</w:t>
      </w:r>
    </w:p>
    <w:p>
      <w:pPr>
        <w:spacing w:after="0" w:line="12" w:lineRule="exact"/>
        <w:rPr>
          <w:sz w:val="20"/>
          <w:szCs w:val="20"/>
          <w:color w:val="auto"/>
        </w:rPr>
      </w:pPr>
    </w:p>
    <w:p>
      <w:pPr>
        <w:ind w:right="160" w:firstLine="397"/>
        <w:spacing w:after="0" w:line="22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has been subsequently amended by ASU No. 2018-19, ASU No. 2019-04, ASU No. 2019-05, ASU No. 2019-10, ASU No. 2019-11 and</w:t>
      </w:r>
      <w:r>
        <w:rPr>
          <w:rFonts w:ascii="Arial" w:cs="Arial" w:eastAsia="Arial" w:hAnsi="Arial"/>
          <w:sz w:val="16"/>
          <w:szCs w:val="16"/>
          <w:i w:val="1"/>
          <w:iCs w:val="1"/>
          <w:color w:val="auto"/>
        </w:rPr>
        <w:t xml:space="preserve"> </w:t>
      </w:r>
      <w:r>
        <w:rPr>
          <w:rFonts w:ascii="Arial" w:cs="Arial" w:eastAsia="Arial" w:hAnsi="Arial"/>
          <w:sz w:val="16"/>
          <w:szCs w:val="16"/>
          <w:color w:val="auto"/>
        </w:rPr>
        <w:t>ASU No. 2020-03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Given the Company will lose its emerging growth company status on December 31, 2021, it expects to reflect the adoption of this standard in its annual report on Form 10-K for the year ended December 31, 2021. The Company is evaluating the potential impact that this standard may have on its financial position and results of operations, but does not expect the impact to be significant.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Marketable Securities</w:t>
      </w:r>
    </w:p>
    <w:p>
      <w:pPr>
        <w:spacing w:after="0" w:line="125" w:lineRule="exact"/>
        <w:rPr>
          <w:sz w:val="20"/>
          <w:szCs w:val="20"/>
          <w:color w:val="auto"/>
        </w:rPr>
      </w:pPr>
    </w:p>
    <w:p>
      <w:pPr>
        <w:ind w:right="300" w:firstLine="397"/>
        <w:spacing w:after="0" w:line="262" w:lineRule="auto"/>
        <w:rPr>
          <w:sz w:val="20"/>
          <w:szCs w:val="20"/>
          <w:color w:val="auto"/>
        </w:rPr>
      </w:pPr>
      <w:r>
        <w:rPr>
          <w:rFonts w:ascii="Arial" w:cs="Arial" w:eastAsia="Arial" w:hAnsi="Arial"/>
          <w:sz w:val="16"/>
          <w:szCs w:val="16"/>
          <w:color w:val="auto"/>
        </w:rPr>
        <w:t>The following is a summary of the Company's investment portfolio at September 30, 2021 (in thousands). The Company did not have any marketable securities as of December 31, 2020.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Gross Unrealized</w:t>
            </w:r>
          </w:p>
        </w:tc>
        <w:tc>
          <w:tcPr>
            <w:tcW w:w="280" w:type="dxa"/>
            <w:vAlign w:val="bottom"/>
          </w:tcPr>
          <w:p>
            <w:pPr>
              <w:spacing w:after="0"/>
              <w:rPr>
                <w:sz w:val="16"/>
                <w:szCs w:val="16"/>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Estimated</w:t>
            </w:r>
          </w:p>
        </w:tc>
      </w:tr>
      <w:tr>
        <w:trPr>
          <w:trHeight w:val="195"/>
        </w:trPr>
        <w:tc>
          <w:tcPr>
            <w:tcW w:w="6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Available-for-sale securities:</w:t>
            </w: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51,642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51,633</w:t>
            </w:r>
          </w:p>
        </w:tc>
      </w:tr>
      <w:tr>
        <w:trPr>
          <w:trHeight w:val="195"/>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41,976</w:t>
            </w:r>
          </w:p>
        </w:tc>
      </w:tr>
      <w:tr>
        <w:trPr>
          <w:trHeight w:val="189"/>
        </w:trPr>
        <w:tc>
          <w:tcPr>
            <w:tcW w:w="6100" w:type="dxa"/>
            <w:vAlign w:val="bottom"/>
          </w:tcPr>
          <w:p>
            <w:pPr>
              <w:ind w:left="20"/>
              <w:spacing w:after="0"/>
              <w:rPr>
                <w:sz w:val="20"/>
                <w:szCs w:val="20"/>
                <w:color w:val="auto"/>
              </w:rPr>
            </w:pPr>
            <w:r>
              <w:rPr>
                <w:rFonts w:ascii="Arial" w:cs="Arial" w:eastAsia="Arial" w:hAnsi="Arial"/>
                <w:sz w:val="14"/>
                <w:szCs w:val="14"/>
                <w:color w:val="auto"/>
              </w:rPr>
              <w:t>Debt securities issued by U.S. government agencies</w:t>
            </w: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12,162</w:t>
            </w:r>
          </w:p>
        </w:tc>
      </w:tr>
      <w:tr>
        <w:trPr>
          <w:trHeight w:val="19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debt securities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6,427</w:t>
            </w:r>
          </w:p>
        </w:tc>
      </w:tr>
      <w:tr>
        <w:trPr>
          <w:trHeight w:val="184"/>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securities with a maturity of one year or less</w:t>
            </w: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112,202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112,198</w:t>
            </w:r>
          </w:p>
        </w:tc>
      </w:tr>
      <w:tr>
        <w:trPr>
          <w:trHeight w:val="224"/>
        </w:trPr>
        <w:tc>
          <w:tcPr>
            <w:tcW w:w="6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debt securities</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36,493</w:t>
            </w:r>
          </w:p>
        </w:tc>
      </w:tr>
      <w:tr>
        <w:trPr>
          <w:trHeight w:val="184"/>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securities with a maturity of one to two years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36,493</w:t>
            </w:r>
          </w:p>
        </w:tc>
      </w:tr>
      <w:tr>
        <w:trPr>
          <w:trHeight w:val="187"/>
        </w:trPr>
        <w:tc>
          <w:tcPr>
            <w:tcW w:w="6100" w:type="dxa"/>
            <w:vAlign w:val="bottom"/>
          </w:tcPr>
          <w:p>
            <w:pPr>
              <w:ind w:left="20"/>
              <w:spacing w:after="0"/>
              <w:rPr>
                <w:sz w:val="20"/>
                <w:szCs w:val="20"/>
                <w:color w:val="auto"/>
              </w:rPr>
            </w:pPr>
            <w:r>
              <w:rPr>
                <w:rFonts w:ascii="Arial" w:cs="Arial" w:eastAsia="Arial" w:hAnsi="Arial"/>
                <w:sz w:val="14"/>
                <w:szCs w:val="14"/>
                <w:color w:val="auto"/>
              </w:rPr>
              <w:t>Total available-for-sale securities</w:t>
            </w: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148,716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148,691</w:t>
            </w: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40" w:firstLine="397"/>
        <w:spacing w:after="0" w:line="254" w:lineRule="auto"/>
        <w:rPr>
          <w:sz w:val="20"/>
          <w:szCs w:val="20"/>
          <w:color w:val="auto"/>
        </w:rPr>
      </w:pPr>
      <w:r>
        <w:rPr>
          <w:rFonts w:ascii="Arial" w:cs="Arial" w:eastAsia="Arial" w:hAnsi="Arial"/>
          <w:sz w:val="16"/>
          <w:szCs w:val="16"/>
          <w:color w:val="auto"/>
        </w:rPr>
        <w:t>As of September 30, 2021, the Company had 14 securities with a total fair market value of $87.5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w:t>
      </w:r>
    </w:p>
    <w:p>
      <w:pPr>
        <w:spacing w:after="0" w:line="87" w:lineRule="exact"/>
        <w:rPr>
          <w:sz w:val="20"/>
          <w:szCs w:val="20"/>
          <w:color w:val="auto"/>
        </w:rPr>
      </w:pPr>
    </w:p>
    <w:p>
      <w:pPr>
        <w:ind w:right="140" w:firstLine="397"/>
        <w:spacing w:after="0" w:line="262" w:lineRule="auto"/>
        <w:rPr>
          <w:sz w:val="20"/>
          <w:szCs w:val="20"/>
          <w:color w:val="auto"/>
        </w:rPr>
      </w:pPr>
      <w:r>
        <w:rPr>
          <w:rFonts w:ascii="Arial" w:cs="Arial" w:eastAsia="Arial" w:hAnsi="Arial"/>
          <w:sz w:val="16"/>
          <w:szCs w:val="16"/>
          <w:color w:val="auto"/>
        </w:rPr>
        <w:t>Securities are evaluated for impairment at the end of each reporting period. The Company did not record any impairment related to its available-for-sale securities during the three and nine months ended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25" w:lineRule="exact"/>
        <w:rPr>
          <w:sz w:val="20"/>
          <w:szCs w:val="20"/>
          <w:color w:val="auto"/>
        </w:rPr>
      </w:pPr>
    </w:p>
    <w:p>
      <w:pPr>
        <w:ind w:right="40" w:firstLine="397"/>
        <w:spacing w:after="0" w:line="256" w:lineRule="auto"/>
        <w:rPr>
          <w:sz w:val="20"/>
          <w:szCs w:val="20"/>
          <w:color w:val="auto"/>
        </w:rPr>
      </w:pPr>
      <w:r>
        <w:rPr>
          <w:rFonts w:ascii="Arial" w:cs="Arial" w:eastAsia="Arial" w:hAnsi="Arial"/>
          <w:sz w:val="16"/>
          <w:szCs w:val="16"/>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85" w:lineRule="exact"/>
        <w:rPr>
          <w:sz w:val="20"/>
          <w:szCs w:val="20"/>
          <w:color w:val="auto"/>
        </w:rPr>
      </w:pPr>
    </w:p>
    <w:p>
      <w:pPr>
        <w:ind w:left="560" w:hanging="27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assets;</w:t>
      </w:r>
    </w:p>
    <w:p>
      <w:pPr>
        <w:spacing w:after="0" w:line="104" w:lineRule="exact"/>
        <w:rPr>
          <w:rFonts w:ascii="Arial" w:cs="Arial" w:eastAsia="Arial" w:hAnsi="Arial"/>
          <w:sz w:val="16"/>
          <w:szCs w:val="16"/>
          <w:color w:val="auto"/>
        </w:rPr>
      </w:pPr>
    </w:p>
    <w:p>
      <w:pPr>
        <w:ind w:left="580" w:right="500" w:hanging="295"/>
        <w:spacing w:after="0" w:line="262"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Quoted prices for similar assets in active markets, quoted prices in markets that are not active, or inputs which are unobservable, either directly or indirectly, for substantially the full term of the asset; or</w:t>
      </w:r>
    </w:p>
    <w:p>
      <w:pPr>
        <w:spacing w:after="0" w:line="79" w:lineRule="exact"/>
        <w:rPr>
          <w:rFonts w:ascii="Arial" w:cs="Arial" w:eastAsia="Arial" w:hAnsi="Arial"/>
          <w:sz w:val="16"/>
          <w:szCs w:val="16"/>
          <w:color w:val="auto"/>
        </w:rPr>
      </w:pPr>
    </w:p>
    <w:p>
      <w:pPr>
        <w:ind w:left="560" w:hanging="27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Prices or valuation techniques that require inputs that are both significant to the valuation of the asset and unobservable.</w:t>
      </w:r>
    </w:p>
    <w:p>
      <w:pPr>
        <w:spacing w:after="0" w:line="105"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As of September 30, 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7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5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Money market funds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151,452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151,452</w:t>
            </w: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5"/>
        </w:trPr>
        <w:tc>
          <w:tcPr>
            <w:tcW w:w="5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Corporate debt securities</w:t>
            </w:r>
          </w:p>
        </w:tc>
        <w:tc>
          <w:tcPr>
            <w:tcW w:w="2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88,126</w:t>
            </w:r>
          </w:p>
        </w:tc>
      </w:tr>
      <w:tr>
        <w:trPr>
          <w:trHeight w:val="189"/>
        </w:trPr>
        <w:tc>
          <w:tcPr>
            <w:tcW w:w="5240" w:type="dxa"/>
            <w:vAlign w:val="bottom"/>
          </w:tcPr>
          <w:p>
            <w:pPr>
              <w:ind w:left="400"/>
              <w:spacing w:after="0"/>
              <w:rPr>
                <w:sz w:val="20"/>
                <w:szCs w:val="20"/>
                <w:color w:val="auto"/>
              </w:rPr>
            </w:pPr>
            <w:r>
              <w:rPr>
                <w:rFonts w:ascii="Arial" w:cs="Arial" w:eastAsia="Arial" w:hAnsi="Arial"/>
                <w:sz w:val="14"/>
                <w:szCs w:val="14"/>
                <w:color w:val="auto"/>
              </w:rPr>
              <w:t>Commercial paper</w:t>
            </w:r>
          </w:p>
        </w:tc>
        <w:tc>
          <w:tcPr>
            <w:tcW w:w="28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41,976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41,976</w:t>
            </w:r>
          </w:p>
        </w:tc>
      </w:tr>
      <w:tr>
        <w:trPr>
          <w:trHeight w:val="195"/>
        </w:trPr>
        <w:tc>
          <w:tcPr>
            <w:tcW w:w="5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Debt securities issued by U.S. government agencies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12,162</w:t>
            </w:r>
          </w:p>
        </w:tc>
      </w:tr>
      <w:tr>
        <w:trPr>
          <w:trHeight w:val="189"/>
        </w:trPr>
        <w:tc>
          <w:tcPr>
            <w:tcW w:w="524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Other debt securities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6,427</w:t>
            </w:r>
          </w:p>
        </w:tc>
      </w:tr>
      <w:tr>
        <w:trPr>
          <w:trHeight w:val="204"/>
        </w:trPr>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163,614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136,529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300,143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94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7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Money market funds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290,931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290,931</w:t>
            </w:r>
          </w:p>
        </w:tc>
      </w:tr>
      <w:tr>
        <w:trPr>
          <w:trHeight w:val="184"/>
        </w:trPr>
        <w:tc>
          <w:tcPr>
            <w:tcW w:w="52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290,931</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290,931</w:t>
            </w: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Accrued Expenses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expenses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external research and development expenses</w:t>
            </w:r>
          </w:p>
        </w:tc>
        <w:tc>
          <w:tcPr>
            <w:tcW w:w="56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4,206</w:t>
            </w:r>
          </w:p>
        </w:tc>
      </w:tr>
      <w:tr>
        <w:trPr>
          <w:trHeight w:val="189"/>
        </w:trPr>
        <w:tc>
          <w:tcPr>
            <w:tcW w:w="8100" w:type="dxa"/>
            <w:vAlign w:val="bottom"/>
          </w:tcPr>
          <w:p>
            <w:pPr>
              <w:ind w:left="20"/>
              <w:spacing w:after="0"/>
              <w:rPr>
                <w:sz w:val="20"/>
                <w:szCs w:val="20"/>
                <w:color w:val="auto"/>
              </w:rPr>
            </w:pPr>
            <w:r>
              <w:rPr>
                <w:rFonts w:ascii="Arial" w:cs="Arial" w:eastAsia="Arial" w:hAnsi="Arial"/>
                <w:sz w:val="14"/>
                <w:szCs w:val="14"/>
                <w:color w:val="auto"/>
              </w:rPr>
              <w:t>Accrued personnel-related expenses</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5,516</w:t>
            </w:r>
          </w:p>
        </w:tc>
      </w:tr>
      <w:tr>
        <w:trPr>
          <w:trHeight w:val="195"/>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services</w:t>
            </w: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r>
      <w:tr>
        <w:trPr>
          <w:trHeight w:val="18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other</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1,014</w:t>
            </w:r>
          </w:p>
        </w:tc>
      </w:tr>
      <w:tr>
        <w:trPr>
          <w:trHeight w:val="212"/>
        </w:trPr>
        <w:tc>
          <w:tcPr>
            <w:tcW w:w="81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accrued expenses</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Commitments and Contingencies</w:t>
      </w:r>
    </w:p>
    <w:p>
      <w:pPr>
        <w:spacing w:after="0" w:line="125" w:lineRule="exact"/>
        <w:rPr>
          <w:sz w:val="20"/>
          <w:szCs w:val="20"/>
          <w:color w:val="auto"/>
        </w:rPr>
      </w:pPr>
    </w:p>
    <w:p>
      <w:pPr>
        <w:ind w:right="220" w:firstLine="397"/>
        <w:spacing w:after="0" w:line="252" w:lineRule="auto"/>
        <w:rPr>
          <w:sz w:val="20"/>
          <w:szCs w:val="20"/>
          <w:color w:val="auto"/>
        </w:rPr>
      </w:pPr>
      <w:r>
        <w:rPr>
          <w:rFonts w:ascii="Arial" w:cs="Arial" w:eastAsia="Arial" w:hAnsi="Arial"/>
          <w:sz w:val="16"/>
          <w:szCs w:val="16"/>
          <w:color w:val="auto"/>
        </w:rPr>
        <w:t>In May 2021, the Company entered into a sublease agreement for office space located in Boston, Massachusetts, which became the Company's corporate headquarters beginning on October 1, 2021. The sublease expires on January 31, 2026, with no option to renew or terminate early. The base rent increases by approximately 2% annually. The Company issued a letter of credit to the landlord for $ 0.4 million related to the security deposit, secured by restricted cash, which is reflected within other non-current assets on the accompanying condensed consolidated balance sheet as of September 30, 2021. This lease qualifies as an operating lease. At inception, the Company recorded an operating lease right-of-use asset and operating lease liability of $4.1 million. As of September 30, 2021, the Company had an operating lease right-of-use asset of $3.8 million, current operating lease liability of approximately $0.5 million, and non-current operating lease liability of approximately $3.7 million included in the condensed consolidated balance sheet.</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Future lease payments under the non-cancellable sublease agreement as of September 30, 2021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Future Lease Payments</w:t>
            </w:r>
          </w:p>
        </w:tc>
      </w:tr>
      <w:tr>
        <w:trPr>
          <w:trHeight w:val="187"/>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84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1,160</w:t>
            </w:r>
          </w:p>
        </w:tc>
      </w:tr>
      <w:tr>
        <w:trPr>
          <w:trHeight w:val="195"/>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CCEEFF"/>
          </w:tcPr>
          <w:p>
            <w:pPr>
              <w:spacing w:after="0"/>
              <w:rPr>
                <w:sz w:val="16"/>
                <w:szCs w:val="16"/>
                <w:color w:val="auto"/>
              </w:rPr>
            </w:pPr>
          </w:p>
        </w:tc>
        <w:tc>
          <w:tcPr>
            <w:tcW w:w="2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1,270</w:t>
            </w:r>
          </w:p>
        </w:tc>
      </w:tr>
      <w:tr>
        <w:trPr>
          <w:trHeight w:val="189"/>
        </w:trPr>
        <w:tc>
          <w:tcPr>
            <w:tcW w:w="8840" w:type="dxa"/>
            <w:vAlign w:val="bottom"/>
          </w:tcPr>
          <w:p>
            <w:pPr>
              <w:ind w:left="20"/>
              <w:spacing w:after="0"/>
              <w:rPr>
                <w:sz w:val="20"/>
                <w:szCs w:val="20"/>
                <w:color w:val="auto"/>
              </w:rPr>
            </w:pPr>
            <w:r>
              <w:rPr>
                <w:rFonts w:ascii="Arial" w:cs="Arial" w:eastAsia="Arial" w:hAnsi="Arial"/>
                <w:sz w:val="14"/>
                <w:szCs w:val="14"/>
                <w:color w:val="auto"/>
              </w:rPr>
              <w:t>2024</w:t>
            </w:r>
          </w:p>
        </w:tc>
        <w:tc>
          <w:tcPr>
            <w:tcW w:w="240" w:type="dxa"/>
            <w:vAlign w:val="bottom"/>
          </w:tcPr>
          <w:p>
            <w:pPr>
              <w:spacing w:after="0"/>
              <w:rPr>
                <w:sz w:val="16"/>
                <w:szCs w:val="16"/>
                <w:color w:val="auto"/>
              </w:rPr>
            </w:pP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1,296</w:t>
            </w:r>
          </w:p>
        </w:tc>
      </w:tr>
      <w:tr>
        <w:trPr>
          <w:trHeight w:val="195"/>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40" w:type="dxa"/>
            <w:vAlign w:val="bottom"/>
            <w:shd w:val="clear" w:color="auto" w:fill="CCEEFF"/>
          </w:tcPr>
          <w:p>
            <w:pPr>
              <w:spacing w:after="0"/>
              <w:rPr>
                <w:sz w:val="16"/>
                <w:szCs w:val="16"/>
                <w:color w:val="auto"/>
              </w:rPr>
            </w:pPr>
          </w:p>
        </w:tc>
        <w:tc>
          <w:tcPr>
            <w:tcW w:w="2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w:t>
            </w:r>
          </w:p>
        </w:tc>
      </w:tr>
      <w:tr>
        <w:trPr>
          <w:trHeight w:val="18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r>
      <w:tr>
        <w:trPr>
          <w:trHeight w:val="184"/>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future lease payments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5,157</w:t>
            </w:r>
          </w:p>
        </w:tc>
      </w:tr>
      <w:tr>
        <w:trPr>
          <w:trHeight w:val="184"/>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interest</w:t>
            </w: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w:t>
            </w:r>
          </w:p>
        </w:tc>
      </w:tr>
      <w:tr>
        <w:trPr>
          <w:trHeight w:val="21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4,215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2021, the remaining lease term and discount rate of the sublease agreement was 4.3 years and 9.0%,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929" w:right="319" w:bottom="1440" w:gutter="0" w:footer="0" w:header="0"/>
        </w:sectPr>
      </w:pPr>
    </w:p>
    <w:bookmarkStart w:id="15" w:name="page16"/>
    <w:bookmarkEnd w:id="15"/>
    <w:p>
      <w:pPr>
        <w:ind w:left="4" w:right="40" w:firstLine="397"/>
        <w:spacing w:after="0" w:line="253" w:lineRule="auto"/>
        <w:rPr>
          <w:sz w:val="20"/>
          <w:szCs w:val="20"/>
          <w:color w:val="auto"/>
        </w:rPr>
      </w:pPr>
      <w:r>
        <w:rPr>
          <w:rFonts w:ascii="Arial" w:cs="Arial" w:eastAsia="Arial" w:hAnsi="Arial"/>
          <w:sz w:val="16"/>
          <w:szCs w:val="16"/>
          <w:color w:val="auto"/>
        </w:rPr>
        <w:t>In October 2018, the Company entered into a sublease agreement for office space located in Cambridge, Massachusetts that expires on December 31, 2021, with no option to renew or terminate early. The base rent increases by approximately 1% annually. The Company issued a letter of credit to the landlord for $0.6 million related to the security deposit, secured by restricted cash, which is reflected within prepaid expenses and other current assets on the accompanying condensed consolidated balance sheets as of September 30, 2021 and December 31, 2020, as the lease term expires less than twelve months from the condensed consolidated balance sheet dates. This lease qualifies as an operating lease.</w:t>
      </w:r>
    </w:p>
    <w:p>
      <w:pPr>
        <w:spacing w:after="0" w:line="261" w:lineRule="exact"/>
        <w:rPr>
          <w:sz w:val="20"/>
          <w:szCs w:val="20"/>
          <w:color w:val="auto"/>
        </w:rPr>
      </w:pPr>
    </w:p>
    <w:p>
      <w:pPr>
        <w:ind w:left="4" w:right="8340" w:hanging="4"/>
        <w:spacing w:after="0" w:line="389" w:lineRule="auto"/>
        <w:tabs>
          <w:tab w:leader="none" w:pos="18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Common Stock and Preferred Stock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left="4" w:right="620" w:firstLine="397"/>
        <w:spacing w:after="0" w:line="262" w:lineRule="auto"/>
        <w:rPr>
          <w:sz w:val="20"/>
          <w:szCs w:val="20"/>
          <w:color w:val="auto"/>
        </w:rPr>
      </w:pPr>
      <w:r>
        <w:rPr>
          <w:rFonts w:ascii="Arial" w:cs="Arial" w:eastAsia="Arial" w:hAnsi="Arial"/>
          <w:sz w:val="16"/>
          <w:szCs w:val="16"/>
          <w:color w:val="auto"/>
        </w:rPr>
        <w:t>As of September 30, 2021 and December 31, 2020, the authorized capital stock of the Company included 150,000,000 shares of common stock, $0.0001 par value.</w:t>
      </w:r>
    </w:p>
    <w:p>
      <w:pPr>
        <w:spacing w:after="0" w:line="79" w:lineRule="exact"/>
        <w:rPr>
          <w:sz w:val="20"/>
          <w:szCs w:val="20"/>
          <w:color w:val="auto"/>
        </w:rPr>
      </w:pPr>
    </w:p>
    <w:p>
      <w:pPr>
        <w:ind w:left="404"/>
        <w:spacing w:after="0"/>
        <w:rPr>
          <w:sz w:val="20"/>
          <w:szCs w:val="20"/>
          <w:color w:val="auto"/>
        </w:rPr>
      </w:pPr>
      <w:r>
        <w:rPr>
          <w:rFonts w:ascii="Arial" w:cs="Arial" w:eastAsia="Arial" w:hAnsi="Arial"/>
          <w:sz w:val="16"/>
          <w:szCs w:val="16"/>
          <w:color w:val="auto"/>
        </w:rPr>
        <w:t>As of September 30, 2021 and December 31, 2020, the Company did not hold any treasury shares.</w:t>
      </w:r>
    </w:p>
    <w:p>
      <w:pPr>
        <w:spacing w:after="0" w:line="27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Shares Reserved for Future Issuance</w:t>
      </w:r>
    </w:p>
    <w:p>
      <w:pPr>
        <w:spacing w:after="0" w:line="125" w:lineRule="exact"/>
        <w:rPr>
          <w:sz w:val="20"/>
          <w:szCs w:val="20"/>
          <w:color w:val="auto"/>
        </w:rPr>
      </w:pPr>
    </w:p>
    <w:p>
      <w:pPr>
        <w:ind w:left="404"/>
        <w:spacing w:after="0"/>
        <w:rPr>
          <w:sz w:val="20"/>
          <w:szCs w:val="20"/>
          <w:color w:val="auto"/>
        </w:rPr>
      </w:pPr>
      <w:r>
        <w:rPr>
          <w:rFonts w:ascii="Arial" w:cs="Arial" w:eastAsia="Arial" w:hAnsi="Arial"/>
          <w:sz w:val="16"/>
          <w:szCs w:val="16"/>
          <w:color w:val="auto"/>
        </w:rPr>
        <w:t>The Company has reserved the following shares of common stock for future issuance:</w:t>
      </w:r>
    </w:p>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322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5"/>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6,414,070</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5,944,546</w:t>
            </w:r>
          </w:p>
        </w:tc>
      </w:tr>
      <w:tr>
        <w:trPr>
          <w:trHeight w:val="189"/>
        </w:trPr>
        <w:tc>
          <w:tcPr>
            <w:tcW w:w="3220" w:type="dxa"/>
            <w:vAlign w:val="bottom"/>
          </w:tcPr>
          <w:p>
            <w:pPr>
              <w:ind w:left="20"/>
              <w:spacing w:after="0"/>
              <w:rPr>
                <w:sz w:val="20"/>
                <w:szCs w:val="20"/>
                <w:color w:val="auto"/>
              </w:rPr>
            </w:pPr>
            <w:r>
              <w:rPr>
                <w:rFonts w:ascii="Arial" w:cs="Arial" w:eastAsia="Arial" w:hAnsi="Arial"/>
                <w:sz w:val="14"/>
                <w:szCs w:val="14"/>
                <w:color w:val="auto"/>
              </w:rPr>
              <w:t>Shares reserved for future awards under the 2020</w:t>
            </w:r>
          </w:p>
        </w:tc>
        <w:tc>
          <w:tcPr>
            <w:tcW w:w="4880" w:type="dxa"/>
            <w:vAlign w:val="bottom"/>
          </w:tcPr>
          <w:p>
            <w:pPr>
              <w:ind w:left="20"/>
              <w:spacing w:after="0"/>
              <w:rPr>
                <w:sz w:val="20"/>
                <w:szCs w:val="20"/>
                <w:color w:val="auto"/>
              </w:rPr>
            </w:pPr>
            <w:r>
              <w:rPr>
                <w:rFonts w:ascii="Arial" w:cs="Arial" w:eastAsia="Arial" w:hAnsi="Arial"/>
                <w:sz w:val="14"/>
                <w:szCs w:val="14"/>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4"/>
                <w:szCs w:val="14"/>
                <w:color w:val="auto"/>
              </w:rPr>
              <w:t>3,011,438</w:t>
            </w:r>
          </w:p>
        </w:tc>
        <w:tc>
          <w:tcPr>
            <w:tcW w:w="10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3,036,776</w:t>
            </w:r>
          </w:p>
        </w:tc>
      </w:tr>
      <w:tr>
        <w:trPr>
          <w:trHeight w:val="195"/>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reserved for future awards under the 2020</w:t>
            </w:r>
          </w:p>
        </w:tc>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654,204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327,102</w:t>
            </w:r>
          </w:p>
        </w:tc>
      </w:tr>
      <w:tr>
        <w:trPr>
          <w:trHeight w:val="18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383,196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2"/>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10,462,908</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9,308,424</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Preferred Stock</w:t>
      </w:r>
    </w:p>
    <w:p>
      <w:pPr>
        <w:spacing w:after="0" w:line="125" w:lineRule="exact"/>
        <w:rPr>
          <w:sz w:val="20"/>
          <w:szCs w:val="20"/>
          <w:color w:val="auto"/>
        </w:rPr>
      </w:pPr>
    </w:p>
    <w:p>
      <w:pPr>
        <w:ind w:left="4" w:right="140" w:firstLine="397"/>
        <w:spacing w:after="0" w:line="262" w:lineRule="auto"/>
        <w:rPr>
          <w:sz w:val="20"/>
          <w:szCs w:val="20"/>
          <w:color w:val="auto"/>
        </w:rPr>
      </w:pPr>
      <w:r>
        <w:rPr>
          <w:rFonts w:ascii="Arial" w:cs="Arial" w:eastAsia="Arial" w:hAnsi="Arial"/>
          <w:sz w:val="16"/>
          <w:szCs w:val="16"/>
          <w:color w:val="auto"/>
        </w:rPr>
        <w:t>As of September 30, 2021 and December 31, 2020, the authorized capital stock of the Company included 10,000,000 shares of undesignated preferred stock, $0.0001 par value.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8. Stock-Based Compensation</w:t>
      </w:r>
    </w:p>
    <w:p>
      <w:pPr>
        <w:spacing w:after="0" w:line="10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2020 Stock Option and Incentive Plan</w:t>
      </w:r>
    </w:p>
    <w:p>
      <w:pPr>
        <w:spacing w:after="0" w:line="125" w:lineRule="exact"/>
        <w:rPr>
          <w:sz w:val="20"/>
          <w:szCs w:val="20"/>
          <w:color w:val="auto"/>
        </w:rPr>
      </w:pPr>
    </w:p>
    <w:p>
      <w:pPr>
        <w:ind w:left="4" w:right="900" w:firstLine="397"/>
        <w:spacing w:after="0" w:line="262" w:lineRule="auto"/>
        <w:rPr>
          <w:sz w:val="20"/>
          <w:szCs w:val="20"/>
          <w:color w:val="auto"/>
        </w:rPr>
      </w:pPr>
      <w:r>
        <w:rPr>
          <w:rFonts w:ascii="Arial" w:cs="Arial" w:eastAsia="Arial" w:hAnsi="Arial"/>
          <w:sz w:val="16"/>
          <w:szCs w:val="16"/>
          <w:color w:val="auto"/>
        </w:rPr>
        <w:t>The total number of shares of common stock authorized for issuance under the 2020 Stock Option and Incentive Plan (the "2020 Plan”) as of September 30, 2021 and December 31, 2020 was 5,184,455 shares and 3,271,028 shares, respectively.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2017 Stock Incentive Plan</w:t>
      </w:r>
    </w:p>
    <w:p>
      <w:pPr>
        <w:spacing w:after="0" w:line="125" w:lineRule="exact"/>
        <w:rPr>
          <w:sz w:val="20"/>
          <w:szCs w:val="20"/>
          <w:color w:val="auto"/>
        </w:rPr>
      </w:pPr>
    </w:p>
    <w:p>
      <w:pPr>
        <w:ind w:left="4" w:right="80" w:firstLine="397"/>
        <w:spacing w:after="0" w:line="256" w:lineRule="auto"/>
        <w:rPr>
          <w:sz w:val="20"/>
          <w:szCs w:val="20"/>
          <w:color w:val="auto"/>
        </w:rPr>
      </w:pPr>
      <w:r>
        <w:rPr>
          <w:rFonts w:ascii="Arial" w:cs="Arial" w:eastAsia="Arial" w:hAnsi="Arial"/>
          <w:sz w:val="16"/>
          <w:szCs w:val="16"/>
          <w:color w:val="auto"/>
        </w:rPr>
        <w:t>The total number of shares of common stock authorized for issuance under the 2017 Stock Incentive Plan (the "2017 Plan”) as of September 30, 2021 and December 31, 2020 was 5,937,763 shares. Any authorization to issue new options under the 2017 Plan was cancelled upon the effectiveness of the 2020 Plan and no further awards will be granted under the 2017 Plan.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2020 Employee Stock Purchase Plan</w:t>
      </w:r>
    </w:p>
    <w:p>
      <w:pPr>
        <w:spacing w:after="0" w:line="125" w:lineRule="exact"/>
        <w:rPr>
          <w:sz w:val="20"/>
          <w:szCs w:val="20"/>
          <w:color w:val="auto"/>
        </w:rPr>
      </w:pPr>
    </w:p>
    <w:p>
      <w:pPr>
        <w:ind w:left="4" w:right="840" w:firstLine="397"/>
        <w:spacing w:after="0" w:line="262" w:lineRule="auto"/>
        <w:rPr>
          <w:sz w:val="20"/>
          <w:szCs w:val="20"/>
          <w:color w:val="auto"/>
        </w:rPr>
      </w:pPr>
      <w:r>
        <w:rPr>
          <w:rFonts w:ascii="Arial" w:cs="Arial" w:eastAsia="Arial" w:hAnsi="Arial"/>
          <w:sz w:val="16"/>
          <w:szCs w:val="16"/>
          <w:color w:val="auto"/>
        </w:rPr>
        <w:t>The total number of shares of common stock authorized for issuance under the 2020 Employee Stock Purchase Plan (the "2020 ESPP”) as of September 30, 2021 and December 31, 2020 was 654,204 shares and 327,102 shares,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7296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920"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Company’s restricted stock unit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100" w:type="dxa"/>
            <w:vAlign w:val="bottom"/>
          </w:tcPr>
          <w:p>
            <w:pPr>
              <w:spacing w:after="0"/>
              <w:rPr>
                <w:sz w:val="12"/>
                <w:szCs w:val="12"/>
                <w:color w:val="auto"/>
              </w:rPr>
            </w:pPr>
          </w:p>
        </w:tc>
        <w:tc>
          <w:tcPr>
            <w:tcW w:w="15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8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as of December 31, 2020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100" w:type="dxa"/>
            <w:vAlign w:val="bottom"/>
          </w:tcPr>
          <w:p>
            <w:pPr>
              <w:ind w:left="200"/>
              <w:spacing w:after="0"/>
              <w:rPr>
                <w:sz w:val="20"/>
                <w:szCs w:val="20"/>
                <w:color w:val="auto"/>
              </w:rPr>
            </w:pPr>
            <w:r>
              <w:rPr>
                <w:rFonts w:ascii="Arial" w:cs="Arial" w:eastAsia="Arial" w:hAnsi="Arial"/>
                <w:sz w:val="14"/>
                <w:szCs w:val="14"/>
                <w:color w:val="auto"/>
              </w:rPr>
              <w:t>Issued</w:t>
            </w:r>
          </w:p>
        </w:tc>
        <w:tc>
          <w:tcPr>
            <w:tcW w:w="1520" w:type="dxa"/>
            <w:vAlign w:val="bottom"/>
          </w:tcPr>
          <w:p>
            <w:pPr>
              <w:jc w:val="right"/>
              <w:spacing w:after="0"/>
              <w:rPr>
                <w:sz w:val="20"/>
                <w:szCs w:val="20"/>
                <w:color w:val="auto"/>
              </w:rPr>
            </w:pPr>
            <w:r>
              <w:rPr>
                <w:rFonts w:ascii="Arial" w:cs="Arial" w:eastAsia="Arial" w:hAnsi="Arial"/>
                <w:sz w:val="14"/>
                <w:szCs w:val="14"/>
                <w:color w:val="auto"/>
              </w:rPr>
              <w:t>403,113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46.57</w:t>
            </w:r>
          </w:p>
        </w:tc>
        <w:tc>
          <w:tcPr>
            <w:tcW w:w="0" w:type="dxa"/>
            <w:vAlign w:val="bottom"/>
          </w:tcPr>
          <w:p>
            <w:pPr>
              <w:spacing w:after="0"/>
              <w:rPr>
                <w:sz w:val="1"/>
                <w:szCs w:val="1"/>
                <w:color w:val="auto"/>
              </w:rPr>
            </w:pPr>
          </w:p>
        </w:tc>
      </w:tr>
      <w:tr>
        <w:trPr>
          <w:trHeight w:val="195"/>
        </w:trPr>
        <w:tc>
          <w:tcPr>
            <w:tcW w:w="8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Vested</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46.35</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as of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383,196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Company’s stock option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ind w:left="388"/>
              <w:spacing w:after="0" w:line="145"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28"/>
              <w:spacing w:after="0" w:line="145" w:lineRule="exact"/>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1120" w:type="dxa"/>
            <w:vAlign w:val="bottom"/>
          </w:tcPr>
          <w:p>
            <w:pPr>
              <w:jc w:val="center"/>
              <w:ind w:left="208"/>
              <w:spacing w:after="0" w:line="145" w:lineRule="exact"/>
              <w:rPr>
                <w:sz w:val="20"/>
                <w:szCs w:val="20"/>
                <w:color w:val="auto"/>
              </w:rPr>
            </w:pPr>
            <w:r>
              <w:rPr>
                <w:rFonts w:ascii="Arial" w:cs="Arial" w:eastAsia="Arial" w:hAnsi="Arial"/>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68"/>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28"/>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(In years)</w:t>
            </w: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2020</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5,944,546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1,644,153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(765,528)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18,009</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(409,101)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September 30, 2021</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6,414,070</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8.80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54,154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as of September 30, 2021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80" w:type="dxa"/>
            <w:vAlign w:val="bottom"/>
            <w:vMerge w:val="continue"/>
          </w:tcPr>
          <w:p>
            <w:pPr>
              <w:spacing w:after="0"/>
              <w:rPr>
                <w:sz w:val="13"/>
                <w:szCs w:val="13"/>
                <w:color w:val="auto"/>
              </w:rPr>
            </w:pPr>
          </w:p>
        </w:tc>
        <w:tc>
          <w:tcPr>
            <w:tcW w:w="13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1,702,574</w:t>
            </w:r>
          </w:p>
        </w:tc>
        <w:tc>
          <w:tcPr>
            <w:tcW w:w="80" w:type="dxa"/>
            <w:vAlign w:val="bottom"/>
          </w:tcPr>
          <w:p>
            <w:pPr>
              <w:spacing w:after="0"/>
              <w:rPr>
                <w:sz w:val="13"/>
                <w:szCs w:val="13"/>
                <w:color w:val="auto"/>
              </w:rPr>
            </w:pPr>
          </w:p>
        </w:tc>
        <w:tc>
          <w:tcPr>
            <w:tcW w:w="1100" w:type="dxa"/>
            <w:vAlign w:val="bottom"/>
          </w:tcPr>
          <w:p>
            <w:pPr>
              <w:jc w:val="right"/>
              <w:ind w:right="928"/>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7" w:lineRule="exact"/>
              <w:rPr>
                <w:sz w:val="20"/>
                <w:szCs w:val="20"/>
                <w:color w:val="auto"/>
              </w:rPr>
            </w:pPr>
            <w:r>
              <w:rPr>
                <w:rFonts w:ascii="Arial" w:cs="Arial" w:eastAsia="Arial" w:hAnsi="Arial"/>
                <w:sz w:val="14"/>
                <w:szCs w:val="14"/>
                <w:color w:val="auto"/>
              </w:rPr>
              <w:t>6.17</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jc w:val="right"/>
              <w:spacing w:after="0" w:line="157" w:lineRule="exact"/>
              <w:rPr>
                <w:sz w:val="20"/>
                <w:szCs w:val="20"/>
                <w:color w:val="auto"/>
              </w:rPr>
            </w:pPr>
            <w:r>
              <w:rPr>
                <w:rFonts w:ascii="Arial" w:cs="Arial" w:eastAsia="Arial" w:hAnsi="Arial"/>
                <w:sz w:val="14"/>
                <w:szCs w:val="14"/>
                <w:color w:val="auto"/>
                <w:w w:val="95"/>
              </w:rPr>
              <w:t>8.23</w:t>
            </w:r>
          </w:p>
        </w:tc>
        <w:tc>
          <w:tcPr>
            <w:tcW w:w="100" w:type="dxa"/>
            <w:vAlign w:val="bottom"/>
          </w:tcPr>
          <w:p>
            <w:pPr>
              <w:spacing w:after="0"/>
              <w:rPr>
                <w:sz w:val="13"/>
                <w:szCs w:val="13"/>
                <w:color w:val="auto"/>
              </w:rPr>
            </w:pP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line="157" w:lineRule="exact"/>
              <w:rPr>
                <w:sz w:val="20"/>
                <w:szCs w:val="20"/>
                <w:color w:val="auto"/>
              </w:rPr>
            </w:pPr>
            <w:r>
              <w:rPr>
                <w:rFonts w:ascii="Arial" w:cs="Arial" w:eastAsia="Arial" w:hAnsi="Arial"/>
                <w:sz w:val="14"/>
                <w:szCs w:val="14"/>
                <w:color w:val="auto"/>
              </w:rPr>
              <w:t>21,152</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as of September 30, 2021</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6,414,070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8.80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54,154</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80" w:firstLine="397"/>
        <w:spacing w:after="0" w:line="253" w:lineRule="auto"/>
        <w:rPr>
          <w:sz w:val="20"/>
          <w:szCs w:val="20"/>
          <w:color w:val="auto"/>
        </w:rPr>
      </w:pPr>
      <w:r>
        <w:rPr>
          <w:rFonts w:ascii="Arial" w:cs="Arial" w:eastAsia="Arial" w:hAnsi="Arial"/>
          <w:sz w:val="16"/>
          <w:szCs w:val="16"/>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September 30, 2021.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Valuation</w:t>
      </w:r>
    </w:p>
    <w:p>
      <w:pPr>
        <w:spacing w:after="0" w:line="121" w:lineRule="exact"/>
        <w:rPr>
          <w:sz w:val="20"/>
          <w:szCs w:val="20"/>
          <w:color w:val="auto"/>
        </w:rPr>
      </w:pPr>
    </w:p>
    <w:p>
      <w:pPr>
        <w:ind w:right="380" w:firstLine="397"/>
        <w:spacing w:after="0" w:line="262" w:lineRule="auto"/>
        <w:rPr>
          <w:sz w:val="20"/>
          <w:szCs w:val="20"/>
          <w:color w:val="auto"/>
        </w:rPr>
      </w:pPr>
      <w:r>
        <w:rPr>
          <w:rFonts w:ascii="Arial" w:cs="Arial" w:eastAsia="Arial" w:hAnsi="Arial"/>
          <w:sz w:val="16"/>
          <w:szCs w:val="16"/>
          <w:color w:val="auto"/>
        </w:rPr>
        <w:t>The weighted-average assumptions that the Company used in the Black-Scholes option pricing model to determine the grant-date fair value of stock options granted to employees and non-employees on the date of grant were as follows for the three and nine months ended September 30,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712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7120" w:type="dxa"/>
            <w:vAlign w:val="bottom"/>
            <w:tcBorders>
              <w:bottom w:val="single" w:sz="8" w:color="CCEEFF"/>
            </w:tcBorders>
          </w:tcPr>
          <w:p>
            <w:pPr>
              <w:spacing w:after="0"/>
              <w:rPr>
                <w:sz w:val="16"/>
                <w:szCs w:val="16"/>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0.77 %</w:t>
            </w:r>
          </w:p>
        </w:tc>
      </w:tr>
      <w:tr>
        <w:trPr>
          <w:trHeight w:val="189"/>
        </w:trPr>
        <w:tc>
          <w:tcPr>
            <w:tcW w:w="712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202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6.10</w:t>
            </w:r>
          </w:p>
        </w:tc>
      </w:tr>
      <w:tr>
        <w:trPr>
          <w:trHeight w:val="19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85.98 %</w:t>
            </w: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85.60 %</w:t>
            </w:r>
          </w:p>
        </w:tc>
      </w:tr>
      <w:tr>
        <w:trPr>
          <w:trHeight w:val="186"/>
        </w:trPr>
        <w:tc>
          <w:tcPr>
            <w:tcW w:w="712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1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020" w:type="dxa"/>
            <w:vAlign w:val="bottom"/>
          </w:tcPr>
          <w:p>
            <w:pPr>
              <w:jc w:val="right"/>
              <w:spacing w:after="0"/>
              <w:rPr>
                <w:sz w:val="20"/>
                <w:szCs w:val="20"/>
                <w:color w:val="auto"/>
              </w:rPr>
            </w:pPr>
            <w:r>
              <w:rPr>
                <w:rFonts w:ascii="Arial" w:cs="Arial" w:eastAsia="Arial" w:hAnsi="Arial"/>
                <w:sz w:val="14"/>
                <w:szCs w:val="14"/>
                <w:color w:val="auto"/>
              </w:rPr>
              <w:t>— %</w:t>
            </w:r>
          </w:p>
        </w:tc>
      </w:tr>
    </w:tbl>
    <w:p>
      <w:pPr>
        <w:spacing w:after="0" w:line="270" w:lineRule="exact"/>
        <w:rPr>
          <w:sz w:val="20"/>
          <w:szCs w:val="20"/>
          <w:color w:val="auto"/>
        </w:rPr>
      </w:pPr>
    </w:p>
    <w:p>
      <w:pPr>
        <w:ind w:right="240" w:firstLine="397"/>
        <w:spacing w:after="0" w:line="262" w:lineRule="auto"/>
        <w:rPr>
          <w:sz w:val="20"/>
          <w:szCs w:val="20"/>
          <w:color w:val="auto"/>
        </w:rPr>
      </w:pPr>
      <w:r>
        <w:rPr>
          <w:rFonts w:ascii="Arial" w:cs="Arial" w:eastAsia="Arial" w:hAnsi="Arial"/>
          <w:sz w:val="16"/>
          <w:szCs w:val="16"/>
          <w:color w:val="auto"/>
        </w:rPr>
        <w:t>The weighted-average grant-date fair value of the Company’s stock options granted during the three and nine months ended September 30, 2021 was $13.45 per share and $30.91 per share, respectively.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Stock-based compensation expense was allocated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4"/>
        </w:trPr>
        <w:tc>
          <w:tcPr>
            <w:tcW w:w="5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5"/>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2,787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w:t>
            </w:r>
          </w:p>
        </w:tc>
      </w:tr>
      <w:tr>
        <w:trPr>
          <w:trHeight w:val="18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3,734</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9,451</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w:t>
            </w:r>
          </w:p>
        </w:tc>
      </w:tr>
      <w:tr>
        <w:trPr>
          <w:trHeight w:val="209"/>
        </w:trPr>
        <w:tc>
          <w:tcPr>
            <w:tcW w:w="52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stock-based compensation expense</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6,521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16,587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right="220" w:firstLine="397"/>
        <w:spacing w:after="0" w:line="262" w:lineRule="auto"/>
        <w:rPr>
          <w:sz w:val="20"/>
          <w:szCs w:val="20"/>
          <w:color w:val="auto"/>
        </w:rPr>
      </w:pPr>
      <w:r>
        <w:rPr>
          <w:rFonts w:ascii="Arial" w:cs="Arial" w:eastAsia="Arial" w:hAnsi="Arial"/>
          <w:sz w:val="16"/>
          <w:szCs w:val="16"/>
          <w:color w:val="auto"/>
        </w:rPr>
        <w:t>As of September 30, 2021, total unrecognized compensation expense related to unvested stock-based awards was $75.2 million, which is expected to be recognized over a weighted-average period of 2.85 years.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Net Loss per Share</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 and diluted net loss per share attributable to common stockholders was calculated as follows (in thousands, except share and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(44,705)</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(16,216)</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(108,479)</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(36,114)</w:t>
            </w:r>
          </w:p>
        </w:tc>
        <w:tc>
          <w:tcPr>
            <w:tcW w:w="0" w:type="dxa"/>
            <w:vAlign w:val="bottom"/>
          </w:tcPr>
          <w:p>
            <w:pPr>
              <w:spacing w:after="0"/>
              <w:rPr>
                <w:sz w:val="1"/>
                <w:szCs w:val="1"/>
                <w:color w:val="auto"/>
              </w:rPr>
            </w:pPr>
          </w:p>
        </w:tc>
      </w:tr>
      <w:tr>
        <w:trPr>
          <w:trHeight w:val="195"/>
        </w:trPr>
        <w:tc>
          <w:tcPr>
            <w:tcW w:w="5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Accretion and cumulative dividends on redeemable convertible preferred stock</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w:t>
            </w:r>
          </w:p>
        </w:tc>
        <w:tc>
          <w:tcPr>
            <w:tcW w:w="0" w:type="dxa"/>
            <w:vAlign w:val="bottom"/>
          </w:tcPr>
          <w:p>
            <w:pPr>
              <w:spacing w:after="0"/>
              <w:rPr>
                <w:sz w:val="1"/>
                <w:szCs w:val="1"/>
                <w:color w:val="auto"/>
              </w:rPr>
            </w:pPr>
          </w:p>
        </w:tc>
      </w:tr>
      <w:tr>
        <w:trPr>
          <w:trHeight w:val="189"/>
        </w:trPr>
        <w:tc>
          <w:tcPr>
            <w:tcW w:w="5640" w:type="dxa"/>
            <w:vAlign w:val="bottom"/>
          </w:tcPr>
          <w:p>
            <w:pPr>
              <w:ind w:left="200"/>
              <w:spacing w:after="0"/>
              <w:rPr>
                <w:sz w:val="20"/>
                <w:szCs w:val="20"/>
                <w:color w:val="auto"/>
              </w:rPr>
            </w:pPr>
            <w:r>
              <w:rPr>
                <w:rFonts w:ascii="Arial" w:cs="Arial" w:eastAsia="Arial" w:hAnsi="Arial"/>
                <w:sz w:val="14"/>
                <w:szCs w:val="14"/>
                <w:color w:val="auto"/>
              </w:rPr>
              <w:t>Gain on repurchase of redeemable convertible preferred stock</w:t>
            </w:r>
          </w:p>
        </w:tc>
        <w:tc>
          <w:tcPr>
            <w:tcW w:w="3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(43,667)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5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Weighted average common shares outstanding,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44,714,941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1,665,902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41,608,017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1,645,982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640" w:type="dxa"/>
            <w:vAlign w:val="bottom"/>
            <w:vMerge w:val="continue"/>
          </w:tcPr>
          <w:p>
            <w:pPr>
              <w:spacing w:after="0"/>
              <w:rPr>
                <w:sz w:val="13"/>
                <w:szCs w:val="1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340" w:firstLine="397"/>
        <w:spacing w:after="0" w:line="262" w:lineRule="auto"/>
        <w:rPr>
          <w:sz w:val="20"/>
          <w:szCs w:val="20"/>
          <w:color w:val="auto"/>
        </w:rPr>
      </w:pPr>
      <w:r>
        <w:rPr>
          <w:rFonts w:ascii="Arial" w:cs="Arial" w:eastAsia="Arial" w:hAnsi="Arial"/>
          <w:sz w:val="16"/>
          <w:szCs w:val="16"/>
          <w:color w:val="auto"/>
        </w:rPr>
        <w:t>The following potential shares of common stock, presented based on amounts outstanding at each period end, were excluded from the calculation of diluted net loss per share attributable to common stockholders for the periods indicated because including them would have been anti-dilutive: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50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88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4"/>
        </w:trPr>
        <w:tc>
          <w:tcPr>
            <w:tcW w:w="55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6,414,070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5,814,944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6,414,070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5,814,944</w:t>
            </w: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Unvested restricted common stock and restricted stock units</w:t>
            </w:r>
          </w:p>
        </w:tc>
        <w:tc>
          <w:tcPr>
            <w:tcW w:w="1380" w:type="dxa"/>
            <w:vAlign w:val="bottom"/>
          </w:tcPr>
          <w:p>
            <w:pPr>
              <w:jc w:val="right"/>
              <w:spacing w:after="0"/>
              <w:rPr>
                <w:sz w:val="20"/>
                <w:szCs w:val="20"/>
                <w:color w:val="auto"/>
              </w:rPr>
            </w:pPr>
            <w:r>
              <w:rPr>
                <w:rFonts w:ascii="Arial" w:cs="Arial" w:eastAsia="Arial" w:hAnsi="Arial"/>
                <w:sz w:val="14"/>
                <w:szCs w:val="14"/>
                <w:color w:val="auto"/>
              </w:rPr>
              <w:t>383,196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8,763</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383,196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8,763</w:t>
            </w:r>
          </w:p>
        </w:tc>
      </w:tr>
      <w:tr>
        <w:trPr>
          <w:trHeight w:val="19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3,773,820</w:t>
            </w: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3,773,820</w:t>
            </w: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Series B redeemable convertible preferred stock</w:t>
            </w:r>
          </w:p>
        </w:tc>
        <w:tc>
          <w:tcPr>
            <w:tcW w:w="196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6,969,173</w:t>
            </w:r>
          </w:p>
        </w:tc>
        <w:tc>
          <w:tcPr>
            <w:tcW w:w="100" w:type="dxa"/>
            <w:vAlign w:val="bottom"/>
          </w:tcPr>
          <w:p>
            <w:pPr>
              <w:spacing w:after="0"/>
              <w:rPr>
                <w:sz w:val="16"/>
                <w:szCs w:val="16"/>
                <w:color w:val="auto"/>
              </w:rPr>
            </w:pPr>
          </w:p>
        </w:tc>
        <w:tc>
          <w:tcPr>
            <w:tcW w:w="19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6,969,173</w:t>
            </w:r>
          </w:p>
        </w:tc>
      </w:tr>
      <w:tr>
        <w:trPr>
          <w:trHeight w:val="19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B-1 redeemable convertible preferred stock</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1,246,133</w:t>
            </w: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1,246,133</w:t>
            </w: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Series C redeemable convertible preferred stock</w:t>
            </w:r>
          </w:p>
        </w:tc>
        <w:tc>
          <w:tcPr>
            <w:tcW w:w="196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3,992,463</w:t>
            </w:r>
          </w:p>
        </w:tc>
        <w:tc>
          <w:tcPr>
            <w:tcW w:w="100" w:type="dxa"/>
            <w:vAlign w:val="bottom"/>
          </w:tcPr>
          <w:p>
            <w:pPr>
              <w:spacing w:after="0"/>
              <w:rPr>
                <w:sz w:val="16"/>
                <w:szCs w:val="16"/>
                <w:color w:val="auto"/>
              </w:rPr>
            </w:pPr>
          </w:p>
        </w:tc>
        <w:tc>
          <w:tcPr>
            <w:tcW w:w="1940" w:type="dxa"/>
            <w:vAlign w:val="bottom"/>
            <w:gridSpan w:val="3"/>
          </w:tcPr>
          <w:p>
            <w:pPr>
              <w:jc w:val="right"/>
              <w:ind w:right="6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3,992,463</w:t>
            </w:r>
          </w:p>
        </w:tc>
      </w:tr>
      <w:tr>
        <w:trPr>
          <w:trHeight w:val="19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C-1 redeemable convertible preferred stock</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9,086,388</w:t>
            </w:r>
          </w:p>
        </w:tc>
        <w:tc>
          <w:tcPr>
            <w:tcW w:w="10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9,086,388</w:t>
            </w:r>
          </w:p>
        </w:tc>
      </w:tr>
      <w:tr>
        <w:trPr>
          <w:trHeight w:val="181"/>
        </w:trPr>
        <w:tc>
          <w:tcPr>
            <w:tcW w:w="5500" w:type="dxa"/>
            <w:vAlign w:val="bottom"/>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6,797,266</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30,891,684</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6,797,266</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30,891,684</w:t>
            </w:r>
          </w:p>
        </w:tc>
      </w:tr>
    </w:tbl>
    <w:p>
      <w:pPr>
        <w:spacing w:after="0" w:line="282" w:lineRule="exact"/>
        <w:rPr>
          <w:sz w:val="20"/>
          <w:szCs w:val="20"/>
          <w:color w:val="auto"/>
        </w:rPr>
      </w:pPr>
    </w:p>
    <w:p>
      <w:pPr>
        <w:ind w:right="220" w:firstLine="397"/>
        <w:spacing w:after="0" w:line="262" w:lineRule="auto"/>
        <w:rPr>
          <w:sz w:val="20"/>
          <w:szCs w:val="20"/>
          <w:color w:val="auto"/>
        </w:rPr>
      </w:pPr>
      <w:r>
        <w:rPr>
          <w:rFonts w:ascii="Arial" w:cs="Arial" w:eastAsia="Arial" w:hAnsi="Arial"/>
          <w:sz w:val="16"/>
          <w:szCs w:val="16"/>
          <w:color w:val="auto"/>
        </w:rPr>
        <w:t>The shares of common stock issuable upon conversion of the redeemable convertible preferred stock for the three and nine months ended September 30, 2020 assumed automatic conversion in the event of a qualified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10. Related Party Transactions</w:t>
      </w:r>
    </w:p>
    <w:p>
      <w:pPr>
        <w:spacing w:after="0" w:line="125" w:lineRule="exact"/>
        <w:rPr>
          <w:sz w:val="20"/>
          <w:szCs w:val="20"/>
          <w:color w:val="auto"/>
        </w:rPr>
      </w:pPr>
    </w:p>
    <w:p>
      <w:pPr>
        <w:ind w:firstLine="397"/>
        <w:spacing w:after="0" w:line="252" w:lineRule="auto"/>
        <w:rPr>
          <w:sz w:val="20"/>
          <w:szCs w:val="20"/>
          <w:color w:val="auto"/>
        </w:rPr>
      </w:pPr>
      <w:r>
        <w:rPr>
          <w:rFonts w:ascii="Arial" w:cs="Arial" w:eastAsia="Arial" w:hAnsi="Arial"/>
          <w:sz w:val="16"/>
          <w:szCs w:val="16"/>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 As of September 30, 2021, the Company had accrued expenses of $0.3 million due to RogCon under the License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Subsequent Events</w:t>
      </w:r>
    </w:p>
    <w:p>
      <w:pPr>
        <w:spacing w:after="0" w:line="125" w:lineRule="exact"/>
        <w:rPr>
          <w:sz w:val="20"/>
          <w:szCs w:val="20"/>
          <w:color w:val="auto"/>
        </w:rPr>
      </w:pPr>
    </w:p>
    <w:p>
      <w:pPr>
        <w:ind w:right="60" w:firstLine="397"/>
        <w:spacing w:after="0" w:line="256"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0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or SEC, on March 17,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2020 and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5" w:lineRule="exact"/>
        <w:rPr>
          <w:sz w:val="20"/>
          <w:szCs w:val="20"/>
          <w:color w:val="auto"/>
        </w:rPr>
      </w:pPr>
    </w:p>
    <w:p>
      <w:pPr>
        <w:ind w:right="100" w:firstLine="397"/>
        <w:spacing w:after="0" w:line="252" w:lineRule="auto"/>
        <w:rPr>
          <w:sz w:val="20"/>
          <w:szCs w:val="20"/>
          <w:color w:val="auto"/>
        </w:rPr>
      </w:pPr>
      <w:r>
        <w:rPr>
          <w:rFonts w:ascii="Arial" w:cs="Arial" w:eastAsia="Arial" w:hAnsi="Arial"/>
          <w:sz w:val="16"/>
          <w:szCs w:val="16"/>
          <w:color w:val="auto"/>
        </w:rPr>
        <w:t>We are a clinical-stage biopharmaceutical company translating genetic insights into the development of therapies for central nervous system, or CNS, disorders characterized by neuronal imbalance. Normal brain function requires a delicate balance of excitation and inhibition in neuronal circuits, which, when dysregulated, leads to abnormal function and disease. We are applying insights from genetic epilepsies to broader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portfolio, including multiple disclosed programs across CNS disorders, including depression, epilepsy, movement disorders and pain syndromes, with three clinical-stage product candidates. We expect multiple topline clinical trial readouts from all three programs in the next year and anticipate the launch of a new clinical development program in the next year. We intend to develop differentiated therapies that can deliver long-term benefits to human health by meaningfully impacting patients and society.</w:t>
      </w:r>
    </w:p>
    <w:p>
      <w:pPr>
        <w:spacing w:after="0" w:line="185" w:lineRule="exact"/>
        <w:rPr>
          <w:sz w:val="20"/>
          <w:szCs w:val="20"/>
          <w:color w:val="auto"/>
        </w:rPr>
      </w:pPr>
    </w:p>
    <w:p>
      <w:pPr>
        <w:ind w:firstLine="397"/>
        <w:spacing w:after="0" w:line="243" w:lineRule="auto"/>
        <w:rPr>
          <w:sz w:val="20"/>
          <w:szCs w:val="20"/>
          <w:color w:val="auto"/>
        </w:rPr>
      </w:pPr>
      <w:r>
        <w:rPr>
          <w:rFonts w:ascii="Arial" w:cs="Arial" w:eastAsia="Arial" w:hAnsi="Arial"/>
          <w:sz w:val="16"/>
          <w:szCs w:val="16"/>
          <w:color w:val="auto"/>
        </w:rPr>
        <w:t>Our most advanced clinical program, PRAX-114, is an extrasynaptic GABAA receptor preferring positive allosteric modulator, or PAM, for the treatment of patients suffering from major depressive disorder, or MDD, and</w:t>
      </w:r>
    </w:p>
    <w:p>
      <w:pPr>
        <w:spacing w:after="0" w:line="223" w:lineRule="auto"/>
        <w:rPr>
          <w:sz w:val="20"/>
          <w:szCs w:val="20"/>
          <w:color w:val="auto"/>
        </w:rPr>
      </w:pPr>
      <w:r>
        <w:rPr>
          <w:rFonts w:ascii="Arial" w:cs="Arial" w:eastAsia="Arial" w:hAnsi="Arial"/>
          <w:sz w:val="16"/>
          <w:szCs w:val="16"/>
          <w:color w:val="auto"/>
        </w:rPr>
        <w:t>for the treatment of women with menopausal and mood symptoms. We completed a multi-cohort, three-part Phase 2a clinical trial in Australia for PRAX-114, in which Parts A and C of the trial treated patients with MDD while Part B focused on patients with perimenopausal depression, or PMD. For all parts of the trial, PRAX-114 was generally well-tolerated. In Parts A and C, we observed marked improvements in depression scores in MDD patients within two weeks of treatment that were maintained throughout the treatment period. In Part B, we observed improvements in both menopausal and mood symptoms, with mean decreases from baseline at Day 15 of 60% in frequency of moderate-to-severe hot flashes, 68% in the total score of the Perimenopausal Depression Questionnaire, 47% in the Hamilton Depression Rating Scale total score, 65% in the Hamilton Anxiety Rating Scale total score, and 40% in the total score of the Symptoms of Depression Questionnaire, with values trending toward baseline following discontinuation of PRAX-114. We expect to disclose plans for the Phase 2b study in the fourth quarter of 2021.</w:t>
      </w:r>
    </w:p>
    <w:p>
      <w:pPr>
        <w:spacing w:after="0" w:line="184" w:lineRule="exact"/>
        <w:rPr>
          <w:sz w:val="20"/>
          <w:szCs w:val="20"/>
          <w:color w:val="auto"/>
        </w:rPr>
      </w:pPr>
    </w:p>
    <w:p>
      <w:pPr>
        <w:ind w:firstLine="361"/>
        <w:spacing w:after="0" w:line="252" w:lineRule="auto"/>
        <w:rPr>
          <w:sz w:val="20"/>
          <w:szCs w:val="20"/>
          <w:color w:val="auto"/>
        </w:rPr>
      </w:pPr>
      <w:r>
        <w:rPr>
          <w:rFonts w:ascii="Arial" w:cs="Arial" w:eastAsia="Arial" w:hAnsi="Arial"/>
          <w:sz w:val="16"/>
          <w:szCs w:val="16"/>
          <w:color w:val="auto"/>
        </w:rPr>
        <w:t>Our second clinical program, PRAX-944, is a potentially differentiated selective small molecule inhibitor of T-type calcium channels for the treatment of ET. We are currently conducting a Phase 2a proof-of-concept, open-label trial in ET patients. Preliminary site data from six participants in the low dose cohort showed tremor reduction, which compares favorably to the standard of care agents and historical placebo response. Based on the observed safety profile in the healthy volunteer titration study and the safety and preliminary efficacy data in ET participants administered up to 40mg daily, we added a second cohort to the ongoing ET Phase 2a trial where patients will be titrated to a dose of up to 120mg/day of PRAX-944. We expect preliminary open-label safety, tolerability and efficacy data from the second dose cohort in the Phase 2a trial in the fourth quarter of 2021, followed by topline data in the first half of 2022, which is expected to include data from the randomized withdrawal phase of the study. We also completed dosing in a two-part Phase 1 study to explore a faster titration regimen, which is designed to evaluate the safety, tolerability and PK of titrating PRAX-944 up to 120 mg in a 10-day regimen in participants aged 18 to 54 years (Part A) and 55 to 75 years (Part B). In addition, we initiated the PRAX-944 Phase 2b Essential1 Study for treatment of ET and expect topline results in the second half of 2022. The Essential1 Study is a placebo-controlled, dose-ranging clinical trial designed to evaluate the safety, tolerability and efficacy of PRAX-944 at 20, 60 or 120 mg per day. We also intend to initiate a Phase 2 trial to evaluate the safety, PK and efficacy of PRAX-944 as a non-dopaminergic treatment for the motor symptoms of Parkinson’s disease in the first half of 2022.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firstLine="397"/>
        <w:spacing w:after="0" w:line="252" w:lineRule="auto"/>
        <w:rPr>
          <w:sz w:val="20"/>
          <w:szCs w:val="20"/>
          <w:color w:val="auto"/>
        </w:rPr>
      </w:pPr>
      <w:r>
        <w:rPr>
          <w:rFonts w:ascii="Arial" w:cs="Arial" w:eastAsia="Arial" w:hAnsi="Arial"/>
          <w:sz w:val="16"/>
          <w:szCs w:val="16"/>
          <w:color w:val="auto"/>
        </w:rPr>
        <w:t>Our most advanced rare disease product candidate and third clinical program, PRAX-562, is the first selective persistent sodium current blocker in development for the treatment of a broad range of rare, devastating CNS disorders, such as rare adult cephalgias and severe pediatric epilepsies. We completed the dosing and safety follow-up period for the single ascending dose and multiple ascending dose cohorts up to 150 mg and 120 mg, respectively, in a Phase 1 healthy volunteer study. PRAX-562 was well-tolerated, with no clinically significant safety findings. In this study, we used auditory steady state response, or ASSR, as an exploratory electroencephalogram, or EEG, biomarker to determine the doses required to achieve pharmacological blockade of persistent sodium current, which we believe is a potential indicator of efficacy in patients. We observed dose-related changes and a reduction in ASSR of greater than 50% after 14 days with daily dosing, as compared to baseline. Based on the observed signal in the ASSR marker in the Phase 1 study, we have started dosing patients in the United States in a Phase 1, placebo-controlled, two-cohort EEG study to validate the observed signal, and we expect topline data in the first half of 2022. The study is intended to evaluate ASSR as a biomarker for the PRAX-562 program to further support selection of therapeutic dose levels in Phase 2 studies.</w:t>
      </w:r>
    </w:p>
    <w:p>
      <w:pPr>
        <w:spacing w:after="0" w:line="185" w:lineRule="exact"/>
        <w:rPr>
          <w:sz w:val="20"/>
          <w:szCs w:val="20"/>
          <w:color w:val="auto"/>
        </w:rPr>
      </w:pPr>
    </w:p>
    <w:p>
      <w:pPr>
        <w:ind w:right="20" w:firstLine="397"/>
        <w:spacing w:after="0" w:line="253" w:lineRule="auto"/>
        <w:rPr>
          <w:sz w:val="20"/>
          <w:szCs w:val="20"/>
          <w:color w:val="auto"/>
        </w:rPr>
      </w:pPr>
      <w:r>
        <w:rPr>
          <w:rFonts w:ascii="Arial" w:cs="Arial" w:eastAsia="Arial" w:hAnsi="Arial"/>
          <w:sz w:val="16"/>
          <w:szCs w:val="16"/>
          <w:color w:val="auto"/>
        </w:rPr>
        <w:t>We intend to initiate the first proof-of-concept trial of PRAX-562 in patients with rare adult cephalgias, including Short-lasting Unilateral Neuralgiform headache attacks with Conjunctival injection and Tearing, Short-lasting Unilateral Neuralgiform headache with Autonomic symptoms, and Trigeminal Neuralgia in the fourth quarter of 2021. We also plan to initiate a Phase 2 trial for treatment of developmental epileptic encephalopathies, or DEEs, in the first half of 2022. The FDA has granted both rare pediatric disease and orphan drug designations for PRAX-562 for the treatment of SCN2A and SCN8A developmental epileptic encephalopathies, or SCN2A-DEE and SCN8A-DEE, respectively.</w:t>
      </w:r>
    </w:p>
    <w:p>
      <w:pPr>
        <w:spacing w:after="0" w:line="185" w:lineRule="exact"/>
        <w:rPr>
          <w:sz w:val="20"/>
          <w:szCs w:val="20"/>
          <w:color w:val="auto"/>
        </w:rPr>
      </w:pPr>
    </w:p>
    <w:p>
      <w:pPr>
        <w:ind w:right="20" w:firstLine="397"/>
        <w:spacing w:after="0" w:line="252" w:lineRule="auto"/>
        <w:rPr>
          <w:sz w:val="20"/>
          <w:szCs w:val="20"/>
          <w:color w:val="auto"/>
        </w:rPr>
      </w:pPr>
      <w:r>
        <w:rPr>
          <w:rFonts w:ascii="Arial" w:cs="Arial" w:eastAsia="Arial" w:hAnsi="Arial"/>
          <w:sz w:val="16"/>
          <w:szCs w:val="16"/>
          <w:color w:val="auto"/>
        </w:rPr>
        <w:t>In addition to our clinical programs, we have multiple disclosed preclinical and discovery product candidates in development for severe genetic epilepsies and multiple undisclosed preclinical and discovery product candidates for a range of CNS disorders. Our most advanced preclinical stage program is PRAX-222, an antisense oligonucleotide, or ASO, designed to decrease the expression levels of the protein encoded by the gene SCN2A in patients with gain-of-function mutations in SCN2A causing developmental epileptic encephalopathy. We completed the Investigational New Drug enabling toxicology study for PRAX-222 and plan to initiate regulatory submissions in order to begin a Phase 1/2 trial for treatment of SCN2A-DEE in the first half of 2022. The FDA has granted both rare pediatric disease and orphan drug designations for PRAX-222 for the treatment of SCN2A-DEE. We have one disclosed discovery program in development for KCNT1 related epilepsy, and in March 2021 we entered into an innovative research collaboration with The Florey Institute of Neuroscience and Mental Health to develop three additional novel ASOs for the treatment of patients with severe genetic epilepsies, including a novel approach targeting SCN2A loss-of-function mutations.</w:t>
      </w:r>
    </w:p>
    <w:p>
      <w:pPr>
        <w:spacing w:after="0" w:line="185" w:lineRule="exact"/>
        <w:rPr>
          <w:sz w:val="20"/>
          <w:szCs w:val="20"/>
          <w:color w:val="auto"/>
        </w:rPr>
      </w:pPr>
    </w:p>
    <w:p>
      <w:pPr>
        <w:ind w:right="60" w:firstLine="361"/>
        <w:spacing w:after="0" w:line="253" w:lineRule="auto"/>
        <w:rPr>
          <w:sz w:val="20"/>
          <w:szCs w:val="20"/>
          <w:color w:val="auto"/>
        </w:rPr>
      </w:pPr>
      <w:r>
        <w:rPr>
          <w:rFonts w:ascii="Arial" w:cs="Arial" w:eastAsia="Arial" w:hAnsi="Arial"/>
          <w:sz w:val="16"/>
          <w:szCs w:val="16"/>
          <w:color w:val="auto"/>
        </w:rPr>
        <w:t>We were incorporated in 2015 and commenced operations in 2016. Since inception, we have devoted substantially all of our resources to developing our preclinical and clinical product candidates, building our intellectual property portfolio, business planning, raising capital and providing general and administrative support for these operations. We employ a “virtual” research and development model, relying heavily upon external consultants, collaborators and contract research organizations to conduct our preclinical and clinical activities. Since inception, we have financed our operations primarily with proceeds from the issuances of convertible debt, redeemable convertible preferred stock, and common stock from our initial public offering, or IPO, in October 2020 and follow-on public offering in May 2021.</w:t>
      </w:r>
    </w:p>
    <w:p>
      <w:pPr>
        <w:spacing w:after="0" w:line="183" w:lineRule="exact"/>
        <w:rPr>
          <w:sz w:val="20"/>
          <w:szCs w:val="20"/>
          <w:color w:val="auto"/>
        </w:rPr>
      </w:pPr>
    </w:p>
    <w:p>
      <w:pPr>
        <w:ind w:right="100" w:firstLine="397"/>
        <w:spacing w:after="0" w:line="254" w:lineRule="auto"/>
        <w:rPr>
          <w:sz w:val="20"/>
          <w:szCs w:val="20"/>
          <w:color w:val="auto"/>
        </w:rPr>
      </w:pPr>
      <w:r>
        <w:rPr>
          <w:rFonts w:ascii="Arial" w:cs="Arial" w:eastAsia="Arial" w:hAnsi="Arial"/>
          <w:sz w:val="16"/>
          <w:szCs w:val="16"/>
          <w:color w:val="auto"/>
        </w:rPr>
        <w:t>On May 18, 2021, we completed a follow-on public offering in which we issued and sold 5,750,000 shares of our common stock at a public offering price of $18.25 per share, including 750,000 shares of common stock issued and sold pursuant to the underwriters' exercise, in full, of their option to purchase additional shares of common stock, for aggregate gross proceeds of $104.9 million. We received approximately $98.4 million in net proceeds after deducting discounts, commissions, and offering expenses payable by us.</w:t>
      </w:r>
    </w:p>
    <w:p>
      <w:pPr>
        <w:spacing w:after="0" w:line="183" w:lineRule="exact"/>
        <w:rPr>
          <w:sz w:val="20"/>
          <w:szCs w:val="20"/>
          <w:color w:val="auto"/>
        </w:rPr>
      </w:pPr>
    </w:p>
    <w:p>
      <w:pPr>
        <w:ind w:right="20" w:firstLine="397"/>
        <w:spacing w:after="0" w:line="252" w:lineRule="auto"/>
        <w:rPr>
          <w:sz w:val="20"/>
          <w:szCs w:val="20"/>
          <w:color w:val="auto"/>
        </w:rPr>
      </w:pPr>
      <w:r>
        <w:rPr>
          <w:rFonts w:ascii="Arial" w:cs="Arial" w:eastAsia="Arial" w:hAnsi="Arial"/>
          <w:sz w:val="16"/>
          <w:szCs w:val="16"/>
          <w:color w:val="auto"/>
        </w:rPr>
        <w:t>We are a development stage company and we have not generated any revenue from product sales, and do not expect to do so for several years, if at all. All of our programs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$108.5 million for the nine months ended September 30, 2021. As of September 30, 2021, we had an accumulated deficit of $258.0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development activities. We anticipate that our expenses will increase significantly in connection with our ongoing activities, as we:</w:t>
      </w:r>
    </w:p>
    <w:p>
      <w:pPr>
        <w:spacing w:after="0" w:line="153" w:lineRule="exact"/>
        <w:rPr>
          <w:sz w:val="20"/>
          <w:szCs w:val="20"/>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 our lead product candidates, PRAX-114 and PRAX-944, to and through late stage clinical trials;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 our PRAX-562 product candidate to Phase 2 clinical trials;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 our preclinical programs to clinical trials;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 invest in our pipeline;</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 invest in our manufacturing capabilities;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 regulatory approval for our investigational medicines;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 expand, protect and defend our intellectual property portfolio;</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acquire or in-license technology;</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secure facilities to support continued growth in our research, development and commercialization efforts;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 our headcount to support our development efforts and to expand our clinical development team;</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 additional costs and general and administrative headcount growth associated with our continued operations as a public company; and</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 additional costs as a public company as we transition out of emerging growth company and smaller reporting company status at the end of 2021.</w:t>
      </w:r>
    </w:p>
    <w:p>
      <w:pPr>
        <w:spacing w:after="0" w:line="201" w:lineRule="exact"/>
        <w:rPr>
          <w:sz w:val="20"/>
          <w:szCs w:val="20"/>
          <w:color w:val="auto"/>
        </w:rPr>
      </w:pPr>
    </w:p>
    <w:p>
      <w:pPr>
        <w:ind w:right="480" w:firstLine="397"/>
        <w:spacing w:after="0" w:line="262" w:lineRule="auto"/>
        <w:rPr>
          <w:sz w:val="20"/>
          <w:szCs w:val="20"/>
          <w:color w:val="auto"/>
        </w:rPr>
      </w:pPr>
      <w:r>
        <w:rPr>
          <w:rFonts w:ascii="Arial" w:cs="Arial" w:eastAsia="Arial" w:hAnsi="Arial"/>
          <w:sz w:val="16"/>
          <w:szCs w:val="16"/>
          <w:color w:val="auto"/>
        </w:rPr>
        <w:t>In addition, as we progress toward potential marketing approval for any of our product candidates, we expect to incur significant commercialization expenses related to product manufacturing, marketing, sales and distribution.</w:t>
      </w:r>
    </w:p>
    <w:p>
      <w:pPr>
        <w:spacing w:after="0" w:line="176" w:lineRule="exact"/>
        <w:rPr>
          <w:sz w:val="20"/>
          <w:szCs w:val="20"/>
          <w:color w:val="auto"/>
        </w:rPr>
      </w:pPr>
    </w:p>
    <w:p>
      <w:pPr>
        <w:ind w:right="100" w:firstLine="397"/>
        <w:spacing w:after="0" w:line="25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3" w:lineRule="exact"/>
        <w:rPr>
          <w:sz w:val="20"/>
          <w:szCs w:val="20"/>
          <w:color w:val="auto"/>
        </w:rPr>
      </w:pPr>
    </w:p>
    <w:p>
      <w:pPr>
        <w:ind w:right="20" w:firstLine="397"/>
        <w:spacing w:after="0" w:line="254" w:lineRule="auto"/>
        <w:rPr>
          <w:sz w:val="20"/>
          <w:szCs w:val="20"/>
          <w:color w:val="auto"/>
        </w:rPr>
      </w:pPr>
      <w:r>
        <w:rPr>
          <w:rFonts w:ascii="Arial" w:cs="Arial" w:eastAsia="Arial" w:hAnsi="Arial"/>
          <w:sz w:val="16"/>
          <w:szCs w:val="16"/>
          <w:color w:val="auto"/>
        </w:rPr>
        <w:t>Because of the numerous risks and uncertainties associated with drug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3" w:lineRule="exact"/>
        <w:rPr>
          <w:sz w:val="20"/>
          <w:szCs w:val="20"/>
          <w:color w:val="auto"/>
        </w:rPr>
      </w:pPr>
    </w:p>
    <w:p>
      <w:pPr>
        <w:ind w:firstLine="397"/>
        <w:spacing w:after="0" w:line="254" w:lineRule="auto"/>
        <w:rPr>
          <w:sz w:val="20"/>
          <w:szCs w:val="20"/>
          <w:color w:val="auto"/>
        </w:rPr>
      </w:pPr>
      <w:r>
        <w:rPr>
          <w:rFonts w:ascii="Arial" w:cs="Arial" w:eastAsia="Arial" w:hAnsi="Arial"/>
          <w:sz w:val="16"/>
          <w:szCs w:val="16"/>
          <w:color w:val="auto"/>
        </w:rPr>
        <w:t>As of September 30, 2021, we had cash, cash equivalents and marketable securities of $314.4 million. We believe that our existing cash, cash equivalents and marketable securities will enable us to fund our operating expenses and capital expenditure requirements into the second quarter of 2023. We have based this estimate on assumptions that may prove to be wrong, and we could exhaust our available capital resources sooner than we expect. See “— Liquidity and Capital Resources.”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Business Update</w:t>
      </w:r>
    </w:p>
    <w:p>
      <w:pPr>
        <w:spacing w:after="0" w:line="125" w:lineRule="exact"/>
        <w:rPr>
          <w:sz w:val="20"/>
          <w:szCs w:val="20"/>
          <w:color w:val="auto"/>
        </w:rPr>
      </w:pPr>
    </w:p>
    <w:p>
      <w:pPr>
        <w:ind w:right="40" w:firstLine="397"/>
        <w:spacing w:after="0" w:line="253" w:lineRule="auto"/>
        <w:rPr>
          <w:sz w:val="20"/>
          <w:szCs w:val="20"/>
          <w:color w:val="auto"/>
        </w:rPr>
      </w:pPr>
      <w:r>
        <w:rPr>
          <w:rFonts w:ascii="Arial" w:cs="Arial" w:eastAsia="Arial" w:hAnsi="Arial"/>
          <w:sz w:val="16"/>
          <w:szCs w:val="16"/>
          <w:color w:val="auto"/>
        </w:rPr>
        <w:t>In light of the ongoing COVID-19 pandemic, we have implemented business continuity plans designed to address and mitigate the impact of the COVID-19 pandemic on our employees and our business, including our preclinical studies and clinical trials. We are continuing to operate during this period and have taken measures to secure our research and development activities.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22" w:name="page23"/>
    <w:bookmarkEnd w:id="22"/>
    <w:p>
      <w:pPr>
        <w:ind w:right="120"/>
        <w:spacing w:after="0" w:line="262" w:lineRule="auto"/>
        <w:rPr>
          <w:sz w:val="20"/>
          <w:szCs w:val="20"/>
          <w:color w:val="auto"/>
        </w:rPr>
      </w:pPr>
      <w:r>
        <w:rPr>
          <w:rFonts w:ascii="Arial" w:cs="Arial" w:eastAsia="Arial" w:hAnsi="Arial"/>
          <w:sz w:val="16"/>
          <w:szCs w:val="16"/>
          <w:color w:val="auto"/>
        </w:rPr>
        <w:t>materially adversely affected. We continue to closely monitor the COVID-19 pandemic as we evolve our business continuity plans, clinical development plans and response strategy.</w:t>
      </w:r>
    </w:p>
    <w:p>
      <w:pPr>
        <w:spacing w:after="0" w:line="176" w:lineRule="exact"/>
        <w:rPr>
          <w:sz w:val="20"/>
          <w:szCs w:val="20"/>
          <w:color w:val="auto"/>
        </w:rPr>
      </w:pPr>
    </w:p>
    <w:p>
      <w:pPr>
        <w:ind w:right="40" w:firstLine="397"/>
        <w:spacing w:after="0" w:line="252" w:lineRule="auto"/>
        <w:rPr>
          <w:sz w:val="20"/>
          <w:szCs w:val="20"/>
          <w:color w:val="auto"/>
        </w:rPr>
      </w:pPr>
      <w:r>
        <w:rPr>
          <w:rFonts w:ascii="Arial" w:cs="Arial" w:eastAsia="Arial" w:hAnsi="Arial"/>
          <w:sz w:val="16"/>
          <w:szCs w:val="16"/>
          <w:color w:val="auto"/>
        </w:rPr>
        <w:t>In addition, 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5" w:lineRule="exact"/>
        <w:rPr>
          <w:sz w:val="20"/>
          <w:szCs w:val="20"/>
          <w:color w:val="auto"/>
        </w:rPr>
      </w:pPr>
    </w:p>
    <w:p>
      <w:pPr>
        <w:ind w:firstLine="397"/>
        <w:spacing w:after="0" w:line="254" w:lineRule="auto"/>
        <w:rPr>
          <w:sz w:val="20"/>
          <w:szCs w:val="20"/>
          <w:color w:val="auto"/>
        </w:rPr>
      </w:pPr>
      <w:r>
        <w:rPr>
          <w:rFonts w:ascii="Arial" w:cs="Arial" w:eastAsia="Arial" w:hAnsi="Arial"/>
          <w:sz w:val="16"/>
          <w:szCs w:val="16"/>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collaboration or license agreements that we may enter into with third parties.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121" w:lineRule="exact"/>
        <w:rPr>
          <w:sz w:val="20"/>
          <w:szCs w:val="20"/>
          <w:color w:val="auto"/>
        </w:rPr>
      </w:pPr>
    </w:p>
    <w:p>
      <w:pPr>
        <w:ind w:right="740" w:firstLine="397"/>
        <w:spacing w:after="0" w:line="262" w:lineRule="auto"/>
        <w:rPr>
          <w:sz w:val="20"/>
          <w:szCs w:val="20"/>
          <w:color w:val="auto"/>
        </w:rPr>
      </w:pPr>
      <w:r>
        <w:rPr>
          <w:rFonts w:ascii="Arial" w:cs="Arial" w:eastAsia="Arial" w:hAnsi="Arial"/>
          <w:sz w:val="16"/>
          <w:szCs w:val="16"/>
          <w:color w:val="auto"/>
        </w:rPr>
        <w:t>The nature of our business and primary focus of our activities generate a significant amount of research and development costs. Research and development expenses represent costs incurred by us for the following:</w:t>
      </w:r>
    </w:p>
    <w:p>
      <w:pPr>
        <w:spacing w:after="0" w:line="127" w:lineRule="exact"/>
        <w:rPr>
          <w:sz w:val="20"/>
          <w:szCs w:val="20"/>
          <w:color w:val="auto"/>
        </w:rPr>
      </w:pPr>
    </w:p>
    <w:p>
      <w:pPr>
        <w:ind w:left="560" w:hanging="27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costs to develop our portfolio;</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discovery efforts leading to development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clinical development costs for our programs; and</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costs to develop our manufacturing technology and infrastructure.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costs above comprise the following categories:</w:t>
      </w:r>
    </w:p>
    <w:p>
      <w:pPr>
        <w:spacing w:after="0" w:line="153" w:lineRule="exact"/>
        <w:rPr>
          <w:sz w:val="20"/>
          <w:szCs w:val="20"/>
          <w:color w:val="auto"/>
        </w:rPr>
      </w:pPr>
    </w:p>
    <w:p>
      <w:pPr>
        <w:ind w:left="560" w:hanging="27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personnel-related expenses, including salaries, benefits and stock-based compensation expense;</w:t>
      </w:r>
    </w:p>
    <w:p>
      <w:pPr>
        <w:spacing w:after="0" w:line="152" w:lineRule="exact"/>
        <w:rPr>
          <w:rFonts w:ascii="Arial" w:cs="Arial" w:eastAsia="Arial" w:hAnsi="Arial"/>
          <w:sz w:val="16"/>
          <w:szCs w:val="16"/>
          <w:color w:val="auto"/>
        </w:rPr>
      </w:pPr>
    </w:p>
    <w:p>
      <w:pPr>
        <w:ind w:left="580" w:right="140" w:hanging="295"/>
        <w:spacing w:after="0" w:line="262"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such as consultants, investigative sites and contract research organizations, that conduct our preclinical and clinical studies and in-licensing arrangements;</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incurred to maintain compliance with regulatory requirements;</w:t>
      </w:r>
    </w:p>
    <w:p>
      <w:pPr>
        <w:spacing w:after="0" w:line="152" w:lineRule="exact"/>
        <w:rPr>
          <w:rFonts w:ascii="Arial" w:cs="Arial" w:eastAsia="Arial" w:hAnsi="Arial"/>
          <w:sz w:val="16"/>
          <w:szCs w:val="16"/>
          <w:color w:val="auto"/>
        </w:rPr>
      </w:pPr>
    </w:p>
    <w:p>
      <w:pPr>
        <w:ind w:left="580" w:right="300" w:hanging="295"/>
        <w:spacing w:after="0" w:line="262"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incurred with third-party contract development and manufacturing organizations to acquire, develop and manufacture materials for preclinical and clinical studies; and</w:t>
      </w:r>
    </w:p>
    <w:p>
      <w:pPr>
        <w:spacing w:after="0" w:line="127" w:lineRule="exact"/>
        <w:rPr>
          <w:rFonts w:ascii="Arial" w:cs="Arial" w:eastAsia="Arial" w:hAnsi="Arial"/>
          <w:sz w:val="16"/>
          <w:szCs w:val="16"/>
          <w:color w:val="auto"/>
        </w:rPr>
      </w:pPr>
    </w:p>
    <w:p>
      <w:pPr>
        <w:ind w:left="580" w:right="360" w:hanging="295"/>
        <w:spacing w:after="0" w:line="262"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depreciation, amortization and other direct and allocated expenses, including rent, insurance and other operating costs, incurred as a result of our research and development activities.</w:t>
      </w:r>
    </w:p>
    <w:p>
      <w:pPr>
        <w:spacing w:after="0" w:line="176" w:lineRule="exact"/>
        <w:rPr>
          <w:sz w:val="20"/>
          <w:szCs w:val="20"/>
          <w:color w:val="auto"/>
        </w:rPr>
      </w:pPr>
    </w:p>
    <w:p>
      <w:pPr>
        <w:ind w:right="80" w:firstLine="397"/>
        <w:spacing w:after="0" w:line="256" w:lineRule="auto"/>
        <w:rPr>
          <w:sz w:val="20"/>
          <w:szCs w:val="20"/>
          <w:color w:val="auto"/>
        </w:rPr>
      </w:pPr>
      <w:r>
        <w:rPr>
          <w:rFonts w:ascii="Arial" w:cs="Arial" w:eastAsia="Arial" w:hAnsi="Arial"/>
          <w:sz w:val="16"/>
          <w:szCs w:val="16"/>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23" w:name="page24"/>
    <w:bookmarkEnd w:id="23"/>
    <w:p>
      <w:pPr>
        <w:ind w:right="340"/>
        <w:spacing w:after="0" w:line="256" w:lineRule="auto"/>
        <w:rPr>
          <w:sz w:val="20"/>
          <w:szCs w:val="20"/>
          <w:color w:val="auto"/>
        </w:rPr>
      </w:pPr>
      <w:r>
        <w:rPr>
          <w:rFonts w:ascii="Arial" w:cs="Arial" w:eastAsia="Arial" w:hAnsi="Arial"/>
          <w:sz w:val="16"/>
          <w:szCs w:val="16"/>
          <w:color w:val="auto"/>
        </w:rPr>
        <w:t>expenses or accrued research and development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81" w:lineRule="exact"/>
        <w:rPr>
          <w:sz w:val="20"/>
          <w:szCs w:val="20"/>
          <w:color w:val="auto"/>
        </w:rPr>
      </w:pPr>
    </w:p>
    <w:p>
      <w:pPr>
        <w:ind w:right="200" w:firstLine="397"/>
        <w:spacing w:after="0" w:line="254" w:lineRule="auto"/>
        <w:rPr>
          <w:sz w:val="20"/>
          <w:szCs w:val="20"/>
          <w:color w:val="auto"/>
        </w:rPr>
      </w:pPr>
      <w:r>
        <w:rPr>
          <w:rFonts w:ascii="Arial" w:cs="Arial" w:eastAsia="Arial" w:hAnsi="Arial"/>
          <w:sz w:val="16"/>
          <w:szCs w:val="16"/>
          <w:color w:val="auto"/>
        </w:rPr>
        <w:t>A significant portion of our research and development costs have been external costs. We track direct external research and development expenses to specific programs upon commencement. Due to the number of ongoing programs and our ability to use resources across several projects, indirect or shared operating costs incurred for our research and development programs, such as personnel, facility costs and certain consulting costs, are not recorded or maintained on a program-specific basis.</w:t>
      </w:r>
    </w:p>
    <w:p>
      <w:pPr>
        <w:spacing w:after="0" w:line="183" w:lineRule="exact"/>
        <w:rPr>
          <w:sz w:val="20"/>
          <w:szCs w:val="20"/>
          <w:color w:val="auto"/>
        </w:rPr>
      </w:pPr>
    </w:p>
    <w:p>
      <w:pPr>
        <w:ind w:right="60" w:firstLine="397"/>
        <w:spacing w:after="0" w:line="254" w:lineRule="auto"/>
        <w:rPr>
          <w:sz w:val="20"/>
          <w:szCs w:val="20"/>
          <w:color w:val="auto"/>
        </w:rPr>
      </w:pPr>
      <w:r>
        <w:rPr>
          <w:rFonts w:ascii="Arial" w:cs="Arial" w:eastAsia="Arial" w:hAnsi="Arial"/>
          <w:sz w:val="16"/>
          <w:szCs w:val="16"/>
          <w:color w:val="auto"/>
        </w:rPr>
        <w:t>Our major programs, PRAX-114, PRAX-944 and PRAX-562, are those for which we have initiated clinical activities. Our discovery-stage programs are those which are at an earlier point in the development process. The following table reflects our research and development expenses, including direct program-specific expenses summarized by major program, discovery-stage program costs and indirect or shared operating costs recognized as research and development expenses during each period presented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0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84"/>
        </w:trPr>
        <w:tc>
          <w:tcPr>
            <w:tcW w:w="65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221"/>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PRAX-114</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9,137</w:t>
            </w:r>
          </w:p>
        </w:tc>
      </w:tr>
      <w:tr>
        <w:trPr>
          <w:trHeight w:val="189"/>
        </w:trPr>
        <w:tc>
          <w:tcPr>
            <w:tcW w:w="6580" w:type="dxa"/>
            <w:vAlign w:val="bottom"/>
          </w:tcPr>
          <w:p>
            <w:pPr>
              <w:ind w:left="20"/>
              <w:spacing w:after="0"/>
              <w:rPr>
                <w:sz w:val="20"/>
                <w:szCs w:val="20"/>
                <w:color w:val="auto"/>
              </w:rPr>
            </w:pPr>
            <w:r>
              <w:rPr>
                <w:rFonts w:ascii="Arial" w:cs="Arial" w:eastAsia="Arial" w:hAnsi="Arial"/>
                <w:sz w:val="14"/>
                <w:szCs w:val="14"/>
                <w:color w:val="auto"/>
              </w:rPr>
              <w:t>PRAX-944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3,284</w:t>
            </w:r>
          </w:p>
        </w:tc>
      </w:tr>
      <w:tr>
        <w:trPr>
          <w:trHeight w:val="195"/>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PRAX-562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2,527</w:t>
            </w:r>
          </w:p>
        </w:tc>
      </w:tr>
      <w:tr>
        <w:trPr>
          <w:trHeight w:val="189"/>
        </w:trPr>
        <w:tc>
          <w:tcPr>
            <w:tcW w:w="6580" w:type="dxa"/>
            <w:vAlign w:val="bottom"/>
          </w:tcPr>
          <w:p>
            <w:pPr>
              <w:ind w:left="20"/>
              <w:spacing w:after="0"/>
              <w:rPr>
                <w:sz w:val="20"/>
                <w:szCs w:val="20"/>
                <w:color w:val="auto"/>
              </w:rPr>
            </w:pPr>
            <w:r>
              <w:rPr>
                <w:rFonts w:ascii="Arial" w:cs="Arial" w:eastAsia="Arial" w:hAnsi="Arial"/>
                <w:sz w:val="14"/>
                <w:szCs w:val="14"/>
                <w:color w:val="auto"/>
              </w:rPr>
              <w:t>Discovery-stage programs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12,689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4,050</w:t>
            </w:r>
          </w:p>
        </w:tc>
      </w:tr>
      <w:tr>
        <w:trPr>
          <w:trHeight w:val="195"/>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 (including stock-based compensation)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7,443</w:t>
            </w:r>
          </w:p>
        </w:tc>
      </w:tr>
      <w:tr>
        <w:trPr>
          <w:trHeight w:val="18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indirect research and development expenses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2,263</w:t>
            </w:r>
          </w:p>
        </w:tc>
      </w:tr>
      <w:tr>
        <w:trPr>
          <w:trHeight w:val="21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12,786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28,704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right="80" w:firstLine="397"/>
        <w:spacing w:after="0" w:line="25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85" w:lineRule="exact"/>
        <w:rPr>
          <w:sz w:val="20"/>
          <w:szCs w:val="20"/>
          <w:color w:val="auto"/>
        </w:rPr>
      </w:pPr>
    </w:p>
    <w:p>
      <w:pPr>
        <w:ind w:right="100" w:firstLine="397"/>
        <w:spacing w:after="0" w:line="254"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35" w:lineRule="exact"/>
        <w:rPr>
          <w:sz w:val="20"/>
          <w:szCs w:val="20"/>
          <w:color w:val="auto"/>
        </w:rPr>
      </w:pPr>
    </w:p>
    <w:p>
      <w:pPr>
        <w:ind w:left="560" w:hanging="275"/>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add and retain key research and development personnel;</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and progress of preclinical and clinical development activities;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and scope of preclinical and clinical programs we decide to pursue;</w:t>
      </w:r>
    </w:p>
    <w:p>
      <w:pPr>
        <w:spacing w:after="0" w:line="152" w:lineRule="exact"/>
        <w:rPr>
          <w:rFonts w:ascii="Arial" w:cs="Arial" w:eastAsia="Arial" w:hAnsi="Arial"/>
          <w:sz w:val="16"/>
          <w:szCs w:val="16"/>
          <w:color w:val="auto"/>
        </w:rPr>
      </w:pPr>
    </w:p>
    <w:p>
      <w:pPr>
        <w:ind w:left="580" w:right="900" w:hanging="295"/>
        <w:spacing w:after="0" w:line="262"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complete clinical trials with safety, tolerability and efficacy profiles that are satisfactory to the U.S. Food and Drug Administration, or FDA, or any comparable foreign regulatory authority;</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develop, obtain regulatory approval for, and then successfully commercialize, our product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successful enrollment in and completion of clinical trials;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17" w:right="319" w:bottom="1440" w:gutter="0" w:footer="0" w:header="0"/>
        </w:sectPr>
      </w:pPr>
    </w:p>
    <w:bookmarkStart w:id="24" w:name="page25"/>
    <w:bookmarkEnd w:id="24"/>
    <w:p>
      <w:pPr>
        <w:ind w:left="560" w:hanging="27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associated with the development of any additional product candidates we identify in-house or acquire through collaborations;</w:t>
      </w:r>
    </w:p>
    <w:p>
      <w:pPr>
        <w:spacing w:after="0" w:line="152" w:lineRule="exact"/>
        <w:rPr>
          <w:rFonts w:ascii="Arial" w:cs="Arial" w:eastAsia="Arial" w:hAnsi="Arial"/>
          <w:sz w:val="16"/>
          <w:szCs w:val="16"/>
          <w:color w:val="auto"/>
        </w:rPr>
      </w:pPr>
    </w:p>
    <w:p>
      <w:pPr>
        <w:ind w:left="580" w:hanging="295"/>
        <w:spacing w:after="0" w:line="262"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discover, develop and utilize biomarkers to demonstrate target engagement, pathway engagement and the impact on disease progression of our product candidates;</w:t>
      </w:r>
    </w:p>
    <w:p>
      <w:pPr>
        <w:spacing w:after="0" w:line="127" w:lineRule="exact"/>
        <w:rPr>
          <w:rFonts w:ascii="Arial" w:cs="Arial" w:eastAsia="Arial" w:hAnsi="Arial"/>
          <w:sz w:val="16"/>
          <w:szCs w:val="16"/>
          <w:color w:val="auto"/>
        </w:rPr>
      </w:pPr>
    </w:p>
    <w:p>
      <w:pPr>
        <w:ind w:left="580" w:right="20" w:hanging="295"/>
        <w:spacing w:after="0" w:line="262"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establish and maintain agreements with third-party manufacturers for clinical supply for our clinical trials and commercial manufacturing, if our product candidates are approved;</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terms and timing of any collaboration, license or other arrangement, including the terms and timing of any milestone payments thereunder;</w:t>
      </w:r>
    </w:p>
    <w:p>
      <w:pPr>
        <w:spacing w:after="0" w:line="152" w:lineRule="exact"/>
        <w:rPr>
          <w:rFonts w:ascii="Arial" w:cs="Arial" w:eastAsia="Arial" w:hAnsi="Arial"/>
          <w:sz w:val="16"/>
          <w:szCs w:val="16"/>
          <w:color w:val="auto"/>
        </w:rPr>
      </w:pPr>
    </w:p>
    <w:p>
      <w:pPr>
        <w:ind w:left="580" w:right="160" w:hanging="295"/>
        <w:spacing w:after="0" w:line="262"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obtain and maintain patent, trade secret and other intellectual property protection and regulatory exclusivity for our product candidates if and when approved;</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receipt of marketing approvals from applicable regulatory authorities;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commercialize products, if and when approved, whether alone or in collaboration with others; and</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continued acceptable safety profiles of the product candidates following approval.</w:t>
      </w:r>
    </w:p>
    <w:p>
      <w:pPr>
        <w:spacing w:after="0" w:line="201" w:lineRule="exact"/>
        <w:rPr>
          <w:sz w:val="20"/>
          <w:szCs w:val="20"/>
          <w:color w:val="auto"/>
        </w:rPr>
      </w:pPr>
    </w:p>
    <w:p>
      <w:pPr>
        <w:ind w:right="60" w:firstLine="397"/>
        <w:spacing w:after="0" w:line="253" w:lineRule="auto"/>
        <w:rPr>
          <w:sz w:val="20"/>
          <w:szCs w:val="20"/>
          <w:color w:val="auto"/>
        </w:rPr>
      </w:pPr>
      <w:r>
        <w:rPr>
          <w:rFonts w:ascii="Arial" w:cs="Arial" w:eastAsia="Arial" w:hAnsi="Arial"/>
          <w:sz w:val="16"/>
          <w:szCs w:val="16"/>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millions of dollars in development costs.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21" w:lineRule="exact"/>
        <w:rPr>
          <w:sz w:val="20"/>
          <w:szCs w:val="20"/>
          <w:color w:val="auto"/>
        </w:rPr>
      </w:pPr>
    </w:p>
    <w:p>
      <w:pPr>
        <w:ind w:right="20" w:firstLine="397"/>
        <w:spacing w:after="0" w:line="253"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program. Costs to secure and defend our intellectual property, or IP, are expensed as incurred and are classified as general and administrative expenses.</w:t>
      </w:r>
    </w:p>
    <w:p>
      <w:pPr>
        <w:spacing w:after="0" w:line="183" w:lineRule="exact"/>
        <w:rPr>
          <w:sz w:val="20"/>
          <w:szCs w:val="20"/>
          <w:color w:val="auto"/>
        </w:rPr>
      </w:pPr>
    </w:p>
    <w:p>
      <w:pPr>
        <w:ind w:right="80" w:firstLine="397"/>
        <w:spacing w:after="0" w:line="25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particularly when we are no longer an emerging growth company or a smaller company, including increased costs of accounting, audit, legal, regulatory and tax-related services associated with maintaining compliance with exchange listing and SEC requirements, director and officer insurance costs and investor and public relations costs. We also expect to incur additional IP-related expenses as we file patent applications to protect innovations arising from our research and development activities.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121" w:lineRule="exact"/>
        <w:rPr>
          <w:sz w:val="20"/>
          <w:szCs w:val="20"/>
          <w:color w:val="auto"/>
        </w:rPr>
      </w:pPr>
    </w:p>
    <w:p>
      <w:pPr>
        <w:ind w:right="180" w:firstLine="397"/>
        <w:spacing w:after="0" w:line="262" w:lineRule="auto"/>
        <w:rPr>
          <w:sz w:val="20"/>
          <w:szCs w:val="20"/>
          <w:color w:val="auto"/>
        </w:rPr>
      </w:pPr>
      <w:r>
        <w:rPr>
          <w:rFonts w:ascii="Arial" w:cs="Arial" w:eastAsia="Arial" w:hAnsi="Arial"/>
          <w:sz w:val="16"/>
          <w:szCs w:val="16"/>
          <w:color w:val="auto"/>
        </w:rPr>
        <w:t>Other income, net consists of interest income from our cash, cash equivalents and marketable securities and amortization of investment premiums and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25" w:lineRule="exact"/>
        <w:rPr>
          <w:sz w:val="20"/>
          <w:szCs w:val="20"/>
          <w:color w:val="auto"/>
        </w:rPr>
      </w:pPr>
    </w:p>
    <w:p>
      <w:pPr>
        <w:ind w:right="100" w:firstLine="397"/>
        <w:spacing w:after="0" w:line="253" w:lineRule="auto"/>
        <w:rPr>
          <w:sz w:val="20"/>
          <w:szCs w:val="20"/>
          <w:color w:val="auto"/>
        </w:rPr>
      </w:pPr>
      <w:r>
        <w:rPr>
          <w:rFonts w:ascii="Arial" w:cs="Arial" w:eastAsia="Arial" w:hAnsi="Arial"/>
          <w:sz w:val="16"/>
          <w:szCs w:val="16"/>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 income tax benefit (provision) for the three and nine months ended September 30, 2021 and 2020 was not material.</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September 30, 2021 and 2020</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consolidated statements of operations for each period presented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0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33,139</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12,786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20,353</w:t>
            </w:r>
          </w:p>
        </w:tc>
        <w:tc>
          <w:tcPr>
            <w:tcW w:w="0" w:type="dxa"/>
            <w:vAlign w:val="bottom"/>
          </w:tcPr>
          <w:p>
            <w:pPr>
              <w:spacing w:after="0"/>
              <w:rPr>
                <w:sz w:val="1"/>
                <w:szCs w:val="1"/>
                <w:color w:val="auto"/>
              </w:rPr>
            </w:pPr>
          </w:p>
        </w:tc>
      </w:tr>
      <w:tr>
        <w:trPr>
          <w:trHeight w:val="192"/>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8,203</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28,556</w:t>
            </w:r>
          </w:p>
        </w:tc>
        <w:tc>
          <w:tcPr>
            <w:tcW w:w="0" w:type="dxa"/>
            <w:vAlign w:val="bottom"/>
          </w:tcPr>
          <w:p>
            <w:pPr>
              <w:spacing w:after="0"/>
              <w:rPr>
                <w:sz w:val="1"/>
                <w:szCs w:val="1"/>
                <w:color w:val="auto"/>
              </w:rPr>
            </w:pPr>
          </w:p>
        </w:tc>
      </w:tr>
      <w:tr>
        <w:trPr>
          <w:trHeight w:val="18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(28,556)</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4"/>
        </w:trPr>
        <w:tc>
          <w:tcPr>
            <w:tcW w:w="6760" w:type="dxa"/>
            <w:vAlign w:val="bottom"/>
          </w:tcPr>
          <w:p>
            <w:pPr>
              <w:ind w:left="580"/>
              <w:spacing w:after="0"/>
              <w:rPr>
                <w:sz w:val="20"/>
                <w:szCs w:val="20"/>
                <w:color w:val="auto"/>
              </w:rPr>
            </w:pPr>
            <w:r>
              <w:rPr>
                <w:rFonts w:ascii="Arial" w:cs="Arial" w:eastAsia="Arial" w:hAnsi="Arial"/>
                <w:sz w:val="14"/>
                <w:szCs w:val="14"/>
                <w:color w:val="auto"/>
              </w:rPr>
              <w:t>Total other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(28,484)</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2"/>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121" w:lineRule="exact"/>
        <w:rPr>
          <w:sz w:val="20"/>
          <w:szCs w:val="20"/>
          <w:color w:val="auto"/>
        </w:rPr>
      </w:pPr>
    </w:p>
    <w:p>
      <w:pPr>
        <w:ind w:right="820" w:firstLine="397"/>
        <w:spacing w:after="0" w:line="262" w:lineRule="auto"/>
        <w:rPr>
          <w:sz w:val="20"/>
          <w:szCs w:val="20"/>
          <w:color w:val="auto"/>
        </w:rPr>
      </w:pPr>
      <w:r>
        <w:rPr>
          <w:rFonts w:ascii="Arial" w:cs="Arial" w:eastAsia="Arial" w:hAnsi="Arial"/>
          <w:sz w:val="16"/>
          <w:szCs w:val="16"/>
          <w:color w:val="auto"/>
        </w:rPr>
        <w:t>The following table summarizes our research and development expenses for each period presented, along with the changes in those items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PRAX-114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4,699</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PRAX-944</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5,682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PRAX-562</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Discovery-stage programs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5,099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 (including stock-based compensation)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5,236</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indirect research and development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33,139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20,353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40" w:firstLine="397"/>
        <w:spacing w:after="0" w:line="256" w:lineRule="auto"/>
        <w:rPr>
          <w:sz w:val="20"/>
          <w:szCs w:val="20"/>
          <w:color w:val="auto"/>
        </w:rPr>
      </w:pPr>
      <w:r>
        <w:rPr>
          <w:rFonts w:ascii="Arial" w:cs="Arial" w:eastAsia="Arial" w:hAnsi="Arial"/>
          <w:sz w:val="16"/>
          <w:szCs w:val="16"/>
          <w:color w:val="auto"/>
        </w:rPr>
        <w:t>Research and development expenses increased approximately $ 20.4 million from approximately $12.8 million for the three months ended September 30, 2020 to $33.1 million for the three months ended September 30, 2021. The increase in research and development expenses was primarily attributable to the following:</w:t>
      </w:r>
    </w:p>
    <w:p>
      <w:pPr>
        <w:spacing w:after="0" w:line="133" w:lineRule="exact"/>
        <w:rPr>
          <w:sz w:val="20"/>
          <w:szCs w:val="20"/>
          <w:color w:val="auto"/>
        </w:rPr>
      </w:pPr>
    </w:p>
    <w:p>
      <w:pPr>
        <w:ind w:left="580" w:right="580" w:hanging="295"/>
        <w:spacing w:after="0" w:line="262"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$5.2 million increase in personnel-related costs due to increased headcount, including an increase of $2.4 million in stock-based compensation expense;</w:t>
      </w:r>
    </w:p>
    <w:p>
      <w:pPr>
        <w:spacing w:after="0" w:line="127" w:lineRule="exact"/>
        <w:rPr>
          <w:rFonts w:ascii="Arial" w:cs="Arial" w:eastAsia="Arial" w:hAnsi="Arial"/>
          <w:sz w:val="16"/>
          <w:szCs w:val="16"/>
          <w:color w:val="auto"/>
        </w:rPr>
      </w:pPr>
    </w:p>
    <w:p>
      <w:pPr>
        <w:ind w:left="580" w:right="300" w:hanging="295"/>
        <w:spacing w:after="0" w:line="262" w:lineRule="auto"/>
        <w:tabs>
          <w:tab w:leader="none" w:pos="5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$4.7 million increase in expense related to our PRAX-114 program, driven by an increase in clinical-related and toxicology spend for our Phase 2/3 clinical trial for this program;</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26" w:name="page27"/>
    <w:bookmarkEnd w:id="26"/>
    <w:p>
      <w:pPr>
        <w:ind w:left="560" w:hanging="27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$4.0 million increase in expense related to our PRAX-944 program, driven primarily by an increase in toxicology and clinical-related spend;</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$2.9 million increase in expense related to our discovery-stage programs, primarily driven by an increase in preclinical activities for such programs;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$2.2 million increase in expense related to our PRAX-562 program, primarily driven by an increase in spend to support our upcoming clinical trails; and</w:t>
      </w:r>
    </w:p>
    <w:p>
      <w:pPr>
        <w:spacing w:after="0" w:line="152" w:lineRule="exact"/>
        <w:rPr>
          <w:rFonts w:ascii="Arial" w:cs="Arial" w:eastAsia="Arial" w:hAnsi="Arial"/>
          <w:sz w:val="16"/>
          <w:szCs w:val="16"/>
          <w:color w:val="auto"/>
        </w:rPr>
      </w:pPr>
    </w:p>
    <w:p>
      <w:pPr>
        <w:ind w:left="580" w:right="460" w:hanging="295"/>
        <w:spacing w:after="0" w:line="262"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 million increase in other indirect research and development expenses, driven by an increase in facility and other allocated overhead costs primarily attributable to increased research and development headcount and our new office location, as well as an increase in technology spend.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121" w:lineRule="exact"/>
        <w:rPr>
          <w:sz w:val="20"/>
          <w:szCs w:val="20"/>
          <w:color w:val="auto"/>
        </w:rPr>
      </w:pPr>
    </w:p>
    <w:p>
      <w:pPr>
        <w:ind w:right="320" w:firstLine="397"/>
        <w:spacing w:after="0" w:line="262" w:lineRule="auto"/>
        <w:rPr>
          <w:sz w:val="20"/>
          <w:szCs w:val="20"/>
          <w:color w:val="auto"/>
        </w:rPr>
      </w:pPr>
      <w:r>
        <w:rPr>
          <w:rFonts w:ascii="Arial" w:cs="Arial" w:eastAsia="Arial" w:hAnsi="Arial"/>
          <w:sz w:val="16"/>
          <w:szCs w:val="16"/>
          <w:color w:val="auto"/>
        </w:rPr>
        <w:t>General and administrative expenses increased $8.2 million from $3.4 million for the three months ended September 30, 2020 to $11.6 million for the three months ended September 30, 2021. The increase in general and administrative expenses was primarily attributable to the following:</w:t>
      </w:r>
    </w:p>
    <w:p>
      <w:pPr>
        <w:spacing w:after="0" w:line="127" w:lineRule="exact"/>
        <w:rPr>
          <w:sz w:val="20"/>
          <w:szCs w:val="20"/>
          <w:color w:val="auto"/>
        </w:rPr>
      </w:pPr>
    </w:p>
    <w:p>
      <w:pPr>
        <w:ind w:left="580" w:right="720" w:hanging="295"/>
        <w:spacing w:after="0" w:line="262"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$4.7 million increase in personnel-related costs, primarily driven by increased headcount, including an increase of $3.2 million in stock-based compensation expense;</w:t>
      </w:r>
    </w:p>
    <w:p>
      <w:pPr>
        <w:spacing w:after="0" w:line="127" w:lineRule="exact"/>
        <w:rPr>
          <w:rFonts w:ascii="Arial" w:cs="Arial" w:eastAsia="Arial" w:hAnsi="Arial"/>
          <w:sz w:val="16"/>
          <w:szCs w:val="16"/>
          <w:color w:val="auto"/>
        </w:rPr>
      </w:pPr>
    </w:p>
    <w:p>
      <w:pPr>
        <w:ind w:left="580" w:right="260" w:hanging="295"/>
        <w:spacing w:after="0" w:line="262"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$1.8 million increase in professional fees, including $1.0 million of increased commercial-related spend to support assessments of our clinical-stage programs, a $0.3 million increase in general and administrative infrastructure costs and a $0.3 million increase in audit and legal fees; and</w:t>
      </w:r>
    </w:p>
    <w:p>
      <w:pPr>
        <w:spacing w:after="0" w:line="127" w:lineRule="exact"/>
        <w:rPr>
          <w:rFonts w:ascii="Arial" w:cs="Arial" w:eastAsia="Arial" w:hAnsi="Arial"/>
          <w:sz w:val="16"/>
          <w:szCs w:val="16"/>
          <w:color w:val="auto"/>
        </w:rPr>
      </w:pPr>
    </w:p>
    <w:p>
      <w:pPr>
        <w:ind w:left="580" w:right="280" w:hanging="295"/>
        <w:spacing w:after="0" w:line="262"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$1.7 million increase in other general and administrative expenses, including a $1.1 million increase in insurance and related costs, primarily due to becoming a public company, and a $0.2 million increase in technology related costs.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w:t>
      </w:r>
    </w:p>
    <w:p>
      <w:pPr>
        <w:spacing w:after="0" w:line="121" w:lineRule="exact"/>
        <w:rPr>
          <w:sz w:val="20"/>
          <w:szCs w:val="20"/>
          <w:color w:val="auto"/>
        </w:rPr>
      </w:pPr>
    </w:p>
    <w:p>
      <w:pPr>
        <w:ind w:right="280" w:firstLine="397"/>
        <w:spacing w:after="0" w:line="262" w:lineRule="auto"/>
        <w:rPr>
          <w:sz w:val="20"/>
          <w:szCs w:val="20"/>
          <w:color w:val="auto"/>
        </w:rPr>
      </w:pPr>
      <w:r>
        <w:rPr>
          <w:rFonts w:ascii="Arial" w:cs="Arial" w:eastAsia="Arial" w:hAnsi="Arial"/>
          <w:sz w:val="16"/>
          <w:szCs w:val="16"/>
          <w:color w:val="auto"/>
        </w:rPr>
        <w:t>Other income for the three months ended September 30, 2021 and 2020, comprised of interest income on our cash, cash equivalents and marketable securities and investment premium and discount amortization,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Nine Months Ended September 30, 2021 and 2020</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consolidated statements of operations for each period presented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0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76,746</w:t>
            </w:r>
          </w:p>
        </w:tc>
        <w:tc>
          <w:tcPr>
            <w:tcW w:w="10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28,704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48,042</w:t>
            </w:r>
          </w:p>
        </w:tc>
        <w:tc>
          <w:tcPr>
            <w:tcW w:w="0" w:type="dxa"/>
            <w:vAlign w:val="bottom"/>
          </w:tcPr>
          <w:p>
            <w:pPr>
              <w:spacing w:after="0"/>
              <w:rPr>
                <w:sz w:val="1"/>
                <w:szCs w:val="1"/>
                <w:color w:val="auto"/>
              </w:rPr>
            </w:pPr>
          </w:p>
        </w:tc>
      </w:tr>
      <w:tr>
        <w:trPr>
          <w:trHeight w:val="192"/>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31,929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24,377</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108,675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72,419</w:t>
            </w:r>
          </w:p>
        </w:tc>
        <w:tc>
          <w:tcPr>
            <w:tcW w:w="0" w:type="dxa"/>
            <w:vAlign w:val="bottom"/>
          </w:tcPr>
          <w:p>
            <w:pPr>
              <w:spacing w:after="0"/>
              <w:rPr>
                <w:sz w:val="1"/>
                <w:szCs w:val="1"/>
                <w:color w:val="auto"/>
              </w:rPr>
            </w:pPr>
          </w:p>
        </w:tc>
      </w:tr>
      <w:tr>
        <w:trPr>
          <w:trHeight w:val="187"/>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(108,675)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(72,419)</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4"/>
        </w:trPr>
        <w:tc>
          <w:tcPr>
            <w:tcW w:w="6760" w:type="dxa"/>
            <w:vAlign w:val="bottom"/>
          </w:tcPr>
          <w:p>
            <w:pPr>
              <w:ind w:left="580"/>
              <w:spacing w:after="0"/>
              <w:rPr>
                <w:sz w:val="20"/>
                <w:szCs w:val="20"/>
                <w:color w:val="auto"/>
              </w:rPr>
            </w:pPr>
            <w:r>
              <w:rPr>
                <w:rFonts w:ascii="Arial" w:cs="Arial" w:eastAsia="Arial" w:hAnsi="Arial"/>
                <w:sz w:val="14"/>
                <w:szCs w:val="14"/>
                <w:color w:val="auto"/>
              </w:rPr>
              <w:t>Total other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(108,474)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(72,352)</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2"/>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(108,479)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(72,365)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968" w:right="319" w:bottom="1440" w:gutter="0" w:footer="0" w:header="0"/>
        </w:sectPr>
      </w:pPr>
    </w:p>
    <w:bookmarkStart w:id="27" w:name="page28"/>
    <w:bookmarkEnd w:id="27"/>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121" w:lineRule="exact"/>
        <w:rPr>
          <w:sz w:val="20"/>
          <w:szCs w:val="20"/>
          <w:color w:val="auto"/>
        </w:rPr>
      </w:pPr>
    </w:p>
    <w:p>
      <w:pPr>
        <w:ind w:right="820" w:firstLine="397"/>
        <w:spacing w:after="0" w:line="262" w:lineRule="auto"/>
        <w:rPr>
          <w:sz w:val="20"/>
          <w:szCs w:val="20"/>
          <w:color w:val="auto"/>
        </w:rPr>
      </w:pPr>
      <w:r>
        <w:rPr>
          <w:rFonts w:ascii="Arial" w:cs="Arial" w:eastAsia="Arial" w:hAnsi="Arial"/>
          <w:sz w:val="16"/>
          <w:szCs w:val="16"/>
          <w:color w:val="auto"/>
        </w:rPr>
        <w:t>The following table summarizes our research and development expenses for each period presented, along with the changes in those items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PRAX-114</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PRAX-944</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6,731</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PRAX-562</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6,729</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Discovery-stage programs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12,689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8,639</w:t>
            </w:r>
          </w:p>
        </w:tc>
        <w:tc>
          <w:tcPr>
            <w:tcW w:w="0" w:type="dxa"/>
            <w:vAlign w:val="bottom"/>
          </w:tcPr>
          <w:p>
            <w:pPr>
              <w:spacing w:after="0"/>
              <w:rPr>
                <w:sz w:val="1"/>
                <w:szCs w:val="1"/>
                <w:color w:val="auto"/>
              </w:rPr>
            </w:pPr>
          </w:p>
        </w:tc>
      </w:tr>
      <w:tr>
        <w:trPr>
          <w:trHeight w:val="195"/>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 (including stock-based compensation)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14,141</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indirect research and development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76,746</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48,042</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120" w:firstLine="397"/>
        <w:spacing w:after="0" w:line="262" w:lineRule="auto"/>
        <w:rPr>
          <w:sz w:val="20"/>
          <w:szCs w:val="20"/>
          <w:color w:val="auto"/>
        </w:rPr>
      </w:pPr>
      <w:r>
        <w:rPr>
          <w:rFonts w:ascii="Arial" w:cs="Arial" w:eastAsia="Arial" w:hAnsi="Arial"/>
          <w:sz w:val="16"/>
          <w:szCs w:val="16"/>
          <w:color w:val="auto"/>
        </w:rPr>
        <w:t>Research and development expenses increased approximately $48.0 million from $28.7 million for the nine months ended September 30, 2020 to $76.7 million for the nine months ended September 30, 2021. The increase in research and development expenses was primarily attributable to the following:</w:t>
      </w:r>
    </w:p>
    <w:p>
      <w:pPr>
        <w:spacing w:after="0" w:line="127" w:lineRule="exact"/>
        <w:rPr>
          <w:sz w:val="20"/>
          <w:szCs w:val="20"/>
          <w:color w:val="auto"/>
        </w:rPr>
      </w:pPr>
    </w:p>
    <w:p>
      <w:pPr>
        <w:ind w:left="580" w:right="880" w:hanging="295"/>
        <w:spacing w:after="0" w:line="262"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$14.1 million increase in personnel-related costs primarily due to increased headcount, including an increase of $6.5 million in stock-based compensation expense;</w:t>
      </w:r>
    </w:p>
    <w:p>
      <w:pPr>
        <w:spacing w:after="0" w:line="127" w:lineRule="exact"/>
        <w:rPr>
          <w:rFonts w:ascii="Arial" w:cs="Arial" w:eastAsia="Arial" w:hAnsi="Arial"/>
          <w:sz w:val="16"/>
          <w:szCs w:val="16"/>
          <w:color w:val="auto"/>
        </w:rPr>
      </w:pPr>
    </w:p>
    <w:p>
      <w:pPr>
        <w:ind w:left="580" w:right="300" w:hanging="295"/>
        <w:spacing w:after="0" w:line="262"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$9.4 million increase in expense related to our PRAX-114 program, driven by an increase in toxicology and clinical-related spend for our Phase 2/3 clinical trial for this program;</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$8.6 million increase in expense related to our discovery-stage programs, primarily driven by an increase in preclinical activities for such programs;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$6.7 million increase in expense related to our PRAX-944 program, driven primarily by an increase in toxicology and clinical-related spend;</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$6.7 million increase in expense related to our PRAX-562 program, primarily driven by an increase in toxicology and clinical-related spend; and</w:t>
      </w:r>
    </w:p>
    <w:p>
      <w:pPr>
        <w:spacing w:after="0" w:line="152" w:lineRule="exact"/>
        <w:rPr>
          <w:rFonts w:ascii="Arial" w:cs="Arial" w:eastAsia="Arial" w:hAnsi="Arial"/>
          <w:sz w:val="16"/>
          <w:szCs w:val="16"/>
          <w:color w:val="auto"/>
        </w:rPr>
      </w:pPr>
    </w:p>
    <w:p>
      <w:pPr>
        <w:ind w:left="580" w:right="600" w:hanging="295"/>
        <w:spacing w:after="0" w:line="262"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$2.4 million increase in other indirect research and development expenses, driven by an increase in facility and other allocated overhead costs primarily attributable to increased research and development headcount, as well as an increase in technology spend.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121" w:lineRule="exact"/>
        <w:rPr>
          <w:sz w:val="20"/>
          <w:szCs w:val="20"/>
          <w:color w:val="auto"/>
        </w:rPr>
      </w:pPr>
    </w:p>
    <w:p>
      <w:pPr>
        <w:ind w:right="240" w:firstLine="397"/>
        <w:spacing w:after="0" w:line="262" w:lineRule="auto"/>
        <w:rPr>
          <w:sz w:val="20"/>
          <w:szCs w:val="20"/>
          <w:color w:val="auto"/>
        </w:rPr>
      </w:pPr>
      <w:r>
        <w:rPr>
          <w:rFonts w:ascii="Arial" w:cs="Arial" w:eastAsia="Arial" w:hAnsi="Arial"/>
          <w:sz w:val="16"/>
          <w:szCs w:val="16"/>
          <w:color w:val="auto"/>
        </w:rPr>
        <w:t>General and administrative expenses increased approximately $24.4 million from $7.6 million for the nine months ended September 30, 2020 to $31.9 million for the nine months ended September 30, 2021. The increase in general and administrative expenses was primarily attributable to the following:</w:t>
      </w:r>
    </w:p>
    <w:p>
      <w:pPr>
        <w:spacing w:after="0" w:line="127" w:lineRule="exact"/>
        <w:rPr>
          <w:sz w:val="20"/>
          <w:szCs w:val="20"/>
          <w:color w:val="auto"/>
        </w:rPr>
      </w:pPr>
    </w:p>
    <w:p>
      <w:pPr>
        <w:ind w:left="580" w:right="640" w:hanging="295"/>
        <w:spacing w:after="0" w:line="262" w:lineRule="auto"/>
        <w:tabs>
          <w:tab w:leader="none" w:pos="5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$13.1 million increase in personnel-related costs, primarily driven by increased headcount, including an increase of $8.7 million in stock-based compensation expense;</w:t>
      </w:r>
    </w:p>
    <w:p>
      <w:pPr>
        <w:spacing w:after="0" w:line="127" w:lineRule="exact"/>
        <w:rPr>
          <w:rFonts w:ascii="Arial" w:cs="Arial" w:eastAsia="Arial" w:hAnsi="Arial"/>
          <w:sz w:val="16"/>
          <w:szCs w:val="16"/>
          <w:color w:val="auto"/>
        </w:rPr>
      </w:pPr>
    </w:p>
    <w:p>
      <w:pPr>
        <w:ind w:left="580" w:right="260" w:hanging="295"/>
        <w:spacing w:after="0" w:line="262" w:lineRule="auto"/>
        <w:tabs>
          <w:tab w:leader="none" w:pos="5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$6.3 million increase in professional fees, including $3.5 million of increased commercial-related spend to support assessments of our clinical-stage programs, a $1.1 million increase in audit and legal fees and a $0.9 million increase in general and administrative infrastructure costs; and</w:t>
      </w:r>
    </w:p>
    <w:p>
      <w:pPr>
        <w:spacing w:after="0" w:line="127" w:lineRule="exact"/>
        <w:rPr>
          <w:rFonts w:ascii="Arial" w:cs="Arial" w:eastAsia="Arial" w:hAnsi="Arial"/>
          <w:sz w:val="16"/>
          <w:szCs w:val="16"/>
          <w:color w:val="auto"/>
        </w:rPr>
      </w:pPr>
    </w:p>
    <w:p>
      <w:pPr>
        <w:ind w:left="580" w:right="100" w:hanging="295"/>
        <w:spacing w:after="0" w:line="262" w:lineRule="auto"/>
        <w:tabs>
          <w:tab w:leader="none" w:pos="5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$4.9 million increase in other general and administrative expenses, including a $3.2 million increase in insurance and related costs due to becoming a public company, a $0.7 million increase in donations and sponsorships and a $0.5 million increase in technology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97"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color w:val="auto"/>
        </w:rPr>
        <w:t>Other Income</w:t>
      </w:r>
    </w:p>
    <w:p>
      <w:pPr>
        <w:spacing w:after="0" w:line="121" w:lineRule="exact"/>
        <w:rPr>
          <w:sz w:val="20"/>
          <w:szCs w:val="20"/>
          <w:color w:val="auto"/>
        </w:rPr>
      </w:pPr>
    </w:p>
    <w:p>
      <w:pPr>
        <w:ind w:right="340" w:firstLine="397"/>
        <w:spacing w:after="0" w:line="262" w:lineRule="auto"/>
        <w:rPr>
          <w:sz w:val="20"/>
          <w:szCs w:val="20"/>
          <w:color w:val="auto"/>
        </w:rPr>
      </w:pPr>
      <w:r>
        <w:rPr>
          <w:rFonts w:ascii="Arial" w:cs="Arial" w:eastAsia="Arial" w:hAnsi="Arial"/>
          <w:sz w:val="16"/>
          <w:szCs w:val="16"/>
          <w:color w:val="auto"/>
        </w:rPr>
        <w:t>Other income for the nine months ended September 30, 2021 and 2020, comprised of interest income on our cash, cash equivalents and marketable securities and investment premium and discount amortization,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25" w:lineRule="exact"/>
        <w:rPr>
          <w:sz w:val="20"/>
          <w:szCs w:val="20"/>
          <w:color w:val="auto"/>
        </w:rPr>
      </w:pPr>
    </w:p>
    <w:p>
      <w:pPr>
        <w:ind w:right="380" w:firstLine="397"/>
        <w:spacing w:after="0" w:line="262" w:lineRule="auto"/>
        <w:rPr>
          <w:sz w:val="20"/>
          <w:szCs w:val="20"/>
          <w:color w:val="auto"/>
        </w:rPr>
      </w:pPr>
      <w:r>
        <w:rPr>
          <w:rFonts w:ascii="Arial" w:cs="Arial" w:eastAsia="Arial" w:hAnsi="Arial"/>
          <w:sz w:val="16"/>
          <w:szCs w:val="16"/>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79" w:lineRule="exact"/>
        <w:rPr>
          <w:sz w:val="20"/>
          <w:szCs w:val="20"/>
          <w:color w:val="auto"/>
        </w:rPr>
      </w:pPr>
    </w:p>
    <w:p>
      <w:pPr>
        <w:ind w:right="20" w:firstLine="397"/>
        <w:spacing w:after="0" w:line="254" w:lineRule="auto"/>
        <w:rPr>
          <w:sz w:val="20"/>
          <w:szCs w:val="20"/>
          <w:color w:val="auto"/>
        </w:rPr>
      </w:pPr>
      <w:r>
        <w:rPr>
          <w:rFonts w:ascii="Arial" w:cs="Arial" w:eastAsia="Arial" w:hAnsi="Arial"/>
          <w:sz w:val="16"/>
          <w:szCs w:val="16"/>
          <w:color w:val="auto"/>
        </w:rPr>
        <w:t>To date, we have financed our operations primarily with proceeds from the sale and issuance of our redeemable convertible preferred stock, the sale and issuance of convertible debt, and the sale and issuance of common stock in our IPO and follow-on public offering. From inception through September 30, 2021, we have raised $509.4 million in aggregate cash proceeds from these transactions, net of issuance costs. As of September 30, 2021, we had cash, cash equivalents and marketable securities of $314.4 million.</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Historical Cash Flows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information regarding our cash flows for each period presented (in thousands):</w:t>
      </w:r>
    </w:p>
    <w:p>
      <w:pPr>
        <w:spacing w:after="0" w:line="113"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7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9"/>
        </w:trPr>
        <w:tc>
          <w:tcPr>
            <w:tcW w:w="81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(79,697)</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(32,395)</w:t>
            </w:r>
          </w:p>
        </w:tc>
      </w:tr>
      <w:tr>
        <w:trPr>
          <w:trHeight w:val="195"/>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(150,689)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99,873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102,352</w:t>
            </w:r>
          </w:p>
        </w:tc>
      </w:tr>
      <w:tr>
        <w:trPr>
          <w:trHeight w:val="20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(130,513)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69,957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1" w:lineRule="exact"/>
        <w:rPr>
          <w:sz w:val="20"/>
          <w:szCs w:val="20"/>
          <w:color w:val="auto"/>
        </w:rPr>
      </w:pPr>
    </w:p>
    <w:p>
      <w:pPr>
        <w:ind w:right="20" w:firstLine="397"/>
        <w:spacing w:after="0" w:line="254" w:lineRule="auto"/>
        <w:rPr>
          <w:sz w:val="20"/>
          <w:szCs w:val="20"/>
          <w:color w:val="auto"/>
        </w:rPr>
      </w:pPr>
      <w:r>
        <w:rPr>
          <w:rFonts w:ascii="Arial" w:cs="Arial" w:eastAsia="Arial" w:hAnsi="Arial"/>
          <w:sz w:val="16"/>
          <w:szCs w:val="16"/>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components of working capital, which are primarily the result of increased expenses and timing of vendor payments.</w:t>
      </w:r>
    </w:p>
    <w:p>
      <w:pPr>
        <w:spacing w:after="0" w:line="183" w:lineRule="exact"/>
        <w:rPr>
          <w:sz w:val="20"/>
          <w:szCs w:val="20"/>
          <w:color w:val="auto"/>
        </w:rPr>
      </w:pPr>
    </w:p>
    <w:p>
      <w:pPr>
        <w:ind w:right="60" w:firstLine="397"/>
        <w:spacing w:after="0" w:line="256" w:lineRule="auto"/>
        <w:rPr>
          <w:sz w:val="20"/>
          <w:szCs w:val="20"/>
          <w:color w:val="auto"/>
        </w:rPr>
      </w:pPr>
      <w:r>
        <w:rPr>
          <w:rFonts w:ascii="Arial" w:cs="Arial" w:eastAsia="Arial" w:hAnsi="Arial"/>
          <w:sz w:val="16"/>
          <w:szCs w:val="16"/>
          <w:color w:val="auto"/>
        </w:rPr>
        <w:t>During the nine months ended September 30, 2021, net cash used in operating activities of $79.7 million was primarily due to our $108.5 million net loss, partially offset by $9.7 million in changes in operating assets and liabilities and $19.1 million of non-cash charges primarily related to stock-based compensation.</w:t>
      </w:r>
    </w:p>
    <w:p>
      <w:pPr>
        <w:spacing w:after="0" w:line="181" w:lineRule="exact"/>
        <w:rPr>
          <w:sz w:val="20"/>
          <w:szCs w:val="20"/>
          <w:color w:val="auto"/>
        </w:rPr>
      </w:pPr>
    </w:p>
    <w:p>
      <w:pPr>
        <w:ind w:right="140" w:firstLine="397"/>
        <w:spacing w:after="0" w:line="262" w:lineRule="auto"/>
        <w:rPr>
          <w:sz w:val="20"/>
          <w:szCs w:val="20"/>
          <w:color w:val="auto"/>
        </w:rPr>
      </w:pPr>
      <w:r>
        <w:rPr>
          <w:rFonts w:ascii="Arial" w:cs="Arial" w:eastAsia="Arial" w:hAnsi="Arial"/>
          <w:sz w:val="16"/>
          <w:szCs w:val="16"/>
          <w:color w:val="auto"/>
        </w:rPr>
        <w:t>During the nine months ended September 30, 2020, net cash used in operating activities of $32.4 million was primarily due to our $36.1 million net loss, partially offset by $1.8 million in changes in operating assets and liabilities and $1.9 million of non-cash charges.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1" w:lineRule="exact"/>
        <w:rPr>
          <w:sz w:val="20"/>
          <w:szCs w:val="20"/>
          <w:color w:val="auto"/>
        </w:rPr>
      </w:pPr>
    </w:p>
    <w:p>
      <w:pPr>
        <w:ind w:right="60" w:firstLine="397"/>
        <w:spacing w:after="0" w:line="256" w:lineRule="auto"/>
        <w:rPr>
          <w:sz w:val="20"/>
          <w:szCs w:val="20"/>
          <w:color w:val="auto"/>
        </w:rPr>
      </w:pPr>
      <w:r>
        <w:rPr>
          <w:rFonts w:ascii="Arial" w:cs="Arial" w:eastAsia="Arial" w:hAnsi="Arial"/>
          <w:sz w:val="16"/>
          <w:szCs w:val="16"/>
          <w:color w:val="auto"/>
        </w:rPr>
        <w:t>During the nine months ended September 30, 2021, net cash used in investing activities of $150.7 million primarily related to the purchase of marketable securities, partially offset by the maturities of marketable securities. There were no cash flows from investing activities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097"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Financing Activities</w:t>
      </w:r>
    </w:p>
    <w:p>
      <w:pPr>
        <w:spacing w:after="0" w:line="121" w:lineRule="exact"/>
        <w:rPr>
          <w:sz w:val="20"/>
          <w:szCs w:val="20"/>
          <w:color w:val="auto"/>
        </w:rPr>
      </w:pPr>
    </w:p>
    <w:p>
      <w:pPr>
        <w:jc w:val="both"/>
        <w:ind w:right="140" w:firstLine="397"/>
        <w:spacing w:after="0" w:line="256" w:lineRule="auto"/>
        <w:rPr>
          <w:sz w:val="20"/>
          <w:szCs w:val="20"/>
          <w:color w:val="auto"/>
        </w:rPr>
      </w:pPr>
      <w:r>
        <w:rPr>
          <w:rFonts w:ascii="Arial" w:cs="Arial" w:eastAsia="Arial" w:hAnsi="Arial"/>
          <w:sz w:val="16"/>
          <w:szCs w:val="16"/>
          <w:color w:val="auto"/>
        </w:rPr>
        <w:t>During the nine months ended September 30, 2021, net cash provided by financing activities of $99.9 million consisted of net proceeds from our follow-on public offering of $98.5 million and net proceeds from the exercise of stock options of $2.0 million, partially offset by the payment of issuance costs for our IPO.</w:t>
      </w:r>
    </w:p>
    <w:p>
      <w:pPr>
        <w:spacing w:after="0" w:line="181" w:lineRule="exact"/>
        <w:rPr>
          <w:sz w:val="20"/>
          <w:szCs w:val="20"/>
          <w:color w:val="auto"/>
        </w:rPr>
      </w:pPr>
    </w:p>
    <w:p>
      <w:pPr>
        <w:ind w:firstLine="397"/>
        <w:spacing w:after="0" w:line="256" w:lineRule="auto"/>
        <w:rPr>
          <w:sz w:val="20"/>
          <w:szCs w:val="20"/>
          <w:color w:val="auto"/>
        </w:rPr>
      </w:pPr>
      <w:r>
        <w:rPr>
          <w:rFonts w:ascii="Arial" w:cs="Arial" w:eastAsia="Arial" w:hAnsi="Arial"/>
          <w:sz w:val="16"/>
          <w:szCs w:val="16"/>
          <w:color w:val="auto"/>
        </w:rPr>
        <w:t>During the nine months ended September 30, 2020, net cash provided by financing activities of $102.4 million consisted of proceeds from the issuance of Series C-1 redeemable convertible preferred stock and exercise of stock options, partially offset by cash paid for the repurchase of our Series C redeemable convertible preferred stock and payment of issuance costs.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 of Operation and Future Funding Requirements</w:t>
      </w:r>
    </w:p>
    <w:p>
      <w:pPr>
        <w:spacing w:after="0" w:line="125" w:lineRule="exact"/>
        <w:rPr>
          <w:sz w:val="20"/>
          <w:szCs w:val="20"/>
          <w:color w:val="auto"/>
        </w:rPr>
      </w:pPr>
    </w:p>
    <w:p>
      <w:pPr>
        <w:ind w:right="80" w:firstLine="397"/>
        <w:spacing w:after="0" w:line="254" w:lineRule="auto"/>
        <w:rPr>
          <w:sz w:val="20"/>
          <w:szCs w:val="20"/>
          <w:color w:val="auto"/>
        </w:rPr>
      </w:pPr>
      <w:r>
        <w:rPr>
          <w:rFonts w:ascii="Arial" w:cs="Arial" w:eastAsia="Arial" w:hAnsi="Arial"/>
          <w:sz w:val="16"/>
          <w:szCs w:val="16"/>
          <w:color w:val="auto"/>
        </w:rPr>
        <w:t>We expect our expenses to increase substantially in connection with our ongoing research and development activities, particularly as we advance the preclinical activities and clinical trials of our product candidates. In addition, we expect to incur additional costs associated with operating as a public company and as we transition from being an emerging growth company and a smaller reporting company. As a result, we expect to incur substantial operating losses and negative operating cash flows for the foreseeable future. We anticipate that our expenses will increase substantially if and as we:</w:t>
      </w:r>
    </w:p>
    <w:p>
      <w:pPr>
        <w:spacing w:after="0" w:line="135" w:lineRule="exact"/>
        <w:rPr>
          <w:sz w:val="20"/>
          <w:szCs w:val="20"/>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 the clinical development of our PRAX-114, PRAX-944 and PRAX-562 product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 the development of any additional product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conduct research and continue preclinical development of potential product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strategic investments in manufacturing capabilities;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 our current intellectual property portfolio and opportunistically acquire complementary intellectual property;</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to obtain regulatory approvals for our product candidates;</w:t>
      </w:r>
    </w:p>
    <w:p>
      <w:pPr>
        <w:spacing w:after="0" w:line="152" w:lineRule="exact"/>
        <w:rPr>
          <w:rFonts w:ascii="Arial" w:cs="Arial" w:eastAsia="Arial" w:hAnsi="Arial"/>
          <w:sz w:val="16"/>
          <w:szCs w:val="16"/>
          <w:color w:val="auto"/>
        </w:rPr>
      </w:pPr>
    </w:p>
    <w:p>
      <w:pPr>
        <w:ind w:left="580" w:right="60" w:hanging="295"/>
        <w:spacing w:after="0" w:line="262" w:lineRule="auto"/>
        <w:tabs>
          <w:tab w:leader="none" w:pos="5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potentially establish a sales, marketing and distribution infrastructure and scale-up manufacturing capabilities to commercialize any products for which we may obtain regulatory approval;</w:t>
      </w:r>
    </w:p>
    <w:p>
      <w:pPr>
        <w:spacing w:after="0" w:line="127" w:lineRule="exact"/>
        <w:rPr>
          <w:rFonts w:ascii="Arial" w:cs="Arial" w:eastAsia="Arial" w:hAnsi="Arial"/>
          <w:sz w:val="16"/>
          <w:szCs w:val="16"/>
          <w:color w:val="auto"/>
        </w:rPr>
      </w:pPr>
    </w:p>
    <w:p>
      <w:pPr>
        <w:ind w:left="580" w:right="720" w:hanging="295"/>
        <w:spacing w:after="0" w:line="262" w:lineRule="auto"/>
        <w:tabs>
          <w:tab w:leader="none" w:pos="5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27" w:lineRule="exact"/>
        <w:rPr>
          <w:rFonts w:ascii="Arial" w:cs="Arial" w:eastAsia="Arial" w:hAnsi="Arial"/>
          <w:sz w:val="16"/>
          <w:szCs w:val="16"/>
          <w:color w:val="auto"/>
        </w:rPr>
      </w:pPr>
    </w:p>
    <w:p>
      <w:pPr>
        <w:ind w:left="580" w:right="40" w:hanging="295"/>
        <w:spacing w:after="0" w:line="262" w:lineRule="auto"/>
        <w:tabs>
          <w:tab w:leader="none" w:pos="5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experience any delays or encounter any issues with any of the above, including but not limited to failed studies, complex results, safety issues or other regulatory challenges.</w:t>
      </w:r>
    </w:p>
    <w:p>
      <w:pPr>
        <w:spacing w:after="0" w:line="176" w:lineRule="exact"/>
        <w:rPr>
          <w:sz w:val="20"/>
          <w:szCs w:val="20"/>
          <w:color w:val="auto"/>
        </w:rPr>
      </w:pPr>
    </w:p>
    <w:p>
      <w:pPr>
        <w:ind w:right="120" w:firstLine="397"/>
        <w:spacing w:after="0" w:line="254" w:lineRule="auto"/>
        <w:rPr>
          <w:sz w:val="20"/>
          <w:szCs w:val="20"/>
          <w:color w:val="auto"/>
        </w:rPr>
      </w:pPr>
      <w:r>
        <w:rPr>
          <w:rFonts w:ascii="Arial" w:cs="Arial" w:eastAsia="Arial" w:hAnsi="Arial"/>
          <w:sz w:val="16"/>
          <w:szCs w:val="16"/>
          <w:color w:val="auto"/>
        </w:rPr>
        <w:t>We are unable to estimate the exact amount of our working capital requirements, but based on our current operating plan, we believe that our existing cash, cash equivalents and marketable securities will enable us to fund our operating expenses and capital expenditure requirements into the second quarter of 2023. However, we have based this estimate on assumptions that may prove to be wrong and we could exhaust our capital resources sooner than we expect.</w:t>
      </w:r>
    </w:p>
    <w:p>
      <w:pPr>
        <w:spacing w:after="0" w:line="183" w:lineRule="exact"/>
        <w:rPr>
          <w:sz w:val="20"/>
          <w:szCs w:val="20"/>
          <w:color w:val="auto"/>
        </w:rPr>
      </w:pPr>
    </w:p>
    <w:p>
      <w:pPr>
        <w:ind w:right="180" w:firstLine="397"/>
        <w:spacing w:after="0" w:line="254" w:lineRule="auto"/>
        <w:rPr>
          <w:sz w:val="20"/>
          <w:szCs w:val="20"/>
          <w:color w:val="auto"/>
        </w:rPr>
      </w:pPr>
      <w:r>
        <w:rPr>
          <w:rFonts w:ascii="Arial" w:cs="Arial" w:eastAsia="Arial" w:hAnsi="Arial"/>
          <w:sz w:val="16"/>
          <w:szCs w:val="16"/>
          <w:color w:val="auto"/>
        </w:rPr>
        <w:t>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35" w:lineRule="exact"/>
        <w:rPr>
          <w:sz w:val="20"/>
          <w:szCs w:val="20"/>
          <w:color w:val="auto"/>
        </w:rPr>
      </w:pPr>
    </w:p>
    <w:p>
      <w:pPr>
        <w:ind w:left="560" w:hanging="275"/>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studies and clinical trials for our programs and product candidates;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and characteristics of programs and technologies that we develop or may in-license;</w:t>
      </w:r>
    </w:p>
    <w:p>
      <w:pPr>
        <w:spacing w:after="0" w:line="152" w:lineRule="exact"/>
        <w:rPr>
          <w:rFonts w:ascii="Arial" w:cs="Arial" w:eastAsia="Arial" w:hAnsi="Arial"/>
          <w:sz w:val="16"/>
          <w:szCs w:val="16"/>
          <w:color w:val="auto"/>
        </w:rPr>
      </w:pPr>
    </w:p>
    <w:p>
      <w:pPr>
        <w:ind w:left="580" w:right="20" w:hanging="295"/>
        <w:spacing w:after="0" w:line="262" w:lineRule="auto"/>
        <w:tabs>
          <w:tab w:leader="none" w:pos="5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manufacturing, marketing, sales and distribution, for any of our product candidates for which we receive marketing approval;</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left="580" w:right="360" w:hanging="295"/>
        <w:spacing w:after="0" w:line="262"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27" w:lineRule="exact"/>
        <w:rPr>
          <w:rFonts w:ascii="Arial" w:cs="Arial" w:eastAsia="Arial" w:hAnsi="Arial"/>
          <w:sz w:val="16"/>
          <w:szCs w:val="16"/>
          <w:color w:val="auto"/>
        </w:rPr>
      </w:pPr>
    </w:p>
    <w:p>
      <w:pPr>
        <w:ind w:left="580" w:right="240" w:hanging="295"/>
        <w:spacing w:after="0" w:line="262"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and timing of preparing, filing and prosecuting patent applications, maintaining and enforcing our intellectual property rights and defending any intellectual property-related claims;</w:t>
      </w:r>
    </w:p>
    <w:p>
      <w:pPr>
        <w:spacing w:after="0" w:line="127" w:lineRule="exact"/>
        <w:rPr>
          <w:rFonts w:ascii="Arial" w:cs="Arial" w:eastAsia="Arial" w:hAnsi="Arial"/>
          <w:sz w:val="16"/>
          <w:szCs w:val="16"/>
          <w:color w:val="auto"/>
        </w:rPr>
      </w:pPr>
    </w:p>
    <w:p>
      <w:pPr>
        <w:ind w:left="560" w:hanging="27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continuation of our existing licensing arrangements and entry into new collaborations and licensing arrangements;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we incur in maintaining business operations;</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associated with being a public company;</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any product candidates for which we receive marketing approval;</w:t>
      </w:r>
    </w:p>
    <w:p>
      <w:pPr>
        <w:spacing w:after="0" w:line="152" w:lineRule="exact"/>
        <w:rPr>
          <w:rFonts w:ascii="Arial" w:cs="Arial" w:eastAsia="Arial" w:hAnsi="Arial"/>
          <w:sz w:val="16"/>
          <w:szCs w:val="16"/>
          <w:color w:val="auto"/>
        </w:rPr>
      </w:pPr>
    </w:p>
    <w:p>
      <w:pPr>
        <w:ind w:left="560" w:hanging="275"/>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152" w:lineRule="exact"/>
        <w:rPr>
          <w:rFonts w:ascii="Arial" w:cs="Arial" w:eastAsia="Arial" w:hAnsi="Arial"/>
          <w:sz w:val="16"/>
          <w:szCs w:val="16"/>
          <w:color w:val="auto"/>
        </w:rPr>
      </w:pPr>
    </w:p>
    <w:p>
      <w:pPr>
        <w:ind w:left="580" w:right="280" w:hanging="295"/>
        <w:spacing w:after="0" w:line="262"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or to those of our manufacturers, suppliers or other vendors resulting from the COVID-19 pandemic or similar public health crisis; and</w:t>
      </w:r>
    </w:p>
    <w:p>
      <w:pPr>
        <w:spacing w:after="0" w:line="127" w:lineRule="exact"/>
        <w:rPr>
          <w:rFonts w:ascii="Arial" w:cs="Arial" w:eastAsia="Arial" w:hAnsi="Arial"/>
          <w:sz w:val="16"/>
          <w:szCs w:val="16"/>
          <w:color w:val="auto"/>
        </w:rPr>
      </w:pPr>
    </w:p>
    <w:p>
      <w:pPr>
        <w:ind w:left="580" w:right="180" w:hanging="295"/>
        <w:spacing w:after="0" w:line="262" w:lineRule="auto"/>
        <w:tabs>
          <w:tab w:leader="none" w:pos="5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76" w:lineRule="exact"/>
        <w:rPr>
          <w:sz w:val="20"/>
          <w:szCs w:val="20"/>
          <w:color w:val="auto"/>
        </w:rPr>
      </w:pPr>
    </w:p>
    <w:p>
      <w:pPr>
        <w:ind w:right="240" w:firstLine="397"/>
        <w:spacing w:after="0" w:line="253"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5" w:lineRule="exact"/>
        <w:rPr>
          <w:sz w:val="20"/>
          <w:szCs w:val="20"/>
          <w:color w:val="auto"/>
        </w:rPr>
      </w:pPr>
    </w:p>
    <w:p>
      <w:pPr>
        <w:ind w:right="20" w:firstLine="397"/>
        <w:spacing w:after="0" w:line="252" w:lineRule="auto"/>
        <w:rPr>
          <w:sz w:val="20"/>
          <w:szCs w:val="20"/>
          <w:color w:val="auto"/>
        </w:rPr>
      </w:pPr>
      <w:r>
        <w:rPr>
          <w:rFonts w:ascii="Arial" w:cs="Arial" w:eastAsia="Arial" w:hAnsi="Arial"/>
          <w:sz w:val="16"/>
          <w:szCs w:val="16"/>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87" w:lineRule="exact"/>
        <w:rPr>
          <w:sz w:val="20"/>
          <w:szCs w:val="20"/>
          <w:color w:val="auto"/>
        </w:rPr>
      </w:pPr>
    </w:p>
    <w:p>
      <w:pPr>
        <w:ind w:right="160" w:firstLine="397"/>
        <w:spacing w:after="0" w:line="253"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13" w:lineRule="exact"/>
        <w:rPr>
          <w:sz w:val="20"/>
          <w:szCs w:val="20"/>
          <w:color w:val="auto"/>
        </w:rPr>
      </w:pPr>
    </w:p>
    <w:p>
      <w:pPr>
        <w:ind w:firstLine="397"/>
        <w:spacing w:after="0" w:line="224" w:lineRule="auto"/>
        <w:rPr>
          <w:sz w:val="20"/>
          <w:szCs w:val="20"/>
          <w:color w:val="auto"/>
        </w:rPr>
      </w:pPr>
      <w:r>
        <w:rPr>
          <w:rFonts w:ascii="Arial" w:cs="Arial" w:eastAsia="Arial" w:hAnsi="Arial"/>
          <w:sz w:val="16"/>
          <w:szCs w:val="16"/>
          <w:color w:val="auto"/>
        </w:rPr>
        <w:t>As of September 30, 2021, there have been no significant changes to our contractual obligations from those described under the heading “Management’s Discussion and Analysis of Financial Condition and Results of Operations – Contractual Obligations and Commitments” included in our Annual Report on Form 10-K filed with the SEC on March 17, 2021, other than our new sublease agreement entered into in May 2021 for office space in Boston, Massachusetts. The space is being used as our new corporate headquarters as of October 1, 2021 and the sublease expires on January 31, 2026, with no option to renew or terminate early. The base rent increases by 2% annually. Starting in January 2022, we are obligated to pay $5.2 million in total future lease payments over the remaining term of the lease.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968"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25" w:lineRule="exact"/>
        <w:rPr>
          <w:sz w:val="20"/>
          <w:szCs w:val="20"/>
          <w:color w:val="auto"/>
        </w:rPr>
      </w:pPr>
    </w:p>
    <w:p>
      <w:pPr>
        <w:ind w:firstLine="397"/>
        <w:spacing w:after="0" w:line="262"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in the rules and regulations of the SEC.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25" w:lineRule="exact"/>
        <w:rPr>
          <w:sz w:val="20"/>
          <w:szCs w:val="20"/>
          <w:color w:val="auto"/>
        </w:rPr>
      </w:pPr>
    </w:p>
    <w:p>
      <w:pPr>
        <w:ind w:right="80" w:firstLine="397"/>
        <w:spacing w:after="0" w:line="25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right="40" w:firstLine="397"/>
        <w:spacing w:after="0" w:line="256" w:lineRule="auto"/>
        <w:rPr>
          <w:sz w:val="20"/>
          <w:szCs w:val="20"/>
          <w:color w:val="auto"/>
        </w:rPr>
      </w:pPr>
      <w:r>
        <w:rPr>
          <w:rFonts w:ascii="Arial" w:cs="Arial" w:eastAsia="Arial" w:hAnsi="Arial"/>
          <w:sz w:val="16"/>
          <w:szCs w:val="16"/>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March 17, 2021.</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and Emerging Growth Company Status</w:t>
      </w:r>
    </w:p>
    <w:p>
      <w:pPr>
        <w:spacing w:after="0" w:line="125" w:lineRule="exact"/>
        <w:rPr>
          <w:sz w:val="20"/>
          <w:szCs w:val="20"/>
          <w:color w:val="auto"/>
        </w:rPr>
      </w:pPr>
    </w:p>
    <w:p>
      <w:pPr>
        <w:ind w:firstLine="397"/>
        <w:spacing w:after="0" w:line="252" w:lineRule="auto"/>
        <w:rPr>
          <w:sz w:val="20"/>
          <w:szCs w:val="20"/>
          <w:color w:val="auto"/>
        </w:rPr>
      </w:pPr>
      <w:r>
        <w:rPr>
          <w:rFonts w:ascii="Arial" w:cs="Arial" w:eastAsia="Arial" w:hAnsi="Arial"/>
          <w:sz w:val="16"/>
          <w:szCs w:val="16"/>
          <w:color w:val="auto"/>
        </w:rPr>
        <w:t>In April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the extended transition period and, therefore, while we are an EGC we will not be subject to new or revised accounting standards at the same time that they become applicable to other public companies that are not EGCs, unless we choose to early adopt a new or revised accounting standard.</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will remain an emerging growth company until December 31,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25" w:lineRule="exact"/>
        <w:rPr>
          <w:sz w:val="20"/>
          <w:szCs w:val="20"/>
          <w:color w:val="auto"/>
        </w:rPr>
      </w:pPr>
    </w:p>
    <w:p>
      <w:pPr>
        <w:ind w:right="320" w:firstLine="397"/>
        <w:spacing w:after="0" w:line="256" w:lineRule="auto"/>
        <w:rPr>
          <w:sz w:val="20"/>
          <w:szCs w:val="20"/>
          <w:color w:val="auto"/>
        </w:rPr>
      </w:pPr>
      <w:r>
        <w:rPr>
          <w:rFonts w:ascii="Arial" w:cs="Arial" w:eastAsia="Arial" w:hAnsi="Arial"/>
          <w:sz w:val="16"/>
          <w:szCs w:val="16"/>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Evaluation of Our Disclosure Controls and Procedures</w:t>
      </w:r>
    </w:p>
    <w:p>
      <w:pPr>
        <w:spacing w:after="0" w:line="125" w:lineRule="exact"/>
        <w:rPr>
          <w:sz w:val="20"/>
          <w:szCs w:val="20"/>
          <w:color w:val="auto"/>
        </w:rPr>
      </w:pPr>
    </w:p>
    <w:p>
      <w:pPr>
        <w:ind w:right="120" w:firstLine="397"/>
        <w:spacing w:after="0" w:line="252"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86" w:lineRule="exact"/>
        <w:rPr>
          <w:sz w:val="20"/>
          <w:szCs w:val="20"/>
          <w:color w:val="auto"/>
        </w:rPr>
      </w:pPr>
    </w:p>
    <w:p>
      <w:pPr>
        <w:ind w:right="220" w:firstLine="397"/>
        <w:spacing w:after="0" w:line="254"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2021.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21" w:lineRule="exact"/>
        <w:rPr>
          <w:sz w:val="20"/>
          <w:szCs w:val="20"/>
          <w:color w:val="auto"/>
        </w:rPr>
      </w:pPr>
    </w:p>
    <w:p>
      <w:pPr>
        <w:ind w:firstLine="397"/>
        <w:spacing w:after="0" w:line="262" w:lineRule="auto"/>
        <w:rPr>
          <w:sz w:val="20"/>
          <w:szCs w:val="20"/>
          <w:color w:val="auto"/>
        </w:rPr>
      </w:pPr>
      <w:r>
        <w:rPr>
          <w:rFonts w:ascii="Arial" w:cs="Arial" w:eastAsia="Arial" w:hAnsi="Arial"/>
          <w:sz w:val="16"/>
          <w:szCs w:val="16"/>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PART II—OTHER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5" w:lineRule="exact"/>
        <w:rPr>
          <w:sz w:val="20"/>
          <w:szCs w:val="20"/>
          <w:color w:val="auto"/>
        </w:rPr>
      </w:pPr>
    </w:p>
    <w:p>
      <w:pPr>
        <w:ind w:firstLine="397"/>
        <w:spacing w:after="0" w:line="256" w:lineRule="auto"/>
        <w:rPr>
          <w:sz w:val="20"/>
          <w:szCs w:val="20"/>
          <w:color w:val="auto"/>
        </w:rPr>
      </w:pPr>
      <w:r>
        <w:rPr>
          <w:rFonts w:ascii="Arial" w:cs="Arial" w:eastAsia="Arial" w:hAnsi="Arial"/>
          <w:sz w:val="16"/>
          <w:szCs w:val="16"/>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5" w:lineRule="exact"/>
        <w:rPr>
          <w:sz w:val="20"/>
          <w:szCs w:val="20"/>
          <w:color w:val="auto"/>
        </w:rPr>
      </w:pPr>
    </w:p>
    <w:p>
      <w:pPr>
        <w:ind w:right="100" w:firstLine="397"/>
        <w:spacing w:after="0" w:line="262" w:lineRule="auto"/>
        <w:rPr>
          <w:sz w:val="20"/>
          <w:szCs w:val="20"/>
          <w:color w:val="auto"/>
        </w:rPr>
      </w:pPr>
      <w:r>
        <w:rPr>
          <w:rFonts w:ascii="Arial" w:cs="Arial" w:eastAsia="Arial" w:hAnsi="Arial"/>
          <w:sz w:val="16"/>
          <w:szCs w:val="16"/>
          <w:color w:val="auto"/>
        </w:rPr>
        <w:t>The risk factor set forth below updates, and should be read in conjunction with, the risk factors previously disclosed in the section entitled "Risk Factors" of our Annual Report on Form 10-K for the year ended December 31, 2020 filed with the SEC on March 17, 2021.</w:t>
      </w:r>
    </w:p>
    <w:p>
      <w:pPr>
        <w:spacing w:after="0" w:line="3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If we encounter difficulties enrolling patients in our future clinical trials, our clinical development activities could be delayed or otherwise adversely affected.</w:t>
      </w:r>
    </w:p>
    <w:p>
      <w:pPr>
        <w:spacing w:after="0" w:line="156" w:lineRule="exact"/>
        <w:rPr>
          <w:sz w:val="20"/>
          <w:szCs w:val="20"/>
          <w:color w:val="auto"/>
        </w:rPr>
      </w:pPr>
    </w:p>
    <w:p>
      <w:pPr>
        <w:jc w:val="both"/>
        <w:ind w:right="260" w:firstLine="361"/>
        <w:spacing w:after="0" w:line="256" w:lineRule="auto"/>
        <w:rPr>
          <w:sz w:val="20"/>
          <w:szCs w:val="20"/>
          <w:color w:val="auto"/>
        </w:rPr>
      </w:pPr>
      <w:r>
        <w:rPr>
          <w:rFonts w:ascii="Arial" w:cs="Arial" w:eastAsia="Arial" w:hAnsi="Arial"/>
          <w:sz w:val="16"/>
          <w:szCs w:val="16"/>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Patient enrollment is affected by many factors, including:</w:t>
      </w:r>
    </w:p>
    <w:p>
      <w:pPr>
        <w:spacing w:after="0" w:line="201" w:lineRule="exact"/>
        <w:rPr>
          <w:sz w:val="20"/>
          <w:szCs w:val="20"/>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patient eligibility criteria defined in the protocol;</w:t>
      </w:r>
    </w:p>
    <w:p>
      <w:pPr>
        <w:spacing w:after="0" w:line="200"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size of the patient population required for analysis of the trial’s primary endpoints;</w:t>
      </w:r>
    </w:p>
    <w:p>
      <w:pPr>
        <w:spacing w:after="0" w:line="200" w:lineRule="exact"/>
        <w:rPr>
          <w:rFonts w:ascii="Arial" w:cs="Arial" w:eastAsia="Arial" w:hAnsi="Arial"/>
          <w:sz w:val="16"/>
          <w:szCs w:val="16"/>
          <w:color w:val="auto"/>
        </w:rPr>
      </w:pPr>
    </w:p>
    <w:p>
      <w:pPr>
        <w:ind w:left="580" w:right="760" w:hanging="295"/>
        <w:spacing w:after="0" w:line="262"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clinical trials focused on rare disease, the small size of the patient population and the potential of a patient being undiagnosed or misdiagnosed;</w:t>
      </w:r>
    </w:p>
    <w:p>
      <w:pPr>
        <w:spacing w:after="0" w:line="175"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proximity of patients to trial sites;</w:t>
      </w:r>
    </w:p>
    <w:p>
      <w:pPr>
        <w:spacing w:after="0" w:line="200"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 of the trial;</w:t>
      </w:r>
    </w:p>
    <w:p>
      <w:pPr>
        <w:spacing w:after="0" w:line="200"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recruit clinical trial investigators with the appropriate competencies and experience;</w:t>
      </w:r>
    </w:p>
    <w:p>
      <w:pPr>
        <w:spacing w:after="0" w:line="200" w:lineRule="exact"/>
        <w:rPr>
          <w:rFonts w:ascii="Arial" w:cs="Arial" w:eastAsia="Arial" w:hAnsi="Arial"/>
          <w:sz w:val="16"/>
          <w:szCs w:val="16"/>
          <w:color w:val="auto"/>
        </w:rPr>
      </w:pPr>
    </w:p>
    <w:p>
      <w:pPr>
        <w:ind w:left="580" w:right="360" w:hanging="295"/>
        <w:spacing w:after="0" w:line="262"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175" w:lineRule="exact"/>
        <w:rPr>
          <w:rFonts w:ascii="Arial" w:cs="Arial" w:eastAsia="Arial" w:hAnsi="Arial"/>
          <w:sz w:val="16"/>
          <w:szCs w:val="16"/>
          <w:color w:val="auto"/>
        </w:rPr>
      </w:pPr>
    </w:p>
    <w:p>
      <w:pPr>
        <w:ind w:left="580" w:right="140" w:hanging="295"/>
        <w:spacing w:after="0" w:line="262"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impacts of the COVID-19 pandemic on clinical trial sites, personnel and patient travel (see —Business interruptions resulting from COVID-19 or a similar pandemic, epidemic or outbreak of an infectious disease in the United States or worldwide may adversely affect our business);</w:t>
      </w:r>
    </w:p>
    <w:p>
      <w:pPr>
        <w:spacing w:after="0" w:line="175"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obtain and maintain patient consents; and</w:t>
      </w:r>
    </w:p>
    <w:p>
      <w:pPr>
        <w:spacing w:after="0" w:line="200" w:lineRule="exact"/>
        <w:rPr>
          <w:rFonts w:ascii="Arial" w:cs="Arial" w:eastAsia="Arial" w:hAnsi="Arial"/>
          <w:sz w:val="16"/>
          <w:szCs w:val="16"/>
          <w:color w:val="auto"/>
        </w:rPr>
      </w:pPr>
    </w:p>
    <w:p>
      <w:pPr>
        <w:ind w:left="560" w:hanging="275"/>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risk that patients enrolled in clinical trials will drop out of the trials before completion.</w:t>
      </w:r>
    </w:p>
    <w:p>
      <w:pPr>
        <w:spacing w:after="0" w:line="201" w:lineRule="exact"/>
        <w:rPr>
          <w:sz w:val="20"/>
          <w:szCs w:val="20"/>
          <w:color w:val="auto"/>
        </w:rPr>
      </w:pPr>
    </w:p>
    <w:p>
      <w:pPr>
        <w:ind w:right="40" w:firstLine="361"/>
        <w:spacing w:after="0" w:line="253"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4" w:name="page35"/>
    <w:bookmarkEnd w:id="34"/>
    <w:p>
      <w:pPr>
        <w:ind w:right="60" w:firstLine="361"/>
        <w:spacing w:after="0" w:line="253"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185" w:lineRule="exact"/>
        <w:rPr>
          <w:sz w:val="20"/>
          <w:szCs w:val="20"/>
          <w:color w:val="auto"/>
        </w:rPr>
      </w:pPr>
    </w:p>
    <w:p>
      <w:pPr>
        <w:ind w:right="280" w:firstLine="361"/>
        <w:spacing w:after="0" w:line="262" w:lineRule="auto"/>
        <w:rPr>
          <w:sz w:val="20"/>
          <w:szCs w:val="20"/>
          <w:color w:val="auto"/>
        </w:rPr>
      </w:pPr>
      <w:r>
        <w:rPr>
          <w:rFonts w:ascii="Arial" w:cs="Arial" w:eastAsia="Arial" w:hAnsi="Arial"/>
          <w:sz w:val="16"/>
          <w:szCs w:val="16"/>
          <w:color w:val="auto"/>
        </w:rPr>
        <w:t>We are also required to register certain clinical trials and post the results of completed clinical trials on a government-sponsored database, such as www.ClinicalTrials.gov in the United States, within certain timeframes. Failure to do so can result in fines, adverse publicity and civil and criminal sanctions.</w:t>
      </w:r>
    </w:p>
    <w:p>
      <w:pPr>
        <w:spacing w:after="0" w:line="156" w:lineRule="exact"/>
        <w:rPr>
          <w:sz w:val="20"/>
          <w:szCs w:val="20"/>
          <w:color w:val="auto"/>
        </w:rPr>
      </w:pPr>
    </w:p>
    <w:p>
      <w:pPr>
        <w:ind w:right="580"/>
        <w:spacing w:after="0" w:line="288" w:lineRule="auto"/>
        <w:rPr>
          <w:sz w:val="20"/>
          <w:szCs w:val="20"/>
          <w:color w:val="auto"/>
        </w:rPr>
      </w:pPr>
      <w:r>
        <w:rPr>
          <w:rFonts w:ascii="Arial" w:cs="Arial" w:eastAsia="Arial" w:hAnsi="Arial"/>
          <w:sz w:val="16"/>
          <w:szCs w:val="16"/>
          <w:b w:val="1"/>
          <w:bCs w:val="1"/>
          <w:i w:val="1"/>
          <w:iCs w:val="1"/>
          <w:color w:val="auto"/>
        </w:rPr>
        <w:t>Business interruptions resulting from COVID-19 or a similar pandemic, epidemic or outbreak of an infectious disease in the United States or worldwide may adversely affect our business.</w:t>
      </w:r>
    </w:p>
    <w:p>
      <w:pPr>
        <w:spacing w:after="0" w:line="156" w:lineRule="exact"/>
        <w:rPr>
          <w:sz w:val="20"/>
          <w:szCs w:val="20"/>
          <w:color w:val="auto"/>
        </w:rPr>
      </w:pPr>
    </w:p>
    <w:p>
      <w:pPr>
        <w:ind w:right="40" w:firstLine="361"/>
        <w:spacing w:after="0" w:line="253"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In December 2019, a novel strain of coronavirus named SARS-CoV-2 was identified in Wuhan, China. This virus continues to spread globally, including in the United States and the disease it causes, COVID-19, has been declared a pandemic by the World Health Organization. The COVID-19 pandemic has impacted the global economy and may impact our operations, including the potential interruption of our clinical trial activities, regulatory reviews and our supply chain. Furthermore, the spread of the virus may affect the operations of key governmental agencies, such as the FDA, which may delay the development or approval process for our product candidates.</w:t>
      </w:r>
    </w:p>
    <w:p>
      <w:pPr>
        <w:spacing w:after="0" w:line="183" w:lineRule="exact"/>
        <w:rPr>
          <w:sz w:val="20"/>
          <w:szCs w:val="20"/>
          <w:color w:val="auto"/>
        </w:rPr>
      </w:pPr>
    </w:p>
    <w:p>
      <w:pPr>
        <w:ind w:right="60" w:firstLine="361"/>
        <w:spacing w:after="0" w:line="253" w:lineRule="auto"/>
        <w:rPr>
          <w:sz w:val="20"/>
          <w:szCs w:val="20"/>
          <w:color w:val="auto"/>
        </w:rPr>
      </w:pPr>
      <w:r>
        <w:rPr>
          <w:rFonts w:ascii="Arial" w:cs="Arial" w:eastAsia="Arial" w:hAnsi="Arial"/>
          <w:sz w:val="16"/>
          <w:szCs w:val="16"/>
          <w:color w:val="auto"/>
        </w:rPr>
        <w:t>The COVID-19 pandemic has and may in the future delay enrollment in our clinical trials due to prioritization of hospital resources or patients being either unwilling to enroll in our trials or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For example, we had previously observed delays in our trial enrollment in Australia for our PRAX-944 Phase 2a trial due to stringent COVID-19 lockdown restrictions. While we didn’t experience a material impact on this trial from the delay in enrollment, we cannot predict the scope and severity of potential shutdowns or disruptions of businesses due to COVID-19 in the future.</w:t>
      </w:r>
    </w:p>
    <w:p>
      <w:pPr>
        <w:spacing w:after="0" w:line="183" w:lineRule="exact"/>
        <w:rPr>
          <w:sz w:val="20"/>
          <w:szCs w:val="20"/>
          <w:color w:val="auto"/>
        </w:rPr>
      </w:pPr>
    </w:p>
    <w:p>
      <w:pPr>
        <w:ind w:firstLine="361"/>
        <w:spacing w:after="0" w:line="252" w:lineRule="auto"/>
        <w:rPr>
          <w:sz w:val="20"/>
          <w:szCs w:val="20"/>
          <w:color w:val="auto"/>
        </w:rPr>
      </w:pPr>
      <w:r>
        <w:rPr>
          <w:rFonts w:ascii="Arial" w:cs="Arial" w:eastAsia="Arial" w:hAnsi="Arial"/>
          <w:sz w:val="16"/>
          <w:szCs w:val="16"/>
          <w:color w:val="auto"/>
        </w:rPr>
        <w:t>The spread of COVID-19 may also result in the inability of our suppliers to deliver components or raw materials on a timely basis or at all.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87" w:lineRule="exact"/>
        <w:rPr>
          <w:sz w:val="20"/>
          <w:szCs w:val="20"/>
          <w:color w:val="auto"/>
        </w:rPr>
      </w:pPr>
    </w:p>
    <w:p>
      <w:pPr>
        <w:ind w:firstLine="361"/>
        <w:spacing w:after="0" w:line="252" w:lineRule="auto"/>
        <w:rPr>
          <w:sz w:val="20"/>
          <w:szCs w:val="20"/>
          <w:color w:val="auto"/>
        </w:rPr>
      </w:pPr>
      <w:r>
        <w:rPr>
          <w:rFonts w:ascii="Arial" w:cs="Arial" w:eastAsia="Arial" w:hAnsi="Arial"/>
          <w:sz w:val="16"/>
          <w:szCs w:val="16"/>
          <w:color w:val="auto"/>
        </w:rPr>
        <w:t>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and the actions to contain the coronavirus or treat its impact,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5" w:name="page36"/>
    <w:bookmarkEnd w:id="35"/>
    <w:p>
      <w:pPr>
        <w:ind w:right="60"/>
        <w:spacing w:after="0" w:line="252" w:lineRule="auto"/>
        <w:rPr>
          <w:sz w:val="20"/>
          <w:szCs w:val="20"/>
          <w:color w:val="auto"/>
        </w:rPr>
      </w:pPr>
      <w:r>
        <w:rPr>
          <w:rFonts w:ascii="Arial" w:cs="Arial" w:eastAsia="Arial" w:hAnsi="Arial"/>
          <w:sz w:val="16"/>
          <w:szCs w:val="16"/>
          <w:color w:val="auto"/>
        </w:rPr>
        <w:t>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 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68"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b w:val="1"/>
          <w:bCs w:val="1"/>
          <w:i w:val="1"/>
          <w:iCs w:val="1"/>
          <w:color w:val="auto"/>
        </w:rPr>
        <w:t>We will no longer be an “emerging growth company” or a “smaller reporting company” and the reduced disclosure requirements applicable to emerging growth companies and smaller reporting companies will no longer apply to us.</w:t>
      </w:r>
    </w:p>
    <w:p>
      <w:pPr>
        <w:spacing w:after="0" w:line="59" w:lineRule="exact"/>
        <w:rPr>
          <w:sz w:val="20"/>
          <w:szCs w:val="20"/>
          <w:color w:val="auto"/>
        </w:rPr>
      </w:pPr>
    </w:p>
    <w:p>
      <w:pPr>
        <w:ind w:right="20" w:firstLine="361"/>
        <w:spacing w:after="0" w:line="254" w:lineRule="auto"/>
        <w:rPr>
          <w:sz w:val="20"/>
          <w:szCs w:val="20"/>
          <w:color w:val="auto"/>
        </w:rPr>
      </w:pPr>
      <w:r>
        <w:rPr>
          <w:rFonts w:ascii="Arial" w:cs="Arial" w:eastAsia="Arial" w:hAnsi="Arial"/>
          <w:sz w:val="16"/>
          <w:szCs w:val="16"/>
          <w:color w:val="auto"/>
        </w:rPr>
        <w:t>We are currently an emerging growth company but because as of June 30, 2021, the market value of our common stock that was held by non-affiliates exceeded $700 million, we be a large-accelerated filer and will no longer qualify for such status commencing December 3, 2021. As a result, we will be subject to certain disclosure requirements that are applicable to other public companies that have not been applicable to us as an emerging growth company. These requirements include:</w:t>
      </w:r>
    </w:p>
    <w:p>
      <w:pPr>
        <w:spacing w:after="0" w:line="87" w:lineRule="exact"/>
        <w:rPr>
          <w:sz w:val="20"/>
          <w:szCs w:val="20"/>
          <w:color w:val="auto"/>
        </w:rPr>
      </w:pPr>
    </w:p>
    <w:p>
      <w:pPr>
        <w:ind w:left="560" w:hanging="275"/>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the auditor attestation requirements in the assessment of our internal control over financial reporting;</w:t>
      </w:r>
    </w:p>
    <w:p>
      <w:pPr>
        <w:spacing w:after="0" w:line="104" w:lineRule="exact"/>
        <w:rPr>
          <w:rFonts w:ascii="Arial" w:cs="Arial" w:eastAsia="Arial" w:hAnsi="Arial"/>
          <w:sz w:val="16"/>
          <w:szCs w:val="16"/>
          <w:color w:val="auto"/>
        </w:rPr>
      </w:pPr>
    </w:p>
    <w:p>
      <w:pPr>
        <w:ind w:left="580" w:right="100" w:hanging="295"/>
        <w:spacing w:after="0" w:line="262" w:lineRule="auto"/>
        <w:tabs>
          <w:tab w:leader="none" w:pos="57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9" w:lineRule="exact"/>
        <w:rPr>
          <w:rFonts w:ascii="Arial" w:cs="Arial" w:eastAsia="Arial" w:hAnsi="Arial"/>
          <w:sz w:val="16"/>
          <w:szCs w:val="16"/>
          <w:color w:val="auto"/>
        </w:rPr>
      </w:pPr>
    </w:p>
    <w:p>
      <w:pPr>
        <w:ind w:left="560" w:hanging="275"/>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full disclosure obligations regarding executive compensation; and</w:t>
      </w:r>
    </w:p>
    <w:p>
      <w:pPr>
        <w:spacing w:after="0" w:line="104" w:lineRule="exact"/>
        <w:rPr>
          <w:rFonts w:ascii="Arial" w:cs="Arial" w:eastAsia="Arial" w:hAnsi="Arial"/>
          <w:sz w:val="16"/>
          <w:szCs w:val="16"/>
          <w:color w:val="auto"/>
        </w:rPr>
      </w:pPr>
    </w:p>
    <w:p>
      <w:pPr>
        <w:ind w:left="560" w:hanging="275"/>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the requirements of holding a nonbinding advisory vote on executive compensation and</w:t>
      </w:r>
    </w:p>
    <w:p>
      <w:pPr>
        <w:spacing w:after="0" w:line="105" w:lineRule="exact"/>
        <w:rPr>
          <w:sz w:val="20"/>
          <w:szCs w:val="20"/>
          <w:color w:val="auto"/>
        </w:rPr>
      </w:pPr>
    </w:p>
    <w:p>
      <w:pPr>
        <w:ind w:firstLine="361"/>
        <w:spacing w:after="0" w:line="252" w:lineRule="auto"/>
        <w:rPr>
          <w:sz w:val="20"/>
          <w:szCs w:val="20"/>
          <w:color w:val="auto"/>
        </w:rPr>
      </w:pPr>
      <w:r>
        <w:rPr>
          <w:rFonts w:ascii="Arial" w:cs="Arial" w:eastAsia="Arial" w:hAnsi="Arial"/>
          <w:sz w:val="16"/>
          <w:szCs w:val="16"/>
          <w:color w:val="auto"/>
        </w:rPr>
        <w:t>We are also currently a smaller reporting company, but based on the market value of our common stock that was held by non-affiliates as of June 30, 2021, we have determined that we will no longer be a smaller reporting company as of January 1, 2022. However, for so long as we remain a smaller reporting company, we are permitted and intend to rely on exemptions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As of January 1, 2022, we will no longer be able to rely on these reduced requirements.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 from Public Offering of Common Stock</w:t>
      </w:r>
    </w:p>
    <w:p>
      <w:pPr>
        <w:spacing w:after="0" w:line="221" w:lineRule="exact"/>
        <w:rPr>
          <w:sz w:val="20"/>
          <w:szCs w:val="20"/>
          <w:color w:val="auto"/>
        </w:rPr>
      </w:pPr>
    </w:p>
    <w:p>
      <w:pPr>
        <w:ind w:right="60" w:firstLine="397"/>
        <w:spacing w:after="0" w:line="256" w:lineRule="auto"/>
        <w:rPr>
          <w:sz w:val="20"/>
          <w:szCs w:val="20"/>
          <w:color w:val="auto"/>
        </w:rPr>
      </w:pPr>
      <w:r>
        <w:rPr>
          <w:rFonts w:ascii="Arial" w:cs="Arial" w:eastAsia="Arial" w:hAnsi="Arial"/>
          <w:sz w:val="16"/>
          <w:szCs w:val="16"/>
          <w:color w:val="auto"/>
        </w:rPr>
        <w:t>In October 2020, we completed the initial public offering of our common stock, or IPO, pursuant to which we issued and sold 11,500,000 shares of our common stock at a price to the public of $19.00 per share. We received aggregate gross proceeds from our IPO of approximately $218.5 million, or aggregate net cash proceeds of approximately $200.3 million after deducting underwriting discounts and commissions and offering expenses.</w:t>
      </w:r>
    </w:p>
    <w:p>
      <w:pPr>
        <w:spacing w:after="0" w:line="205" w:lineRule="exact"/>
        <w:rPr>
          <w:sz w:val="20"/>
          <w:szCs w:val="20"/>
          <w:color w:val="auto"/>
        </w:rPr>
      </w:pPr>
    </w:p>
    <w:p>
      <w:pPr>
        <w:ind w:right="100" w:firstLine="361"/>
        <w:spacing w:after="0" w:line="193" w:lineRule="exact"/>
        <w:rPr>
          <w:sz w:val="20"/>
          <w:szCs w:val="20"/>
          <w:color w:val="auto"/>
        </w:rPr>
      </w:pPr>
      <w:r>
        <w:rPr>
          <w:rFonts w:ascii="Arial" w:cs="Arial" w:eastAsia="Arial" w:hAnsi="Arial"/>
          <w:sz w:val="16"/>
          <w:szCs w:val="16"/>
          <w:color w:val="auto"/>
        </w:rPr>
        <w:t>All of the shares issued and sold in the IPO were registered under the Securities Act pursuant to a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(File No. 333-249074), which was declared effective by the Securities and Exchange Commission, or the SEC, on October 15, 2020. There has been no material change in the planned use of proceeds from our IPO as described in our final prospectus filed pursuant to Rule 424(b)(4) under the Securities Act with the SEC on October 16, 2020.</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53975</wp:posOffset>
            </wp:positionV>
            <wp:extent cx="717296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Not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0"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17296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7" w:name="page38"/>
    <w:bookmarkEnd w:id="37"/>
    <w:p>
      <w:pPr>
        <w:ind w:left="4"/>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35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380" w:type="dxa"/>
            <w:vAlign w:val="bottom"/>
            <w:gridSpan w:val="7"/>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3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 w:type="dxa"/>
            <w:vAlign w:val="bottom"/>
            <w:tcBorders>
              <w:top w:val="single" w:sz="8" w:color="auto"/>
            </w:tcBorders>
            <w:gridSpan w:val="2"/>
          </w:tcPr>
          <w:p>
            <w:pPr>
              <w:ind w:left="20"/>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60" w:type="dxa"/>
            <w:vAlign w:val="bottom"/>
            <w:tcBorders>
              <w:top w:val="single" w:sz="8" w:color="auto"/>
            </w:tcBorders>
            <w:gridSpan w:val="10"/>
          </w:tcPr>
          <w:p>
            <w:pPr>
              <w:spacing w:after="0"/>
              <w:rPr>
                <w:rFonts w:ascii="Arial" w:cs="Arial" w:eastAsia="Arial" w:hAnsi="Arial"/>
                <w:sz w:val="16"/>
                <w:szCs w:val="16"/>
                <w:color w:val="0000FF"/>
              </w:rPr>
            </w:pPr>
            <w:hyperlink r:id="rId56">
              <w:r>
                <w:rPr>
                  <w:rFonts w:ascii="Arial" w:cs="Arial" w:eastAsia="Arial" w:hAnsi="Arial"/>
                  <w:sz w:val="16"/>
                  <w:szCs w:val="16"/>
                  <w:color w:val="0000FF"/>
                </w:rPr>
                <w:t>Retention Incentive Award Letter Agreement dated August 30, 2021, by and between Praxis Precision Medicines, Inc. and Bernard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9740" w:type="dxa"/>
            <w:vAlign w:val="bottom"/>
            <w:gridSpan w:val="9"/>
          </w:tcPr>
          <w:p>
            <w:pPr>
              <w:spacing w:after="0" w:line="136" w:lineRule="exact"/>
              <w:rPr>
                <w:rFonts w:ascii="Arial" w:cs="Arial" w:eastAsia="Arial" w:hAnsi="Arial"/>
                <w:sz w:val="15"/>
                <w:szCs w:val="15"/>
                <w:color w:val="0000FF"/>
              </w:rPr>
            </w:pPr>
            <w:hyperlink r:id="rId56">
              <w:r>
                <w:rPr>
                  <w:rFonts w:ascii="Arial" w:cs="Arial" w:eastAsia="Arial" w:hAnsi="Arial"/>
                  <w:sz w:val="15"/>
                  <w:szCs w:val="15"/>
                  <w:color w:val="0000FF"/>
                </w:rPr>
                <w:t>Ravina (incorporated by reference to Exhibit 10.1 to the Registrant's Current Report on Form 8-K (File No. 001-39620) filed on August</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80" w:type="dxa"/>
            <w:vAlign w:val="bottom"/>
            <w:tcBorders>
              <w:top w:val="single" w:sz="8" w:color="0000FF"/>
            </w:tcBorders>
            <w:gridSpan w:val="3"/>
          </w:tcPr>
          <w:p>
            <w:pPr>
              <w:spacing w:after="0" w:line="136" w:lineRule="exact"/>
              <w:rPr>
                <w:rFonts w:ascii="Arial" w:cs="Arial" w:eastAsia="Arial" w:hAnsi="Arial"/>
                <w:sz w:val="15"/>
                <w:szCs w:val="15"/>
                <w:color w:val="0000FF"/>
              </w:rPr>
            </w:pPr>
            <w:hyperlink r:id="rId56">
              <w:r>
                <w:rPr>
                  <w:rFonts w:ascii="Arial" w:cs="Arial" w:eastAsia="Arial" w:hAnsi="Arial"/>
                  <w:sz w:val="15"/>
                  <w:szCs w:val="15"/>
                  <w:color w:val="0000FF"/>
                </w:rPr>
                <w:t>30, 2021)</w:t>
              </w:r>
              <w:r>
                <w:rPr>
                  <w:rFonts w:ascii="Arial" w:cs="Arial" w:eastAsia="Arial" w:hAnsi="Arial"/>
                  <w:sz w:val="15"/>
                  <w:szCs w:val="15"/>
                  <w:u w:val="single" w:color="auto"/>
                  <w:color w:val="0000FF"/>
                </w:rPr>
                <w:t>.</w:t>
              </w:r>
            </w:hyperlink>
          </w:p>
        </w:tc>
        <w:tc>
          <w:tcPr>
            <w:tcW w:w="1520" w:type="dxa"/>
            <w:vAlign w:val="bottom"/>
            <w:tcBorders>
              <w:top w:val="single" w:sz="8" w:color="0000FF"/>
            </w:tcBorders>
          </w:tcPr>
          <w:p>
            <w:pPr>
              <w:spacing w:after="0"/>
              <w:rPr>
                <w:sz w:val="11"/>
                <w:szCs w:val="11"/>
                <w:color w:val="auto"/>
              </w:rPr>
            </w:pPr>
          </w:p>
        </w:tc>
        <w:tc>
          <w:tcPr>
            <w:tcW w:w="43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80" w:type="dxa"/>
            <w:vAlign w:val="bottom"/>
            <w:gridSpan w:val="3"/>
          </w:tcPr>
          <w:p>
            <w:pPr>
              <w:ind w:left="20"/>
              <w:spacing w:after="0"/>
              <w:rPr>
                <w:rFonts w:ascii="Arial" w:cs="Arial" w:eastAsia="Arial" w:hAnsi="Arial"/>
                <w:sz w:val="16"/>
                <w:szCs w:val="16"/>
                <w:color w:val="0000FF"/>
                <w:w w:val="90"/>
              </w:rPr>
            </w:pPr>
            <w:hyperlink w:anchor="page40">
              <w:r>
                <w:rPr>
                  <w:rFonts w:ascii="Arial" w:cs="Arial" w:eastAsia="Arial" w:hAnsi="Arial"/>
                  <w:sz w:val="16"/>
                  <w:szCs w:val="16"/>
                  <w:color w:val="0000FF"/>
                  <w:w w:val="90"/>
                </w:rPr>
                <w:t>31.</w:t>
              </w:r>
              <w:r>
                <w:rPr>
                  <w:rFonts w:ascii="Arial" w:cs="Arial" w:eastAsia="Arial" w:hAnsi="Arial"/>
                  <w:sz w:val="16"/>
                  <w:szCs w:val="16"/>
                  <w:u w:val="single" w:color="auto"/>
                  <w:color w:val="0000FF"/>
                  <w:w w:val="90"/>
                </w:rPr>
                <w:t>1*</w:t>
              </w:r>
            </w:hyperlink>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0"/>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880" w:type="dxa"/>
            <w:vAlign w:val="bottom"/>
            <w:tcBorders>
              <w:top w:val="single" w:sz="8" w:color="0000FF"/>
              <w:bottom w:val="single" w:sz="8" w:color="0000FF"/>
            </w:tcBorders>
            <w:gridSpan w:val="3"/>
          </w:tcPr>
          <w:p>
            <w:pPr>
              <w:spacing w:after="0" w:line="136" w:lineRule="exact"/>
              <w:rPr>
                <w:rFonts w:ascii="Arial" w:cs="Arial" w:eastAsia="Arial" w:hAnsi="Arial"/>
                <w:sz w:val="15"/>
                <w:szCs w:val="15"/>
                <w:color w:val="0000FF"/>
              </w:rPr>
            </w:pPr>
            <w:hyperlink w:anchor="page40">
              <w:r>
                <w:rPr>
                  <w:rFonts w:ascii="Arial" w:cs="Arial" w:eastAsia="Arial" w:hAnsi="Arial"/>
                  <w:sz w:val="15"/>
                  <w:szCs w:val="15"/>
                  <w:color w:val="0000FF"/>
                </w:rPr>
                <w:t>Adopted Pursuant to Section 302 of the Sarbanes-Oxley Act of 2002.</w:t>
              </w:r>
            </w:hyperlink>
          </w:p>
        </w:tc>
        <w:tc>
          <w:tcPr>
            <w:tcW w:w="4500" w:type="dxa"/>
            <w:vAlign w:val="bottom"/>
            <w:tcBorders>
              <w:top w:val="single" w:sz="8" w:color="0000FF"/>
            </w:tcBorders>
            <w:gridSpan w:val="3"/>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6"/>
                <w:szCs w:val="16"/>
                <w:color w:val="0000FF"/>
                <w:w w:val="90"/>
              </w:rPr>
            </w:pPr>
            <w:hyperlink w:anchor="page41">
              <w:r>
                <w:rPr>
                  <w:rFonts w:ascii="Arial" w:cs="Arial" w:eastAsia="Arial" w:hAnsi="Arial"/>
                  <w:sz w:val="16"/>
                  <w:szCs w:val="16"/>
                  <w:color w:val="0000FF"/>
                  <w:w w:val="90"/>
                </w:rPr>
                <w:t>31.</w:t>
              </w:r>
              <w:r>
                <w:rPr>
                  <w:rFonts w:ascii="Arial" w:cs="Arial" w:eastAsia="Arial" w:hAnsi="Arial"/>
                  <w:sz w:val="16"/>
                  <w:szCs w:val="16"/>
                  <w:u w:val="single" w:color="auto"/>
                  <w:color w:val="0000FF"/>
                  <w:w w:val="90"/>
                </w:rPr>
                <w:t>2*</w:t>
              </w:r>
            </w:hyperlink>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0"/>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880" w:type="dxa"/>
            <w:vAlign w:val="bottom"/>
            <w:tcBorders>
              <w:top w:val="single" w:sz="8" w:color="0000FF"/>
              <w:bottom w:val="single" w:sz="8" w:color="0000FF"/>
            </w:tcBorders>
            <w:gridSpan w:val="3"/>
          </w:tcPr>
          <w:p>
            <w:pPr>
              <w:spacing w:after="0" w:line="136" w:lineRule="exact"/>
              <w:rPr>
                <w:rFonts w:ascii="Arial" w:cs="Arial" w:eastAsia="Arial" w:hAnsi="Arial"/>
                <w:sz w:val="15"/>
                <w:szCs w:val="15"/>
                <w:color w:val="0000FF"/>
              </w:rPr>
            </w:pPr>
            <w:hyperlink w:anchor="page41">
              <w:r>
                <w:rPr>
                  <w:rFonts w:ascii="Arial" w:cs="Arial" w:eastAsia="Arial" w:hAnsi="Arial"/>
                  <w:sz w:val="15"/>
                  <w:szCs w:val="15"/>
                  <w:color w:val="0000FF"/>
                </w:rPr>
                <w:t>Adopted Pursuant to Section 302 of the Sarbanes-Oxley Act of 2002.</w:t>
              </w:r>
            </w:hyperlink>
          </w:p>
        </w:tc>
        <w:tc>
          <w:tcPr>
            <w:tcW w:w="4440" w:type="dxa"/>
            <w:vAlign w:val="bottom"/>
            <w:tcBorders>
              <w:top w:val="single" w:sz="8" w:color="0000FF"/>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440" w:type="dxa"/>
            <w:vAlign w:val="bottom"/>
            <w:gridSpan w:val="4"/>
          </w:tcPr>
          <w:p>
            <w:pPr>
              <w:ind w:left="20"/>
              <w:spacing w:after="0"/>
              <w:rPr>
                <w:rFonts w:ascii="Arial" w:cs="Arial" w:eastAsia="Arial" w:hAnsi="Arial"/>
                <w:sz w:val="16"/>
                <w:szCs w:val="16"/>
                <w:color w:val="0000FF"/>
                <w:w w:val="91"/>
              </w:rPr>
            </w:pPr>
            <w:hyperlink w:anchor="page42">
              <w:r>
                <w:rPr>
                  <w:rFonts w:ascii="Arial" w:cs="Arial" w:eastAsia="Arial" w:hAnsi="Arial"/>
                  <w:sz w:val="16"/>
                  <w:szCs w:val="16"/>
                  <w:color w:val="0000FF"/>
                  <w:w w:val="91"/>
                </w:rPr>
                <w:t>32.</w:t>
              </w:r>
              <w:r>
                <w:rPr>
                  <w:rFonts w:ascii="Arial" w:cs="Arial" w:eastAsia="Arial" w:hAnsi="Arial"/>
                  <w:sz w:val="16"/>
                  <w:szCs w:val="16"/>
                  <w:u w:val="single" w:color="auto"/>
                  <w:color w:val="0000FF"/>
                  <w:w w:val="91"/>
                </w:rPr>
                <w:t>1**</w:t>
              </w:r>
            </w:hyperlink>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0"/>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60" w:type="dxa"/>
            <w:vAlign w:val="bottom"/>
            <w:tcBorders>
              <w:top w:val="single" w:sz="8" w:color="0000FF"/>
            </w:tcBorders>
            <w:gridSpan w:val="8"/>
          </w:tcPr>
          <w:p>
            <w:pPr>
              <w:spacing w:after="0" w:line="136" w:lineRule="exact"/>
              <w:rPr>
                <w:rFonts w:ascii="Arial" w:cs="Arial" w:eastAsia="Arial" w:hAnsi="Arial"/>
                <w:sz w:val="15"/>
                <w:szCs w:val="15"/>
                <w:color w:val="0000FF"/>
              </w:rPr>
            </w:pPr>
            <w:hyperlink w:anchor="page42">
              <w:r>
                <w:rPr>
                  <w:rFonts w:ascii="Arial" w:cs="Arial" w:eastAsia="Arial" w:hAnsi="Arial"/>
                  <w:sz w:val="15"/>
                  <w:szCs w:val="15"/>
                  <w:color w:val="0000FF"/>
                </w:rPr>
                <w:t>Section 906 of the Sarbanes-Oxley Act of 2002.</w:t>
              </w:r>
            </w:hyperlink>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33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Inline XBRL Instance Document</w:t>
            </w:r>
          </w:p>
        </w:tc>
        <w:tc>
          <w:tcPr>
            <w:tcW w:w="63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1"/>
                <w:szCs w:val="21"/>
                <w:color w:val="auto"/>
              </w:rPr>
            </w:pPr>
          </w:p>
        </w:tc>
        <w:tc>
          <w:tcPr>
            <w:tcW w:w="97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1"/>
                <w:szCs w:val="21"/>
                <w:color w:val="auto"/>
              </w:rPr>
            </w:pPr>
          </w:p>
        </w:tc>
        <w:tc>
          <w:tcPr>
            <w:tcW w:w="976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1"/>
                <w:szCs w:val="21"/>
                <w:color w:val="auto"/>
              </w:rPr>
            </w:pPr>
          </w:p>
        </w:tc>
        <w:tc>
          <w:tcPr>
            <w:tcW w:w="976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1"/>
                <w:szCs w:val="21"/>
                <w:color w:val="auto"/>
              </w:rPr>
            </w:pPr>
          </w:p>
        </w:tc>
        <w:tc>
          <w:tcPr>
            <w:tcW w:w="976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60" w:type="dxa"/>
            <w:vAlign w:val="bottom"/>
            <w:gridSpan w:val="5"/>
          </w:tcPr>
          <w:p>
            <w:pPr>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1"/>
                <w:szCs w:val="21"/>
                <w:color w:val="auto"/>
              </w:rPr>
            </w:pPr>
          </w:p>
        </w:tc>
        <w:tc>
          <w:tcPr>
            <w:tcW w:w="976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504" w:hanging="1488"/>
        <w:spacing w:after="0"/>
        <w:tabs>
          <w:tab w:leader="none" w:pos="15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8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8" w:lineRule="exact"/>
        <w:rPr>
          <w:rFonts w:ascii="Arial" w:cs="Arial" w:eastAsia="Arial" w:hAnsi="Arial"/>
          <w:sz w:val="16"/>
          <w:szCs w:val="16"/>
          <w:color w:val="auto"/>
        </w:rPr>
      </w:pPr>
    </w:p>
    <w:p>
      <w:pPr>
        <w:ind w:left="284" w:right="220" w:hanging="284"/>
        <w:spacing w:after="0" w:line="254" w:lineRule="auto"/>
        <w:tabs>
          <w:tab w:leader="none" w:pos="2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8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7296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804" w:right="31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620" w:firstLine="397"/>
        <w:spacing w:after="0" w:line="26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PRAXIS PRECISION MEDICINES, INC.</w:t>
      </w:r>
    </w:p>
    <w:p>
      <w:pPr>
        <w:spacing w:after="0" w:line="281" w:lineRule="exact"/>
        <w:rPr>
          <w:sz w:val="20"/>
          <w:szCs w:val="20"/>
          <w:color w:val="auto"/>
        </w:rPr>
      </w:pPr>
    </w:p>
    <w:p>
      <w:pPr>
        <w:ind w:left="20"/>
        <w:spacing w:after="0"/>
        <w:tabs>
          <w:tab w:leader="none" w:pos="700" w:val="left"/>
          <w:tab w:leader="none" w:pos="5460" w:val="left"/>
          <w:tab w:leader="none" w:pos="8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5715</wp:posOffset>
            </wp:positionV>
            <wp:extent cx="3207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207385" cy="762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6"/>
          <w:szCs w:val="16"/>
          <w:b w:val="1"/>
          <w:bCs w:val="1"/>
          <w:color w:val="auto"/>
        </w:rPr>
        <w:t>Marcio Souza</w:t>
      </w:r>
    </w:p>
    <w:p>
      <w:pPr>
        <w:spacing w:after="0" w:line="2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Chief Executive Officer and Director (Principal Executive Officer)</w:t>
      </w:r>
    </w:p>
    <w:p>
      <w:pPr>
        <w:spacing w:after="0" w:line="272" w:lineRule="exact"/>
        <w:rPr>
          <w:sz w:val="20"/>
          <w:szCs w:val="20"/>
          <w:color w:val="auto"/>
        </w:rPr>
      </w:pPr>
    </w:p>
    <w:p>
      <w:pPr>
        <w:ind w:left="20"/>
        <w:spacing w:after="0"/>
        <w:tabs>
          <w:tab w:leader="none" w:pos="700" w:val="left"/>
          <w:tab w:leader="none" w:pos="5460" w:val="left"/>
          <w:tab w:leader="none" w:pos="81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5715</wp:posOffset>
            </wp:positionV>
            <wp:extent cx="3207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207385" cy="7620"/>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6"/>
          <w:szCs w:val="16"/>
          <w:b w:val="1"/>
          <w:bCs w:val="1"/>
          <w:color w:val="auto"/>
        </w:rPr>
        <w:t>Timothy Kelly</w:t>
      </w:r>
    </w:p>
    <w:p>
      <w:pPr>
        <w:spacing w:after="0" w:line="29"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Chief Financial Officer (Principal Financial Officer)</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80"/>
          </w:cols>
          <w:pgMar w:left="320" w:top="804"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201" w:lineRule="exact"/>
        <w:rPr>
          <w:sz w:val="20"/>
          <w:szCs w:val="20"/>
          <w:color w:val="auto"/>
        </w:rPr>
      </w:pPr>
    </w:p>
    <w:p>
      <w:pPr>
        <w:jc w:val="center"/>
        <w:ind w:left="320" w:right="2420"/>
        <w:spacing w:after="0" w:line="267"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6"/>
          <w:szCs w:val="16"/>
          <w:color w:val="auto"/>
        </w:rPr>
        <w:t>I, Marcio Souza, certify that:</w:t>
      </w:r>
    </w:p>
    <w:p>
      <w:pPr>
        <w:spacing w:after="0" w:line="225" w:lineRule="exact"/>
        <w:rPr>
          <w:sz w:val="20"/>
          <w:szCs w:val="20"/>
          <w:color w:val="auto"/>
        </w:rPr>
      </w:pPr>
    </w:p>
    <w:p>
      <w:pPr>
        <w:ind w:left="284" w:hanging="284"/>
        <w:spacing w:after="0"/>
        <w:tabs>
          <w:tab w:leader="none" w:pos="2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Praxis Precision Medicines, Inc.;</w:t>
      </w:r>
    </w:p>
    <w:p>
      <w:pPr>
        <w:spacing w:after="0" w:line="224" w:lineRule="exact"/>
        <w:rPr>
          <w:rFonts w:ascii="Arial" w:cs="Arial" w:eastAsia="Arial" w:hAnsi="Arial"/>
          <w:sz w:val="16"/>
          <w:szCs w:val="16"/>
          <w:color w:val="auto"/>
        </w:rPr>
      </w:pPr>
    </w:p>
    <w:p>
      <w:pPr>
        <w:ind w:left="284" w:hanging="284"/>
        <w:spacing w:after="0" w:line="278" w:lineRule="auto"/>
        <w:tabs>
          <w:tab w:leader="none" w:pos="2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4" w:right="340" w:hanging="284"/>
        <w:spacing w:after="0" w:line="278" w:lineRule="auto"/>
        <w:tabs>
          <w:tab w:leader="none" w:pos="2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2" w:lineRule="exact"/>
        <w:rPr>
          <w:rFonts w:ascii="Arial" w:cs="Arial" w:eastAsia="Arial" w:hAnsi="Arial"/>
          <w:sz w:val="14"/>
          <w:szCs w:val="14"/>
          <w:color w:val="auto"/>
        </w:rPr>
      </w:pPr>
    </w:p>
    <w:p>
      <w:pPr>
        <w:jc w:val="both"/>
        <w:ind w:left="584" w:right="300" w:hanging="295"/>
        <w:spacing w:after="0" w:line="264" w:lineRule="auto"/>
        <w:tabs>
          <w:tab w:leader="none" w:pos="581"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564" w:hanging="275"/>
        <w:spacing w:after="0"/>
        <w:tabs>
          <w:tab w:leader="none" w:pos="564" w:val="left"/>
        </w:tabs>
        <w:numPr>
          <w:ilvl w:val="1"/>
          <w:numId w:val="24"/>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224" w:lineRule="exact"/>
        <w:rPr>
          <w:rFonts w:ascii="Arial" w:cs="Arial" w:eastAsia="Arial" w:hAnsi="Arial"/>
          <w:sz w:val="16"/>
          <w:szCs w:val="16"/>
          <w:color w:val="auto"/>
        </w:rPr>
      </w:pPr>
    </w:p>
    <w:p>
      <w:pPr>
        <w:ind w:left="584" w:right="80" w:hanging="295"/>
        <w:spacing w:after="0" w:line="278" w:lineRule="auto"/>
        <w:tabs>
          <w:tab w:leader="none" w:pos="581"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4" w:right="60" w:hanging="295"/>
        <w:spacing w:after="0" w:line="264" w:lineRule="auto"/>
        <w:tabs>
          <w:tab w:leader="none" w:pos="57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284" w:right="80" w:hanging="284"/>
        <w:spacing w:after="0" w:line="278" w:lineRule="auto"/>
        <w:tabs>
          <w:tab w:leader="none" w:pos="2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4" w:right="320" w:hanging="295"/>
        <w:spacing w:after="0" w:line="278" w:lineRule="auto"/>
        <w:tabs>
          <w:tab w:leader="none" w:pos="581"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4" w:right="600" w:hanging="295"/>
        <w:spacing w:after="0" w:line="278" w:lineRule="auto"/>
        <w:tabs>
          <w:tab w:leader="none" w:pos="578"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24" w:type="dxa"/>
        <w:tblCellMar>
          <w:top w:w="0" w:type="dxa"/>
          <w:left w:w="0" w:type="dxa"/>
          <w:bottom w:w="0" w:type="dxa"/>
          <w:right w:w="0" w:type="dxa"/>
        </w:tblCellMar>
      </w:tblPr>
      <w:tr>
        <w:trPr>
          <w:trHeight w:val="205"/>
        </w:trPr>
        <w:tc>
          <w:tcPr>
            <w:tcW w:w="4120" w:type="dxa"/>
            <w:vAlign w:val="bottom"/>
          </w:tcPr>
          <w:p>
            <w:pPr>
              <w:spacing w:after="0"/>
              <w:rPr>
                <w:sz w:val="20"/>
                <w:szCs w:val="20"/>
                <w:color w:val="auto"/>
              </w:rPr>
            </w:pPr>
            <w:r>
              <w:rPr>
                <w:rFonts w:ascii="Arial" w:cs="Arial" w:eastAsia="Arial" w:hAnsi="Arial"/>
                <w:sz w:val="16"/>
                <w:szCs w:val="16"/>
                <w:color w:val="auto"/>
              </w:rPr>
              <w:t>Date:   November 3, 2021</w:t>
            </w:r>
          </w:p>
        </w:tc>
        <w:tc>
          <w:tcPr>
            <w:tcW w:w="3060" w:type="dxa"/>
            <w:vAlign w:val="bottom"/>
          </w:tcPr>
          <w:p>
            <w:pPr>
              <w:ind w:left="2340"/>
              <w:spacing w:after="0"/>
              <w:rPr>
                <w:sz w:val="20"/>
                <w:szCs w:val="20"/>
                <w:color w:val="auto"/>
              </w:rPr>
            </w:pPr>
            <w:r>
              <w:rPr>
                <w:rFonts w:ascii="Arial" w:cs="Arial" w:eastAsia="Arial" w:hAnsi="Arial"/>
                <w:sz w:val="16"/>
                <w:szCs w:val="16"/>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MARCIO SOUZA</w:t>
            </w:r>
          </w:p>
        </w:tc>
      </w:tr>
      <w:tr>
        <w:trPr>
          <w:trHeight w:val="196"/>
        </w:trPr>
        <w:tc>
          <w:tcPr>
            <w:tcW w:w="4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1"/>
              </w:rPr>
              <w:t>Marcio Souza</w:t>
            </w:r>
          </w:p>
        </w:tc>
      </w:tr>
      <w:tr>
        <w:trPr>
          <w:trHeight w:val="204"/>
        </w:trPr>
        <w:tc>
          <w:tcPr>
            <w:tcW w:w="4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4"/>
              </w:rPr>
              <w:t>Chief Executive Officer</w:t>
            </w:r>
          </w:p>
        </w:tc>
      </w:tr>
      <w:tr>
        <w:trPr>
          <w:trHeight w:val="205"/>
        </w:trPr>
        <w:tc>
          <w:tcPr>
            <w:tcW w:w="4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color w:val="auto"/>
                <w:w w:val="94"/>
              </w:rPr>
              <w:t>(Principal Executive Officer)</w:t>
            </w:r>
          </w:p>
        </w:tc>
      </w:tr>
    </w:tbl>
    <w:p>
      <w:pPr>
        <w:sectPr>
          <w:pgSz w:w="11900" w:h="16838" w:orient="portrait"/>
          <w:cols w:equalWidth="0" w:num="1">
            <w:col w:w="11264"/>
          </w:cols>
          <w:pgMar w:left="316" w:top="808"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201" w:lineRule="exact"/>
        <w:rPr>
          <w:sz w:val="20"/>
          <w:szCs w:val="20"/>
          <w:color w:val="auto"/>
        </w:rPr>
      </w:pPr>
    </w:p>
    <w:p>
      <w:pPr>
        <w:jc w:val="center"/>
        <w:ind w:left="320" w:right="2420"/>
        <w:spacing w:after="0" w:line="267"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color w:val="auto"/>
        </w:rPr>
        <w:t>I, Timothy Kelly, certify that:</w:t>
      </w:r>
    </w:p>
    <w:p>
      <w:pPr>
        <w:spacing w:after="0" w:line="225" w:lineRule="exact"/>
        <w:rPr>
          <w:sz w:val="20"/>
          <w:szCs w:val="20"/>
          <w:color w:val="auto"/>
        </w:rPr>
      </w:pPr>
    </w:p>
    <w:p>
      <w:pPr>
        <w:ind w:left="284" w:hanging="284"/>
        <w:spacing w:after="0"/>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Praxis Precision Medicines, Inc.;</w:t>
      </w:r>
    </w:p>
    <w:p>
      <w:pPr>
        <w:spacing w:after="0" w:line="224" w:lineRule="exact"/>
        <w:rPr>
          <w:rFonts w:ascii="Arial" w:cs="Arial" w:eastAsia="Arial" w:hAnsi="Arial"/>
          <w:sz w:val="16"/>
          <w:szCs w:val="16"/>
          <w:color w:val="auto"/>
        </w:rPr>
      </w:pPr>
    </w:p>
    <w:p>
      <w:pPr>
        <w:ind w:left="284" w:hanging="284"/>
        <w:spacing w:after="0" w:line="278" w:lineRule="auto"/>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84" w:right="340" w:hanging="284"/>
        <w:spacing w:after="0" w:line="278" w:lineRule="auto"/>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2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2" w:lineRule="exact"/>
        <w:rPr>
          <w:rFonts w:ascii="Arial" w:cs="Arial" w:eastAsia="Arial" w:hAnsi="Arial"/>
          <w:sz w:val="14"/>
          <w:szCs w:val="14"/>
          <w:color w:val="auto"/>
        </w:rPr>
      </w:pPr>
    </w:p>
    <w:p>
      <w:pPr>
        <w:jc w:val="both"/>
        <w:ind w:left="584" w:right="300" w:hanging="295"/>
        <w:spacing w:after="0" w:line="264" w:lineRule="auto"/>
        <w:tabs>
          <w:tab w:leader="none" w:pos="5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ind w:left="564" w:hanging="275"/>
        <w:spacing w:after="0"/>
        <w:tabs>
          <w:tab w:leader="none" w:pos="564" w:val="left"/>
        </w:tabs>
        <w:numPr>
          <w:ilvl w:val="1"/>
          <w:numId w:val="25"/>
        </w:numPr>
        <w:rPr>
          <w:rFonts w:ascii="Arial" w:cs="Arial" w:eastAsia="Arial" w:hAnsi="Arial"/>
          <w:sz w:val="16"/>
          <w:szCs w:val="16"/>
          <w:color w:val="auto"/>
        </w:rPr>
      </w:pPr>
      <w:r>
        <w:rPr>
          <w:rFonts w:ascii="Arial" w:cs="Arial" w:eastAsia="Arial" w:hAnsi="Arial"/>
          <w:sz w:val="16"/>
          <w:szCs w:val="16"/>
          <w:color w:val="auto"/>
        </w:rPr>
        <w:t>(Paragraph omitted pursuant to SEC Release Nos. 33-8238/34-47986 and 33-8392/34-49313);</w:t>
      </w:r>
    </w:p>
    <w:p>
      <w:pPr>
        <w:spacing w:after="0" w:line="224" w:lineRule="exact"/>
        <w:rPr>
          <w:rFonts w:ascii="Arial" w:cs="Arial" w:eastAsia="Arial" w:hAnsi="Arial"/>
          <w:sz w:val="16"/>
          <w:szCs w:val="16"/>
          <w:color w:val="auto"/>
        </w:rPr>
      </w:pPr>
    </w:p>
    <w:p>
      <w:pPr>
        <w:ind w:left="584" w:right="80" w:hanging="295"/>
        <w:spacing w:after="0" w:line="278" w:lineRule="auto"/>
        <w:tabs>
          <w:tab w:leader="none" w:pos="5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584" w:right="60" w:hanging="295"/>
        <w:spacing w:after="0" w:line="264" w:lineRule="auto"/>
        <w:tabs>
          <w:tab w:leader="none" w:pos="5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284" w:right="80" w:hanging="284"/>
        <w:spacing w:after="0" w:line="278" w:lineRule="auto"/>
        <w:tabs>
          <w:tab w:leader="none" w:pos="2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584" w:right="320" w:hanging="295"/>
        <w:spacing w:after="0" w:line="278" w:lineRule="auto"/>
        <w:tabs>
          <w:tab w:leader="none" w:pos="58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4" w:right="600" w:hanging="295"/>
        <w:spacing w:after="0" w:line="278" w:lineRule="auto"/>
        <w:tabs>
          <w:tab w:leader="none" w:pos="5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24" w:type="dxa"/>
        <w:tblCellMar>
          <w:top w:w="0" w:type="dxa"/>
          <w:left w:w="0" w:type="dxa"/>
          <w:bottom w:w="0" w:type="dxa"/>
          <w:right w:w="0" w:type="dxa"/>
        </w:tblCellMar>
      </w:tblPr>
      <w:tr>
        <w:trPr>
          <w:trHeight w:val="205"/>
        </w:trPr>
        <w:tc>
          <w:tcPr>
            <w:tcW w:w="4140" w:type="dxa"/>
            <w:vAlign w:val="bottom"/>
          </w:tcPr>
          <w:p>
            <w:pPr>
              <w:spacing w:after="0"/>
              <w:rPr>
                <w:sz w:val="20"/>
                <w:szCs w:val="20"/>
                <w:color w:val="auto"/>
              </w:rPr>
            </w:pPr>
            <w:r>
              <w:rPr>
                <w:rFonts w:ascii="Arial" w:cs="Arial" w:eastAsia="Arial" w:hAnsi="Arial"/>
                <w:sz w:val="16"/>
                <w:szCs w:val="16"/>
                <w:color w:val="auto"/>
              </w:rPr>
              <w:t>Date:   November 3, 2021</w:t>
            </w:r>
          </w:p>
        </w:tc>
        <w:tc>
          <w:tcPr>
            <w:tcW w:w="3060" w:type="dxa"/>
            <w:vAlign w:val="bottom"/>
          </w:tcPr>
          <w:p>
            <w:pPr>
              <w:ind w:left="234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TIMOTHY KELLY</w:t>
            </w:r>
          </w:p>
        </w:tc>
      </w:tr>
      <w:tr>
        <w:trPr>
          <w:trHeight w:val="196"/>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9"/>
              </w:rPr>
              <w:t>Timothy Kelly</w:t>
            </w:r>
          </w:p>
        </w:tc>
      </w:tr>
      <w:tr>
        <w:trPr>
          <w:trHeight w:val="204"/>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4"/>
              </w:rPr>
              <w:t>Chief Financial Officer</w:t>
            </w:r>
          </w:p>
        </w:tc>
      </w:tr>
      <w:tr>
        <w:trPr>
          <w:trHeight w:val="205"/>
        </w:trPr>
        <w:tc>
          <w:tcPr>
            <w:tcW w:w="41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r>
    </w:tbl>
    <w:p>
      <w:pPr>
        <w:sectPr>
          <w:pgSz w:w="11900" w:h="16838" w:orient="portrait"/>
          <w:cols w:equalWidth="0" w:num="1">
            <w:col w:w="11264"/>
          </w:cols>
          <w:pgMar w:left="316" w:top="808"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8" w:lineRule="exact"/>
        <w:rPr>
          <w:sz w:val="20"/>
          <w:szCs w:val="20"/>
          <w:color w:val="auto"/>
        </w:rPr>
      </w:pPr>
    </w:p>
    <w:p>
      <w:pPr>
        <w:ind w:right="140" w:firstLine="397"/>
        <w:spacing w:after="0" w:line="264" w:lineRule="auto"/>
        <w:rPr>
          <w:sz w:val="20"/>
          <w:szCs w:val="20"/>
          <w:color w:val="auto"/>
        </w:rPr>
      </w:pPr>
      <w:r>
        <w:rPr>
          <w:rFonts w:ascii="Arial" w:cs="Arial" w:eastAsia="Arial" w:hAnsi="Arial"/>
          <w:sz w:val="16"/>
          <w:szCs w:val="16"/>
          <w:color w:val="auto"/>
        </w:rPr>
        <w:t>In connection with the Quarterly Report on Form 10-Q of Praxis Precision Medicines, Inc. (the “Company”) for the quarter ended September 30, 2021 as filed with the Securities and Exchange Commission on the date hereof (the “Report”), the undersigned hereby certify, pursuant to 18 U.S.C. Section 1350, as adopted pursuant to § 906 of the Sarbanes-Oxley Act of 2002, that, to the best of their knowledge:</w:t>
      </w:r>
    </w:p>
    <w:p>
      <w:pPr>
        <w:spacing w:after="0" w:line="78" w:lineRule="exact"/>
        <w:rPr>
          <w:sz w:val="20"/>
          <w:szCs w:val="20"/>
          <w:color w:val="auto"/>
        </w:rPr>
      </w:pPr>
    </w:p>
    <w:p>
      <w:pPr>
        <w:ind w:left="640" w:hanging="283"/>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 w:lineRule="exact"/>
        <w:rPr>
          <w:rFonts w:ascii="Arial" w:cs="Arial" w:eastAsia="Arial" w:hAnsi="Arial"/>
          <w:sz w:val="16"/>
          <w:szCs w:val="16"/>
          <w:color w:val="auto"/>
        </w:rPr>
      </w:pPr>
    </w:p>
    <w:p>
      <w:pPr>
        <w:ind w:left="640" w:hanging="283"/>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3680" w:type="dxa"/>
            <w:vAlign w:val="bottom"/>
          </w:tcPr>
          <w:p>
            <w:pPr>
              <w:ind w:left="140"/>
              <w:spacing w:after="0"/>
              <w:rPr>
                <w:sz w:val="20"/>
                <w:szCs w:val="20"/>
                <w:color w:val="auto"/>
              </w:rPr>
            </w:pPr>
            <w:r>
              <w:rPr>
                <w:rFonts w:ascii="Arial" w:cs="Arial" w:eastAsia="Arial" w:hAnsi="Arial"/>
                <w:sz w:val="16"/>
                <w:szCs w:val="16"/>
                <w:color w:val="auto"/>
              </w:rPr>
              <w:t>November 3, 2021</w:t>
            </w:r>
          </w:p>
        </w:tc>
        <w:tc>
          <w:tcPr>
            <w:tcW w:w="3060" w:type="dxa"/>
            <w:vAlign w:val="bottom"/>
          </w:tcPr>
          <w:p>
            <w:pPr>
              <w:ind w:left="234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MARCIO SOUZA</w:t>
            </w:r>
          </w:p>
        </w:tc>
      </w:tr>
      <w:tr>
        <w:trPr>
          <w:trHeight w:val="196"/>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89"/>
              </w:rPr>
              <w:t>Marcio Souza</w:t>
            </w:r>
          </w:p>
        </w:tc>
      </w:tr>
      <w:tr>
        <w:trPr>
          <w:trHeight w:val="204"/>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3"/>
              </w:rPr>
              <w:t>Chief Executive Officer</w:t>
            </w:r>
          </w:p>
        </w:tc>
      </w:tr>
      <w:tr>
        <w:trPr>
          <w:trHeight w:val="205"/>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r>
      <w:tr>
        <w:trPr>
          <w:trHeight w:val="445"/>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3680" w:type="dxa"/>
            <w:vAlign w:val="bottom"/>
          </w:tcPr>
          <w:p>
            <w:pPr>
              <w:ind w:left="140"/>
              <w:spacing w:after="0"/>
              <w:rPr>
                <w:sz w:val="20"/>
                <w:szCs w:val="20"/>
                <w:color w:val="auto"/>
              </w:rPr>
            </w:pPr>
            <w:r>
              <w:rPr>
                <w:rFonts w:ascii="Arial" w:cs="Arial" w:eastAsia="Arial" w:hAnsi="Arial"/>
                <w:sz w:val="16"/>
                <w:szCs w:val="16"/>
                <w:color w:val="auto"/>
              </w:rPr>
              <w:t>November 3, 2021</w:t>
            </w:r>
          </w:p>
        </w:tc>
        <w:tc>
          <w:tcPr>
            <w:tcW w:w="3060" w:type="dxa"/>
            <w:vAlign w:val="bottom"/>
          </w:tcPr>
          <w:p>
            <w:pPr>
              <w:ind w:left="234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TIMOTHY KELLY</w:t>
            </w:r>
          </w:p>
        </w:tc>
      </w:tr>
      <w:tr>
        <w:trPr>
          <w:trHeight w:val="196"/>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9"/>
              </w:rPr>
              <w:t>Timothy Kelly</w:t>
            </w:r>
          </w:p>
        </w:tc>
      </w:tr>
      <w:tr>
        <w:trPr>
          <w:trHeight w:val="204"/>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4"/>
              </w:rPr>
              <w:t>Chief Financial Officer</w:t>
            </w:r>
          </w:p>
        </w:tc>
      </w:tr>
      <w:tr>
        <w:trPr>
          <w:trHeight w:val="205"/>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r>
    </w:tbl>
    <w:p>
      <w:pPr>
        <w:spacing w:after="0" w:line="1" w:lineRule="exact"/>
        <w:rPr>
          <w:sz w:val="20"/>
          <w:szCs w:val="20"/>
          <w:color w:val="auto"/>
        </w:rPr>
      </w:pPr>
    </w:p>
    <w:sectPr>
      <w:pgSz w:w="11900" w:h="16838" w:orient="portrait"/>
      <w:cols w:equalWidth="0" w:num="1">
        <w:col w:w="11260"/>
      </w:cols>
      <w:pgMar w:left="320" w:top="8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7"/>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lvl w:ilvl="1">
      <w:lvlJc w:val="left"/>
      <w:lvlText w:val="%2"/>
      <w:numFmt w:val="decimal"/>
      <w:start w:val="104"/>
    </w:lvl>
  </w:abstractNum>
  <w:abstractNum w:abstractNumId="22">
    <w:nsid w:val="8EDBDAB"/>
    <w:multiLevelType w:val="hybridMultilevel"/>
    <w:lvl w:ilvl="0">
      <w:lvlJc w:val="left"/>
      <w:lvlText w:val="**"/>
      <w:numFmt w:val="bullet"/>
      <w:start w:val="1"/>
    </w:lvl>
    <w:lvl w:ilvl="1">
      <w:lvlJc w:val="left"/>
      <w:lvlText w:val="%2"/>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5" Type="http://schemas.openxmlformats.org/officeDocument/2006/relationships/hyperlink" Target="https://www.sec.gov/Archives/edgar/data/1689548/000168954821000054/exhibit10120210527.htm" TargetMode="External"/><Relationship Id="rId56" Type="http://schemas.openxmlformats.org/officeDocument/2006/relationships/hyperlink" Target="https://www.sec.gov/Archives/edgar/data/1689548/000168954821000081/exhibit101202108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2021-11-03T06:11:24Z</dcterms:created>
  <dcterms:modified xsi:type="dcterms:W3CDTF">2021-11-03T06:11:24Z</dcterms:modified>
</cp:coreProperties>
</file>