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135890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8"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86360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6" w:lineRule="exact"/>
        <w:rPr>
          <w:sz w:val="24"/>
          <w:szCs w:val="24"/>
          <w:color w:val="auto"/>
        </w:rPr>
      </w:pPr>
    </w:p>
    <w:tbl>
      <w:tblPr>
        <w:tblLayout w:type="fixed"/>
        <w:tblInd w:w="700" w:type="dxa"/>
        <w:tblCellMar>
          <w:top w:w="0" w:type="dxa"/>
          <w:left w:w="0" w:type="dxa"/>
          <w:bottom w:w="0" w:type="dxa"/>
          <w:right w:w="0" w:type="dxa"/>
        </w:tblCellMar>
      </w:tblPr>
      <w:tr>
        <w:trPr>
          <w:trHeight w:val="223"/>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w w:val="99"/>
              </w:rPr>
              <w:t>Delaware</w:t>
            </w:r>
          </w:p>
        </w:tc>
        <w:tc>
          <w:tcPr>
            <w:tcW w:w="3860" w:type="dxa"/>
            <w:vAlign w:val="bottom"/>
          </w:tcPr>
          <w:p>
            <w:pPr>
              <w:jc w:val="right"/>
              <w:ind w:right="821"/>
              <w:spacing w:after="0"/>
              <w:rPr>
                <w:sz w:val="20"/>
                <w:szCs w:val="20"/>
                <w:color w:val="auto"/>
              </w:rPr>
            </w:pPr>
            <w:r>
              <w:rPr>
                <w:rFonts w:ascii="Arial" w:cs="Arial" w:eastAsia="Arial" w:hAnsi="Arial"/>
                <w:sz w:val="16"/>
                <w:szCs w:val="16"/>
                <w:b w:val="1"/>
                <w:bCs w:val="1"/>
                <w:color w:val="auto"/>
              </w:rPr>
              <w:t>47-5195942</w:t>
            </w:r>
          </w:p>
        </w:tc>
      </w:tr>
      <w:tr>
        <w:trPr>
          <w:trHeight w:val="229"/>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860" w:type="dxa"/>
            <w:vAlign w:val="bottom"/>
          </w:tcPr>
          <w:p>
            <w:pPr>
              <w:jc w:val="center"/>
              <w:ind w:left="1121"/>
              <w:spacing w:after="0"/>
              <w:rPr>
                <w:sz w:val="20"/>
                <w:szCs w:val="20"/>
                <w:color w:val="auto"/>
              </w:rPr>
            </w:pPr>
            <w:r>
              <w:rPr>
                <w:rFonts w:ascii="Arial" w:cs="Arial" w:eastAsia="Arial" w:hAnsi="Arial"/>
                <w:sz w:val="16"/>
                <w:szCs w:val="16"/>
                <w:b w:val="1"/>
                <w:bCs w:val="1"/>
                <w:color w:val="auto"/>
              </w:rPr>
              <w:t>(I.R.S. Employer Identification No.)</w:t>
            </w:r>
          </w:p>
        </w:tc>
      </w:tr>
      <w:tr>
        <w:trPr>
          <w:trHeight w:val="317"/>
        </w:trPr>
        <w:tc>
          <w:tcPr>
            <w:tcW w:w="5280" w:type="dxa"/>
            <w:vAlign w:val="bottom"/>
          </w:tcPr>
          <w:p>
            <w:pPr>
              <w:jc w:val="center"/>
              <w:ind w:right="1163"/>
              <w:spacing w:after="0"/>
              <w:rPr>
                <w:sz w:val="20"/>
                <w:szCs w:val="20"/>
                <w:color w:val="auto"/>
              </w:rPr>
            </w:pPr>
            <w:r>
              <w:rPr>
                <w:rFonts w:ascii="Arial" w:cs="Arial" w:eastAsia="Arial" w:hAnsi="Arial"/>
                <w:sz w:val="16"/>
                <w:szCs w:val="16"/>
                <w:b w:val="1"/>
                <w:bCs w:val="1"/>
                <w:color w:val="auto"/>
              </w:rPr>
              <w:t>99 High Street, 30th Floor</w:t>
            </w:r>
          </w:p>
        </w:tc>
        <w:tc>
          <w:tcPr>
            <w:tcW w:w="3860" w:type="dxa"/>
            <w:vAlign w:val="bottom"/>
          </w:tcPr>
          <w:p>
            <w:pPr>
              <w:spacing w:after="0"/>
              <w:rPr>
                <w:sz w:val="24"/>
                <w:szCs w:val="24"/>
                <w:color w:val="auto"/>
              </w:rPr>
            </w:pPr>
          </w:p>
        </w:tc>
      </w:tr>
      <w:tr>
        <w:trPr>
          <w:trHeight w:val="221"/>
        </w:trPr>
        <w:tc>
          <w:tcPr>
            <w:tcW w:w="5280" w:type="dxa"/>
            <w:vAlign w:val="bottom"/>
          </w:tcPr>
          <w:p>
            <w:pPr>
              <w:jc w:val="center"/>
              <w:ind w:right="1143"/>
              <w:spacing w:after="0"/>
              <w:rPr>
                <w:sz w:val="20"/>
                <w:szCs w:val="20"/>
                <w:color w:val="auto"/>
              </w:rPr>
            </w:pPr>
            <w:r>
              <w:rPr>
                <w:rFonts w:ascii="Arial" w:cs="Arial" w:eastAsia="Arial" w:hAnsi="Arial"/>
                <w:sz w:val="16"/>
                <w:szCs w:val="16"/>
                <w:b w:val="1"/>
                <w:bCs w:val="1"/>
                <w:color w:val="auto"/>
              </w:rPr>
              <w:t>Boston, MA</w:t>
            </w:r>
          </w:p>
        </w:tc>
        <w:tc>
          <w:tcPr>
            <w:tcW w:w="3860" w:type="dxa"/>
            <w:vAlign w:val="bottom"/>
          </w:tcPr>
          <w:p>
            <w:pPr>
              <w:jc w:val="right"/>
              <w:ind w:right="1041"/>
              <w:spacing w:after="0"/>
              <w:rPr>
                <w:sz w:val="20"/>
                <w:szCs w:val="20"/>
                <w:color w:val="auto"/>
              </w:rPr>
            </w:pPr>
            <w:r>
              <w:rPr>
                <w:rFonts w:ascii="Arial" w:cs="Arial" w:eastAsia="Arial" w:hAnsi="Arial"/>
                <w:sz w:val="16"/>
                <w:szCs w:val="16"/>
                <w:b w:val="1"/>
                <w:bCs w:val="1"/>
                <w:color w:val="auto"/>
              </w:rPr>
              <w:t>02110</w:t>
            </w:r>
          </w:p>
        </w:tc>
      </w:tr>
      <w:tr>
        <w:trPr>
          <w:trHeight w:val="196"/>
        </w:trPr>
        <w:tc>
          <w:tcPr>
            <w:tcW w:w="5280" w:type="dxa"/>
            <w:vAlign w:val="bottom"/>
          </w:tcPr>
          <w:p>
            <w:pPr>
              <w:jc w:val="center"/>
              <w:ind w:right="1143"/>
              <w:spacing w:after="0"/>
              <w:rPr>
                <w:sz w:val="20"/>
                <w:szCs w:val="20"/>
                <w:color w:val="auto"/>
              </w:rPr>
            </w:pPr>
            <w:r>
              <w:rPr>
                <w:rFonts w:ascii="Arial" w:cs="Arial" w:eastAsia="Arial" w:hAnsi="Arial"/>
                <w:sz w:val="14"/>
                <w:szCs w:val="14"/>
                <w:b w:val="1"/>
                <w:bCs w:val="1"/>
                <w:color w:val="auto"/>
              </w:rPr>
              <w:t>(Address of principal executive offices)</w:t>
            </w:r>
          </w:p>
        </w:tc>
        <w:tc>
          <w:tcPr>
            <w:tcW w:w="3860" w:type="dxa"/>
            <w:vAlign w:val="bottom"/>
          </w:tcPr>
          <w:p>
            <w:pPr>
              <w:jc w:val="center"/>
              <w:ind w:left="112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617-300-8460</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94615</wp:posOffset>
            </wp:positionV>
            <wp:extent cx="60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 w:firstLine="445"/>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1" w:lineRule="exact"/>
        <w:rPr>
          <w:sz w:val="24"/>
          <w:szCs w:val="24"/>
          <w:color w:val="auto"/>
        </w:rPr>
      </w:pPr>
    </w:p>
    <w:p>
      <w:pPr>
        <w:ind w:right="14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0" w:lineRule="exact"/>
        <w:rPr>
          <w:sz w:val="24"/>
          <w:szCs w:val="24"/>
          <w:color w:val="auto"/>
        </w:rPr>
      </w:pPr>
    </w:p>
    <w:p>
      <w:pPr>
        <w:ind w:right="220" w:firstLine="445"/>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9, 2024, the registrant had 17,107,887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2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98" w:lineRule="exact"/>
        <w:rPr>
          <w:rFonts w:ascii="Arial" w:cs="Arial" w:eastAsia="Arial" w:hAnsi="Arial"/>
          <w:sz w:val="18"/>
          <w:szCs w:val="18"/>
          <w:color w:val="auto"/>
        </w:rPr>
      </w:pPr>
    </w:p>
    <w:p>
      <w:pPr>
        <w:ind w:left="980" w:right="30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8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2023. If one or more of these risks or uncertainties occur, or if our underlying assumptions prove to be incorrect, actual events or results may vary significantly from those implied or projected by the forward-looking statements. No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 w:name="page3"/>
    <w:bookmarkEnd w:id="2"/>
    <w:p>
      <w:pPr>
        <w:ind w:right="180"/>
        <w:spacing w:after="0" w:line="262" w:lineRule="auto"/>
        <w:rPr>
          <w:sz w:val="20"/>
          <w:szCs w:val="20"/>
          <w:color w:val="auto"/>
        </w:rPr>
      </w:pPr>
      <w:r>
        <w:rPr>
          <w:rFonts w:ascii="Arial" w:cs="Arial" w:eastAsia="Arial" w:hAnsi="Arial"/>
          <w:sz w:val="18"/>
          <w:szCs w:val="18"/>
          <w:color w:val="auto"/>
        </w:rPr>
        <w:t>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7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1180" w:type="dxa"/>
            <w:vAlign w:val="bottom"/>
            <w:vMerge w:val="continue"/>
          </w:tcPr>
          <w:p>
            <w:pPr>
              <w:spacing w:after="0"/>
              <w:rPr>
                <w:sz w:val="14"/>
                <w:szCs w:val="14"/>
                <w:color w:val="auto"/>
              </w:rPr>
            </w:pPr>
          </w:p>
        </w:tc>
        <w:tc>
          <w:tcPr>
            <w:tcW w:w="8560" w:type="dxa"/>
            <w:vAlign w:val="bottom"/>
            <w:gridSpan w:val="20"/>
            <w:vMerge w:val="continue"/>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060" w:type="dxa"/>
            <w:vAlign w:val="bottom"/>
            <w:gridSpan w:val="15"/>
          </w:tcPr>
          <w:p>
            <w:pPr>
              <w:spacing w:after="0"/>
              <w:rPr>
                <w:sz w:val="20"/>
                <w:szCs w:val="20"/>
                <w:color w:val="auto"/>
              </w:rPr>
            </w:pPr>
            <w:r>
              <w:rPr>
                <w:rFonts w:ascii="Arial" w:cs="Arial" w:eastAsia="Arial" w:hAnsi="Arial"/>
                <w:sz w:val="18"/>
                <w:szCs w:val="18"/>
                <w:color w:val="0000FF"/>
                <w:w w:val="99"/>
              </w:rPr>
              <w:t>Condensed Consolidated Balance Sheets as of March 31, 2024 and December 31, 2023</w:t>
            </w:r>
          </w:p>
        </w:tc>
        <w:tc>
          <w:tcPr>
            <w:tcW w:w="150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2024 and 2023</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Loss for the Three Months Ended March 31, 2024</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2023</w:t>
            </w:r>
          </w:p>
        </w:tc>
        <w:tc>
          <w:tcPr>
            <w:tcW w:w="776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2024</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and 2023</w:t>
            </w:r>
          </w:p>
        </w:tc>
        <w:tc>
          <w:tcPr>
            <w:tcW w:w="774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2024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0"/>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2023</w:t>
            </w: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480" w:type="dxa"/>
            <w:vAlign w:val="bottom"/>
            <w:gridSpan w:val="4"/>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8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5"/>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4"/>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0"/>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2"/>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55,436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211,804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marketable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9,404</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portion of 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18,279</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March 31, 2024 and December 31, 2023</w:t>
            </w: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value; 150,000,000 shares authorized; 13,258,047 shares issued and</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outstanding as of March 31, 2024, and 8,791,877 shares issued and outstanding as of December 31, 2023</w:t>
            </w: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923,141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723,577</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(693,474)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(653,921)</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69,669</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56"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12"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w:t>
            </w: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13,270</w:t>
            </w:r>
          </w:p>
        </w:tc>
      </w:tr>
      <w:tr>
        <w:trPr>
          <w:trHeight w:val="210"/>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38,774</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(38,091)</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10"/>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Net loss per share attributable to common stockholders, basic and diluted</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20"/>
              <w:spacing w:after="0" w:line="190" w:lineRule="exact"/>
              <w:rPr>
                <w:sz w:val="20"/>
                <w:szCs w:val="20"/>
                <w:color w:val="auto"/>
              </w:rPr>
            </w:pPr>
            <w:r>
              <w:rPr>
                <w:rFonts w:ascii="Arial" w:cs="Arial" w:eastAsia="Arial" w:hAnsi="Arial"/>
                <w:sz w:val="16"/>
                <w:szCs w:val="16"/>
                <w:color w:val="auto"/>
              </w:rPr>
              <w:t>Weighted average common shares outstanding, basic and diluted</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13,904,374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3,540,185</w:t>
            </w: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72" w:hanging="72"/>
        <w:spacing w:after="0"/>
        <w:tabs>
          <w:tab w:leader="none" w:pos="72"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4"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(37,455)</w:t>
            </w: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gains on marketable securities, net of tax</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103505</wp:posOffset>
            </wp:positionV>
            <wp:extent cx="4397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8"/>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8,791,877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723,577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(653,921)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69,669</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14,475</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common stock from follow-on public offering and accompanying</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$10,836</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3,802,025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161,649</w:t>
            </w:r>
          </w:p>
        </w:tc>
        <w:tc>
          <w:tcPr>
            <w:tcW w:w="0" w:type="dxa"/>
            <w:vAlign w:val="bottom"/>
          </w:tcPr>
          <w:p>
            <w:pPr>
              <w:spacing w:after="0"/>
              <w:rPr>
                <w:sz w:val="1"/>
                <w:szCs w:val="1"/>
                <w:color w:val="auto"/>
              </w:rPr>
            </w:pPr>
          </w:p>
        </w:tc>
      </w:tr>
      <w:tr>
        <w:trPr>
          <w:trHeight w:val="122"/>
        </w:trPr>
        <w:tc>
          <w:tcPr>
            <w:tcW w:w="432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320" w:type="dxa"/>
            <w:vAlign w:val="bottom"/>
          </w:tcPr>
          <w:p>
            <w:pPr>
              <w:ind w:left="20"/>
              <w:spacing w:after="0"/>
              <w:rPr>
                <w:sz w:val="20"/>
                <w:szCs w:val="20"/>
                <w:color w:val="auto"/>
              </w:rPr>
            </w:pPr>
            <w:r>
              <w:rPr>
                <w:rFonts w:ascii="Arial" w:cs="Arial" w:eastAsia="Arial" w:hAnsi="Arial"/>
                <w:sz w:val="13"/>
                <w:szCs w:val="13"/>
                <w:color w:val="auto"/>
              </w:rPr>
              <w:t>issuance and commission costs of $376</w:t>
            </w:r>
          </w:p>
        </w:tc>
        <w:tc>
          <w:tcPr>
            <w:tcW w:w="1080" w:type="dxa"/>
            <w:vAlign w:val="bottom"/>
          </w:tcPr>
          <w:p>
            <w:pPr>
              <w:jc w:val="right"/>
              <w:spacing w:after="0"/>
              <w:rPr>
                <w:sz w:val="20"/>
                <w:szCs w:val="20"/>
                <w:color w:val="auto"/>
              </w:rPr>
            </w:pPr>
            <w:r>
              <w:rPr>
                <w:rFonts w:ascii="Arial" w:cs="Arial" w:eastAsia="Arial" w:hAnsi="Arial"/>
                <w:sz w:val="13"/>
                <w:szCs w:val="13"/>
                <w:color w:val="auto"/>
              </w:rPr>
              <w:t>209,852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6,169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6,169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from a collaboration and license agreement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17,265</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11,095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3,634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(39,553)</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13,258,047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(693,474)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80" w:type="dxa"/>
            <w:vAlign w:val="bottom"/>
            <w:gridSpan w:val="3"/>
          </w:tcPr>
          <w:p>
            <w:pPr>
              <w:jc w:val="right"/>
              <w:ind w:right="317"/>
              <w:spacing w:after="0" w:line="162" w:lineRule="exact"/>
              <w:rPr>
                <w:sz w:val="20"/>
                <w:szCs w:val="20"/>
                <w:color w:val="auto"/>
              </w:rPr>
            </w:pPr>
            <w:r>
              <w:rPr>
                <w:rFonts w:ascii="Arial" w:cs="Arial" w:eastAsia="Arial" w:hAnsi="Arial"/>
                <w:sz w:val="13"/>
                <w:szCs w:val="13"/>
                <w:b w:val="1"/>
                <w:bCs w:val="1"/>
                <w:color w:val="auto"/>
              </w:rPr>
              <w:t>Common Stock</w:t>
            </w:r>
            <w:r>
              <w:rPr>
                <w:rFonts w:ascii="Arial" w:cs="Arial" w:eastAsia="Arial" w:hAnsi="Arial"/>
                <w:sz w:val="16"/>
                <w:szCs w:val="16"/>
                <w:b w:val="1"/>
                <w:bCs w:val="1"/>
                <w:color w:val="auto"/>
                <w:vertAlign w:val="superscript"/>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06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160" w:type="dxa"/>
            <w:vAlign w:val="bottom"/>
            <w:gridSpan w:val="3"/>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980" w:type="dxa"/>
            <w:vAlign w:val="bottom"/>
          </w:tcPr>
          <w:p>
            <w:pPr>
              <w:jc w:val="center"/>
              <w:ind w:right="58"/>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3,292,163</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606,918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26"/>
        </w:trPr>
        <w:tc>
          <w:tcPr>
            <w:tcW w:w="43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 costs of $560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560,253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11,516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2,970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19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3,864,027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632,580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(39,553)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(37,455)</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Non-cash collaboration and license agreement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1,771</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5"/>
        </w:trPr>
        <w:tc>
          <w:tcPr>
            <w:tcW w:w="80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(32,846)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(91,220)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6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161,649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from collaboration and license agreement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and commission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18,096</w:t>
            </w: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18,070</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19,224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ind w:left="20"/>
        <w:spacing w:after="0"/>
        <w:rPr>
          <w:sz w:val="20"/>
          <w:szCs w:val="20"/>
          <w:color w:val="auto"/>
        </w:rPr>
      </w:pPr>
      <w:r>
        <w:rPr>
          <w:rFonts w:ascii="Arial" w:cs="Arial" w:eastAsia="Arial" w:hAnsi="Arial"/>
          <w:sz w:val="16"/>
          <w:szCs w:val="16"/>
          <w:color w:val="auto"/>
        </w:rPr>
        <w:t>Cash and cash equivalents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cash, cash equivalents and restricted cash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151,980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80,839</w:t>
            </w:r>
          </w:p>
        </w:tc>
      </w:tr>
      <w:tr>
        <w:trPr>
          <w:trHeight w:val="216"/>
        </w:trPr>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10"/>
        </w:trPr>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152,396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81,255</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2014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7340" w:space="720"/>
            <w:col w:w="3180"/>
          </w:cols>
          <w:pgMar w:left="320" w:top="890" w:right="339" w:bottom="1440" w:gutter="0" w:footer="0" w:header="0"/>
          <w:type w:val="continuous"/>
        </w:sectPr>
      </w:pPr>
    </w:p>
    <w:p>
      <w:pPr>
        <w:ind w:left="20"/>
        <w:spacing w:after="0"/>
        <w:tabs>
          <w:tab w:leader="none" w:pos="8060" w:val="left"/>
          <w:tab w:leader="none" w:pos="9240" w:val="left"/>
          <w:tab w:leader="none" w:pos="9700" w:val="left"/>
          <w:tab w:leader="none" w:pos="10980" w:val="left"/>
        </w:tabs>
        <w:rPr>
          <w:sz w:val="20"/>
          <w:szCs w:val="20"/>
          <w:color w:val="auto"/>
        </w:rPr>
      </w:pPr>
      <w:r>
        <w:rPr>
          <w:rFonts w:ascii="Arial" w:cs="Arial" w:eastAsia="Arial" w:hAnsi="Arial"/>
          <w:sz w:val="16"/>
          <w:szCs w:val="16"/>
          <w:color w:val="auto"/>
        </w:rPr>
        <w:t>Issuance costs from at-the-market offering included in accrued expenses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168</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20955</wp:posOffset>
            </wp:positionV>
            <wp:extent cx="201485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4855" cy="342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9" w:name="page10"/>
    <w:bookmarkEnd w:id="9"/>
    <w:p>
      <w:pPr>
        <w:jc w:val="center"/>
        <w:ind w:left="340" w:right="2680"/>
        <w:spacing w:after="0" w:line="451"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17"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69" w:lineRule="exact"/>
        <w:rPr>
          <w:sz w:val="20"/>
          <w:szCs w:val="20"/>
          <w:color w:val="auto"/>
        </w:rPr>
      </w:pPr>
    </w:p>
    <w:p>
      <w:pPr>
        <w:ind w:left="660" w:right="34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5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(formerly known as PRAX-944), it expects to announce topline results from the ongoing Phase 3 Essential3 clinical trials in essential tremor in the second half of 2024. Within the Company's PRAX-628 program, it announced positive results from its Photo-Paroxysmal Response ("PPR") study in the first quarter of 2024 and plans to initiate the first of two efficacy studies of PRAX-628 in focal onset seizures in the second half of 2024, with topline results expected in 2025. The Company plans to initiate a second PRAX-628 efficacy study in focal onset seizures in the first half of 2025, with topline results expected in the first half of 2026. The Company's PRAX-562 Phase 2 EMBOLD study was initiated in the first quarter of 2023, with cohorts in SCN2A-DEE and SCN8A-DEE; topline results are expected for both cohorts in the third quarter of 2024. For the Company's most advanced product candidate under the Solidus™ platform, elsunersen (formerly known as PRAX-222), it shared results from Part 1 of the EMBRAVE study in the fourth quarter of 2023, and is currently completing multiple global regulatory interactions in anticipation of starting the pivotal phase of the program later in 2024.</w:t>
      </w:r>
    </w:p>
    <w:p>
      <w:pPr>
        <w:spacing w:after="0" w:line="18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from the sale of common stock through an initial public offering and at-the-market offerings under its shelf registration statement, and from follow-on public offerings of common stock and pre-funded warrants to purchase common stock. From inception through March 31, 2024, the Company raised $785.3 million in aggregate cash proceeds from these transactions, net of issuance costs. In April 2024, the Company raised net proceeds of $215.8 million from a follow-on public offering of common stock and pre-funded warrants.</w:t>
      </w:r>
    </w:p>
    <w:p>
      <w:pPr>
        <w:spacing w:after="0" w:line="182"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5"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76"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The Company has incurred recurring losses since its inception, including a net loss of $39.6 million for the three months ended March 31, 2024. In addition, as of March 31, 2024, the Company had an accumulated deficit of $693.5 million. The Company expects to continue to generate operating losses for the foreseeable future.</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 expects that its cash, cash equivalents and marketable securities as of March 31, 2024 of $243.3 million will be sufficient to fund its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40" w:firstLine="8"/>
        <w:spacing w:after="0" w:line="375"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71" w:lineRule="exact"/>
        <w:rPr>
          <w:sz w:val="20"/>
          <w:szCs w:val="20"/>
          <w:color w:val="auto"/>
        </w:rPr>
      </w:pPr>
    </w:p>
    <w:p>
      <w:pPr>
        <w:jc w:val="both"/>
        <w:ind w:right="400" w:firstLine="445"/>
        <w:spacing w:after="0" w:line="26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2024 are consistent with those discussed in Note 2 to the consolidated financial statements included in the Company's 2023 Annual Report on Form 10-K, other than as noted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5" w:lineRule="exact"/>
        <w:rPr>
          <w:sz w:val="20"/>
          <w:szCs w:val="20"/>
          <w:color w:val="auto"/>
        </w:rPr>
      </w:pPr>
    </w:p>
    <w:p>
      <w:pPr>
        <w:ind w:right="240" w:firstLine="445"/>
        <w:spacing w:after="0" w:line="291" w:lineRule="auto"/>
        <w:rPr>
          <w:sz w:val="20"/>
          <w:szCs w:val="20"/>
          <w:color w:val="auto"/>
        </w:rPr>
      </w:pPr>
      <w:r>
        <w:rPr>
          <w:rFonts w:ascii="Arial" w:cs="Arial" w:eastAsia="Arial" w:hAnsi="Arial"/>
          <w:sz w:val="17"/>
          <w:szCs w:val="17"/>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The Reverse Stock Split became effective at 5:00 p.m., Eastern Time, on November 28, 2023 (the "Effective Time").</w:t>
      </w:r>
    </w:p>
    <w:p>
      <w:pPr>
        <w:spacing w:after="0" w:line="153"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for the periods prior to the Effective Time disclosed in this Quarterly Report on Form 10-Q have been restated to reflect the Reverse Stock Split on a retroactive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 Classification</w:t>
      </w:r>
    </w:p>
    <w:p>
      <w:pPr>
        <w:spacing w:after="0" w:line="11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may invest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related to any marketable securities it may invest in. The Company has established guidelines relative to diversification and maturities that maintain safety and liquidity, and periodically reviews and modifies these guidelines to maximize trends in yields and interest rates without compromising safety and liquidity.</w:t>
      </w:r>
    </w:p>
    <w:p>
      <w:pPr>
        <w:spacing w:after="0" w:line="74"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The Company classifies its investments in debt instruments as available-for-sale. Available-for-sale investments are reported at fair value at each balance sheet date, and include any unrealized holding gains and</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11" w:name="page12"/>
    <w:bookmarkEnd w:id="11"/>
    <w:p>
      <w:pPr>
        <w:ind w:right="180"/>
        <w:spacing w:after="0" w:line="262" w:lineRule="auto"/>
        <w:rPr>
          <w:sz w:val="20"/>
          <w:szCs w:val="20"/>
          <w:color w:val="auto"/>
        </w:rPr>
      </w:pPr>
      <w:r>
        <w:rPr>
          <w:rFonts w:ascii="Arial" w:cs="Arial" w:eastAsia="Arial" w:hAnsi="Arial"/>
          <w:sz w:val="18"/>
          <w:szCs w:val="18"/>
          <w:color w:val="auto"/>
        </w:rPr>
        <w:t>losses in accumulated other comprehensive loss, a component of stockholders’ equity. Realized gains and losses are included in the Company's condensed consolidated statements of operations. All of the Company's available-for-sale securities are available for use in its current operations. The Company classifies marketable securities as either cash equivalents, short-term, or long-term based on their stated maturity dates as it is more-likely-than-not that the Company will hold these assets through to their maturity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accompanying condensed consolidated balance sheet as of March 31, 2024, the condensed consolidated statements of operations for the three months ended March 31, 2024 and 2023, the condensed consolidated statements of comprehensive loss for the three months ended March 31, 2024 and 2023, the condensed consolidated statements of cash flows for the three months ended March 31, 2024 and 2023 and the condensed consolidated statements of stockholders’ equity for the three months ended March 31, 2024 and 2023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2024, the results of its operations for the three months ended March 31, 2024 and 2023 and its cash flows for the three months ended March 31, 2024 and 2023. Financial statement disclosures for the three months ended March 31, 2024 and 2023 are condensed and do not include all disclosures required for an annual set of financial statements in accordance with GAAP.</w:t>
      </w:r>
    </w:p>
    <w:p>
      <w:pPr>
        <w:spacing w:after="0" w:line="185"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results for the three months ended March 31, 2024 are not necessarily indicative of results to be expected for the year ended December 31, 2024, any other interim periods, or any future year or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5"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5"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 xml:space="preserve">On November 27, 2023, the FASB issued ASU No. 2023-07, </w:t>
      </w:r>
      <w:r>
        <w:rPr>
          <w:rFonts w:ascii="Arial" w:cs="Arial" w:eastAsia="Arial" w:hAnsi="Arial"/>
          <w:sz w:val="18"/>
          <w:szCs w:val="18"/>
          <w:i w:val="1"/>
          <w:iCs w:val="1"/>
          <w:color w:val="auto"/>
        </w:rPr>
        <w:t>Segment Reporting (Topic 280) -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No. 2023-07 improves reportable segment disclosure requirements, primarily through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Early adoption is permitted and should be applied retrospectively to all prior periods presented in the financial statements. Upon transition, the segment expenses categories and amounts disclosed in the prior periods should be based on the significant segment expense categories identified and disclosed in the period of adoption. The Company only has one reportable segment and this ASU impacts disclosures only. The Company has determined that the effects of adopting the amendments in ASU 2023-07 will only impact its disclosures and not have a material impact on its consolidated financial position and the results of its operations when such amendment is adopted.</w:t>
      </w:r>
    </w:p>
    <w:p>
      <w:pPr>
        <w:spacing w:after="0" w:line="7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 xml:space="preserve">On December 14, 2023, the FASB issued ASU No. 2023-09, </w:t>
      </w:r>
      <w:r>
        <w:rPr>
          <w:rFonts w:ascii="Arial" w:cs="Arial" w:eastAsia="Arial" w:hAnsi="Arial"/>
          <w:sz w:val="18"/>
          <w:szCs w:val="18"/>
          <w:i w:val="1"/>
          <w:iCs w:val="1"/>
          <w:color w:val="auto"/>
        </w:rPr>
        <w:t>Income Taxes (Topic 740) - Improvements to Income Tax Disclosures</w:t>
      </w:r>
      <w:r>
        <w:rPr>
          <w:rFonts w:ascii="Arial" w:cs="Arial" w:eastAsia="Arial" w:hAnsi="Arial"/>
          <w:sz w:val="18"/>
          <w:szCs w:val="18"/>
          <w:color w:val="auto"/>
        </w:rPr>
        <w:t>. ASU No.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only impact its disclosures and will not have a material impact on its consolidated financial position and the results of its operations when such amendment is adopted.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Marketable Securities</w:t>
      </w:r>
    </w:p>
    <w:p>
      <w:pPr>
        <w:spacing w:after="0" w:line="117" w:lineRule="exact"/>
        <w:rPr>
          <w:sz w:val="20"/>
          <w:szCs w:val="20"/>
          <w:color w:val="auto"/>
        </w:rPr>
      </w:pPr>
    </w:p>
    <w:p>
      <w:pPr>
        <w:ind w:right="840" w:firstLine="445"/>
        <w:spacing w:after="0" w:line="287" w:lineRule="auto"/>
        <w:rPr>
          <w:sz w:val="20"/>
          <w:szCs w:val="20"/>
          <w:color w:val="auto"/>
        </w:rPr>
      </w:pPr>
      <w:r>
        <w:rPr>
          <w:rFonts w:ascii="Arial" w:cs="Arial" w:eastAsia="Arial" w:hAnsi="Arial"/>
          <w:sz w:val="18"/>
          <w:szCs w:val="18"/>
          <w:color w:val="auto"/>
        </w:rPr>
        <w:t>The following is a summary of the Company's investment portfolio as of March 31, 2024. The Company did not hold any cash equivalents or marketable securities as of December 31, 2023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rPr>
              <w:t>As of March 31,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7"/>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15,971</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17,889</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12,008</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Available-for-sale marketable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59,734</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26,600</w:t>
            </w:r>
          </w:p>
        </w:tc>
      </w:tr>
      <w:tr>
        <w:trPr>
          <w:trHeight w:val="217"/>
        </w:trPr>
        <w:tc>
          <w:tcPr>
            <w:tcW w:w="6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r>
      <w:tr>
        <w:trPr>
          <w:trHeight w:val="215"/>
        </w:trPr>
        <w:tc>
          <w:tcPr>
            <w:tcW w:w="6060" w:type="dxa"/>
            <w:vAlign w:val="bottom"/>
          </w:tcPr>
          <w:p>
            <w:pPr>
              <w:ind w:left="240"/>
              <w:spacing w:after="0"/>
              <w:rPr>
                <w:sz w:val="20"/>
                <w:szCs w:val="20"/>
                <w:color w:val="auto"/>
              </w:rPr>
            </w:pPr>
            <w:r>
              <w:rPr>
                <w:rFonts w:ascii="Arial" w:cs="Arial" w:eastAsia="Arial" w:hAnsi="Arial"/>
                <w:sz w:val="16"/>
                <w:szCs w:val="16"/>
                <w:color w:val="auto"/>
              </w:rPr>
              <w:t>Other debt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235"/>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equivalents and marketable securities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139,626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As of March 31, 2024, the Company had 33 securities with a total fair market value of $42.6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the marketable securities at each balance sheet date are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87,782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35,873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123,655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months ended March 31, 2024 and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2024 (in thousands). The Company did not hold any financial assets measured at fair value on a recurring basis as of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As of March 31, 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15,971</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17,889</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2,449</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marketable securities: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59,734</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26,600</w:t>
            </w: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1,931</w:t>
            </w:r>
          </w:p>
        </w:tc>
      </w:tr>
      <w:tr>
        <w:trPr>
          <w:trHeight w:val="217"/>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r>
      <w:tr>
        <w:trPr>
          <w:trHeight w:val="209"/>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93,594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46,032</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139,626</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2024</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March 31, 2024 and December 31, 2023. This lease qualifies as an operating lease.</w:t>
      </w:r>
    </w:p>
    <w:p>
      <w:pPr>
        <w:spacing w:after="0" w:line="287" w:lineRule="exact"/>
        <w:rPr>
          <w:sz w:val="20"/>
          <w:szCs w:val="20"/>
          <w:color w:val="auto"/>
        </w:rPr>
      </w:pPr>
    </w:p>
    <w:p>
      <w:pPr>
        <w:ind w:right="7700" w:firstLine="8"/>
        <w:spacing w:after="0" w:line="397" w:lineRule="auto"/>
        <w:tabs>
          <w:tab w:leader="none" w:pos="2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Collaboration and License Agreements </w:t>
      </w:r>
      <w:r>
        <w:rPr>
          <w:rFonts w:ascii="Arial" w:cs="Arial" w:eastAsia="Arial" w:hAnsi="Arial"/>
          <w:sz w:val="17"/>
          <w:szCs w:val="17"/>
          <w:b w:val="1"/>
          <w:bCs w:val="1"/>
          <w:i w:val="1"/>
          <w:iCs w:val="1"/>
          <w:color w:val="auto"/>
        </w:rPr>
        <w:t>UCB Option and License Agreement</w:t>
      </w:r>
    </w:p>
    <w:p>
      <w:pPr>
        <w:spacing w:after="0" w:line="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77"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68"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months ended March 31, 2024, the Company recognized $ 0.4 million in collaboration revenue related to the Collaboration Agreement in the condensed consolidated statement of operations. As of March 31, 2024, $2.1 million was included in deferred revenue in the condensed consolidated balance sheet, of which $1.3 million was classified as current.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Tenacia Collaboration and License Agreement</w:t>
      </w:r>
    </w:p>
    <w:p>
      <w:pPr>
        <w:spacing w:after="0" w:line="11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January 4, 2024, the Company entered into an exclusive collaboration and license Agreement (“the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spacing w:after="0" w:line="74" w:lineRule="exact"/>
        <w:rPr>
          <w:sz w:val="20"/>
          <w:szCs w:val="20"/>
          <w:color w:val="auto"/>
        </w:rPr>
      </w:pPr>
    </w:p>
    <w:p>
      <w:pPr>
        <w:ind w:right="40" w:firstLine="445"/>
        <w:spacing w:after="0" w:line="262" w:lineRule="auto"/>
        <w:rPr>
          <w:sz w:val="20"/>
          <w:szCs w:val="20"/>
          <w:color w:val="auto"/>
        </w:rPr>
      </w:pPr>
      <w:r>
        <w:rPr>
          <w:rFonts w:ascii="Arial" w:cs="Arial" w:eastAsia="Arial" w:hAnsi="Arial"/>
          <w:sz w:val="18"/>
          <w:szCs w:val="18"/>
          <w:color w:val="auto"/>
        </w:rPr>
        <w:t>Under the terms of the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w:t>
      </w:r>
    </w:p>
    <w:p>
      <w:pPr>
        <w:spacing w:after="0" w:line="68"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Company concluded that the License Agreement and the Stock Purchase Agreement is a combined arrangement since they were executed at the same time and in contemplation of each other with the same counterparty or a related party thereof and the combined arrangement falls within the scope of Topic 606.</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5" w:name="page16"/>
    <w:bookmarkEnd w:id="15"/>
    <w:p>
      <w:pPr>
        <w:ind w:right="40" w:firstLine="445"/>
        <w:spacing w:after="0" w:line="257" w:lineRule="auto"/>
        <w:rPr>
          <w:sz w:val="20"/>
          <w:szCs w:val="20"/>
          <w:color w:val="auto"/>
        </w:rPr>
      </w:pPr>
      <w:r>
        <w:rPr>
          <w:rFonts w:ascii="Arial" w:cs="Arial" w:eastAsia="Arial" w:hAnsi="Arial"/>
          <w:sz w:val="18"/>
          <w:szCs w:val="18"/>
          <w:color w:val="auto"/>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License Agreement, both of which were received in January 2024. During the three months ended March 31, 2024, the Company had not achieved any development or sales milestones or earned any royalties under the License Agreement.</w:t>
      </w:r>
    </w:p>
    <w:p>
      <w:pPr>
        <w:spacing w:after="0" w:line="7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as of March 31, 2024.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$ 2.5 million, which was recorded in research and development expense in the accompanying condensed consolidated statement of operations for the three months ended March 31, 2024.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spacing w:after="0" w:line="73"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As of March 31, 2024, the Company did not have any receivables or deferred revenue related to the arrangement with Tenacia. The Company did not recognize any contract assets related to costs to obtain a contract with a customer or costs to fulfill a contract with a customer through March 31, 2024 because no qualifying costs were incurred. During the three months ended March 31, 2024, the Company did not recognize any revenue associated with the combined arrangement.</w:t>
      </w:r>
    </w:p>
    <w:p>
      <w:pPr>
        <w:spacing w:after="0" w:line="284" w:lineRule="exact"/>
        <w:rPr>
          <w:sz w:val="20"/>
          <w:szCs w:val="20"/>
          <w:color w:val="auto"/>
        </w:rPr>
      </w:pPr>
    </w:p>
    <w:p>
      <w:pPr>
        <w:ind w:right="7940" w:firstLine="8"/>
        <w:spacing w:after="0" w:line="375" w:lineRule="auto"/>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Reverse Stock Split</w:t>
      </w:r>
    </w:p>
    <w:p>
      <w:pPr>
        <w:spacing w:after="0" w:line="1" w:lineRule="exact"/>
        <w:rPr>
          <w:sz w:val="20"/>
          <w:szCs w:val="20"/>
          <w:color w:val="auto"/>
        </w:rPr>
      </w:pPr>
    </w:p>
    <w:p>
      <w:pPr>
        <w:ind w:right="240" w:firstLine="445"/>
        <w:spacing w:after="0" w:line="268" w:lineRule="auto"/>
        <w:rPr>
          <w:sz w:val="20"/>
          <w:szCs w:val="20"/>
          <w:color w:val="auto"/>
        </w:rPr>
      </w:pPr>
      <w:r>
        <w:rPr>
          <w:rFonts w:ascii="Arial" w:cs="Arial" w:eastAsia="Arial" w:hAnsi="Arial"/>
          <w:sz w:val="18"/>
          <w:szCs w:val="18"/>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became effective at 5:00 p.m., Eastern Time, on November 28, 2023.</w:t>
      </w:r>
    </w:p>
    <w:p>
      <w:pPr>
        <w:spacing w:after="0" w:line="63"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for the period prior to the Effective Time disclosed in this Quarterly Report on Form 10-Q have been restated to reflect the Reverse Stock Split on a retroactive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5"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As of March 31, 2024 and December 31, 2023, the authorized capital stock of the Company included 150,000,000 shares of common stock, $0.0001 par value.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2024 and December 31, 2023, the Company did not hold any treasury shares.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Public Offering</w:t>
      </w:r>
    </w:p>
    <w:p>
      <w:pPr>
        <w:spacing w:after="0" w:line="115"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ind w:firstLine="445"/>
        <w:spacing w:after="0" w:line="253"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either the aggregate number of shares of common stock beneficially owned by such holder, together with its affiliates, to exceed 9.99%, or the combined voting power of the securities beneficially owned by such holder, together with its affiliates, to exceed 9.99%.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In the event of certain fundamental transactions where the consideration payable to the holders of shares of common stock consists solely of cash and/or marketable securities, the pre-funded warrants will automatically be deemed to be exercised in full pursuant to a cashless exercise effective immediately prior to and contingent upon the consummation of such transaction. As of March 31, 2024, none of the pre-funded warrants had been exercised and all remain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2024 Public Offering</w:t>
      </w:r>
    </w:p>
    <w:p>
      <w:pPr>
        <w:spacing w:after="0" w:line="115"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On January 16, 2024, the Company completed a public offering of: (i) an aggregate of 3,802,025 shares of its common stock at a public offering price of $35.50 per share, including the underwriters' full exercise of their option to purchase 633,750 additional shares of commons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spacing w:after="0" w:line="6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either the aggregate number of shares of common stock beneficially owned by such holder, together with its affiliates, to exceed 4.99% (or 9.99%), or the combined voting power of the securities beneficially owned by such holder, together with its affiliates, to exceed 4.99% (or 9.99%).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March 31, 2024, none of the pre-funded warrants had been exercised and all remained outstanding.</w:t>
      </w:r>
    </w:p>
    <w:p>
      <w:pPr>
        <w:spacing w:after="0" w:line="7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 xml:space="preserve">The Company determined that the pre-funded warrants related to both the June 2023 and January 2024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1,084,026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 related to the June 2023 Financing</w:t>
            </w:r>
          </w:p>
        </w:tc>
        <w:tc>
          <w:tcPr>
            <w:tcW w:w="1520" w:type="dxa"/>
            <w:vAlign w:val="bottom"/>
          </w:tcPr>
          <w:p>
            <w:pPr>
              <w:jc w:val="right"/>
              <w:spacing w:after="0"/>
              <w:rPr>
                <w:sz w:val="20"/>
                <w:szCs w:val="20"/>
                <w:color w:val="auto"/>
              </w:rPr>
            </w:pPr>
            <w:r>
              <w:rPr>
                <w:rFonts w:ascii="Arial" w:cs="Arial" w:eastAsia="Arial" w:hAnsi="Arial"/>
                <w:sz w:val="16"/>
                <w:szCs w:val="16"/>
                <w:color w:val="auto"/>
              </w:rPr>
              <w:t>470,000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470,000</w:t>
            </w:r>
          </w:p>
        </w:tc>
      </w:tr>
      <w:tr>
        <w:trPr>
          <w:trHeight w:val="21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pre-funded warrants related to the January 2024 Financing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1,056,725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111,028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148,264</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141,029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53,111</w:t>
            </w: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2024</w:t>
            </w:r>
          </w:p>
        </w:tc>
        <w:tc>
          <w:tcPr>
            <w:tcW w:w="4460" w:type="dxa"/>
            <w:vAlign w:val="bottom"/>
          </w:tcPr>
          <w:p>
            <w:pPr>
              <w:ind w:left="20"/>
              <w:spacing w:after="0"/>
              <w:rPr>
                <w:sz w:val="20"/>
                <w:szCs w:val="20"/>
                <w:color w:val="auto"/>
              </w:rPr>
            </w:pPr>
            <w:r>
              <w:rPr>
                <w:rFonts w:ascii="Arial" w:cs="Arial" w:eastAsia="Arial" w:hAnsi="Arial"/>
                <w:sz w:val="16"/>
                <w:szCs w:val="16"/>
                <w:color w:val="auto"/>
              </w:rPr>
              <w:t>Inducement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996,950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97,601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47,145</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3,957,359</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1,384,683</w:t>
            </w:r>
          </w:p>
        </w:tc>
      </w:tr>
      <w:tr>
        <w:trPr>
          <w:trHeight w:val="21"/>
        </w:trPr>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right="1040" w:firstLine="445"/>
        <w:spacing w:after="0" w:line="287" w:lineRule="auto"/>
        <w:rPr>
          <w:sz w:val="20"/>
          <w:szCs w:val="20"/>
          <w:color w:val="auto"/>
        </w:rPr>
      </w:pPr>
      <w:r>
        <w:rPr>
          <w:rFonts w:ascii="Arial" w:cs="Arial" w:eastAsia="Arial" w:hAnsi="Arial"/>
          <w:sz w:val="18"/>
          <w:szCs w:val="18"/>
          <w:color w:val="auto"/>
        </w:rPr>
        <w:t>As of March 31, 2024 and December 31, 2023, the authorized capital stock of the Company included 10,000,000 shares of undesignated preferred stock, $0.0001 par value.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Inducement Plan</w:t>
      </w:r>
    </w:p>
    <w:p>
      <w:pPr>
        <w:spacing w:after="0" w:line="115"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The total number of shares of common stock authorized for issuance under the Inducement Plan as of March 31, 2024 was 1,000,000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5"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March 31, 2024 and December 31, 2023 was 1,100,833 shares and 661,240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5"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March 31, 2024 and December 31, 2023 was 395,850 shares. Any authorization to issue new options under the 2017 Plan was cancelled upon the effectiveness of the 2020 Plan and no further awards will be granted under the 2017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5"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March 31, 2024 and December 31, 2023 was 175,145 shares and 87,227 shares,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540" w:type="dxa"/>
            <w:vAlign w:val="bottom"/>
            <w:tcBorders>
              <w:top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47,145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0" w:type="dxa"/>
            <w:vAlign w:val="bottom"/>
          </w:tcPr>
          <w:p>
            <w:pPr>
              <w:spacing w:after="0"/>
              <w:rPr>
                <w:sz w:val="1"/>
                <w:szCs w:val="1"/>
                <w:color w:val="auto"/>
              </w:rPr>
            </w:pPr>
          </w:p>
        </w:tc>
      </w:tr>
      <w:tr>
        <w:trPr>
          <w:trHeight w:val="215"/>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center"/>
              <w:ind w:left="799"/>
              <w:spacing w:after="0"/>
              <w:rPr>
                <w:sz w:val="20"/>
                <w:szCs w:val="20"/>
                <w:color w:val="auto"/>
              </w:rPr>
            </w:pPr>
            <w:r>
              <w:rPr>
                <w:rFonts w:ascii="Arial" w:cs="Arial" w:eastAsia="Arial" w:hAnsi="Arial"/>
                <w:sz w:val="16"/>
                <w:szCs w:val="16"/>
                <w:color w:val="auto"/>
              </w:rPr>
              <w:t>65,333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7"/>
              </w:rPr>
              <w:t>(11,346)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316.60</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2024</w:t>
            </w:r>
          </w:p>
        </w:tc>
        <w:tc>
          <w:tcPr>
            <w:tcW w:w="154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97,601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8" w:name="page19"/>
    <w:bookmarkEnd w:id="18"/>
    <w:p>
      <w:pPr>
        <w:ind w:right="620" w:firstLine="445"/>
        <w:spacing w:after="0" w:line="287" w:lineRule="auto"/>
        <w:rPr>
          <w:sz w:val="20"/>
          <w:szCs w:val="20"/>
          <w:color w:val="auto"/>
        </w:rPr>
      </w:pPr>
      <w:r>
        <w:rPr>
          <w:rFonts w:ascii="Arial" w:cs="Arial" w:eastAsia="Arial" w:hAnsi="Arial"/>
          <w:sz w:val="18"/>
          <w:szCs w:val="18"/>
          <w:color w:val="auto"/>
        </w:rPr>
        <w:t>As of March 31, 2024, total unrecognized compensation cost related to unvested restricted stock units was $7.8 million, which is expected to be recognized over a weighted-average period of 2.34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428,850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43.36</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124.58</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1,084,026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14,197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March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8.06</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7,632</w:t>
            </w:r>
          </w:p>
        </w:tc>
        <w:tc>
          <w:tcPr>
            <w:tcW w:w="0" w:type="dxa"/>
            <w:vAlign w:val="bottom"/>
          </w:tcPr>
          <w:p>
            <w:pPr>
              <w:spacing w:after="0" w:line="20" w:lineRule="exact"/>
              <w:rPr>
                <w:sz w:val="1"/>
                <w:szCs w:val="1"/>
                <w:color w:val="auto"/>
              </w:rPr>
            </w:pPr>
          </w:p>
        </w:tc>
      </w:tr>
      <w:tr>
        <w:trPr>
          <w:trHeight w:val="189"/>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689,361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129.09</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15" w:lineRule="exact"/>
        <w:rPr>
          <w:sz w:val="20"/>
          <w:szCs w:val="20"/>
          <w:color w:val="auto"/>
        </w:rPr>
      </w:pPr>
    </w:p>
    <w:p>
      <w:pPr>
        <w:jc w:val="both"/>
        <w:ind w:right="140" w:firstLine="445"/>
        <w:spacing w:after="0" w:line="268"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months ended March 31, 2024:</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2024</w:t>
            </w:r>
          </w:p>
        </w:tc>
      </w:tr>
      <w:tr>
        <w:trPr>
          <w:trHeight w:val="210"/>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88.75 %</w:t>
            </w:r>
          </w:p>
        </w:tc>
      </w:tr>
      <w:tr>
        <w:trPr>
          <w:trHeight w:val="215"/>
        </w:trPr>
        <w:tc>
          <w:tcPr>
            <w:tcW w:w="95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9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32.70</w:t>
            </w:r>
          </w:p>
        </w:tc>
      </w:tr>
    </w:tbl>
    <w:p>
      <w:pPr>
        <w:spacing w:after="0" w:line="292"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As of March 31, 2024, total unrecognized compensation cost related to unvested stock options was $24.8 million, which is expected to be recognized over a weighted-average period of 1.88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43"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14,475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17"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1,084,026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712,737</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97,601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50,317</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27,827</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11,984</w:t>
            </w:r>
          </w:p>
        </w:tc>
      </w:tr>
      <w:tr>
        <w:trPr>
          <w:trHeight w:val="209"/>
        </w:trPr>
        <w:tc>
          <w:tcPr>
            <w:tcW w:w="80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1,209,454</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775,038</w:t>
            </w: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shares issuable upon exercise of the pre-funded warrants that were sold in connection with the June 2023 and the January</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2024 underwritten public offering are included in the calculation of basic weighted average number of common shares outstanding for the three months ended March 31, 2024.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89" w:lineRule="exact"/>
        <w:rPr>
          <w:sz w:val="20"/>
          <w:szCs w:val="20"/>
          <w:color w:val="auto"/>
        </w:rPr>
      </w:pPr>
    </w:p>
    <w:p>
      <w:pPr>
        <w:ind w:right="9240" w:firstLine="8"/>
        <w:spacing w:after="0" w:line="375" w:lineRule="auto"/>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April 2024 Financing</w:t>
      </w:r>
    </w:p>
    <w:p>
      <w:pPr>
        <w:spacing w:after="0" w:line="1"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$215.8 million, after deducting underwriting discounts, commissions and other offering expenses payable by the Company.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March 5, 2024.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sections of our Annual Report on Form 10-K for the year ended December 31, 2023,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40" w:hanging="328"/>
        <w:spacing w:after="0" w:line="237"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2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5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(formerly known as PRAX-944), we expect to announce topline results from the Phase 3 Essential3 clinical trials in essential tremor, or ET, in the second half of 2024. Within our PRAX-628 program, we announced positive results from our Phase 2a Photo-Paroxysmal Response study in the first quarter of 2024 and plan to initiate the first of two efficacy studies of PRAX-628 in focal onset seizures in the second half of 2024, with topline results expected in 2025. We plan to initiate a second PRAX-628 efficacy study in focal onset seizures in the first half of 2025, with topline results expected in the first half of 2026. Our PRAX-562 Phase 2 EMBOLD study was initiated in the first quarter of 2023, with cohorts in SCN2A-DEE and SCN8A-DEE; topline results are expected for both cohorts in the third quarter of 2024. For our most advanced product candidate under the Solidus™ platform, elsunersen (formerly known as PRAX-222), we shared results from Part 1 of the EMBRAVE study in the fourth quarter of 2023, and are currently completing multiple global regulatory interactions in anticipation of starting the pivotal phase of the program later in 2024.</w:t>
      </w:r>
    </w:p>
    <w:p>
      <w:pPr>
        <w:spacing w:after="0" w:line="18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82"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1" w:name="page22"/>
    <w:bookmarkEnd w:id="21"/>
    <w:p>
      <w:pPr>
        <w:ind w:right="100"/>
        <w:spacing w:after="0" w:line="257" w:lineRule="auto"/>
        <w:rPr>
          <w:sz w:val="20"/>
          <w:szCs w:val="20"/>
          <w:color w:val="auto"/>
        </w:rPr>
      </w:pPr>
      <w:r>
        <w:rPr>
          <w:rFonts w:ascii="Arial" w:cs="Arial" w:eastAsia="Arial" w:hAnsi="Arial"/>
          <w:sz w:val="18"/>
          <w:szCs w:val="18"/>
          <w:color w:val="auto"/>
        </w:rPr>
        <w:t>successful development and eventual commercialization of one or more of our product candidates, if approved. We have incurred recurring operating losses since inception, including a net loss of $39.6 million for the three months ended March 31, 2024. As of March 31, 2024, we had an accumulated deficit of $693.5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through the Phase 3 Essential3 clinical trial program for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our PRAX-562 product candidate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elsunersen (formerly PRAX-222) into the pivotal stage of the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our PRAX-628 product candidate into efficacy clinical trials for focal onset seizures;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2"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6"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As of March 31, 2024, we had cash, cash equivalents and marketable securities of $ 243.3 million. We expect that our cash, cash equivalents, and marketable securities as of March 31, 2024, together with proceeds from our follow-on public offering in April 2024. will be sufficient to fund our operating expenditures and capital expenditure requirements necessary to advance our research efforts and clinical trials into 2027.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5" w:lineRule="exact"/>
        <w:rPr>
          <w:sz w:val="20"/>
          <w:szCs w:val="20"/>
          <w:color w:val="auto"/>
        </w:rPr>
      </w:pPr>
    </w:p>
    <w:p>
      <w:pPr>
        <w:ind w:right="660" w:firstLine="445"/>
        <w:spacing w:after="0" w:line="287" w:lineRule="auto"/>
        <w:rPr>
          <w:sz w:val="20"/>
          <w:szCs w:val="20"/>
          <w:color w:val="auto"/>
        </w:rPr>
      </w:pPr>
      <w:r>
        <w:rPr>
          <w:rFonts w:ascii="Arial" w:cs="Arial" w:eastAsia="Arial" w:hAnsi="Arial"/>
          <w:sz w:val="18"/>
          <w:szCs w:val="18"/>
          <w:color w:val="auto"/>
        </w:rPr>
        <w:t>On November 28, 2023, we filed a Certificate of Amendment to our Amended and Restated Certificate of Incorporation with the Secretary of State of the State of Delaware to effect a 1-for-15 reverse stock split of our</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2" w:name="page23"/>
    <w:bookmarkEnd w:id="22"/>
    <w:p>
      <w:pPr>
        <w:ind w:right="80"/>
        <w:spacing w:after="0" w:line="287" w:lineRule="auto"/>
        <w:rPr>
          <w:sz w:val="20"/>
          <w:szCs w:val="20"/>
          <w:color w:val="auto"/>
        </w:rPr>
      </w:pPr>
      <w:r>
        <w:rPr>
          <w:rFonts w:ascii="Arial" w:cs="Arial" w:eastAsia="Arial" w:hAnsi="Arial"/>
          <w:sz w:val="18"/>
          <w:szCs w:val="18"/>
          <w:color w:val="auto"/>
        </w:rPr>
        <w:t>common stock, or the Reverse Stock Split. The Reverse Stock Split became effective at 5:00 p.m., Eastern Time, on November 28, 2023, or the Effective Time.</w:t>
      </w:r>
    </w:p>
    <w:p>
      <w:pPr>
        <w:spacing w:after="0" w:line="153"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As a result of the Reverse Stock Split, every 15 shares of our issued and outstanding common stock were automatically reclassified into one validly issued, fully-paid and non-assessable share of common stock, subject to the treatment of fractional shares as described below, without any action on the part of the holders thereof. The Reverse Stock Split did not affect the number of authorized shares of common stock or the par value of the common stock.</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No fractional shares were issued in connection with the Reverse Stock Split. Stockholders who would otherwise be entitled to receive fractional shares as a result of the Reverse Stock Split were entitled to a cash payment in lieu thereof at a price equal to the fraction to which the stockholder would otherwise be entitled, multiplied by the closing price per share of the common stock (as adjusted for the Reverse Stock Split) on the Nasdaq Global Select Market on November 28, 2023, the last trading day immediately preceding the Effective Time.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jc w:val="both"/>
        <w:ind w:right="20" w:firstLine="445"/>
        <w:spacing w:after="0" w:line="262"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We recognized $0.4 million of collaboration revenue from the Collaboration Agreement during the three months ended March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40" w:hanging="128"/>
        <w:spacing w:after="0" w:line="438" w:lineRule="auto"/>
        <w:tabs>
          <w:tab w:leader="none" w:pos="6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98"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53"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3" w:name="page24"/>
    <w:bookmarkEnd w:id="23"/>
    <w:p>
      <w:pPr>
        <w:ind w:right="80" w:firstLine="445"/>
        <w:spacing w:after="0" w:line="259"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79"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71"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Three Months Ended</w:t>
      </w:r>
    </w:p>
    <w:p>
      <w:pPr>
        <w:jc w:val="center"/>
        <w:ind w:left="802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0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12,785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11,135</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26,984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79"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9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98"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5"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5" w:lineRule="exact"/>
        <w:rPr>
          <w:sz w:val="20"/>
          <w:szCs w:val="20"/>
          <w:color w:val="auto"/>
        </w:rPr>
      </w:pPr>
    </w:p>
    <w:p>
      <w:pPr>
        <w:ind w:right="860" w:firstLine="445"/>
        <w:spacing w:after="0" w:line="287"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months ended March 31, 2024 and 2023.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2024 and 2023</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42,317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3,543</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(41,886)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(3,795)</w:t>
            </w: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5" w:lineRule="exact"/>
        <w:rPr>
          <w:sz w:val="20"/>
          <w:szCs w:val="20"/>
          <w:color w:val="auto"/>
        </w:rPr>
      </w:pPr>
    </w:p>
    <w:p>
      <w:pPr>
        <w:ind w:right="180" w:firstLine="445"/>
        <w:spacing w:after="0" w:line="268" w:lineRule="auto"/>
        <w:rPr>
          <w:sz w:val="20"/>
          <w:szCs w:val="20"/>
          <w:color w:val="auto"/>
        </w:rPr>
      </w:pPr>
      <w:r>
        <w:rPr>
          <w:rFonts w:ascii="Arial" w:cs="Arial" w:eastAsia="Arial" w:hAnsi="Arial"/>
          <w:sz w:val="18"/>
          <w:szCs w:val="18"/>
          <w:color w:val="auto"/>
        </w:rPr>
        <w:t>The $ 0.3 million decrease in collaboration revenue is associated with a decrease in the revenue recorded under the Collaboration Agreement with UCB that was executed in December 2022. Changes in revenue recognized each period reflect timing of research services provided and costs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5"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$1.5 million increase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$2.8 million increase in personnel-related costs, primarily due to increased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$1.7 million increase in expense related to our Cerebrum™ platform, driven primarily by: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$5.2 million increase in spend for our ulixacaltamide program due to Essential3 study activity;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$1.6 million decrease in spend for our PRAX-628 program due to prior year clinical-related spend;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$1.0 million decrease in activities for our earlier stage assets due to prioritization of clinical-stage programs;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$0.7 million decrease in spend for our PRAX-562 program.</w:t>
      </w:r>
    </w:p>
    <w:p>
      <w:pPr>
        <w:spacing w:after="0" w:line="171" w:lineRule="exact"/>
        <w:rPr>
          <w:rFonts w:ascii="Arial" w:cs="Arial" w:eastAsia="Arial" w:hAnsi="Arial"/>
          <w:sz w:val="18"/>
          <w:szCs w:val="18"/>
          <w:color w:val="auto"/>
        </w:rPr>
      </w:pPr>
    </w:p>
    <w:p>
      <w:pPr>
        <w:ind w:left="660" w:right="11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$2.4 million decrease in expense related to our Solidus™ platform, primarily related to prior year toxicology and clinical pharmacology spend for elsunersen;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$0.6 million decrease in indirect expenses, none of which were individually significant.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 million increase in general and administrative expenses was primarily attributable to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6" w:name="page27"/>
    <w:bookmarkEnd w:id="26"/>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$2.9 million increase in personnel-related costs mainly due to increased stock-based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$0.9 million decrease in consulting expenses and professional fees.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5"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Other income for the three months ended March 31, 2024 and 2023 was comprised of interest income on our cash, cash equivalents, and marketable securities and investment premium and discount amortization.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7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March 31, 2024, we have raised $785.3 million in aggregate cash proceeds from such transactions, net of issuance costs. As of March 31, 2024, we had cash and cash equivalents and marketable securities of $243.3 million.</w:t>
      </w:r>
    </w:p>
    <w:p>
      <w:pPr>
        <w:spacing w:after="0" w:line="179"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In November 2021, we entered into an Open Market Sale Agreement, or the 2021 Sales Agreement, with Jefferies LLC, or Jefferies, to provide for the offering, issuance and sale of up to an aggregate amount of $125.0 million of common stock from time to time in at-the-market offerings for which Jefferies acted as sales agent. We terminated the 2021 Sales Agreement in June 2023.</w:t>
      </w:r>
    </w:p>
    <w:p>
      <w:pPr>
        <w:spacing w:after="0" w:line="17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On June 21,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prices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us.</w:t>
      </w:r>
    </w:p>
    <w:p>
      <w:pPr>
        <w:spacing w:after="0" w:line="182"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December 2023, we entered into an Open Market Sale Agreement, or the 2023 Sales Agreement, with Jefferies, to provide for the offering, issuance and sale of up to an aggregate amount of $ 75.0 million of common stock in at-the-market offerings. The 2023 Sales Agreement was terminated in January 2024. During the three months ended March 31, 2024, we issued and sold an aggregate of 192,190 shares under the 2023 Sales Agreement for aggregate net proceeds of $5.3 million, after deducting commissions and offering expenses payable by us.</w:t>
      </w:r>
    </w:p>
    <w:p>
      <w:pPr>
        <w:spacing w:after="0" w:line="17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January 16, 2024, we completed a public offering of: (i) an aggregate of 3,802,025 shares of our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us.</w:t>
      </w:r>
    </w:p>
    <w:p>
      <w:pPr>
        <w:spacing w:after="0" w:line="182" w:lineRule="exact"/>
        <w:rPr>
          <w:sz w:val="20"/>
          <w:szCs w:val="20"/>
          <w:color w:val="auto"/>
        </w:rPr>
      </w:pPr>
    </w:p>
    <w:p>
      <w:pPr>
        <w:ind w:right="420" w:firstLine="445"/>
        <w:spacing w:after="0" w:line="262" w:lineRule="auto"/>
        <w:rPr>
          <w:sz w:val="20"/>
          <w:szCs w:val="20"/>
          <w:color w:val="auto"/>
        </w:rPr>
      </w:pPr>
      <w:r>
        <w:rPr>
          <w:rFonts w:ascii="Arial" w:cs="Arial" w:eastAsia="Arial" w:hAnsi="Arial"/>
          <w:sz w:val="18"/>
          <w:szCs w:val="18"/>
          <w:color w:val="auto"/>
        </w:rPr>
        <w:t>In March 2024, we entered into an Open Market Sale Agreement, or the 2024 Sales Agreement, with Jefferies, to provide for the offering, issuance, and sale of up to an aggregate amount of $150.0 million of common stock in at-the-market offerings. During the three months ended March 31, 2024, we issued and sold an aggregate of 17,662 shares under the 2024 Sales Agreement for aggregate net proceeds of $0.9 million, after deducting commissions and offering expenses payable by us.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ind w:firstLine="445"/>
        <w:spacing w:after="0" w:line="257" w:lineRule="auto"/>
        <w:rPr>
          <w:sz w:val="20"/>
          <w:szCs w:val="20"/>
          <w:color w:val="auto"/>
        </w:rPr>
      </w:pPr>
      <w:r>
        <w:rPr>
          <w:rFonts w:ascii="Arial" w:cs="Arial" w:eastAsia="Arial" w:hAnsi="Arial"/>
          <w:sz w:val="18"/>
          <w:szCs w:val="18"/>
          <w:color w:val="auto"/>
        </w:rPr>
        <w:t>On April 2, 2024, we completed a public offering of: (i) an aggregate of 3,849,558 shares of our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$215.8 million, after deducting underwriting discounts, commissions and other offering expenses payable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43"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(20,857)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459"/>
              <w:spacing w:after="0"/>
              <w:rPr>
                <w:sz w:val="20"/>
                <w:szCs w:val="20"/>
                <w:color w:val="auto"/>
              </w:rPr>
            </w:pPr>
            <w:r>
              <w:rPr>
                <w:rFonts w:ascii="Arial" w:cs="Arial" w:eastAsia="Arial" w:hAnsi="Arial"/>
                <w:sz w:val="16"/>
                <w:szCs w:val="16"/>
                <w:color w:val="auto"/>
              </w:rPr>
              <w:t>(32,846)</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34,000</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18,070</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w w:val="98"/>
              </w:rPr>
              <w:t>19,224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79"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During the three months ended March 31, 2024, net cash used in operating activities of $20.9 million was primarily due to our $39.6 million net loss, partially offset by $1.5 million in changes in operating assets and liabilities primarily related to an increase in accounts payable and $17.2 million of non-cash charges primarily related to stock-based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2023, net cash used in operating activities of $32.8 million was primarily due to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$37.5 million net loss and $3.3 million in changes in operating assets and liabilities primarily related to a decrease in accrued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$7.9 million of non-cash charges primarily related to stock-based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580" w:firstLine="445"/>
        <w:spacing w:after="0" w:line="287" w:lineRule="auto"/>
        <w:rPr>
          <w:sz w:val="20"/>
          <w:szCs w:val="20"/>
          <w:color w:val="auto"/>
        </w:rPr>
      </w:pPr>
      <w:r>
        <w:rPr>
          <w:rFonts w:ascii="Arial" w:cs="Arial" w:eastAsia="Arial" w:hAnsi="Arial"/>
          <w:sz w:val="18"/>
          <w:szCs w:val="18"/>
          <w:color w:val="auto"/>
        </w:rPr>
        <w:t>During the three months ended March 31, 2024, net cash used in investing activities of $91.2 million was related to purchases of marketable securities.</w:t>
      </w:r>
    </w:p>
    <w:p>
      <w:pPr>
        <w:spacing w:after="0" w:line="153"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During the three months ended March 31, 2023, net cash provided by investing activities of $34.0 million was related to maturities of marketable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During the three months ended March 31, 2024, net cash provided by financing activities of $182.8 million consisted primarily of net proceeds from our January 2024 follow-on public offering, our at-the-market offerings and our collaboration and license agreement with Tenacia.</w:t>
      </w:r>
    </w:p>
    <w:p>
      <w:pPr>
        <w:spacing w:after="0" w:line="171"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During the three months ended March 31, 2023, net cash provided by financing activities of $18.1 million consisted of net proceeds from at-the-market offerings.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jc w:val="both"/>
        <w:ind w:right="140" w:firstLine="445"/>
        <w:spacing w:after="0" w:line="268"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98"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16"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53" w:lineRule="exact"/>
        <w:rPr>
          <w:sz w:val="20"/>
          <w:szCs w:val="20"/>
          <w:color w:val="auto"/>
        </w:rPr>
      </w:pPr>
    </w:p>
    <w:p>
      <w:pPr>
        <w:jc w:val="both"/>
        <w:ind w:right="120" w:firstLine="445"/>
        <w:spacing w:after="0" w:line="262"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March 31, 2024, together with proceeds from our April 2024 public offering, will be sufficient to fund our operating expenses and capital expenditure requirements into 2027. However, we have based this estimate on assumptions that may prove to be wrong and we could exhaust our capital resources sooner than we expect.</w:t>
      </w:r>
    </w:p>
    <w:p>
      <w:pPr>
        <w:spacing w:after="0" w:line="176"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22"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820" w:right="20" w:hanging="326"/>
        <w:spacing w:after="0" w:line="28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98" w:lineRule="exact"/>
        <w:rPr>
          <w:rFonts w:ascii="Arial" w:cs="Arial" w:eastAsia="Arial" w:hAnsi="Arial"/>
          <w:sz w:val="18"/>
          <w:szCs w:val="18"/>
          <w:color w:val="auto"/>
        </w:rPr>
      </w:pPr>
    </w:p>
    <w:p>
      <w:pPr>
        <w:ind w:left="820" w:right="40" w:hanging="326"/>
        <w:spacing w:after="0" w:line="28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98" w:lineRule="exact"/>
        <w:rPr>
          <w:rFonts w:ascii="Arial" w:cs="Arial" w:eastAsia="Arial" w:hAnsi="Arial"/>
          <w:sz w:val="18"/>
          <w:szCs w:val="18"/>
          <w:color w:val="auto"/>
        </w:rPr>
      </w:pPr>
    </w:p>
    <w:p>
      <w:pPr>
        <w:ind w:left="820" w:right="80" w:hanging="326"/>
        <w:spacing w:after="0" w:line="28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98"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9" w:name="page30"/>
    <w:bookmarkEnd w:id="29"/>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820" w:right="60" w:hanging="326"/>
        <w:spacing w:after="0" w:line="268"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7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5, 2024, other than as disclosed in Note 2 to our condensed consolidated financial statements appearing elsewhere in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firstLine="445"/>
        <w:spacing w:after="0" w:line="278" w:lineRule="auto"/>
        <w:rPr>
          <w:sz w:val="20"/>
          <w:szCs w:val="20"/>
          <w:color w:val="auto"/>
        </w:rPr>
      </w:pPr>
      <w:r>
        <w:rPr>
          <w:rFonts w:ascii="Arial" w:cs="Arial" w:eastAsia="Arial" w:hAnsi="Arial"/>
          <w:sz w:val="17"/>
          <w:szCs w:val="17"/>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low risk profile of the instruments in our portfolio at any given time, an immediate change in market interest rates of 100 basis points would not have a material impact on our financial position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5" w:lineRule="exact"/>
        <w:rPr>
          <w:sz w:val="20"/>
          <w:szCs w:val="20"/>
          <w:color w:val="auto"/>
        </w:rPr>
      </w:pPr>
    </w:p>
    <w:p>
      <w:pPr>
        <w:ind w:right="220" w:firstLine="445"/>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2024. 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0" w:firstLine="445"/>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Annual Report on Form 10-K for the year ended December 31, 2023 filed with the SEC on March 5,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5"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Other than as previously disclosed on our Current Report on Form 8-K filed with the SEC on January 10, 2024, we did not make any sales of unregistered securities during the three months ended March 31,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820" w:right="5280" w:hanging="407"/>
        <w:spacing w:after="0" w:line="375" w:lineRule="auto"/>
        <w:tabs>
          <w:tab w:leader="none" w:pos="8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spacing w:after="0" w:line="1" w:lineRule="exact"/>
        <w:rPr>
          <w:rFonts w:ascii="Arial" w:cs="Arial" w:eastAsia="Arial" w:hAnsi="Arial"/>
          <w:sz w:val="18"/>
          <w:szCs w:val="18"/>
          <w:color w:val="auto"/>
        </w:rPr>
      </w:pPr>
    </w:p>
    <w:p>
      <w:pPr>
        <w:ind w:left="820" w:right="1240" w:hanging="407"/>
        <w:spacing w:after="0" w:line="375" w:lineRule="auto"/>
        <w:tabs>
          <w:tab w:leader="none" w:pos="8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 None.</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17" w:lineRule="exact"/>
        <w:rPr>
          <w:rFonts w:ascii="Arial" w:cs="Arial" w:eastAsia="Arial" w:hAnsi="Arial"/>
          <w:sz w:val="18"/>
          <w:szCs w:val="18"/>
          <w:color w:val="auto"/>
        </w:rPr>
      </w:pPr>
    </w:p>
    <w:p>
      <w:pPr>
        <w:ind w:left="820" w:right="540"/>
        <w:spacing w:after="0" w:line="287" w:lineRule="auto"/>
        <w:rPr>
          <w:rFonts w:ascii="Arial" w:cs="Arial" w:eastAsia="Arial" w:hAnsi="Arial"/>
          <w:sz w:val="18"/>
          <w:szCs w:val="18"/>
          <w:color w:val="auto"/>
        </w:rPr>
      </w:pPr>
      <w:r>
        <w:rPr>
          <w:rFonts w:ascii="Arial" w:cs="Arial" w:eastAsia="Arial" w:hAnsi="Arial"/>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2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80" w:type="dxa"/>
            <w:vAlign w:val="bottom"/>
            <w:gridSpan w:val="17"/>
            <w:vMerge w:val="restart"/>
          </w:tcPr>
          <w:p>
            <w:pPr>
              <w:ind w:left="17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380" w:type="dxa"/>
            <w:vAlign w:val="bottom"/>
            <w:gridSpan w:val="1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60" w:type="dxa"/>
            <w:vAlign w:val="bottom"/>
            <w:tcBorders>
              <w:top w:val="single" w:sz="8" w:color="auto"/>
            </w:tcBorders>
            <w:gridSpan w:val="19"/>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r>
              <w:rPr>
                <w:rFonts w:ascii="Arial" w:cs="Arial" w:eastAsia="Arial" w:hAnsi="Arial"/>
                <w:sz w:val="18"/>
                <w:szCs w:val="18"/>
                <w:color w:val="0000FF"/>
              </w:rPr>
              <w:t>4.</w:t>
            </w:r>
            <w:hyperlink r:id="rId58">
              <w:r>
                <w:rPr>
                  <w:rFonts w:ascii="Arial" w:cs="Arial" w:eastAsia="Arial" w:hAnsi="Arial"/>
                  <w:sz w:val="18"/>
                  <w:szCs w:val="18"/>
                  <w:u w:val="single" w:color="auto"/>
                  <w:color w:val="0000FF"/>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on Form 8-K (File No. 001-39620) filed on January 12,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r>
              <w:rPr>
                <w:rFonts w:ascii="Arial" w:cs="Arial" w:eastAsia="Arial" w:hAnsi="Arial"/>
                <w:sz w:val="18"/>
                <w:szCs w:val="18"/>
                <w:color w:val="0000FF"/>
              </w:rPr>
              <w:t>4.</w:t>
            </w:r>
            <w:hyperlink r:id="rId59">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9"/>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on Form 8-K (File No. 001-39620) filed on March 29, 2024</w:t>
              </w:r>
            </w:hyperlink>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tcBorders>
              <w:bottom w:val="single" w:sz="8" w:color="0000FF"/>
            </w:tcBorders>
            <w:gridSpan w:val="2"/>
          </w:tcPr>
          <w:p>
            <w:pPr>
              <w:spacing w:after="0"/>
              <w:rPr>
                <w:rFonts w:ascii="Arial" w:cs="Arial" w:eastAsia="Arial" w:hAnsi="Arial"/>
                <w:sz w:val="18"/>
                <w:szCs w:val="18"/>
                <w:color w:val="0000FF"/>
                <w:w w:val="96"/>
              </w:rPr>
            </w:pPr>
            <w:r>
              <w:rPr>
                <w:rFonts w:ascii="Arial" w:cs="Arial" w:eastAsia="Arial" w:hAnsi="Arial"/>
                <w:sz w:val="18"/>
                <w:szCs w:val="18"/>
                <w:color w:val="0000FF"/>
                <w:w w:val="96"/>
              </w:rPr>
              <w:t>10.</w:t>
            </w:r>
            <w:hyperlink r:id="rId60">
              <w:r>
                <w:rPr>
                  <w:rFonts w:ascii="Arial" w:cs="Arial" w:eastAsia="Arial" w:hAnsi="Arial"/>
                  <w:sz w:val="18"/>
                  <w:szCs w:val="18"/>
                  <w:u w:val="single" w:color="auto"/>
                  <w:color w:val="0000FF"/>
                  <w:w w:val="96"/>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0" w:type="dxa"/>
            <w:vAlign w:val="bottom"/>
            <w:tcBorders>
              <w:bottom w:val="single" w:sz="8" w:color="0000FF"/>
            </w:tcBorders>
            <w:gridSpan w:val="11"/>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Praxis Precision Medicines, Inc. 2024 Inducement Plan and Forms of Award Agreements thereunder</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60" w:type="dxa"/>
            <w:vAlign w:val="bottom"/>
            <w:gridSpan w:val="19"/>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(incorporated by reference to the Registrant's Registration Statement on Form S-8 (File No. 333-276786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filed on January 31, 2024)</w:t>
              </w:r>
            </w:hyperlink>
          </w:p>
        </w:tc>
        <w:tc>
          <w:tcPr>
            <w:tcW w:w="6200" w:type="dxa"/>
            <w:vAlign w:val="bottom"/>
            <w:tcBorders>
              <w:top w:val="single" w:sz="8" w:color="0000FF"/>
            </w:tcBorders>
            <w:gridSpan w:val="14"/>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8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6"/>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20" w:type="dxa"/>
            <w:vAlign w:val="bottom"/>
          </w:tcPr>
          <w:p>
            <w:pPr>
              <w:spacing w:after="0"/>
              <w:rPr>
                <w:sz w:val="24"/>
                <w:szCs w:val="24"/>
                <w:color w:val="auto"/>
              </w:rPr>
            </w:pPr>
          </w:p>
        </w:tc>
        <w:tc>
          <w:tcPr>
            <w:tcW w:w="75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101.INS*</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101.SCH*</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101.CAL*</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101.DEF*</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101.LAB*</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101.PRE*</w:t>
            </w:r>
          </w:p>
        </w:tc>
        <w:tc>
          <w:tcPr>
            <w:tcW w:w="846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3600" w:firstLine="26"/>
        <w:spacing w:after="0" w:line="307"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ind w:left="340" w:hanging="332"/>
        <w:spacing w:after="0" w:line="255" w:lineRule="auto"/>
        <w:tabs>
          <w:tab w:leader="none" w:pos="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6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13,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88"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13,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97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890"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31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4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4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Praxis Precision Medicines,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4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30"/>
        </w:trPr>
        <w:tc>
          <w:tcPr>
            <w:tcW w:w="40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4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6" w:name="page37"/>
    <w:bookmarkEnd w:id="3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Praxis Precision Medicines, Inc. (the “Company”) for the quarter ended March 31, 2024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95" w:lineRule="exact"/>
        <w:rPr>
          <w:sz w:val="20"/>
          <w:szCs w:val="20"/>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13, 2024</w:t>
            </w:r>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MARCIO SOUZA</w:t>
            </w:r>
          </w:p>
        </w:tc>
      </w:tr>
      <w:tr>
        <w:trPr>
          <w:trHeight w:val="218"/>
        </w:trPr>
        <w:tc>
          <w:tcPr>
            <w:tcW w:w="5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Marcio Souza</w:t>
            </w:r>
          </w:p>
        </w:tc>
      </w:tr>
      <w:tr>
        <w:trPr>
          <w:trHeight w:val="230"/>
        </w:trPr>
        <w:tc>
          <w:tcPr>
            <w:tcW w:w="5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13, 2024</w:t>
            </w:r>
          </w:p>
        </w:tc>
        <w:tc>
          <w:tcPr>
            <w:tcW w:w="31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KELLY</w:t>
            </w:r>
          </w:p>
        </w:tc>
      </w:tr>
      <w:tr>
        <w:trPr>
          <w:trHeight w:val="218"/>
        </w:trPr>
        <w:tc>
          <w:tcPr>
            <w:tcW w:w="5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Kelly</w:t>
            </w:r>
          </w:p>
        </w:tc>
      </w:tr>
      <w:tr>
        <w:trPr>
          <w:trHeight w:val="229"/>
        </w:trPr>
        <w:tc>
          <w:tcPr>
            <w:tcW w:w="5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5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1"/>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lvl w:ilvl="1">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56" Type="http://schemas.openxmlformats.org/officeDocument/2006/relationships/hyperlink" Target="https://www.sec.gov/Archives/edgar/data/1689548/000119312520272877/d94620dex31.htm" TargetMode="External"/><Relationship Id="rId57" Type="http://schemas.openxmlformats.org/officeDocument/2006/relationships/hyperlink" Target="https://www.sec.gov/Archives/edgar/data/1689548/000110465922002260/tm222120d1_ex3-1.htm" TargetMode="External"/><Relationship Id="rId58" Type="http://schemas.openxmlformats.org/officeDocument/2006/relationships/hyperlink" Target="https://www.sec.gov/ix?doc=/Archives/edgar/data/0001689548/000110465924003764/tm243213d1_8k.htm" TargetMode="External"/><Relationship Id="rId59" Type="http://schemas.openxmlformats.org/officeDocument/2006/relationships/hyperlink" Target="https://www.sec.gov/ix?doc=/Archives/edgar/data/0001689548/000110465924041158/tm247764d6_8k.htm" TargetMode="External"/><Relationship Id="rId60" Type="http://schemas.openxmlformats.org/officeDocument/2006/relationships/hyperlink" Target="https://www.sec.gov/ix?doc=/Archives/edgar/data/0001689548/000168954824000034/pra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2024-05-13T07:28:36Z</dcterms:created>
  <dcterms:modified xsi:type="dcterms:W3CDTF">2024-05-13T07:28:36Z</dcterms:modified>
</cp:coreProperties>
</file>