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79375</wp:posOffset>
            </wp:positionV>
            <wp:extent cx="6000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139700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60" w:hanging="434"/>
        <w:spacing w:after="0" w:line="220" w:lineRule="auto"/>
        <w:tabs>
          <w:tab w:leader="none" w:pos="46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290"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14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97155</wp:posOffset>
            </wp:positionV>
            <wp:extent cx="600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109220</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9"/>
                <w:szCs w:val="19"/>
                <w:color w:val="auto"/>
              </w:rPr>
            </w:pPr>
          </w:p>
        </w:tc>
        <w:tc>
          <w:tcPr>
            <w:tcW w:w="5120" w:type="dxa"/>
            <w:vAlign w:val="bottom"/>
            <w:gridSpan w:val="3"/>
          </w:tcPr>
          <w:p>
            <w:pPr>
              <w:jc w:val="right"/>
              <w:ind w:right="220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35"/>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20"/>
                <w:szCs w:val="20"/>
                <w:color w:val="auto"/>
              </w:rPr>
            </w:pPr>
          </w:p>
        </w:tc>
        <w:tc>
          <w:tcPr>
            <w:tcW w:w="5120" w:type="dxa"/>
            <w:vAlign w:val="bottom"/>
            <w:gridSpan w:val="3"/>
          </w:tcPr>
          <w:p>
            <w:pPr>
              <w:jc w:val="center"/>
              <w:ind w:right="22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08"/>
        </w:trPr>
        <w:tc>
          <w:tcPr>
            <w:tcW w:w="5160" w:type="dxa"/>
            <w:vAlign w:val="bottom"/>
            <w:gridSpan w:val="3"/>
          </w:tcPr>
          <w:p>
            <w:pPr>
              <w:jc w:val="center"/>
              <w:ind w:left="240"/>
              <w:spacing w:after="0"/>
              <w:rPr>
                <w:sz w:val="20"/>
                <w:szCs w:val="20"/>
                <w:color w:val="auto"/>
              </w:rPr>
            </w:pPr>
            <w:r>
              <w:rPr>
                <w:rFonts w:ascii="Arial" w:cs="Arial" w:eastAsia="Arial" w:hAnsi="Arial"/>
                <w:sz w:val="16"/>
                <w:szCs w:val="16"/>
                <w:b w:val="1"/>
                <w:bCs w:val="1"/>
                <w:color w:val="auto"/>
              </w:rPr>
              <w:t>99 High Street, 30th Floor</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Boston, MA</w:t>
            </w:r>
          </w:p>
        </w:tc>
        <w:tc>
          <w:tcPr>
            <w:tcW w:w="940" w:type="dxa"/>
            <w:vAlign w:val="bottom"/>
          </w:tcPr>
          <w:p>
            <w:pPr>
              <w:spacing w:after="0"/>
              <w:rPr>
                <w:sz w:val="19"/>
                <w:szCs w:val="19"/>
                <w:color w:val="auto"/>
              </w:rPr>
            </w:pPr>
          </w:p>
        </w:tc>
        <w:tc>
          <w:tcPr>
            <w:tcW w:w="5120" w:type="dxa"/>
            <w:vAlign w:val="bottom"/>
            <w:gridSpan w:val="3"/>
          </w:tcPr>
          <w:p>
            <w:pPr>
              <w:jc w:val="right"/>
              <w:ind w:right="2406"/>
              <w:spacing w:after="0"/>
              <w:rPr>
                <w:sz w:val="20"/>
                <w:szCs w:val="20"/>
                <w:color w:val="auto"/>
              </w:rPr>
            </w:pPr>
            <w:r>
              <w:rPr>
                <w:rFonts w:ascii="Arial" w:cs="Arial" w:eastAsia="Arial" w:hAnsi="Arial"/>
                <w:sz w:val="16"/>
                <w:szCs w:val="16"/>
                <w:b w:val="1"/>
                <w:bCs w:val="1"/>
                <w:color w:val="auto"/>
              </w:rPr>
              <w:t>02110</w:t>
            </w:r>
          </w:p>
        </w:tc>
        <w:tc>
          <w:tcPr>
            <w:tcW w:w="0" w:type="dxa"/>
            <w:vAlign w:val="bottom"/>
          </w:tcPr>
          <w:p>
            <w:pPr>
              <w:spacing w:after="0"/>
              <w:rPr>
                <w:sz w:val="1"/>
                <w:szCs w:val="1"/>
                <w:color w:val="auto"/>
              </w:rPr>
            </w:pPr>
          </w:p>
        </w:tc>
      </w:tr>
      <w:tr>
        <w:trPr>
          <w:trHeight w:val="200"/>
        </w:trPr>
        <w:tc>
          <w:tcPr>
            <w:tcW w:w="516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66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33"/>
        </w:trPr>
        <w:tc>
          <w:tcPr>
            <w:tcW w:w="11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96"/>
        </w:trPr>
        <w:tc>
          <w:tcPr>
            <w:tcW w:w="3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1122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58"/>
        </w:trPr>
        <w:tc>
          <w:tcPr>
            <w:tcW w:w="5160" w:type="dxa"/>
            <w:vAlign w:val="bottom"/>
            <w:gridSpan w:val="3"/>
            <w:vMerge w:val="restart"/>
          </w:tcPr>
          <w:p>
            <w:pPr>
              <w:jc w:val="center"/>
              <w:ind w:right="148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5160" w:type="dxa"/>
            <w:vAlign w:val="bottom"/>
            <w:gridSpan w:val="3"/>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Symbol(s)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2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PRAX</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46"/>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ind w:right="20" w:firstLine="446"/>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05" w:lineRule="exact"/>
        <w:rPr>
          <w:sz w:val="24"/>
          <w:szCs w:val="24"/>
          <w:color w:val="auto"/>
        </w:rPr>
      </w:pPr>
    </w:p>
    <w:p>
      <w:pPr>
        <w:ind w:right="120" w:firstLine="446"/>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right="200" w:firstLine="446"/>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0" w:lineRule="exact"/>
        <w:rPr>
          <w:sz w:val="24"/>
          <w:szCs w:val="24"/>
          <w:color w:val="auto"/>
        </w:rPr>
      </w:pPr>
    </w:p>
    <w:p>
      <w:pPr>
        <w:ind w:left="460" w:right="146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4, 2023, the registrant had 128,540,223,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82" w:right="35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38"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0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19" w:lineRule="exact"/>
        <w:rPr>
          <w:rFonts w:ascii="Arial" w:cs="Arial" w:eastAsia="Arial" w:hAnsi="Arial"/>
          <w:sz w:val="18"/>
          <w:szCs w:val="18"/>
          <w:color w:val="auto"/>
        </w:rPr>
      </w:pPr>
    </w:p>
    <w:p>
      <w:pPr>
        <w:ind w:left="980" w:right="28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2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7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5"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sections titled "Risk Factors" in our Annual Report on Form 10-K for the year ended December 31, 2022, our Quarterly Report on Form 10-Q for the quarter ended March 31, 2023 and this Quarterly Report on Form 10-Q for the quarter ended June 30, 2023. If one or more of these risks or uncertainties occur, or if our underlying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ind w:right="20"/>
        <w:spacing w:after="0" w:line="256" w:lineRule="auto"/>
        <w:rPr>
          <w:sz w:val="20"/>
          <w:szCs w:val="20"/>
          <w:color w:val="auto"/>
        </w:rPr>
      </w:pPr>
      <w:r>
        <w:rPr>
          <w:rFonts w:ascii="Arial" w:cs="Arial" w:eastAsia="Arial" w:hAnsi="Arial"/>
          <w:sz w:val="18"/>
          <w:szCs w:val="18"/>
          <w:color w:val="auto"/>
        </w:rPr>
        <w:t>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92"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192"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sections titled “Risk Factors” in our Annual Report on Form 10-K for the year ended December 31, 2022, our Quarterly Report on Form 10-Q for the quarter ended March 31, 2023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222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7"/>
              </w:rPr>
              <w:t>FINANCIAL INFORMATION</w:t>
            </w:r>
          </w:p>
        </w:tc>
        <w:tc>
          <w:tcPr>
            <w:tcW w:w="6320" w:type="dxa"/>
            <w:vAlign w:val="bottom"/>
            <w:gridSpan w:val="11"/>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0"/>
              <w:spacing w:after="0"/>
              <w:rPr>
                <w:sz w:val="20"/>
                <w:szCs w:val="20"/>
                <w:color w:val="auto"/>
              </w:rPr>
            </w:pPr>
            <w:r>
              <w:rPr>
                <w:rFonts w:ascii="Arial" w:cs="Arial" w:eastAsia="Arial" w:hAnsi="Arial"/>
                <w:sz w:val="18"/>
                <w:szCs w:val="18"/>
                <w:color w:val="auto"/>
              </w:rPr>
              <w:t>Item 1.</w:t>
            </w:r>
          </w:p>
        </w:tc>
        <w:tc>
          <w:tcPr>
            <w:tcW w:w="854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69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Balance Sheets as of June 30, 2023 and December 31, 2022</w:t>
            </w:r>
          </w:p>
        </w:tc>
        <w:tc>
          <w:tcPr>
            <w:tcW w:w="1600" w:type="dxa"/>
            <w:vAlign w:val="bottom"/>
            <w:gridSpan w:val="6"/>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85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2023</w:t>
            </w: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824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color w:val="0000FF"/>
              </w:rPr>
              <w:t>and 2022</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Comprehensive Loss for the Three and Six Months Ended June</w:t>
            </w:r>
          </w:p>
        </w:tc>
        <w:tc>
          <w:tcPr>
            <w:tcW w:w="1340" w:type="dxa"/>
            <w:vAlign w:val="bottom"/>
            <w:gridSpan w:val="2"/>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150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8"/>
              </w:rPr>
              <w:t>30, 2023 and 2022</w:t>
            </w:r>
          </w:p>
        </w:tc>
        <w:tc>
          <w:tcPr>
            <w:tcW w:w="6780" w:type="dxa"/>
            <w:vAlign w:val="bottom"/>
            <w:tcBorders>
              <w:top w:val="single" w:sz="8" w:color="0000FF"/>
            </w:tcBorders>
            <w:gridSpan w:val="13"/>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Stockholders’ Equity for the Three and Six Months Ended June</w:t>
            </w:r>
          </w:p>
        </w:tc>
        <w:tc>
          <w:tcPr>
            <w:tcW w:w="1340" w:type="dxa"/>
            <w:vAlign w:val="bottom"/>
            <w:gridSpan w:val="2"/>
            <w:vMerge w:val="restart"/>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8"/>
              </w:rPr>
              <w:t>30, 2023 and 2022</w:t>
            </w:r>
          </w:p>
        </w:tc>
        <w:tc>
          <w:tcPr>
            <w:tcW w:w="6720" w:type="dxa"/>
            <w:vAlign w:val="bottom"/>
            <w:tcBorders>
              <w:top w:val="single" w:sz="8" w:color="0000FF"/>
            </w:tcBorders>
            <w:gridSpan w:val="11"/>
          </w:tcPr>
          <w:p>
            <w:pPr>
              <w:spacing w:after="0"/>
              <w:rPr>
                <w:sz w:val="13"/>
                <w:szCs w:val="13"/>
                <w:color w:val="auto"/>
              </w:rPr>
            </w:pPr>
          </w:p>
        </w:tc>
        <w:tc>
          <w:tcPr>
            <w:tcW w:w="320" w:type="dxa"/>
            <w:vAlign w:val="bottom"/>
            <w:gridSpan w:val="3"/>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82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Condensed Consolidated Statements of Cash Flows for the Six Months Ended June 30, 2023 and 2022</w:t>
            </w:r>
          </w:p>
        </w:tc>
        <w:tc>
          <w:tcPr>
            <w:tcW w:w="300" w:type="dxa"/>
            <w:vAlign w:val="bottom"/>
            <w:gridSpan w:val="2"/>
          </w:tcPr>
          <w:p>
            <w:pPr>
              <w:spacing w:after="0"/>
              <w:rPr>
                <w:sz w:val="19"/>
                <w:szCs w:val="19"/>
                <w:color w:val="auto"/>
              </w:rPr>
            </w:pPr>
          </w:p>
        </w:tc>
        <w:tc>
          <w:tcPr>
            <w:tcW w:w="13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ind w:left="20"/>
              <w:spacing w:after="0"/>
              <w:rPr>
                <w:sz w:val="20"/>
                <w:szCs w:val="20"/>
                <w:color w:val="auto"/>
              </w:rPr>
            </w:pPr>
            <w:r>
              <w:rPr>
                <w:rFonts w:ascii="Arial" w:cs="Arial" w:eastAsia="Arial" w:hAnsi="Arial"/>
                <w:sz w:val="18"/>
                <w:szCs w:val="18"/>
                <w:color w:val="auto"/>
              </w:rPr>
              <w:t>Item 2.</w:t>
            </w:r>
          </w:p>
        </w:tc>
        <w:tc>
          <w:tcPr>
            <w:tcW w:w="70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80" w:type="dxa"/>
            <w:vAlign w:val="bottom"/>
            <w:gridSpan w:val="5"/>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3840" w:type="dxa"/>
            <w:vAlign w:val="bottom"/>
            <w:gridSpan w:val="7"/>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8"/>
                <w:szCs w:val="18"/>
                <w:color w:val="auto"/>
              </w:rPr>
              <w:t>Item 4.</w:t>
            </w:r>
          </w:p>
        </w:tc>
        <w:tc>
          <w:tcPr>
            <w:tcW w:w="854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7"/>
              </w:rPr>
              <w:t>OTHER INFORMATION</w:t>
            </w:r>
          </w:p>
        </w:tc>
        <w:tc>
          <w:tcPr>
            <w:tcW w:w="60" w:type="dxa"/>
            <w:vAlign w:val="bottom"/>
            <w:tcBorders>
              <w:top w:val="single" w:sz="8" w:color="0000FF"/>
            </w:tcBorders>
          </w:tcPr>
          <w:p>
            <w:pPr>
              <w:spacing w:after="0"/>
              <w:rPr>
                <w:sz w:val="18"/>
                <w:szCs w:val="18"/>
                <w:color w:val="auto"/>
              </w:rPr>
            </w:pPr>
          </w:p>
        </w:tc>
        <w:tc>
          <w:tcPr>
            <w:tcW w:w="6560" w:type="dxa"/>
            <w:vAlign w:val="bottom"/>
            <w:gridSpan w:val="1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Item 1.</w:t>
            </w:r>
          </w:p>
        </w:tc>
        <w:tc>
          <w:tcPr>
            <w:tcW w:w="854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7060" w:type="dxa"/>
            <w:vAlign w:val="bottom"/>
            <w:gridSpan w:val="15"/>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20" w:type="dxa"/>
            <w:vAlign w:val="bottom"/>
          </w:tcPr>
          <w:p>
            <w:pPr>
              <w:ind w:left="20"/>
              <w:spacing w:after="0"/>
              <w:rPr>
                <w:sz w:val="20"/>
                <w:szCs w:val="20"/>
                <w:color w:val="auto"/>
              </w:rPr>
            </w:pPr>
            <w:r>
              <w:rPr>
                <w:rFonts w:ascii="Arial" w:cs="Arial" w:eastAsia="Arial" w:hAnsi="Arial"/>
                <w:sz w:val="18"/>
                <w:szCs w:val="18"/>
                <w:color w:val="auto"/>
              </w:rPr>
              <w:t>Item 2.</w:t>
            </w:r>
          </w:p>
        </w:tc>
        <w:tc>
          <w:tcPr>
            <w:tcW w:w="79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Use of Proceeds, and Issuer Purchases of Equity Securities</w:t>
            </w:r>
          </w:p>
        </w:tc>
        <w:tc>
          <w:tcPr>
            <w:tcW w:w="560" w:type="dxa"/>
            <w:vAlign w:val="bottom"/>
            <w:gridSpan w:val="4"/>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Item 3.</w:t>
            </w:r>
          </w:p>
        </w:tc>
        <w:tc>
          <w:tcPr>
            <w:tcW w:w="8540" w:type="dxa"/>
            <w:vAlign w:val="bottom"/>
            <w:gridSpan w:val="21"/>
          </w:tcPr>
          <w:p>
            <w:pPr>
              <w:spacing w:after="0"/>
              <w:rPr>
                <w:sz w:val="20"/>
                <w:szCs w:val="20"/>
                <w:color w:val="auto"/>
              </w:rPr>
            </w:pPr>
            <w:r>
              <w:rPr>
                <w:rFonts w:ascii="Arial" w:cs="Arial" w:eastAsia="Arial" w:hAnsi="Arial"/>
                <w:sz w:val="18"/>
                <w:szCs w:val="18"/>
                <w:color w:val="0000FF"/>
              </w:rPr>
              <w:t>Defaults Upon Senior Securities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Mine Safety Disclosures</w:t>
            </w:r>
          </w:p>
        </w:tc>
        <w:tc>
          <w:tcPr>
            <w:tcW w:w="6000" w:type="dxa"/>
            <w:vAlign w:val="bottom"/>
            <w:gridSpan w:val="10"/>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18"/>
                <w:szCs w:val="18"/>
                <w:color w:val="auto"/>
              </w:rPr>
            </w:pPr>
          </w:p>
        </w:tc>
        <w:tc>
          <w:tcPr>
            <w:tcW w:w="6620" w:type="dxa"/>
            <w:vAlign w:val="bottom"/>
            <w:gridSpan w:val="13"/>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Item 6.</w:t>
            </w:r>
          </w:p>
        </w:tc>
        <w:tc>
          <w:tcPr>
            <w:tcW w:w="8540" w:type="dxa"/>
            <w:vAlign w:val="bottom"/>
            <w:gridSpan w:val="21"/>
          </w:tcPr>
          <w:p>
            <w:pPr>
              <w:spacing w:after="0"/>
              <w:rPr>
                <w:sz w:val="20"/>
                <w:szCs w:val="20"/>
                <w:color w:val="auto"/>
              </w:rPr>
            </w:pPr>
            <w:r>
              <w:rPr>
                <w:rFonts w:ascii="Arial" w:cs="Arial" w:eastAsia="Arial" w:hAnsi="Arial"/>
                <w:sz w:val="18"/>
                <w:szCs w:val="18"/>
                <w:color w:val="0000FF"/>
              </w:rPr>
              <w:t>Exhibits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80" w:type="dxa"/>
            <w:vAlign w:val="bottom"/>
            <w:gridSpan w:val="18"/>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20" w:type="dxa"/>
            <w:vAlign w:val="bottom"/>
          </w:tcPr>
          <w:p>
            <w:pPr>
              <w:spacing w:after="0"/>
              <w:rPr>
                <w:sz w:val="18"/>
                <w:szCs w:val="18"/>
                <w:color w:val="auto"/>
              </w:rPr>
            </w:pPr>
          </w:p>
        </w:tc>
        <w:tc>
          <w:tcPr>
            <w:tcW w:w="854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440" w:type="dxa"/>
            <w:vAlign w:val="bottom"/>
            <w:gridSpan w:val="3"/>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0"/>
        </w:trPr>
        <w:tc>
          <w:tcPr>
            <w:tcW w:w="12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124,300</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61,615</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38,874</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10,351</w:t>
            </w:r>
          </w:p>
        </w:tc>
        <w:tc>
          <w:tcPr>
            <w:tcW w:w="0" w:type="dxa"/>
            <w:vAlign w:val="bottom"/>
          </w:tcPr>
          <w:p>
            <w:pPr>
              <w:spacing w:after="0"/>
              <w:rPr>
                <w:sz w:val="1"/>
                <w:szCs w:val="1"/>
                <w:color w:val="auto"/>
              </w:rPr>
            </w:pPr>
          </w:p>
        </w:tc>
      </w:tr>
      <w:tr>
        <w:trPr>
          <w:trHeight w:val="207"/>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129,829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110,840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1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133,498</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8,010</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14,672</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13,317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Current portion of deferred revenue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0" w:type="dxa"/>
            <w:vAlign w:val="bottom"/>
          </w:tcPr>
          <w:p>
            <w:pPr>
              <w:spacing w:after="0"/>
              <w:rPr>
                <w:sz w:val="1"/>
                <w:szCs w:val="1"/>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Non-current portion of deferred revenue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39,022</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60" w:type="dxa"/>
            <w:vAlign w:val="bottom"/>
          </w:tcPr>
          <w:p>
            <w:pPr>
              <w:ind w:left="240"/>
              <w:spacing w:after="0" w:line="165"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40"/>
              <w:spacing w:after="0"/>
              <w:rPr>
                <w:sz w:val="20"/>
                <w:szCs w:val="20"/>
                <w:color w:val="auto"/>
              </w:rPr>
            </w:pPr>
            <w:r>
              <w:rPr>
                <w:rFonts w:ascii="Arial" w:cs="Arial" w:eastAsia="Arial" w:hAnsi="Arial"/>
                <w:sz w:val="16"/>
                <w:szCs w:val="16"/>
                <w:color w:val="auto"/>
              </w:rPr>
              <w:t>June 30, 2023 and December 31, 2022</w:t>
            </w: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806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Common stock, $0.0001 par value; 150,000,000 shares authorized; 128,540,223 shares issued and</w:t>
            </w: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June 30, 2023, and 49,382,453 shares issued and outstanding as of December 31, 2022</w:t>
            </w: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708,023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606,918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806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(602,411)</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(530,644)</w:t>
            </w: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105,625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76,106</w:t>
            </w:r>
          </w:p>
        </w:tc>
        <w:tc>
          <w:tcPr>
            <w:tcW w:w="0" w:type="dxa"/>
            <w:vAlign w:val="bottom"/>
          </w:tcPr>
          <w:p>
            <w:pPr>
              <w:spacing w:after="0"/>
              <w:rPr>
                <w:sz w:val="1"/>
                <w:szCs w:val="1"/>
                <w:color w:val="auto"/>
              </w:rPr>
            </w:pP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133,498</w:t>
            </w:r>
          </w:p>
        </w:tc>
        <w:tc>
          <w:tcPr>
            <w:tcW w:w="5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115,128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96,272</w:t>
            </w: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10,127</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32,971</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129,243</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(34,960)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(60,394)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(129,243)</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(34,312)</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(60,194)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(71,767)</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(128,911)</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4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Net loss per share attributable to common stockholders, basic and</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5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5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0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340" w:type="dxa"/>
            <w:vAlign w:val="bottom"/>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69,740,719</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45,542,600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61,467,774</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45,499,131</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1"/>
        </w:trPr>
        <w:tc>
          <w:tcPr>
            <w:tcW w:w="8000" w:type="dxa"/>
            <w:vAlign w:val="bottom"/>
            <w:gridSpan w:val="6"/>
          </w:tcPr>
          <w:p>
            <w:pPr>
              <w:jc w:val="center"/>
              <w:ind w:left="3175"/>
              <w:spacing w:after="0"/>
              <w:rPr>
                <w:sz w:val="20"/>
                <w:szCs w:val="20"/>
                <w:color w:val="auto"/>
              </w:rPr>
            </w:pPr>
            <w:r>
              <w:rPr>
                <w:rFonts w:ascii="Arial" w:cs="Arial" w:eastAsia="Arial" w:hAnsi="Arial"/>
                <w:sz w:val="18"/>
                <w:szCs w:val="18"/>
                <w:b w:val="1"/>
                <w:bCs w:val="1"/>
                <w:color w:val="auto"/>
                <w:w w:val="99"/>
              </w:rPr>
              <w:t>PRAXIS PRECISION MEDICINES, INC.</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324"/>
        </w:trPr>
        <w:tc>
          <w:tcPr>
            <w:tcW w:w="9620" w:type="dxa"/>
            <w:vAlign w:val="bottom"/>
            <w:gridSpan w:val="9"/>
          </w:tcPr>
          <w:p>
            <w:pPr>
              <w:jc w:val="center"/>
              <w:ind w:left="1555"/>
              <w:spacing w:after="0"/>
              <w:rPr>
                <w:sz w:val="20"/>
                <w:szCs w:val="20"/>
                <w:color w:val="auto"/>
              </w:rPr>
            </w:pPr>
            <w:r>
              <w:rPr>
                <w:rFonts w:ascii="Arial" w:cs="Arial" w:eastAsia="Arial" w:hAnsi="Arial"/>
                <w:sz w:val="18"/>
                <w:szCs w:val="18"/>
                <w:b w:val="1"/>
                <w:bCs w:val="1"/>
                <w:color w:val="auto"/>
                <w:w w:val="99"/>
              </w:rPr>
              <w:t>CONDENSED CONSOLIDATED STATEMENTS OF COMPREHENSIVE LOSS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95"/>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6920" w:type="dxa"/>
            <w:vAlign w:val="bottom"/>
            <w:gridSpan w:val="5"/>
          </w:tcPr>
          <w:p>
            <w:pPr>
              <w:jc w:val="center"/>
              <w:ind w:left="4235"/>
              <w:spacing w:after="0"/>
              <w:rPr>
                <w:sz w:val="20"/>
                <w:szCs w:val="20"/>
                <w:color w:val="auto"/>
              </w:rPr>
            </w:pPr>
            <w:r>
              <w:rPr>
                <w:rFonts w:ascii="Arial" w:cs="Arial" w:eastAsia="Arial" w:hAnsi="Arial"/>
                <w:sz w:val="18"/>
                <w:szCs w:val="18"/>
                <w:b w:val="1"/>
                <w:bCs w:val="1"/>
                <w:color w:val="auto"/>
              </w:rPr>
              <w:t>(Amounts in thousands)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8"/>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4"/>
          </w:tcPr>
          <w:p>
            <w:pPr>
              <w:jc w:val="right"/>
              <w:ind w:right="599"/>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4"/>
          </w:tcPr>
          <w:p>
            <w:pPr>
              <w:jc w:val="right"/>
              <w:ind w:right="719"/>
              <w:spacing w:after="0"/>
              <w:rPr>
                <w:sz w:val="20"/>
                <w:szCs w:val="20"/>
                <w:color w:val="auto"/>
              </w:rPr>
            </w:pPr>
            <w:r>
              <w:rPr>
                <w:rFonts w:ascii="Arial" w:cs="Arial" w:eastAsia="Arial" w:hAnsi="Arial"/>
                <w:sz w:val="18"/>
                <w:szCs w:val="18"/>
                <w:b w:val="1"/>
                <w:bCs w:val="1"/>
                <w:color w:val="auto"/>
              </w:rPr>
              <w:t>Six Months Ended</w:t>
            </w:r>
          </w:p>
        </w:tc>
      </w:tr>
      <w:tr>
        <w:trPr>
          <w:trHeight w:val="243"/>
        </w:trPr>
        <w:tc>
          <w:tcPr>
            <w:tcW w:w="48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1"/>
                <w:szCs w:val="21"/>
                <w:color w:val="auto"/>
              </w:rPr>
            </w:pPr>
          </w:p>
        </w:tc>
      </w:tr>
      <w:tr>
        <w:trPr>
          <w:trHeight w:val="209"/>
        </w:trPr>
        <w:tc>
          <w:tcPr>
            <w:tcW w:w="48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(34,312)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(71,767)</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(128,911)</w:t>
            </w:r>
          </w:p>
        </w:tc>
      </w:tr>
      <w:tr>
        <w:trPr>
          <w:trHeight w:val="213"/>
        </w:trPr>
        <w:tc>
          <w:tcPr>
            <w:tcW w:w="4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Change in unrealized losses on marketable securities, net of tax</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r>
      <w:tr>
        <w:trPr>
          <w:trHeight w:val="23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(60,268)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(71,594)</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(129,415)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2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vMerge w:val="restart"/>
          </w:tcPr>
          <w:p>
            <w:pPr>
              <w:jc w:val="right"/>
              <w:ind w:right="178"/>
              <w:spacing w:after="0"/>
              <w:rPr>
                <w:sz w:val="20"/>
                <w:szCs w:val="20"/>
                <w:color w:val="auto"/>
              </w:rPr>
            </w:pPr>
            <w:r>
              <w:rPr>
                <w:rFonts w:ascii="Arial" w:cs="Arial" w:eastAsia="Arial" w:hAnsi="Arial"/>
                <w:sz w:val="13"/>
                <w:szCs w:val="13"/>
                <w:b w:val="1"/>
                <w:bCs w:val="1"/>
                <w:color w:val="auto"/>
              </w:rPr>
              <w:t>Additional</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37"/>
              <w:spacing w:after="0" w:line="140" w:lineRule="exact"/>
              <w:rPr>
                <w:sz w:val="20"/>
                <w:szCs w:val="20"/>
                <w:color w:val="auto"/>
              </w:rPr>
            </w:pPr>
            <w:r>
              <w:rPr>
                <w:rFonts w:ascii="Arial" w:cs="Arial" w:eastAsia="Arial" w:hAnsi="Arial"/>
                <w:sz w:val="13"/>
                <w:szCs w:val="13"/>
                <w:b w:val="1"/>
                <w:bCs w:val="1"/>
                <w:color w:val="auto"/>
                <w:w w:val="95"/>
              </w:rPr>
              <w:t>Accumulated</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0"/>
        </w:trPr>
        <w:tc>
          <w:tcPr>
            <w:tcW w:w="4280" w:type="dxa"/>
            <w:vAlign w:val="bottom"/>
          </w:tcPr>
          <w:p>
            <w:pPr>
              <w:spacing w:after="0"/>
              <w:rPr>
                <w:sz w:val="11"/>
                <w:szCs w:val="11"/>
                <w:color w:val="auto"/>
              </w:rPr>
            </w:pPr>
          </w:p>
        </w:tc>
        <w:tc>
          <w:tcPr>
            <w:tcW w:w="1980" w:type="dxa"/>
            <w:vAlign w:val="bottom"/>
            <w:gridSpan w:val="3"/>
            <w:vMerge w:val="restart"/>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37"/>
              <w:spacing w:after="0" w:line="130"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4280" w:type="dxa"/>
            <w:vAlign w:val="bottom"/>
          </w:tcPr>
          <w:p>
            <w:pPr>
              <w:spacing w:after="0"/>
              <w:rPr>
                <w:sz w:val="9"/>
                <w:szCs w:val="9"/>
                <w:color w:val="auto"/>
              </w:rPr>
            </w:pPr>
          </w:p>
        </w:tc>
        <w:tc>
          <w:tcPr>
            <w:tcW w:w="198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ind w:right="278"/>
              <w:spacing w:after="0" w:line="102"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jc w:val="right"/>
              <w:ind w:right="98"/>
              <w:spacing w:after="0" w:line="102"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center"/>
              <w:ind w:right="37"/>
              <w:spacing w:after="0" w:line="102"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jc w:val="center"/>
              <w:ind w:right="58"/>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80"/>
        </w:trPr>
        <w:tc>
          <w:tcPr>
            <w:tcW w:w="42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8"/>
              </w:rPr>
              <w:t>Loss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49,382,453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606,918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(530,644)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76,106</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7,593</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8,403,809</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18,096</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172,798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(43,317)</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44,644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(37,455)</w:t>
            </w:r>
          </w:p>
        </w:tc>
        <w:tc>
          <w:tcPr>
            <w:tcW w:w="0" w:type="dxa"/>
            <w:vAlign w:val="bottom"/>
          </w:tcPr>
          <w:p>
            <w:pPr>
              <w:spacing w:after="0"/>
              <w:rPr>
                <w:sz w:val="1"/>
                <w:szCs w:val="1"/>
                <w:color w:val="auto"/>
              </w:rPr>
            </w:pPr>
          </w:p>
        </w:tc>
      </w:tr>
      <w:tr>
        <w:trPr>
          <w:trHeight w:val="20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57,960,387</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632,580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(568,099)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64,468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80" w:type="dxa"/>
            <w:vAlign w:val="bottom"/>
            <w:vMerge w:val="continue"/>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5,775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18"/>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5,775</w:t>
            </w:r>
          </w:p>
        </w:tc>
        <w:tc>
          <w:tcPr>
            <w:tcW w:w="0" w:type="dxa"/>
            <w:vAlign w:val="bottom"/>
          </w:tcPr>
          <w:p>
            <w:pPr>
              <w:spacing w:after="0"/>
              <w:rPr>
                <w:sz w:val="1"/>
                <w:szCs w:val="1"/>
                <w:color w:val="auto"/>
              </w:rPr>
            </w:pPr>
          </w:p>
        </w:tc>
      </w:tr>
      <w:tr>
        <w:trPr>
          <w:trHeight w:val="142"/>
        </w:trPr>
        <w:tc>
          <w:tcPr>
            <w:tcW w:w="428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color w:val="auto"/>
                <w:w w:val="97"/>
              </w:rPr>
              <w:t>Issuance of common stock from follow-on public offering and accompanying</w:t>
            </w: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pre-funded warrants, net of underwriting discounts, commissions and</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64,449,690</w:t>
            </w: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63,433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63,439</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 of $4,484</w:t>
            </w: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4"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tcPr>
          <w:p>
            <w:pPr>
              <w:jc w:val="right"/>
              <w:spacing w:after="0"/>
              <w:rPr>
                <w:sz w:val="20"/>
                <w:szCs w:val="20"/>
                <w:color w:val="auto"/>
              </w:rPr>
            </w:pPr>
            <w:r>
              <w:rPr>
                <w:rFonts w:ascii="Arial" w:cs="Arial" w:eastAsia="Arial" w:hAnsi="Arial"/>
                <w:sz w:val="13"/>
                <w:szCs w:val="13"/>
                <w:color w:val="auto"/>
              </w:rPr>
              <w:t>5,888,128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234,947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60"/>
        </w:trPr>
        <w:tc>
          <w:tcPr>
            <w:tcW w:w="42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10,813</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97"/>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(34,312)</w:t>
            </w:r>
          </w:p>
        </w:tc>
        <w:tc>
          <w:tcPr>
            <w:tcW w:w="0" w:type="dxa"/>
            <w:vAlign w:val="bottom"/>
          </w:tcPr>
          <w:p>
            <w:pPr>
              <w:spacing w:after="0"/>
              <w:rPr>
                <w:sz w:val="1"/>
                <w:szCs w:val="1"/>
                <w:color w:val="auto"/>
              </w:rPr>
            </w:pPr>
          </w:p>
        </w:tc>
      </w:tr>
      <w:tr>
        <w:trPr>
          <w:trHeight w:val="169"/>
        </w:trPr>
        <w:tc>
          <w:tcPr>
            <w:tcW w:w="428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128,540,223</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708,023</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(602,411)</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105,625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 w:name="page9"/>
    <w:bookmarkEnd w:id="8"/>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106045</wp:posOffset>
            </wp:positionV>
            <wp:extent cx="4423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39"/>
              <w:spacing w:after="0"/>
              <w:rPr>
                <w:sz w:val="20"/>
                <w:szCs w:val="20"/>
                <w:color w:val="auto"/>
              </w:rPr>
            </w:pPr>
            <w:r>
              <w:rPr>
                <w:rFonts w:ascii="Arial" w:cs="Arial" w:eastAsia="Arial" w:hAnsi="Arial"/>
                <w:sz w:val="13"/>
                <w:szCs w:val="13"/>
                <w:b w:val="1"/>
                <w:bCs w:val="1"/>
                <w:color w:val="auto"/>
                <w:w w:val="95"/>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00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9"/>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39"/>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5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jc w:val="right"/>
              <w:ind w:right="279"/>
              <w:spacing w:after="0" w:line="54" w:lineRule="exact"/>
              <w:rPr>
                <w:sz w:val="20"/>
                <w:szCs w:val="20"/>
                <w:color w:val="auto"/>
              </w:rPr>
            </w:pPr>
            <w:r>
              <w:rPr>
                <w:rFonts w:ascii="Arial" w:cs="Arial" w:eastAsia="Arial" w:hAnsi="Arial"/>
                <w:sz w:val="6"/>
                <w:szCs w:val="6"/>
                <w:b w:val="1"/>
                <w:bCs w:val="1"/>
                <w:color w:val="auto"/>
              </w:rPr>
              <w:t>Paid-In</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jc w:val="right"/>
              <w:ind w:right="99"/>
              <w:spacing w:after="0" w:line="54" w:lineRule="exact"/>
              <w:rPr>
                <w:sz w:val="20"/>
                <w:szCs w:val="20"/>
                <w:color w:val="auto"/>
              </w:rPr>
            </w:pPr>
            <w:r>
              <w:rPr>
                <w:rFonts w:ascii="Arial" w:cs="Arial" w:eastAsia="Arial" w:hAnsi="Arial"/>
                <w:sz w:val="6"/>
                <w:szCs w:val="6"/>
                <w:b w:val="1"/>
                <w:bCs w:val="1"/>
                <w:color w:val="auto"/>
              </w:rPr>
              <w:t>Accumulated</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jc w:val="center"/>
              <w:ind w:right="39"/>
              <w:spacing w:after="0" w:line="54" w:lineRule="exact"/>
              <w:rPr>
                <w:sz w:val="20"/>
                <w:szCs w:val="20"/>
                <w:color w:val="auto"/>
              </w:rPr>
            </w:pPr>
            <w:r>
              <w:rPr>
                <w:rFonts w:ascii="Arial" w:cs="Arial" w:eastAsia="Arial" w:hAnsi="Arial"/>
                <w:sz w:val="6"/>
                <w:szCs w:val="6"/>
                <w:b w:val="1"/>
                <w:bCs w:val="1"/>
                <w:color w:val="auto"/>
              </w:rPr>
              <w:t>Comprehensive</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jc w:val="center"/>
              <w:ind w:right="59"/>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08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8"/>
              </w:rPr>
              <w:t>Loss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45,300,514</w:t>
            </w:r>
          </w:p>
        </w:tc>
        <w:tc>
          <w:tcPr>
            <w:tcW w:w="920" w:type="dxa"/>
            <w:vAlign w:val="bottom"/>
            <w:gridSpan w:val="2"/>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567,598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(316,615)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250,812</w:t>
            </w:r>
          </w:p>
        </w:tc>
        <w:tc>
          <w:tcPr>
            <w:tcW w:w="0" w:type="dxa"/>
            <w:vAlign w:val="bottom"/>
          </w:tcPr>
          <w:p>
            <w:pPr>
              <w:spacing w:after="0"/>
              <w:rPr>
                <w:sz w:val="1"/>
                <w:szCs w:val="1"/>
                <w:color w:val="auto"/>
              </w:rPr>
            </w:pPr>
          </w:p>
        </w:tc>
      </w:tr>
      <w:tr>
        <w:trPr>
          <w:trHeight w:val="160"/>
        </w:trPr>
        <w:tc>
          <w:tcPr>
            <w:tcW w:w="428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7,886</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70,410</w:t>
            </w: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2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81,130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72,278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(68,717)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(68,717)</w:t>
            </w:r>
          </w:p>
        </w:tc>
        <w:tc>
          <w:tcPr>
            <w:tcW w:w="0" w:type="dxa"/>
            <w:vAlign w:val="bottom"/>
          </w:tcPr>
          <w:p>
            <w:pPr>
              <w:spacing w:after="0"/>
              <w:rPr>
                <w:sz w:val="1"/>
                <w:szCs w:val="1"/>
                <w:color w:val="auto"/>
              </w:rPr>
            </w:pPr>
          </w:p>
        </w:tc>
      </w:tr>
      <w:tr>
        <w:trPr>
          <w:trHeight w:val="201"/>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45,506,482</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576,955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(385,332)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191,022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280" w:type="dxa"/>
            <w:vAlign w:val="bottom"/>
            <w:vMerge w:val="continue"/>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7,611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19"/>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3"/>
                <w:szCs w:val="13"/>
                <w:color w:val="auto"/>
              </w:rPr>
              <w:t>7,611</w:t>
            </w:r>
          </w:p>
        </w:tc>
        <w:tc>
          <w:tcPr>
            <w:tcW w:w="0" w:type="dxa"/>
            <w:vAlign w:val="bottom"/>
          </w:tcPr>
          <w:p>
            <w:pPr>
              <w:spacing w:after="0"/>
              <w:rPr>
                <w:sz w:val="1"/>
                <w:szCs w:val="1"/>
                <w:color w:val="auto"/>
              </w:rPr>
            </w:pPr>
          </w:p>
        </w:tc>
      </w:tr>
      <w:tr>
        <w:trPr>
          <w:trHeight w:val="29"/>
        </w:trPr>
        <w:tc>
          <w:tcPr>
            <w:tcW w:w="4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6,361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42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13,143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3"/>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8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loss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(60,194)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(60,194)</w:t>
            </w:r>
          </w:p>
        </w:tc>
        <w:tc>
          <w:tcPr>
            <w:tcW w:w="0" w:type="dxa"/>
            <w:vAlign w:val="bottom"/>
          </w:tcPr>
          <w:p>
            <w:pPr>
              <w:spacing w:after="0"/>
              <w:rPr>
                <w:sz w:val="1"/>
                <w:szCs w:val="1"/>
                <w:color w:val="auto"/>
              </w:rPr>
            </w:pPr>
          </w:p>
        </w:tc>
      </w:tr>
      <w:tr>
        <w:trPr>
          <w:trHeight w:val="20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45,575,406</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585,070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(445,526)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138,869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60"/>
        <w:spacing w:after="0"/>
        <w:rPr>
          <w:sz w:val="20"/>
          <w:szCs w:val="20"/>
          <w:color w:val="auto"/>
        </w:rPr>
      </w:pPr>
      <w:r>
        <w:rPr>
          <w:rFonts w:ascii="Arial" w:cs="Arial" w:eastAsia="Arial" w:hAnsi="Arial"/>
          <w:sz w:val="16"/>
          <w:szCs w:val="16"/>
          <w:b w:val="1"/>
          <w:bCs w:val="1"/>
          <w:color w:val="auto"/>
        </w:rPr>
        <w:t>Six Months Ended</w:t>
      </w:r>
    </w:p>
    <w:p>
      <w:pPr>
        <w:jc w:val="center"/>
        <w:ind w:left="806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(71,767)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(128,911)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(111,318)</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(83,022)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109,761</w:t>
            </w:r>
          </w:p>
        </w:tc>
        <w:tc>
          <w:tcPr>
            <w:tcW w:w="0" w:type="dxa"/>
            <w:vAlign w:val="bottom"/>
          </w:tcPr>
          <w:p>
            <w:pPr>
              <w:spacing w:after="0"/>
              <w:rPr>
                <w:sz w:val="1"/>
                <w:szCs w:val="1"/>
                <w:color w:val="auto"/>
              </w:rPr>
            </w:pPr>
          </w:p>
        </w:tc>
      </w:tr>
      <w:tr>
        <w:trPr>
          <w:trHeight w:val="206"/>
        </w:trPr>
        <w:tc>
          <w:tcPr>
            <w:tcW w:w="8060" w:type="dxa"/>
            <w:vAlign w:val="bottom"/>
          </w:tcPr>
          <w:p>
            <w:pPr>
              <w:ind w:left="680"/>
              <w:spacing w:after="0"/>
              <w:rPr>
                <w:sz w:val="20"/>
                <w:szCs w:val="20"/>
                <w:color w:val="auto"/>
              </w:rPr>
            </w:pPr>
            <w:r>
              <w:rPr>
                <w:rFonts w:ascii="Arial" w:cs="Arial" w:eastAsia="Arial" w:hAnsi="Arial"/>
                <w:sz w:val="16"/>
                <w:szCs w:val="16"/>
                <w:color w:val="auto"/>
              </w:rPr>
              <w:t>Net cash provided by investing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26,340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060" w:type="dxa"/>
            <w:vAlign w:val="bottom"/>
          </w:tcPr>
          <w:p>
            <w:pPr>
              <w:ind w:left="20"/>
              <w:spacing w:after="0" w:line="165" w:lineRule="exact"/>
              <w:rPr>
                <w:sz w:val="20"/>
                <w:szCs w:val="20"/>
                <w:color w:val="auto"/>
              </w:rPr>
            </w:pPr>
            <w:r>
              <w:rPr>
                <w:rFonts w:ascii="Arial" w:cs="Arial" w:eastAsia="Arial" w:hAnsi="Arial"/>
                <w:sz w:val="16"/>
                <w:szCs w:val="16"/>
                <w:color w:val="auto"/>
              </w:rPr>
              <w:t>Issuance of common stock from follow-on public offering and accompanying pre-funded warrants, net of</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63,439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underwriting discounts, commissions and offering costs</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 of issuance costs for at-the-market offerings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stock options and employee stock purchase plan purchases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12"/>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Increase (decrease) in cash, cash equivalents and restricted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62,685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(83,265)</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62,031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139,720</w:t>
            </w:r>
          </w:p>
        </w:tc>
        <w:tc>
          <w:tcPr>
            <w:tcW w:w="0" w:type="dxa"/>
            <w:vAlign w:val="bottom"/>
          </w:tcPr>
          <w:p>
            <w:pPr>
              <w:spacing w:after="0"/>
              <w:rPr>
                <w:sz w:val="1"/>
                <w:szCs w:val="1"/>
                <w:color w:val="auto"/>
              </w:rPr>
            </w:pPr>
          </w:p>
        </w:tc>
      </w:tr>
      <w:tr>
        <w:trPr>
          <w:trHeight w:val="212"/>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124,716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56,455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 cash, cash equivalents and restricted cash</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124,300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56,039</w:t>
            </w:r>
          </w:p>
        </w:tc>
      </w:tr>
      <w:tr>
        <w:trPr>
          <w:trHeight w:val="219"/>
        </w:trPr>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1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124,716</w:t>
            </w:r>
          </w:p>
        </w:tc>
        <w:tc>
          <w:tcPr>
            <w:tcW w:w="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56,455</w:t>
            </w:r>
          </w:p>
        </w:tc>
      </w:tr>
      <w:tr>
        <w:trPr>
          <w:trHeight w:val="23"/>
        </w:trPr>
        <w:tc>
          <w:tcPr>
            <w:tcW w:w="5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195" w:lineRule="exact"/>
        <w:rPr>
          <w:sz w:val="20"/>
          <w:szCs w:val="20"/>
          <w:color w:val="auto"/>
        </w:rPr>
      </w:pPr>
    </w:p>
    <w:p>
      <w:pPr>
        <w:sectPr>
          <w:pgSz w:w="11900" w:h="16838" w:orient="portrait"/>
          <w:cols w:equalWidth="0" w:num="2">
            <w:col w:w="7340" w:space="720"/>
            <w:col w:w="3180"/>
          </w:cols>
          <w:pgMar w:left="320" w:top="886" w:right="339" w:bottom="1440" w:gutter="0" w:footer="0" w:header="0"/>
          <w:type w:val="continuous"/>
        </w:sectPr>
      </w:pPr>
    </w:p>
    <w:p>
      <w:pPr>
        <w:ind w:left="20"/>
        <w:spacing w:after="0"/>
        <w:tabs>
          <w:tab w:leader="none" w:pos="8080" w:val="left"/>
          <w:tab w:leader="none" w:pos="9240" w:val="left"/>
          <w:tab w:leader="none" w:pos="9700" w:val="left"/>
          <w:tab w:leader="none" w:pos="10980" w:val="left"/>
        </w:tabs>
        <w:rPr>
          <w:sz w:val="20"/>
          <w:szCs w:val="20"/>
          <w:color w:val="auto"/>
        </w:rPr>
      </w:pPr>
      <w:r>
        <w:rPr>
          <w:rFonts w:ascii="Arial" w:cs="Arial" w:eastAsia="Arial" w:hAnsi="Arial"/>
          <w:sz w:val="16"/>
          <w:szCs w:val="16"/>
          <w:color w:val="auto"/>
        </w:rPr>
        <w:t>Offering costs included in accrued expenses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259</w:t>
        <w:tab/>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16510</wp:posOffset>
            </wp:positionV>
            <wp:extent cx="201485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14855" cy="3429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0" w:name="page11"/>
    <w:bookmarkEnd w:id="10"/>
    <w:p>
      <w:pPr>
        <w:jc w:val="center"/>
        <w:ind w:left="360" w:right="2660"/>
        <w:spacing w:after="0" w:line="454"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27" w:lineRule="exact"/>
        <w:rPr>
          <w:sz w:val="20"/>
          <w:szCs w:val="20"/>
          <w:color w:val="auto"/>
        </w:rPr>
      </w:pPr>
    </w:p>
    <w:p>
      <w:pPr>
        <w:ind w:right="140" w:firstLine="446"/>
        <w:spacing w:after="0" w:line="254"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The Company is applying genetic insights to the discovery and development of therapies for neurological disorders through two proprietary platforms, using its understanding of shared biological targets and circuits in the brain. Each platform has multiple programs currently, with significant potential for additional program and indication expansion:</w:t>
      </w:r>
    </w:p>
    <w:p>
      <w:pPr>
        <w:spacing w:after="0" w:line="171" w:lineRule="exact"/>
        <w:rPr>
          <w:sz w:val="20"/>
          <w:szCs w:val="20"/>
          <w:color w:val="auto"/>
        </w:rPr>
      </w:pPr>
    </w:p>
    <w:p>
      <w:pPr>
        <w:ind w:left="660" w:right="280" w:hanging="328"/>
        <w:spacing w:after="0" w:line="23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the Company's small molecule platform, utilizes deep understanding of neuronal excitability and neuronal networks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applies a 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320" w:hanging="328"/>
        <w:spacing w:after="0" w:line="28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the Company's antisense oligonucleotide, or ASO, platform, is an efficient, targeted precision medicine discovery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engine anchored on a proprietary, computational methodology</w:t>
      </w:r>
    </w:p>
    <w:p>
      <w:pPr>
        <w:spacing w:after="0" w:line="163"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The Company's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the Company has established a diversified, multimodal CNS portfolio with four clinical-stage product candidates across movement disorders and epilepsy. For the Company's most advanced product candidate under the Cerebrum™ platform, ulixacaltamide (also known as PRAX-944), topline results from the Phase 2b Essential1 clinical trial in essential tremor ("ET"), were announced in the first quarter of 2023. The Company intends to initiate two Phase 3 studies in ET in the fourth quarter of 2023, with topline results expected in the second half of 2024. The Company initiated its PRAX-562 Phase 2 EMBOLD study in the first quarter of 2023 and expects to announce topline results in the fourth quarter of 2023. The Company also announced positive results from its PRAX-628 Phase 1 study in May 2023. In June 2023, the Company initiated a Phase 2 proof of concept study evaluating PRAX-628 in patients with a Photo Paroxysmal Response ("PPR"), with results anticipated by year-end 2023. Upon completion of the PPR study, Praxis plans to initiate a Phase 2 study of PRAX-628 in focal epilepsy in the first half of 2024. For the Company's most advanced product candidate under the Solidus™ platform, PRAX-222, it initiated the first dose cohort of its EMBRAVE study in the second quarter of 2023 and expects to announce topline results in the second half of 2023.</w:t>
      </w:r>
    </w:p>
    <w:p>
      <w:pPr>
        <w:spacing w:after="0" w:line="199" w:lineRule="exact"/>
        <w:rPr>
          <w:sz w:val="20"/>
          <w:szCs w:val="20"/>
          <w:color w:val="auto"/>
        </w:rPr>
      </w:pPr>
    </w:p>
    <w:p>
      <w:pPr>
        <w:jc w:val="both"/>
        <w:ind w:right="100" w:firstLine="446"/>
        <w:spacing w:after="0" w:line="258"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and from the sale of common stock and pre-funded warrants through an initial public offering, follow-on public offerings and at-the-market offerings under its shelf registration statement. From inception through June 30, 2023, the Company raised $613.6 million in aggregate cash proceeds from these transactions, net of issuance costs.</w:t>
      </w:r>
    </w:p>
    <w:p>
      <w:pPr>
        <w:spacing w:after="0" w:line="190"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1" w:name="page12"/>
    <w:bookmarkEnd w:id="11"/>
    <w:p>
      <w:pPr>
        <w:ind w:right="120" w:firstLine="446"/>
        <w:spacing w:after="0" w:line="261"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86" w:lineRule="exact"/>
        <w:rPr>
          <w:sz w:val="20"/>
          <w:szCs w:val="20"/>
          <w:color w:val="auto"/>
        </w:rPr>
      </w:pPr>
    </w:p>
    <w:p>
      <w:pPr>
        <w:ind w:right="140" w:firstLine="446"/>
        <w:spacing w:after="0" w:line="263" w:lineRule="auto"/>
        <w:rPr>
          <w:sz w:val="20"/>
          <w:szCs w:val="20"/>
          <w:color w:val="auto"/>
        </w:rPr>
      </w:pPr>
      <w:r>
        <w:rPr>
          <w:rFonts w:ascii="Arial" w:cs="Arial" w:eastAsia="Arial" w:hAnsi="Arial"/>
          <w:sz w:val="18"/>
          <w:szCs w:val="18"/>
          <w:color w:val="auto"/>
        </w:rPr>
        <w:t>The Company has incurred recurring losses since its inception, including a net loss of $71.8 million for the six months ended June 30, 2023. In addition, as of June 30, 2023, the Company had an accumulated deficit of $602.4 million. The Company expects to continue to generate operating losses for the foreseeable future.</w:t>
      </w:r>
    </w:p>
    <w:p>
      <w:pPr>
        <w:spacing w:after="0" w:line="184"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The Company expects that its cash and cash equivalents as of June 30, 2023 of $124.3 million will be sufficient to fund the operating expenditures and capital expenditure requirements necessary to advance its research efforts and clinical trials for at least one year from the date of issuance of these condensed consolidated financial statements. The analysis included consideration of the Company's current financial needs and ongoing research and development plans, which are limited to advancing product candidates through, but not beyond, their current clinical trials and the ulixacaltamide Phase 3 clinical trials in ET.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290" w:lineRule="exact"/>
        <w:rPr>
          <w:sz w:val="20"/>
          <w:szCs w:val="20"/>
          <w:color w:val="auto"/>
        </w:rPr>
      </w:pPr>
    </w:p>
    <w:p>
      <w:pPr>
        <w:ind w:right="7220" w:firstLine="8"/>
        <w:spacing w:after="0" w:line="381"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20" w:firstLine="446"/>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184" w:lineRule="exact"/>
        <w:rPr>
          <w:sz w:val="20"/>
          <w:szCs w:val="20"/>
          <w:color w:val="auto"/>
        </w:rPr>
      </w:pPr>
    </w:p>
    <w:p>
      <w:pPr>
        <w:ind w:right="460" w:firstLine="446"/>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2023 are consistent with those discussed in Note 2 to the consolidated financial statements included in the Company's 2022 Annual Report on Form 10-K, other than as noted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2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The accompanying condensed consolidated balance sheet as of June 30, 2023, the condensed consolidated statements of operations for the three and six months ended June 30, 2023 and 2022, the condensed consolidated statements of comprehensive loss for the three and six months ended June 30, 2023 and 2022, the condensed consolidated statements of cash flows for the six months ended June 30, 2023 and 2022 and the condensed consolidated statements of stockholders’ equity for the three and six months ended June 30, 2023 and 2022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2023, the results of its operations for the three and six months ended June 30, 2023 and 2022 and its cash flows for the six months ended June 30, 2023 and 2022. Financial statement disclosures for the three and six months ended June 30, 2023 and 2022 are condensed and do not include all disclosures required for an annual set of financial statements in accordance with GAAP.</w:t>
      </w:r>
    </w:p>
    <w:p>
      <w:pPr>
        <w:spacing w:after="0" w:line="194" w:lineRule="exact"/>
        <w:rPr>
          <w:sz w:val="20"/>
          <w:szCs w:val="20"/>
          <w:color w:val="auto"/>
        </w:rPr>
      </w:pPr>
    </w:p>
    <w:p>
      <w:pPr>
        <w:ind w:right="500" w:firstLine="446"/>
        <w:spacing w:after="0" w:line="275" w:lineRule="auto"/>
        <w:rPr>
          <w:sz w:val="20"/>
          <w:szCs w:val="20"/>
          <w:color w:val="auto"/>
        </w:rPr>
      </w:pPr>
      <w:r>
        <w:rPr>
          <w:rFonts w:ascii="Arial" w:cs="Arial" w:eastAsia="Arial" w:hAnsi="Arial"/>
          <w:sz w:val="18"/>
          <w:szCs w:val="18"/>
          <w:color w:val="auto"/>
        </w:rPr>
        <w:t>The results for the three and six months ended June 30, 2023 are not necessarily indicative of results to be expected for the year ended December 31, 2023, any other interim periods, or any future year or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7"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 collaboration revenue, stock-based compensation expense and the recoverability of the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2" w:name="page13"/>
    <w:bookmarkEnd w:id="12"/>
    <w:p>
      <w:pPr>
        <w:spacing w:after="0" w:line="263" w:lineRule="auto"/>
        <w:rPr>
          <w:sz w:val="20"/>
          <w:szCs w:val="20"/>
          <w:color w:val="auto"/>
        </w:rPr>
      </w:pPr>
      <w:r>
        <w:rPr>
          <w:rFonts w:ascii="Arial" w:cs="Arial" w:eastAsia="Arial" w:hAnsi="Arial"/>
          <w:sz w:val="18"/>
          <w:szCs w:val="18"/>
          <w:color w:val="auto"/>
        </w:rPr>
        <w:t>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7"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 xml:space="preserve">The Company accounts for warrants to purchase shares of its common stock in accordance with the guidance in FASB ASC No.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(ASC 480) and ASC No. 815,</w:t>
      </w:r>
      <w:r>
        <w:rPr>
          <w:rFonts w:ascii="Arial" w:cs="Arial" w:eastAsia="Arial" w:hAnsi="Arial"/>
          <w:sz w:val="18"/>
          <w:szCs w:val="18"/>
          <w:i w:val="1"/>
          <w:iCs w:val="1"/>
          <w:color w:val="auto"/>
        </w:rPr>
        <w:t xml:space="preserve"> Derivatives and Hedging </w:t>
      </w:r>
      <w:r>
        <w:rPr>
          <w:rFonts w:ascii="Arial" w:cs="Arial" w:eastAsia="Arial" w:hAnsi="Arial"/>
          <w:sz w:val="18"/>
          <w:szCs w:val="18"/>
          <w:color w:val="auto"/>
        </w:rPr>
        <w:t>(ASC 815). The Company classifies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for the purchase of shares of its common stock as either equity or liability instruments based on an assessment of the specific terms and conditions of each respective contract. Such assessment includes determining whether the warrants are freestanding financial instruments or embedded in a host instrument, whether the warrants are liabilities within the scope of ASC 480, whether the warrants meet the definition of a derivative in ASC 815 and whether the warrants meet the requirements for equity classification pursuant to the indexation and equity classification criteria in ASC 815. The Company determines the classification for its warrants at the time of issuance and updates its assessment, as necessary. Warrants that meet all of the criteria for equity classification are recorded as a component of additional paid-in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7"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Basic net loss per share is computed by dividing net loss by the weighted average number of common shares outstanding for the period. The calculation of weighted average number of common shares outstanding excludes shares of restricted common stock that are not vested but includes shares of common stock underlying pre-funded warrants. Diluted net loss per share is computed by dividing net loss by the weighted average number of common shares outstanding for the period, after giving consideration to the dilutive effect of potentially dilutive common shares. For purposes of this calculation, outstanding options to purchase shares of common stock, unvested shares of restricted common stock and potential shares issuable under the 2020 ESPP are considered potentially dilutive common shares. The Company has generated a net loss in all periods presented so the basic and diluted net loss per share are the same, as the inclusion of the potentially dilutive securities would be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ind w:right="200" w:firstLine="446"/>
        <w:spacing w:after="0" w:line="253" w:lineRule="auto"/>
        <w:rPr>
          <w:sz w:val="20"/>
          <w:szCs w:val="20"/>
          <w:color w:val="auto"/>
        </w:rPr>
      </w:pPr>
      <w:r>
        <w:rPr>
          <w:rFonts w:ascii="Arial" w:cs="Arial" w:eastAsia="Arial" w:hAnsi="Arial"/>
          <w:sz w:val="18"/>
          <w:szCs w:val="18"/>
          <w:color w:val="auto"/>
        </w:rPr>
        <w:t xml:space="preserve">On August 5, 2020, the FASB issued ASU No. 2020-06, </w:t>
      </w:r>
      <w:r>
        <w:rPr>
          <w:rFonts w:ascii="Arial" w:cs="Arial" w:eastAsia="Arial" w:hAnsi="Arial"/>
          <w:sz w:val="18"/>
          <w:szCs w:val="18"/>
          <w:i w:val="1"/>
          <w:iCs w:val="1"/>
          <w:color w:val="auto"/>
        </w:rPr>
        <w:t>Debt – 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 Contracts in Entity’s Own Equity (Subtopic 815-40): Accounting for Convertible Instruments and Contracts in an Entity’s Own Equity </w:t>
      </w:r>
      <w:r>
        <w:rPr>
          <w:rFonts w:ascii="Arial" w:cs="Arial" w:eastAsia="Arial" w:hAnsi="Arial"/>
          <w:sz w:val="18"/>
          <w:szCs w:val="18"/>
          <w:color w:val="auto"/>
        </w:rPr>
        <w:t>(ASU 2020-06). ASU 2020-06 simplifies the accounting for certain financial instruments with characteristics of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equity, including convertible instruments and contracts on an entity’s own equity. ASU 2020-06 eliminates the separation models for convertible debt with cash conversion features and convertible instruments with beneficial conversion features and simplifies the derivative scope exception guidance pertaining to equity classification of contracts in an entity’s own equity. Additionally, ASU 2020-06 amends the diluted earnings per share guidance, including the requirement to use the if-converted method for all convertible instruments. The new standard also introduces additional disclosures for convertible instruments. ASU 2020-06 was effective for public companies that are not smaller reporting companies for fiscal years beginning after December 15, 2021. For all other entities, ASU 2020-06 is effective for fiscal years beginning after December 15, 2023. Early adoption is permitted, but no earlier than fiscal years beginning after December 15, 2020. ASU 2020-06 is required to be adopted as of the beginning of a fiscal year. ASU 2020-06 may be applied using either a full or modified retrospective method of transition. The Company adopted ASU 2020-06 effective as of January 1. 2023. The adoption of ASU 2020-06 did not have an impact on the Company’s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7" w:lineRule="exact"/>
        <w:rPr>
          <w:sz w:val="20"/>
          <w:szCs w:val="20"/>
          <w:color w:val="auto"/>
        </w:rPr>
      </w:pPr>
    </w:p>
    <w:p>
      <w:pPr>
        <w:ind w:right="300" w:firstLine="446"/>
        <w:spacing w:after="0" w:line="275" w:lineRule="auto"/>
        <w:rPr>
          <w:sz w:val="20"/>
          <w:szCs w:val="20"/>
          <w:color w:val="auto"/>
        </w:rPr>
      </w:pPr>
      <w:r>
        <w:rPr>
          <w:rFonts w:ascii="Arial" w:cs="Arial" w:eastAsia="Arial" w:hAnsi="Arial"/>
          <w:sz w:val="18"/>
          <w:szCs w:val="18"/>
          <w:color w:val="auto"/>
        </w:rPr>
        <w:t>The Company did not hold any marketable securities as of June 30, 2023. The following is a summary of the Company's investment portfolio as of December 31, 2022 (in thousands):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60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As of December 31, 2022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05"/>
        </w:trPr>
        <w:tc>
          <w:tcPr>
            <w:tcW w:w="6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ind w:left="300"/>
              <w:spacing w:after="0"/>
              <w:rPr>
                <w:sz w:val="20"/>
                <w:szCs w:val="20"/>
                <w:color w:val="auto"/>
              </w:rPr>
            </w:pPr>
            <w:r>
              <w:rPr>
                <w:rFonts w:ascii="Arial" w:cs="Arial" w:eastAsia="Arial" w:hAnsi="Arial"/>
                <w:sz w:val="16"/>
                <w:szCs w:val="16"/>
                <w:b w:val="1"/>
                <w:bCs w:val="1"/>
                <w:color w:val="auto"/>
              </w:rPr>
              <w:t>Gross Unrealized</w:t>
            </w:r>
          </w:p>
        </w:tc>
        <w:tc>
          <w:tcPr>
            <w:tcW w:w="260" w:type="dxa"/>
            <w:vAlign w:val="bottom"/>
          </w:tcPr>
          <w:p>
            <w:pPr>
              <w:spacing w:after="0"/>
              <w:rPr>
                <w:sz w:val="17"/>
                <w:szCs w:val="17"/>
                <w:color w:val="auto"/>
              </w:rPr>
            </w:pPr>
          </w:p>
        </w:tc>
        <w:tc>
          <w:tcPr>
            <w:tcW w:w="128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21"/>
        </w:trPr>
        <w:tc>
          <w:tcPr>
            <w:tcW w:w="60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6"/>
                <w:szCs w:val="16"/>
                <w:b w:val="1"/>
                <w:bCs w:val="1"/>
                <w:color w:val="auto"/>
                <w:w w:val="94"/>
              </w:rPr>
              <w:t>Gains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Losses</w:t>
            </w:r>
          </w:p>
        </w:tc>
        <w:tc>
          <w:tcPr>
            <w:tcW w:w="260" w:type="dxa"/>
            <w:vAlign w:val="bottom"/>
          </w:tcPr>
          <w:p>
            <w:pPr>
              <w:spacing w:after="0"/>
              <w:rPr>
                <w:sz w:val="19"/>
                <w:szCs w:val="19"/>
                <w:color w:val="auto"/>
              </w:rPr>
            </w:pPr>
          </w:p>
        </w:tc>
        <w:tc>
          <w:tcPr>
            <w:tcW w:w="128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6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35,042</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34,879</w:t>
            </w:r>
          </w:p>
        </w:tc>
      </w:tr>
      <w:tr>
        <w:trPr>
          <w:trHeight w:val="21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39,047</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50"/>
        </w:trPr>
        <w:tc>
          <w:tcPr>
            <w:tcW w:w="60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39,047</w:t>
            </w:r>
          </w:p>
        </w:tc>
        <w:tc>
          <w:tcPr>
            <w:tcW w:w="7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38,874</w:t>
            </w:r>
          </w:p>
        </w:tc>
      </w:tr>
      <w:tr>
        <w:trPr>
          <w:trHeight w:val="21"/>
        </w:trPr>
        <w:tc>
          <w:tcPr>
            <w:tcW w:w="60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the Company had 7 securities with a total fair market value of $38.9 million in an unrealized loss position.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anticipated a full recovery of the amortized cost basis of its debt securities at maturity and an allowance was not recognized.</w:t>
      </w:r>
    </w:p>
    <w:p>
      <w:pPr>
        <w:spacing w:after="0" w:line="213" w:lineRule="exact"/>
        <w:rPr>
          <w:sz w:val="20"/>
          <w:szCs w:val="20"/>
          <w:color w:val="auto"/>
        </w:rPr>
      </w:pPr>
    </w:p>
    <w:p>
      <w:pPr>
        <w:ind w:right="160" w:firstLine="446"/>
        <w:spacing w:after="0" w:line="275"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six months ended June 30, 2023 and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7" w:lineRule="exact"/>
        <w:rPr>
          <w:sz w:val="20"/>
          <w:szCs w:val="20"/>
          <w:color w:val="auto"/>
        </w:rPr>
      </w:pPr>
    </w:p>
    <w:p>
      <w:pPr>
        <w:ind w:right="260" w:firstLine="446"/>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7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6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225"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The Company did not hold any financial assets measured at fair value on a recurring basis as of June 30, 2023. The following table presents information about the Company’s financial assets measured at fair value on a recurring basis and indicates the level of the fair value hierarchy utilized to determine such fair values as of December 31, 2022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2022</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10"/>
        </w:trPr>
        <w:tc>
          <w:tcPr>
            <w:tcW w:w="5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34,181</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r>
      <w:tr>
        <w:trPr>
          <w:trHeight w:val="213"/>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w:t>
            </w:r>
          </w:p>
        </w:tc>
      </w:tr>
      <w:tr>
        <w:trPr>
          <w:trHeight w:val="229"/>
        </w:trPr>
        <w:tc>
          <w:tcPr>
            <w:tcW w:w="5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34,879</w:t>
            </w:r>
          </w:p>
        </w:tc>
        <w:tc>
          <w:tcPr>
            <w:tcW w:w="1200" w:type="dxa"/>
            <w:vAlign w:val="bottom"/>
            <w:gridSpan w:val="2"/>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73,055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80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6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10,734</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Accrued milestone expense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personnel-related expenses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 expenses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r>
      <w:tr>
        <w:trPr>
          <w:trHeight w:val="232"/>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13,317</w:t>
            </w:r>
          </w:p>
        </w:tc>
        <w:tc>
          <w:tcPr>
            <w:tcW w:w="640" w:type="dxa"/>
            <w:vAlign w:val="bottom"/>
            <w:gridSpan w:val="2"/>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00" w:firstLine="446"/>
        <w:spacing w:after="0" w:line="263" w:lineRule="auto"/>
        <w:rPr>
          <w:sz w:val="20"/>
          <w:szCs w:val="20"/>
          <w:color w:val="auto"/>
        </w:rPr>
      </w:pPr>
      <w:r>
        <w:rPr>
          <w:rFonts w:ascii="Arial" w:cs="Arial" w:eastAsia="Arial" w:hAnsi="Arial"/>
          <w:sz w:val="18"/>
          <w:szCs w:val="18"/>
          <w:color w:val="auto"/>
        </w:rPr>
        <w:t>At June 30, 2023, accrued expenses included $6.9 million of milestone expense related to the Research Collaboration, Option and License Agreement between the Company and Ionis Pharmaceuticals, Inc., earned upon initiation of the Company's PRAX-222 EMBRAVE study in the second quarter of 2023. The milestone was paid in July 2023.</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7"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June 30, 2023 and December 31, 2022. This lease qualifies as an operating 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UCB Option and License Agreement</w:t>
      </w:r>
    </w:p>
    <w:p>
      <w:pPr>
        <w:spacing w:after="0" w:line="127"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In December 2022, the Company entered into an Option and License Agreement (“the Collaboration Agreement”) with UCB Biopharma SRL (“UCB”) for the discovery of small molecule therapeutics as potential treatments of KCNT1-related epilepsies. Under the terms of the Collaboration Agreement, the Company has agreed to perform general biology-related research services as part of a mutually agreed upon research plan in exchange for a $5.0 million upfront payment. In addition, the Company provided UCB an exclusive option to in-license global development and commercialization rights to any resulting KCNT1 small molecule development candidate identified as part of the research plan. If UCB exercises its option to in-license global development and commercialization rights, the Collaboration Agreement stipulates that UCB will assume research, development, manufacturing and commercialization responsibilities and costs. Under the terms of the Collaboration Agreement, the Company will be eligible to receive an option fee and future success-based development and commercialization milestone payments, totaling up to $98.5 million, in addition to tiered royalties on net sales of any resulting products from the Collaboration Agreement.</w:t>
      </w:r>
    </w:p>
    <w:p>
      <w:pPr>
        <w:spacing w:after="0" w:line="194" w:lineRule="exact"/>
        <w:rPr>
          <w:sz w:val="20"/>
          <w:szCs w:val="20"/>
          <w:color w:val="auto"/>
        </w:rPr>
      </w:pPr>
    </w:p>
    <w:p>
      <w:pPr>
        <w:ind w:right="20" w:firstLine="446"/>
        <w:spacing w:after="0" w:line="258" w:lineRule="auto"/>
        <w:rPr>
          <w:sz w:val="20"/>
          <w:szCs w:val="20"/>
          <w:color w:val="auto"/>
        </w:rPr>
      </w:pPr>
      <w:r>
        <w:rPr>
          <w:rFonts w:ascii="Arial" w:cs="Arial" w:eastAsia="Arial" w:hAnsi="Arial"/>
          <w:sz w:val="18"/>
          <w:szCs w:val="18"/>
          <w:color w:val="auto"/>
        </w:rPr>
        <w:t>The Company concluded that UCB is a customer, and as such, the arrangement falls within the scope of Topic 606. At the commencement of the Collaboration Agreement, the Company identified one performance obligation, which was to perform the research services for UCB. The Company determined the transaction price to be $5.0 million, comprised of the upfront payment it received. The option provided to UCB was determined not to be a material right.</w:t>
      </w:r>
    </w:p>
    <w:p>
      <w:pPr>
        <w:spacing w:after="0" w:line="190" w:lineRule="exact"/>
        <w:rPr>
          <w:sz w:val="20"/>
          <w:szCs w:val="20"/>
          <w:color w:val="auto"/>
        </w:rPr>
      </w:pPr>
    </w:p>
    <w:p>
      <w:pPr>
        <w:ind w:right="200" w:firstLine="446"/>
        <w:spacing w:after="0" w:line="256" w:lineRule="auto"/>
        <w:rPr>
          <w:sz w:val="20"/>
          <w:szCs w:val="20"/>
          <w:color w:val="auto"/>
        </w:rPr>
      </w:pPr>
      <w:r>
        <w:rPr>
          <w:rFonts w:ascii="Arial" w:cs="Arial" w:eastAsia="Arial" w:hAnsi="Arial"/>
          <w:sz w:val="18"/>
          <w:szCs w:val="18"/>
          <w:color w:val="auto"/>
        </w:rPr>
        <w:t>The Company recognizes revenue for its research services performance obligation over time using an input method over the duration of the research services. During the three and six months ended June 30, 2023, the Company recognized $0.8 million and $1.5 million, respectively, in collaboration revenue related to the Collaboration Agreement in the condensed consolidated statement of operations. As of June 30, 2023, $3.5 million was included in deferred revenue in the condensed consolidated balance sheet, of which $2.0 million was classified as current.</w:t>
      </w:r>
    </w:p>
    <w:p>
      <w:pPr>
        <w:spacing w:after="0" w:line="290" w:lineRule="exact"/>
        <w:rPr>
          <w:sz w:val="20"/>
          <w:szCs w:val="20"/>
          <w:color w:val="auto"/>
        </w:rPr>
      </w:pPr>
    </w:p>
    <w:p>
      <w:pPr>
        <w:ind w:right="7960" w:firstLine="8"/>
        <w:spacing w:after="0" w:line="381"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300" w:firstLine="446"/>
        <w:spacing w:after="0" w:line="275" w:lineRule="auto"/>
        <w:rPr>
          <w:sz w:val="20"/>
          <w:szCs w:val="20"/>
          <w:color w:val="auto"/>
        </w:rPr>
      </w:pPr>
      <w:r>
        <w:rPr>
          <w:rFonts w:ascii="Arial" w:cs="Arial" w:eastAsia="Arial" w:hAnsi="Arial"/>
          <w:sz w:val="18"/>
          <w:szCs w:val="18"/>
          <w:color w:val="auto"/>
        </w:rPr>
        <w:t>As of June 30, 2023 and December 31, 2022, the authorized capital stock of the Company included 150,000,000 shares of common stock, $0.0001 par value.</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2023 and December 31, 2022, the Company did not hold any treasury shares.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June 2023 Public Offering</w:t>
      </w:r>
    </w:p>
    <w:p>
      <w:pPr>
        <w:spacing w:after="0" w:line="127"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On June 21, 2023, the Company completed a public offering of: (i) an aggregate of 64,449,690 shares of its common stock at a public offering price of $0.95 per share, including the underwriters’ full exercise of their option to purchase 9,299,690 additional shares of common stock, and (ii) pre-funded warrants to purchase 7,050,000 shares of common stock at a public offering price of $0.9499 per share of common stock underlying the warrants. The purchase price per share for each pre-funded warrant represents the per share offering price for the common stock, less the $0.0001 per share exercise price for each underlying share. Total net proceeds generated from the offering were approximately $63.4 million, after deducting underwriting discounts, commissions and other offering expenses payable by the Company.</w:t>
      </w:r>
    </w:p>
    <w:p>
      <w:pPr>
        <w:spacing w:after="0" w:line="70"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The pre-funded warrants are exercisable at any time on or after the date of issuance at the option of the holder, subject to a beneficial ownership blocker that may limit exercisability. No holder may exercise any portion of the warrants that would cause either the aggregate number of shares of common stock beneficially owned by such holder, together with its affiliates, to exceed 9.99%, or the combined voting power of the securities beneficially owned by such holder, together with its affiliates, to exceed 9.99%. A holder of a pre-funded warrant may increase or decrease this percentage up to 19.99% by providing at least 61 days’ prior notice to the Company. The pre-funded warrants do not expire. The pre-funded warrants may be settled through either physical or net share settlement. Following the occurrence of certain fundamental transactions, the holders of the pre-funded warrants have the right to receive upon exercise of the warrants the same amount and kind of securities, cash, or property as they would have been entitled to receive if they had been holders of the common shares issuable under the warrants immediately prior to such transaction. In the event of certain fundamental transactions where the consideration payable to the holders of shares of common stock consists solely of cash and/or marketable securities, the pre-funded warrants will automatically be deemed to be exercised in full pursuant to a cashless exercise effective immediately prior to and contingent upon the consummation of such transaction. As of June 30, 2023, none of the pre-funded warrants had been exercised and remain outstanding.</w:t>
      </w:r>
    </w:p>
    <w:p>
      <w:pPr>
        <w:spacing w:after="0" w:line="92" w:lineRule="exact"/>
        <w:rPr>
          <w:sz w:val="20"/>
          <w:szCs w:val="20"/>
          <w:color w:val="auto"/>
        </w:rPr>
      </w:pPr>
    </w:p>
    <w:p>
      <w:pPr>
        <w:ind w:right="40" w:firstLine="446"/>
        <w:spacing w:after="0" w:line="253" w:lineRule="auto"/>
        <w:rPr>
          <w:sz w:val="20"/>
          <w:szCs w:val="20"/>
          <w:color w:val="auto"/>
        </w:rPr>
      </w:pPr>
      <w:r>
        <w:rPr>
          <w:rFonts w:ascii="Arial" w:cs="Arial" w:eastAsia="Arial" w:hAnsi="Arial"/>
          <w:sz w:val="18"/>
          <w:szCs w:val="18"/>
          <w:color w:val="auto"/>
        </w:rPr>
        <w:t xml:space="preserve">The Company determined that the pre-funded warrants are freestanding financial instruments because they are both legally detachable and separately exercisable from the common stock sold in the offering. As such, the Company evaluated the pre-funded warrants to determine whether they represent instruments that require liability classification pursuant to the guidance in ASC 480. However, the Company concluded that the pre-funded warrants are not a liability within the scope of ASC 480 due to their characteristics. Further, the Company determined that the pre-funded warrants do not meet the definition of a derivative under ASC 815 because they do not meet the criteria regarding no or little initial net investment. Accordingly, the Company assessed the pre-funded warrants relative to the guidance in ASC No.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to determine the appropriate treatment. The Company concluded that the pre-funded warrants are both indexed to its own stock and meet all other conditions for equity classification. Accordingly, the Company has classified the pre-funded warrants as permanent equity.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4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364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10,114,195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8,838,028</w:t>
            </w:r>
          </w:p>
        </w:tc>
      </w:tr>
      <w:tr>
        <w:trPr>
          <w:trHeight w:val="21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Shares reserved for exercise of pre-funded warrants</w:t>
            </w:r>
          </w:p>
        </w:tc>
        <w:tc>
          <w:tcPr>
            <w:tcW w:w="1540" w:type="dxa"/>
            <w:vAlign w:val="bottom"/>
          </w:tcPr>
          <w:p>
            <w:pPr>
              <w:jc w:val="right"/>
              <w:spacing w:after="0"/>
              <w:rPr>
                <w:sz w:val="20"/>
                <w:szCs w:val="20"/>
                <w:color w:val="auto"/>
              </w:rPr>
            </w:pPr>
            <w:r>
              <w:rPr>
                <w:rFonts w:ascii="Arial" w:cs="Arial" w:eastAsia="Arial" w:hAnsi="Arial"/>
                <w:sz w:val="16"/>
                <w:szCs w:val="16"/>
                <w:color w:val="auto"/>
              </w:rPr>
              <w:t>7,050,000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and Incentive Plan</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2,343,012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1,650,955</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20" w:type="dxa"/>
            <w:vAlign w:val="bottom"/>
          </w:tcPr>
          <w:p>
            <w:pPr>
              <w:ind w:left="20"/>
              <w:spacing w:after="0"/>
              <w:rPr>
                <w:sz w:val="20"/>
                <w:szCs w:val="20"/>
                <w:color w:val="auto"/>
              </w:rPr>
            </w:pPr>
            <w:r>
              <w:rPr>
                <w:rFonts w:ascii="Arial" w:cs="Arial" w:eastAsia="Arial" w:hAnsi="Arial"/>
                <w:sz w:val="16"/>
                <w:szCs w:val="16"/>
                <w:color w:val="auto"/>
              </w:rPr>
              <w:t>Employee Stock Purchase Plan</w:t>
            </w:r>
          </w:p>
        </w:tc>
        <w:tc>
          <w:tcPr>
            <w:tcW w:w="1540" w:type="dxa"/>
            <w:vAlign w:val="bottom"/>
          </w:tcPr>
          <w:p>
            <w:pPr>
              <w:jc w:val="right"/>
              <w:spacing w:after="0"/>
              <w:rPr>
                <w:sz w:val="20"/>
                <w:szCs w:val="20"/>
                <w:color w:val="auto"/>
              </w:rPr>
            </w:pPr>
            <w:r>
              <w:rPr>
                <w:rFonts w:ascii="Arial" w:cs="Arial" w:eastAsia="Arial" w:hAnsi="Arial"/>
                <w:sz w:val="16"/>
                <w:szCs w:val="16"/>
                <w:color w:val="auto"/>
              </w:rPr>
              <w:t>932,077</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839,922</w:t>
            </w:r>
          </w:p>
        </w:tc>
      </w:tr>
      <w:tr>
        <w:trPr>
          <w:trHeight w:val="21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657,365</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743,950</w:t>
            </w:r>
          </w:p>
        </w:tc>
      </w:tr>
      <w:tr>
        <w:trPr>
          <w:trHeight w:val="213"/>
        </w:trPr>
        <w:tc>
          <w:tcPr>
            <w:tcW w:w="8060" w:type="dxa"/>
            <w:vAlign w:val="bottom"/>
            <w:gridSpan w:val="2"/>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40" w:type="dxa"/>
            <w:vAlign w:val="bottom"/>
          </w:tcPr>
          <w:p>
            <w:pPr>
              <w:jc w:val="right"/>
              <w:spacing w:after="0"/>
              <w:rPr>
                <w:sz w:val="20"/>
                <w:szCs w:val="20"/>
                <w:color w:val="auto"/>
              </w:rPr>
            </w:pPr>
            <w:r>
              <w:rPr>
                <w:rFonts w:ascii="Arial" w:cs="Arial" w:eastAsia="Arial" w:hAnsi="Arial"/>
                <w:sz w:val="16"/>
                <w:szCs w:val="16"/>
                <w:color w:val="auto"/>
              </w:rPr>
              <w:t>21,096,649</w:t>
            </w:r>
          </w:p>
        </w:tc>
        <w:tc>
          <w:tcPr>
            <w:tcW w:w="1640" w:type="dxa"/>
            <w:vAlign w:val="bottom"/>
            <w:gridSpan w:val="2"/>
          </w:tcPr>
          <w:p>
            <w:pPr>
              <w:jc w:val="right"/>
              <w:spacing w:after="0"/>
              <w:rPr>
                <w:sz w:val="20"/>
                <w:szCs w:val="20"/>
                <w:color w:val="auto"/>
              </w:rPr>
            </w:pPr>
            <w:r>
              <w:rPr>
                <w:rFonts w:ascii="Arial" w:cs="Arial" w:eastAsia="Arial" w:hAnsi="Arial"/>
                <w:sz w:val="16"/>
                <w:szCs w:val="16"/>
                <w:color w:val="auto"/>
              </w:rPr>
              <w:t>12,072,855</w:t>
            </w:r>
          </w:p>
        </w:tc>
      </w:tr>
      <w:tr>
        <w:trPr>
          <w:trHeight w:val="20"/>
        </w:trPr>
        <w:tc>
          <w:tcPr>
            <w:tcW w:w="36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27" w:lineRule="exact"/>
        <w:rPr>
          <w:sz w:val="20"/>
          <w:szCs w:val="20"/>
          <w:color w:val="auto"/>
        </w:rPr>
      </w:pPr>
    </w:p>
    <w:p>
      <w:pPr>
        <w:jc w:val="both"/>
        <w:ind w:right="20" w:firstLine="446"/>
        <w:spacing w:after="0" w:line="275" w:lineRule="auto"/>
        <w:rPr>
          <w:sz w:val="20"/>
          <w:szCs w:val="20"/>
          <w:color w:val="auto"/>
        </w:rPr>
      </w:pPr>
      <w:r>
        <w:rPr>
          <w:rFonts w:ascii="Arial" w:cs="Arial" w:eastAsia="Arial" w:hAnsi="Arial"/>
          <w:sz w:val="18"/>
          <w:szCs w:val="18"/>
          <w:color w:val="auto"/>
        </w:rPr>
        <w:t>As of June 30, 2023 and December 31, 2022, the authorized capital stock of the Company included 10,000,000 shares of undesignated preferred stock, $0.0001 par value.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6" w:name="page17"/>
    <w:bookmarkEnd w:id="16"/>
    <w:p>
      <w:pPr>
        <w:ind w:right="40" w:firstLine="446"/>
        <w:spacing w:after="0" w:line="275"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June 30, 2023 and December 31, 2022 was 9,918,602 shares and 7,449,480 shares,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27" w:lineRule="exact"/>
        <w:rPr>
          <w:sz w:val="20"/>
          <w:szCs w:val="20"/>
          <w:color w:val="auto"/>
        </w:rPr>
      </w:pPr>
    </w:p>
    <w:p>
      <w:pPr>
        <w:ind w:right="280" w:firstLine="446"/>
        <w:spacing w:after="0" w:line="263"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June 30, 2023 and December 31, 2022 was 5,937,763 shares. Any authorization to issue new options under the 2017 Plan was cancelled upon the effectiveness of the 2020 Plan and no further awards will be granted under the 2017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7" w:lineRule="exact"/>
        <w:rPr>
          <w:sz w:val="20"/>
          <w:szCs w:val="20"/>
          <w:color w:val="auto"/>
        </w:rPr>
      </w:pPr>
    </w:p>
    <w:p>
      <w:pPr>
        <w:ind w:right="620" w:firstLine="446"/>
        <w:spacing w:after="0" w:line="275"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June 30, 2023 and December 31, 2022 was 1,308,408 shares and 981,306 shares,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520" w:type="dxa"/>
            <w:vAlign w:val="bottom"/>
            <w:vMerge w:val="restart"/>
          </w:tcPr>
          <w:p>
            <w:pPr>
              <w:ind w:left="48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80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December 31, 2022</w:t>
            </w:r>
          </w:p>
        </w:tc>
        <w:tc>
          <w:tcPr>
            <w:tcW w:w="15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743,950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0" w:type="dxa"/>
            <w:vAlign w:val="bottom"/>
          </w:tcPr>
          <w:p>
            <w:pPr>
              <w:spacing w:after="0"/>
              <w:rPr>
                <w:sz w:val="1"/>
                <w:szCs w:val="1"/>
                <w:color w:val="auto"/>
              </w:rPr>
            </w:pPr>
          </w:p>
        </w:tc>
      </w:tr>
      <w:tr>
        <w:trPr>
          <w:trHeight w:val="213"/>
        </w:trPr>
        <w:tc>
          <w:tcPr>
            <w:tcW w:w="8040" w:type="dxa"/>
            <w:vAlign w:val="bottom"/>
          </w:tcPr>
          <w:p>
            <w:pPr>
              <w:ind w:left="240"/>
              <w:spacing w:after="0"/>
              <w:rPr>
                <w:sz w:val="20"/>
                <w:szCs w:val="20"/>
                <w:color w:val="auto"/>
              </w:rPr>
            </w:pPr>
            <w:r>
              <w:rPr>
                <w:rFonts w:ascii="Arial" w:cs="Arial" w:eastAsia="Arial" w:hAnsi="Arial"/>
                <w:sz w:val="16"/>
                <w:szCs w:val="16"/>
                <w:color w:val="auto"/>
              </w:rPr>
              <w:t>Issued</w:t>
            </w:r>
          </w:p>
        </w:tc>
        <w:tc>
          <w:tcPr>
            <w:tcW w:w="1520" w:type="dxa"/>
            <w:vAlign w:val="bottom"/>
          </w:tcPr>
          <w:p>
            <w:pPr>
              <w:jc w:val="center"/>
              <w:ind w:left="699"/>
              <w:spacing w:after="0"/>
              <w:rPr>
                <w:sz w:val="20"/>
                <w:szCs w:val="20"/>
                <w:color w:val="auto"/>
              </w:rPr>
            </w:pPr>
            <w:r>
              <w:rPr>
                <w:rFonts w:ascii="Arial" w:cs="Arial" w:eastAsia="Arial" w:hAnsi="Arial"/>
                <w:sz w:val="16"/>
                <w:szCs w:val="16"/>
                <w:color w:val="auto"/>
              </w:rPr>
              <w:t>308,550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20" w:type="dxa"/>
            <w:vAlign w:val="bottom"/>
            <w:shd w:val="clear" w:color="auto" w:fill="CCEEFF"/>
          </w:tcPr>
          <w:p>
            <w:pPr>
              <w:jc w:val="center"/>
              <w:ind w:left="719"/>
              <w:spacing w:after="0"/>
              <w:rPr>
                <w:sz w:val="20"/>
                <w:szCs w:val="20"/>
                <w:color w:val="auto"/>
              </w:rPr>
            </w:pPr>
            <w:r>
              <w:rPr>
                <w:rFonts w:ascii="Arial" w:cs="Arial" w:eastAsia="Arial" w:hAnsi="Arial"/>
                <w:sz w:val="16"/>
                <w:szCs w:val="16"/>
                <w:color w:val="auto"/>
                <w:w w:val="99"/>
              </w:rPr>
              <w:t>(183,611)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99"/>
              </w:rPr>
              <w:t>(211,524)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as of June 30, 2023</w:t>
            </w:r>
          </w:p>
        </w:tc>
        <w:tc>
          <w:tcPr>
            <w:tcW w:w="152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657,365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720" w:firstLine="446"/>
        <w:spacing w:after="0" w:line="275" w:lineRule="auto"/>
        <w:rPr>
          <w:sz w:val="20"/>
          <w:szCs w:val="20"/>
          <w:color w:val="auto"/>
        </w:rPr>
      </w:pPr>
      <w:r>
        <w:rPr>
          <w:rFonts w:ascii="Arial" w:cs="Arial" w:eastAsia="Arial" w:hAnsi="Arial"/>
          <w:sz w:val="18"/>
          <w:szCs w:val="18"/>
          <w:color w:val="auto"/>
        </w:rPr>
        <w:t>As of June 30, 2023, total unrecognized compensation cost related to unvested restricted stock units was $8.7 million, which is expected to be recognized over a weighted-average period of 2.27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Exercise Price</w:t>
            </w:r>
          </w:p>
        </w:tc>
        <w:tc>
          <w:tcPr>
            <w:tcW w:w="10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Contractual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per Share</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(In thousands)</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8,838,028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spacing w:after="0"/>
              <w:rPr>
                <w:sz w:val="20"/>
                <w:szCs w:val="20"/>
                <w:color w:val="auto"/>
              </w:rPr>
            </w:pPr>
            <w:r>
              <w:rPr>
                <w:rFonts w:ascii="Arial" w:cs="Arial" w:eastAsia="Arial" w:hAnsi="Arial"/>
                <w:sz w:val="16"/>
                <w:szCs w:val="16"/>
                <w:color w:val="auto"/>
              </w:rPr>
              <w:t>2,813,641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(1,492,830)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June 30,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10,114,195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6"/>
                <w:szCs w:val="16"/>
                <w:color w:val="auto"/>
              </w:rPr>
              <w:t>Exercisable as of June 30, 2023</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6"/>
                <w:szCs w:val="16"/>
                <w:color w:val="auto"/>
              </w:rPr>
              <w:t>7.28</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line="20" w:lineRule="exact"/>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4,922,220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13.13</w:t>
            </w:r>
          </w:p>
        </w:tc>
        <w:tc>
          <w:tcPr>
            <w:tcW w:w="162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June 30, 2023</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10,114,195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w:t>
      </w:r>
    </w:p>
    <w:p>
      <w:pPr>
        <w:spacing w:after="0" w:line="127" w:lineRule="exact"/>
        <w:rPr>
          <w:sz w:val="20"/>
          <w:szCs w:val="20"/>
          <w:color w:val="auto"/>
        </w:rPr>
      </w:pPr>
    </w:p>
    <w:p>
      <w:pPr>
        <w:ind w:right="160" w:firstLine="446"/>
        <w:spacing w:after="0" w:line="263"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six months ended June 30,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88.23 %</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2.12</w:t>
            </w:r>
          </w:p>
        </w:tc>
      </w:tr>
    </w:tbl>
    <w:p>
      <w:pPr>
        <w:spacing w:after="0" w:line="298" w:lineRule="exact"/>
        <w:rPr>
          <w:sz w:val="20"/>
          <w:szCs w:val="20"/>
          <w:color w:val="auto"/>
        </w:rPr>
      </w:pPr>
    </w:p>
    <w:p>
      <w:pPr>
        <w:ind w:right="240" w:firstLine="446"/>
        <w:spacing w:after="0" w:line="275" w:lineRule="auto"/>
        <w:rPr>
          <w:sz w:val="20"/>
          <w:szCs w:val="20"/>
          <w:color w:val="auto"/>
        </w:rPr>
      </w:pPr>
      <w:r>
        <w:rPr>
          <w:rFonts w:ascii="Arial" w:cs="Arial" w:eastAsia="Arial" w:hAnsi="Arial"/>
          <w:sz w:val="18"/>
          <w:szCs w:val="18"/>
          <w:color w:val="auto"/>
        </w:rPr>
        <w:t>As of June 30, 2023, total unrecognized compensation cost related to unvested stock options was $34.3 million, which is expected to be recognized over a weighted-average period of 1.87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2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9,296</w:t>
            </w: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10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27" w:lineRule="exact"/>
        <w:rPr>
          <w:sz w:val="20"/>
          <w:szCs w:val="20"/>
          <w:color w:val="auto"/>
        </w:rPr>
      </w:pPr>
    </w:p>
    <w:p>
      <w:pPr>
        <w:ind w:right="300" w:firstLine="446"/>
        <w:spacing w:after="0" w:line="263" w:lineRule="auto"/>
        <w:rPr>
          <w:sz w:val="20"/>
          <w:szCs w:val="20"/>
          <w:color w:val="auto"/>
        </w:rPr>
      </w:pPr>
      <w:r>
        <w:rPr>
          <w:rFonts w:ascii="Arial" w:cs="Arial" w:eastAsia="Arial" w:hAnsi="Arial"/>
          <w:sz w:val="18"/>
          <w:szCs w:val="18"/>
          <w:color w:val="auto"/>
        </w:rPr>
        <w:t>The following potential common shares, presented based on amounts outstanding at each period end, were excluded from the calculation of diluted net loss per share attributable to common stockholders for the periods indicated because including them would have been anti-dilutive:</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20" w:type="dxa"/>
            <w:vAlign w:val="bottom"/>
          </w:tcPr>
          <w:p>
            <w:pPr>
              <w:spacing w:after="0"/>
              <w:rPr>
                <w:sz w:val="18"/>
                <w:szCs w:val="18"/>
                <w:color w:val="auto"/>
              </w:rPr>
            </w:pPr>
          </w:p>
        </w:tc>
        <w:tc>
          <w:tcPr>
            <w:tcW w:w="204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w w:val="99"/>
              </w:rPr>
              <w:t>June 30,</w:t>
            </w:r>
          </w:p>
        </w:tc>
        <w:tc>
          <w:tcPr>
            <w:tcW w:w="1080" w:type="dxa"/>
            <w:vAlign w:val="bottom"/>
            <w:tcBorders>
              <w:bottom w:val="single" w:sz="8" w:color="auto"/>
            </w:tcBorders>
          </w:tcPr>
          <w:p>
            <w:pPr>
              <w:spacing w:after="0"/>
              <w:rPr>
                <w:sz w:val="18"/>
                <w:szCs w:val="18"/>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10,114,195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9,826,672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10,114,195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9,826,672</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657,365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856,287</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657,365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856,287</w:t>
            </w: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161,379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55,244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161,379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55,244</w:t>
            </w:r>
          </w:p>
        </w:tc>
      </w:tr>
      <w:tr>
        <w:trPr>
          <w:trHeight w:val="209"/>
        </w:trPr>
        <w:tc>
          <w:tcPr>
            <w:tcW w:w="48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10,932,939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10,738,203</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10,932,939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10,738,203</w:t>
            </w:r>
          </w:p>
        </w:tc>
      </w:tr>
      <w:tr>
        <w:trPr>
          <w:trHeight w:val="24"/>
        </w:trPr>
        <w:tc>
          <w:tcPr>
            <w:tcW w:w="482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284"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Common shares issuable upon exercise of the pre-funded warrants that were sold in connection with the June 2023 underwritten public offering are included in the calculation of weighted average number of common shares outstanding for the three and six months ended June 30, 2023. Consistent with the guidance in ASC 260-10-45-13, the underlying common shares are issuable for little to no consideration and there are no vesting conditions or contingencies associated with the warrants. Accordingly, the aggregate number of common shares underlying the pre-funded warrants have been considered outstanding for purposes of the calculation of net loss per share from the date of issuance.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27"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activities performed under the License Agreement. Expenses incurred during all periods presented were not material.</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7" w:lineRule="exact"/>
        <w:rPr>
          <w:sz w:val="20"/>
          <w:szCs w:val="20"/>
          <w:color w:val="auto"/>
        </w:rPr>
      </w:pPr>
    </w:p>
    <w:p>
      <w:pPr>
        <w:ind w:right="580" w:firstLine="446"/>
        <w:spacing w:after="0" w:line="275" w:lineRule="auto"/>
        <w:rPr>
          <w:sz w:val="20"/>
          <w:szCs w:val="20"/>
          <w:color w:val="auto"/>
        </w:rPr>
      </w:pPr>
      <w:r>
        <w:rPr>
          <w:rFonts w:ascii="Arial" w:cs="Arial" w:eastAsia="Arial" w:hAnsi="Arial"/>
          <w:sz w:val="18"/>
          <w:szCs w:val="18"/>
          <w:color w:val="auto"/>
        </w:rPr>
        <w:t>In June 2022, the Company began a strategic realignment across the Cerebrum™ and Solidus™ platforms, which resulted in a reduction of the Company’s workforce.</w:t>
      </w:r>
    </w:p>
    <w:p>
      <w:pPr>
        <w:spacing w:after="0" w:line="174"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The Company incurred $1.0 million of costs related to the realignment, of which $0.6 million was recognized in research and development expenses and $0.4 million was recognized in general and administrative expenses in the consolidated statement of operations during the three and six months ended June 30, 2022. These costs related to employee severance, benefits and related costs. As of December 31, 2022, all costs related to the strategic realignment had been paid.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7" w:lineRule="exact"/>
        <w:rPr>
          <w:sz w:val="20"/>
          <w:szCs w:val="20"/>
          <w:color w:val="auto"/>
        </w:rPr>
      </w:pPr>
    </w:p>
    <w:p>
      <w:pPr>
        <w:ind w:firstLine="446"/>
        <w:spacing w:after="0" w:line="263"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7, 2023.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sections of our Annual Report on Form 10-K for the year ended December 31, 2022, our Quarterly Report on Form 10-Q for the quarter ended March 31, 2023 and this Quarterly Report on Form 10-Q for the quarter ended June 30, 2023, our actual results could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We are a clinical-stage biopharmaceutical company translating insights from genetic epilepsies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both rare and more prevalent neurological disorders. We are applying genetic insights to the discovery and development of therapies for neurological disorders through two proprietary platforms, using our understanding of shared biological targets and circuits in the brain. Each platform currently has multiple programs, with significant potential for additional program and indication expansion:</w:t>
      </w:r>
    </w:p>
    <w:p>
      <w:pPr>
        <w:spacing w:after="0" w:line="169" w:lineRule="exact"/>
        <w:rPr>
          <w:sz w:val="20"/>
          <w:szCs w:val="20"/>
          <w:color w:val="auto"/>
        </w:rPr>
      </w:pPr>
    </w:p>
    <w:p>
      <w:pPr>
        <w:ind w:left="660" w:right="140" w:hanging="328"/>
        <w:spacing w:after="0" w:line="237"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b w:val="1"/>
          <w:bCs w:val="1"/>
          <w:i w:val="1"/>
          <w:iCs w:val="1"/>
          <w:color w:val="auto"/>
        </w:rPr>
        <w:t>Cerebrum</w:t>
      </w:r>
      <w:r>
        <w:rPr>
          <w:rFonts w:ascii="Arial" w:cs="Arial" w:eastAsia="Arial" w:hAnsi="Arial"/>
          <w:sz w:val="18"/>
          <w:szCs w:val="18"/>
          <w:color w:val="auto"/>
        </w:rPr>
        <w:t>™, our small molecule platform, utilizes deep understanding of neuronal excitability and neuronal networks and applies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of computational and experimental tools to develop orally available precision therapies</w:t>
      </w:r>
    </w:p>
    <w:p>
      <w:pPr>
        <w:spacing w:after="0" w:line="139" w:lineRule="exact"/>
        <w:rPr>
          <w:rFonts w:ascii="Arial" w:cs="Arial" w:eastAsia="Arial" w:hAnsi="Arial"/>
          <w:sz w:val="22"/>
          <w:szCs w:val="22"/>
          <w:color w:val="auto"/>
        </w:rPr>
      </w:pPr>
    </w:p>
    <w:p>
      <w:pPr>
        <w:ind w:left="660" w:right="200" w:hanging="328"/>
        <w:spacing w:after="0" w:line="28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Solidus</w:t>
      </w:r>
      <w:r>
        <w:rPr>
          <w:rFonts w:ascii="Arial" w:cs="Arial" w:eastAsia="Arial" w:hAnsi="Arial"/>
          <w:sz w:val="18"/>
          <w:szCs w:val="18"/>
          <w:color w:val="auto"/>
        </w:rPr>
        <w:t>™, our antisense oligonucleotide, or ASO, platform, is an efficient, targeted precision medicine discovery and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anchored on a proprietary, computational methodology</w:t>
      </w:r>
    </w:p>
    <w:p>
      <w:pPr>
        <w:spacing w:after="0" w:line="163"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Our platforms utilize a deliberate, pragmatic and patient-guided approach, leveraging a suite of translational tools, including novel transgenic and predictive translational animal models and electrophysiology markers, to enable an efficient path to proof-of-concept in patients. Through this approach, we have established a diversified, multimodal CNS portfolio with four clinical-stage product candidates across movement disorders and epilepsy. For our most advanced product candidate under the Cerebrum™ platform, ulixacaltamide (also known as PRAX-944), topline results from the Phase 2b Essential1 clinical trial in essential tremor, or ET, were announced in the first quarter of 2023. We intend to initiate two Phase 3 studies in ET in the fourth quarter of 2023, with topline results expected in the second half of 2024. We initiated the PRAX-562 Phase 2 EMBOLD study in the first quarter of 2023 and expect to announce topline results in the fourth quarter of 2023. We also announced positive results from our PRAX-628 Phase 1 study in May 2023. In June 2023, we initiated a Phase 2 proof of concept study evaluating PRAX-628 in patients with a Photo Paroxysmal Response, or PPR, with results anticipated by year-end 2023. Upon completion of the PPR study, we plan to initiate a Phase 2 study in focal epilepsy in the first half of 2024. For our most advanced product candidate under the Solidus™ platform, PRAX-222, we initiated the first dose cohort of our EMBRAVE study in the second quarter of 2023 and expect to announce topline results in the second half of 2023.</w:t>
      </w:r>
    </w:p>
    <w:p>
      <w:pPr>
        <w:spacing w:after="0" w:line="200"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contract development and manufacturing organizations and contract research organizations, or CROs, to conduct our preclinical and clinical activities. Since inception, we have financed our operations primarily with proceeds from the sale and issuance of equity securities.</w:t>
      </w:r>
    </w:p>
    <w:p>
      <w:pPr>
        <w:spacing w:after="0" w:line="192" w:lineRule="exact"/>
        <w:rPr>
          <w:sz w:val="20"/>
          <w:szCs w:val="20"/>
          <w:color w:val="auto"/>
        </w:rPr>
      </w:pPr>
    </w:p>
    <w:p>
      <w:pPr>
        <w:ind w:right="280" w:firstLine="446"/>
        <w:spacing w:after="0" w:line="258"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0" w:name="page21"/>
    <w:bookmarkEnd w:id="20"/>
    <w:p>
      <w:pPr>
        <w:ind w:right="100"/>
        <w:spacing w:after="0" w:line="256" w:lineRule="auto"/>
        <w:rPr>
          <w:sz w:val="20"/>
          <w:szCs w:val="20"/>
          <w:color w:val="auto"/>
        </w:rPr>
      </w:pPr>
      <w:r>
        <w:rPr>
          <w:rFonts w:ascii="Arial" w:cs="Arial" w:eastAsia="Arial" w:hAnsi="Arial"/>
          <w:sz w:val="18"/>
          <w:szCs w:val="18"/>
          <w:color w:val="auto"/>
        </w:rPr>
        <w:t>have incurred recurring operating losses since inception, including a net loss of $71.8 million for the six months ended June 30, 2023. As of June 30, 2023, we had an accumulated deficit of $602.4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3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lead product candidate, ulixacaltamide, to a late stage clinical trial for the treatment of 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PRAX-562 product candidate in the EMBOLD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PRAX-222 product candidate in the EMBRAVE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PRAX-628 product candidate;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71" w:lineRule="exact"/>
        <w:rPr>
          <w:rFonts w:ascii="Arial" w:cs="Arial" w:eastAsia="Arial" w:hAnsi="Arial"/>
          <w:sz w:val="18"/>
          <w:szCs w:val="18"/>
          <w:color w:val="auto"/>
        </w:rPr>
      </w:pPr>
    </w:p>
    <w:p>
      <w:pPr>
        <w:ind w:left="660" w:right="660" w:hanging="328"/>
        <w:spacing w:after="0" w:line="27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92"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0" w:lineRule="exact"/>
        <w:rPr>
          <w:sz w:val="20"/>
          <w:szCs w:val="20"/>
          <w:color w:val="auto"/>
        </w:rPr>
      </w:pPr>
    </w:p>
    <w:p>
      <w:pPr>
        <w:ind w:right="260" w:firstLine="446"/>
        <w:spacing w:after="0" w:line="255" w:lineRule="auto"/>
        <w:rPr>
          <w:sz w:val="20"/>
          <w:szCs w:val="20"/>
          <w:color w:val="auto"/>
        </w:rPr>
      </w:pPr>
      <w:r>
        <w:rPr>
          <w:rFonts w:ascii="Arial" w:cs="Arial" w:eastAsia="Arial" w:hAnsi="Arial"/>
          <w:sz w:val="18"/>
          <w:szCs w:val="18"/>
          <w:color w:val="auto"/>
        </w:rPr>
        <w:t>As of June 30, 2023, we had cash and cash equivalents of $124.3 million. We believe that our cash and cash equivalents as of June 30, 2023 will enable us to fund our operating expenses and capital expenditures into the first quarter of 2025. We have based this analysis on our current financial needs and ongoing research and development plans, which are limited to advancing product candidates through, but not beyond, their current clinical trials and our ulixacaltamide Phase 3 clinical trials in ET. We have based our assessment on assumptions that may prove to be wrong, and we could use our capital resources sooner than we currently expect. See “—Liquidity and Capital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7" w:lineRule="exact"/>
        <w:rPr>
          <w:sz w:val="20"/>
          <w:szCs w:val="20"/>
          <w:color w:val="auto"/>
        </w:rPr>
      </w:pPr>
    </w:p>
    <w:p>
      <w:pPr>
        <w:ind w:firstLine="446"/>
        <w:spacing w:after="0" w:line="275" w:lineRule="auto"/>
        <w:rPr>
          <w:sz w:val="20"/>
          <w:szCs w:val="20"/>
          <w:color w:val="auto"/>
        </w:rPr>
      </w:pPr>
      <w:r>
        <w:rPr>
          <w:rFonts w:ascii="Arial" w:cs="Arial" w:eastAsia="Arial" w:hAnsi="Arial"/>
          <w:sz w:val="18"/>
          <w:szCs w:val="18"/>
          <w:color w:val="auto"/>
        </w:rPr>
        <w:t>We have not generated any revenue from the sale of products since inception and do not expect to generate any revenue from the sale of products for several years, if at all. As discussed in Note 7 to our condensed</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2" w:right="379" w:bottom="1440" w:gutter="0" w:footer="0" w:header="0"/>
        </w:sectPr>
      </w:pPr>
    </w:p>
    <w:bookmarkStart w:id="21" w:name="page22"/>
    <w:bookmarkEnd w:id="21"/>
    <w:p>
      <w:pPr>
        <w:ind w:right="120"/>
        <w:spacing w:after="0" w:line="263" w:lineRule="auto"/>
        <w:rPr>
          <w:sz w:val="20"/>
          <w:szCs w:val="20"/>
          <w:color w:val="auto"/>
        </w:rPr>
      </w:pPr>
      <w:r>
        <w:rPr>
          <w:rFonts w:ascii="Arial" w:cs="Arial" w:eastAsia="Arial" w:hAnsi="Arial"/>
          <w:sz w:val="18"/>
          <w:szCs w:val="18"/>
          <w:color w:val="auto"/>
        </w:rPr>
        <w:t>consolidated financial statements, we entered into an Option and License Agreement, or the Collaboration Agreement, with UCB Biopharma SRL, or UCB, in December 2022. We recognized $0.8 million and $1.5 million of collaboration revenue from the Collaboration Agreement during the three and six ended June 30, 2023,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5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our IP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460" w:right="5360" w:hanging="128"/>
        <w:spacing w:after="0" w:line="438" w:lineRule="auto"/>
        <w:tabs>
          <w:tab w:leader="none" w:pos="66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The costs above comprise the following categories: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80" w:hanging="328"/>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60" w:hanging="328"/>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19" w:lineRule="exact"/>
        <w:rPr>
          <w:rFonts w:ascii="Arial" w:cs="Arial" w:eastAsia="Arial" w:hAnsi="Arial"/>
          <w:sz w:val="18"/>
          <w:szCs w:val="18"/>
          <w:color w:val="auto"/>
        </w:rPr>
      </w:pPr>
    </w:p>
    <w:p>
      <w:pPr>
        <w:ind w:left="660" w:right="380" w:hanging="328"/>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such as information technology, incurred as a result of our research and development activities.</w:t>
      </w:r>
    </w:p>
    <w:p>
      <w:pPr>
        <w:spacing w:after="0" w:line="174" w:lineRule="exact"/>
        <w:rPr>
          <w:sz w:val="20"/>
          <w:szCs w:val="20"/>
          <w:color w:val="auto"/>
        </w:rPr>
      </w:pPr>
    </w:p>
    <w:p>
      <w:pPr>
        <w:ind w:right="120" w:firstLine="446"/>
        <w:spacing w:after="0" w:line="254"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condensed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195" w:lineRule="exact"/>
        <w:rPr>
          <w:sz w:val="20"/>
          <w:szCs w:val="20"/>
          <w:color w:val="auto"/>
        </w:rPr>
      </w:pPr>
    </w:p>
    <w:p>
      <w:pPr>
        <w:ind w:right="20" w:firstLine="446"/>
        <w:spacing w:after="0" w:line="256"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We track direct external research and development expenses to specific platforms and product candidates upon commencement. Due to the number of ongoing studies and our ability to use resources across platforms, indirect or shared operating costs incurred for our research and development platforms, such as personnel, facility costs and certain consulting costs, are not recorded or maintained on a platform-specific basis.</w:t>
      </w:r>
    </w:p>
    <w:p>
      <w:pPr>
        <w:spacing w:after="0" w:line="192" w:lineRule="exact"/>
        <w:rPr>
          <w:sz w:val="20"/>
          <w:szCs w:val="20"/>
          <w:color w:val="auto"/>
        </w:rPr>
      </w:pPr>
    </w:p>
    <w:p>
      <w:pPr>
        <w:ind w:right="60" w:firstLine="446"/>
        <w:spacing w:after="0" w:line="275"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platform and indirect or shared operating costs recognized as research and development expenses during each period presented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5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rPr>
              <w:t>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104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26,472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60,427</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Solidus™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9,922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10,228</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21,876</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r>
      <w:tr>
        <w:trPr>
          <w:trHeight w:val="233"/>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040" w:type="dxa"/>
            <w:vAlign w:val="bottom"/>
            <w:gridSpan w:val="2"/>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43,620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96,272</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4"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22" w:name="page23"/>
    <w:bookmarkEnd w:id="22"/>
    <w:p>
      <w:pPr>
        <w:ind w:firstLine="446"/>
        <w:spacing w:after="0" w:line="256"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192" w:lineRule="exact"/>
        <w:rPr>
          <w:sz w:val="20"/>
          <w:szCs w:val="20"/>
          <w:color w:val="auto"/>
        </w:rPr>
      </w:pPr>
    </w:p>
    <w:p>
      <w:pPr>
        <w:ind w:right="120" w:firstLine="446"/>
        <w:spacing w:after="0" w:line="258"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30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2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19" w:lineRule="exact"/>
        <w:rPr>
          <w:rFonts w:ascii="Arial" w:cs="Arial" w:eastAsia="Arial" w:hAnsi="Arial"/>
          <w:sz w:val="18"/>
          <w:szCs w:val="18"/>
          <w:color w:val="auto"/>
        </w:rPr>
      </w:pPr>
    </w:p>
    <w:p>
      <w:pPr>
        <w:ind w:left="660" w:right="26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19" w:lineRule="exact"/>
        <w:rPr>
          <w:rFonts w:ascii="Arial" w:cs="Arial" w:eastAsia="Arial" w:hAnsi="Arial"/>
          <w:sz w:val="18"/>
          <w:szCs w:val="18"/>
          <w:color w:val="auto"/>
        </w:rPr>
      </w:pPr>
    </w:p>
    <w:p>
      <w:pPr>
        <w:ind w:left="660" w:right="2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19" w:lineRule="exact"/>
        <w:rPr>
          <w:rFonts w:ascii="Arial" w:cs="Arial" w:eastAsia="Arial" w:hAnsi="Arial"/>
          <w:sz w:val="18"/>
          <w:szCs w:val="18"/>
          <w:color w:val="auto"/>
        </w:rPr>
      </w:pPr>
    </w:p>
    <w:p>
      <w:pPr>
        <w:ind w:left="660" w:right="26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19" w:lineRule="exact"/>
        <w:rPr>
          <w:rFonts w:ascii="Arial" w:cs="Arial" w:eastAsia="Arial" w:hAnsi="Arial"/>
          <w:sz w:val="18"/>
          <w:szCs w:val="18"/>
          <w:color w:val="auto"/>
        </w:rPr>
      </w:pPr>
    </w:p>
    <w:p>
      <w:pPr>
        <w:ind w:left="660" w:right="120" w:hanging="328"/>
        <w:spacing w:after="0" w:line="27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continued acceptable safety profiles of our product candidates.</w:t>
      </w:r>
    </w:p>
    <w:p>
      <w:pPr>
        <w:spacing w:after="0" w:line="225"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right="120" w:firstLine="446"/>
        <w:spacing w:after="0" w:line="256"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w:t>
      </w:r>
    </w:p>
    <w:p>
      <w:pPr>
        <w:sectPr>
          <w:pgSz w:w="11900" w:h="16838" w:orient="portrait"/>
          <w:cols w:equalWidth="0" w:num="1">
            <w:col w:w="11240"/>
          </w:cols>
          <w:pgMar w:left="320" w:top="1112"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type w:val="continuous"/>
        </w:sectPr>
      </w:pPr>
    </w:p>
    <w:bookmarkStart w:id="23" w:name="page24"/>
    <w:bookmarkEnd w:id="23"/>
    <w:p>
      <w:pPr>
        <w:ind w:right="100"/>
        <w:spacing w:after="0" w:line="263" w:lineRule="auto"/>
        <w:rPr>
          <w:sz w:val="20"/>
          <w:szCs w:val="20"/>
          <w:color w:val="auto"/>
        </w:rPr>
      </w:pPr>
      <w:r>
        <w:rPr>
          <w:rFonts w:ascii="Arial" w:cs="Arial" w:eastAsia="Arial" w:hAnsi="Arial"/>
          <w:sz w:val="18"/>
          <w:szCs w:val="18"/>
          <w:color w:val="auto"/>
        </w:rPr>
        <w:t>which include direct depreciation costs and allocated expenses for office rent and other operating costs, such as information technology. Costs to secure and defend our IP are expensed as incurred and are classified as general and administrative expenses. These costs relate to the operation of the business and are unrelated to the research and development function or any individual platform or product candidate.</w:t>
      </w:r>
    </w:p>
    <w:p>
      <w:pPr>
        <w:spacing w:after="0" w:line="184" w:lineRule="exact"/>
        <w:rPr>
          <w:sz w:val="20"/>
          <w:szCs w:val="20"/>
          <w:color w:val="auto"/>
        </w:rPr>
      </w:pPr>
    </w:p>
    <w:p>
      <w:pPr>
        <w:ind w:right="60" w:firstLine="446"/>
        <w:spacing w:after="0" w:line="258"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23" w:lineRule="exact"/>
        <w:rPr>
          <w:sz w:val="20"/>
          <w:szCs w:val="20"/>
          <w:color w:val="auto"/>
        </w:rPr>
      </w:pPr>
    </w:p>
    <w:p>
      <w:pPr>
        <w:ind w:right="920" w:firstLine="446"/>
        <w:spacing w:after="0" w:line="275"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7" w:lineRule="exact"/>
        <w:rPr>
          <w:sz w:val="20"/>
          <w:szCs w:val="20"/>
          <w:color w:val="auto"/>
        </w:rPr>
      </w:pPr>
    </w:p>
    <w:p>
      <w:pPr>
        <w:ind w:right="140" w:firstLine="446"/>
        <w:spacing w:after="0" w:line="256"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There was no income tax provision recognized for the three and six months ended June 30, 2023 and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(18,006)</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(24,653)</w:t>
            </w:r>
          </w:p>
        </w:tc>
        <w:tc>
          <w:tcPr>
            <w:tcW w:w="0" w:type="dxa"/>
            <w:vAlign w:val="bottom"/>
          </w:tcPr>
          <w:p>
            <w:pPr>
              <w:spacing w:after="0"/>
              <w:rPr>
                <w:sz w:val="1"/>
                <w:szCs w:val="1"/>
                <w:color w:val="auto"/>
              </w:rPr>
            </w:pP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(34,960)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(60,394)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25,434</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(34,312)</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(60,194)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25,882</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23" w:lineRule="exact"/>
        <w:rPr>
          <w:sz w:val="20"/>
          <w:szCs w:val="20"/>
          <w:color w:val="auto"/>
        </w:rPr>
      </w:pPr>
    </w:p>
    <w:p>
      <w:pPr>
        <w:jc w:val="both"/>
        <w:ind w:right="40" w:firstLine="446"/>
        <w:spacing w:after="0" w:line="275" w:lineRule="auto"/>
        <w:rPr>
          <w:sz w:val="20"/>
          <w:szCs w:val="20"/>
          <w:color w:val="auto"/>
        </w:rPr>
      </w:pPr>
      <w:r>
        <w:rPr>
          <w:rFonts w:ascii="Arial" w:cs="Arial" w:eastAsia="Arial" w:hAnsi="Arial"/>
          <w:sz w:val="18"/>
          <w:szCs w:val="18"/>
          <w:color w:val="auto"/>
        </w:rPr>
        <w:t>The $0.8 million increase in collaboration revenue is associated with the revenue recorded as research services are provided and costs are incurred under the Collaboration Agreement with UCB that was executed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23" w:lineRule="exact"/>
        <w:rPr>
          <w:sz w:val="20"/>
          <w:szCs w:val="20"/>
          <w:color w:val="auto"/>
        </w:rPr>
      </w:pPr>
    </w:p>
    <w:p>
      <w:pPr>
        <w:ind w:right="240" w:firstLine="446"/>
        <w:spacing w:after="0" w:line="275"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26,472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(19,582)</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5,736</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(18,006)</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$18.0 million decrease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$19.6 million decrease in expense related to our Cerebrum™ platform, driven primarily by:</w:t>
      </w:r>
    </w:p>
    <w:p>
      <w:pPr>
        <w:spacing w:after="0" w:line="171" w:lineRule="exact"/>
        <w:rPr>
          <w:rFonts w:ascii="Arial" w:cs="Arial" w:eastAsia="Arial" w:hAnsi="Arial"/>
          <w:sz w:val="18"/>
          <w:szCs w:val="18"/>
          <w:color w:val="auto"/>
        </w:rPr>
      </w:pPr>
    </w:p>
    <w:p>
      <w:pPr>
        <w:ind w:left="1300" w:right="340" w:hanging="320"/>
        <w:spacing w:after="0" w:line="275"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$11.5 million decrease in clinical-related spend for our PRAX-114 program due to our strategic realignment in the second quarter of 2022;</w:t>
      </w:r>
    </w:p>
    <w:p>
      <w:pPr>
        <w:spacing w:after="0" w:line="119" w:lineRule="exact"/>
        <w:rPr>
          <w:rFonts w:ascii="Arial" w:cs="Arial" w:eastAsia="Arial" w:hAnsi="Arial"/>
          <w:sz w:val="18"/>
          <w:szCs w:val="18"/>
          <w:color w:val="auto"/>
        </w:rPr>
      </w:pPr>
    </w:p>
    <w:p>
      <w:pPr>
        <w:ind w:left="1300" w:right="140" w:hanging="320"/>
        <w:spacing w:after="0" w:line="275"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$3.5 million decrease in spend for our PRAX-562 program, primarily related to prior year manufacturing spend and Phase 1 trial spend, partially offset by current quarter costs related to the EMBOLD Phase 2 clinical trial;</w:t>
      </w:r>
    </w:p>
    <w:p>
      <w:pPr>
        <w:spacing w:after="0" w:line="119" w:lineRule="exact"/>
        <w:rPr>
          <w:rFonts w:ascii="Arial" w:cs="Arial" w:eastAsia="Arial" w:hAnsi="Arial"/>
          <w:sz w:val="18"/>
          <w:szCs w:val="18"/>
          <w:color w:val="auto"/>
        </w:rPr>
      </w:pPr>
    </w:p>
    <w:p>
      <w:pPr>
        <w:ind w:left="1300" w:right="40" w:hanging="320"/>
        <w:spacing w:after="0" w:line="280" w:lineRule="auto"/>
        <w:tabs>
          <w:tab w:leader="none" w:pos="1303" w:val="left"/>
        </w:tabs>
        <w:numPr>
          <w:ilvl w:val="1"/>
          <w:numId w:val="12"/>
        </w:numPr>
        <w:rPr>
          <w:rFonts w:ascii="Arial" w:cs="Arial" w:eastAsia="Arial" w:hAnsi="Arial"/>
          <w:sz w:val="20"/>
          <w:szCs w:val="20"/>
          <w:color w:val="auto"/>
        </w:rPr>
      </w:pPr>
      <w:r>
        <w:rPr>
          <w:rFonts w:ascii="Arial" w:cs="Arial" w:eastAsia="Arial" w:hAnsi="Arial"/>
          <w:sz w:val="18"/>
          <w:szCs w:val="18"/>
          <w:color w:val="auto"/>
        </w:rPr>
        <w:t>$3.7 million decrease in spend for our ulixacaltamide program, primarily due to prior year manufacturing and Phase 1 spend, as well as decreased activity related to our Essential1 study;</w:t>
      </w:r>
    </w:p>
    <w:p>
      <w:pPr>
        <w:spacing w:after="0" w:line="111" w:lineRule="exact"/>
        <w:rPr>
          <w:rFonts w:ascii="Arial" w:cs="Arial" w:eastAsia="Arial" w:hAnsi="Arial"/>
          <w:sz w:val="20"/>
          <w:szCs w:val="20"/>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$1.6 million decrease in activities for our earlier stage assets;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$0.7 million increase in spend for our PRAX-628 Phase 1 clinical trial.</w:t>
      </w:r>
    </w:p>
    <w:p>
      <w:pPr>
        <w:spacing w:after="0" w:line="171" w:lineRule="exact"/>
        <w:rPr>
          <w:rFonts w:ascii="Arial" w:cs="Arial" w:eastAsia="Arial" w:hAnsi="Arial"/>
          <w:sz w:val="18"/>
          <w:szCs w:val="18"/>
          <w:color w:val="auto"/>
        </w:rPr>
      </w:pPr>
    </w:p>
    <w:p>
      <w:pPr>
        <w:jc w:val="both"/>
        <w:ind w:left="660" w:right="18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$5.7 million increase in expense related to our Solidus™ platform, driven primarily by a $6.9 million milestone payment due to Ionis Pharmaceuticals Inc., or Ionis, upon initiation of our PRAX-222 EMBRAVE study, offset by decreased activities for our earlier stage assets;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 million decrease in personnel-related costs due to decreased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$0.2 million decrease in indirect expenses, none of which were individually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$6.6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$3.6 million decrease in consulting expenses and professional fees;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 million decrease in personnel costs due to decreased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$0.6 million decrease in other general and administrative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23" w:lineRule="exact"/>
        <w:rPr>
          <w:sz w:val="20"/>
          <w:szCs w:val="20"/>
          <w:color w:val="auto"/>
        </w:rPr>
      </w:pPr>
    </w:p>
    <w:p>
      <w:pPr>
        <w:ind w:firstLine="446"/>
        <w:spacing w:after="0" w:line="275" w:lineRule="auto"/>
        <w:rPr>
          <w:sz w:val="20"/>
          <w:szCs w:val="20"/>
          <w:color w:val="auto"/>
        </w:rPr>
      </w:pPr>
      <w:r>
        <w:rPr>
          <w:rFonts w:ascii="Arial" w:cs="Arial" w:eastAsia="Arial" w:hAnsi="Arial"/>
          <w:sz w:val="18"/>
          <w:szCs w:val="18"/>
          <w:color w:val="auto"/>
        </w:rPr>
        <w:t>Other income for the three months ended June 30, 2023 and 2022 was comprised of interest income on our cash, cash equivalents and marketable securities and investment premium and discount amortization.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condensed consolidated statements of operations for each period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(45,154)</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23,397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(9,574)</w:t>
            </w: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129,243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(54,728)</w:t>
            </w:r>
          </w:p>
        </w:tc>
        <w:tc>
          <w:tcPr>
            <w:tcW w:w="0" w:type="dxa"/>
            <w:vAlign w:val="bottom"/>
          </w:tcPr>
          <w:p>
            <w:pPr>
              <w:spacing w:after="0"/>
              <w:rPr>
                <w:sz w:val="1"/>
                <w:szCs w:val="1"/>
                <w:color w:val="auto"/>
              </w:rPr>
            </w:pPr>
          </w:p>
        </w:tc>
      </w:tr>
      <w:tr>
        <w:trPr>
          <w:trHeight w:val="207"/>
        </w:trPr>
        <w:tc>
          <w:tcPr>
            <w:tcW w:w="646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(73,051)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(129,243)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56,192</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09"/>
        </w:trPr>
        <w:tc>
          <w:tcPr>
            <w:tcW w:w="6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13"/>
        </w:trPr>
        <w:tc>
          <w:tcPr>
            <w:tcW w:w="64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(71,767)</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(128,911)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57,144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23" w:lineRule="exact"/>
        <w:rPr>
          <w:sz w:val="20"/>
          <w:szCs w:val="20"/>
          <w:color w:val="auto"/>
        </w:rPr>
      </w:pPr>
    </w:p>
    <w:p>
      <w:pPr>
        <w:jc w:val="both"/>
        <w:ind w:right="40" w:firstLine="446"/>
        <w:spacing w:after="0" w:line="275" w:lineRule="auto"/>
        <w:rPr>
          <w:sz w:val="20"/>
          <w:szCs w:val="20"/>
          <w:color w:val="auto"/>
        </w:rPr>
      </w:pPr>
      <w:r>
        <w:rPr>
          <w:rFonts w:ascii="Arial" w:cs="Arial" w:eastAsia="Arial" w:hAnsi="Arial"/>
          <w:sz w:val="18"/>
          <w:szCs w:val="18"/>
          <w:color w:val="auto"/>
        </w:rPr>
        <w:t>The $1.5 million increase in collaboration revenue is associated with the revenue recorded as research services are provided and costs are incurred under the Collaboration Agreement with UCB that was executed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23" w:lineRule="exact"/>
        <w:rPr>
          <w:sz w:val="20"/>
          <w:szCs w:val="20"/>
          <w:color w:val="auto"/>
        </w:rPr>
      </w:pPr>
    </w:p>
    <w:p>
      <w:pPr>
        <w:ind w:right="240" w:firstLine="446"/>
        <w:spacing w:after="0" w:line="275"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Cerebrum™</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60,427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(42,402)</w:t>
            </w:r>
          </w:p>
        </w:tc>
        <w:tc>
          <w:tcPr>
            <w:tcW w:w="0" w:type="dxa"/>
            <w:vAlign w:val="bottom"/>
          </w:tcPr>
          <w:p>
            <w:pPr>
              <w:spacing w:after="0"/>
              <w:rPr>
                <w:sz w:val="1"/>
                <w:szCs w:val="1"/>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Solidus™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3,296</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w:t>
            </w:r>
          </w:p>
        </w:tc>
        <w:tc>
          <w:tcPr>
            <w:tcW w:w="0" w:type="dxa"/>
            <w:vAlign w:val="bottom"/>
          </w:tcPr>
          <w:p>
            <w:pPr>
              <w:spacing w:after="0"/>
              <w:rPr>
                <w:sz w:val="1"/>
                <w:szCs w:val="1"/>
                <w:color w:val="auto"/>
              </w:rPr>
            </w:pPr>
          </w:p>
        </w:tc>
      </w:tr>
      <w:tr>
        <w:trPr>
          <w:trHeight w:val="213"/>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3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51,118</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96,272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$45.2 million decrease in research and development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$42.4 million decrease in expense related to our Cerebrum™ platform, driven primarily by:</w:t>
      </w:r>
    </w:p>
    <w:p>
      <w:pPr>
        <w:spacing w:after="0" w:line="171" w:lineRule="exact"/>
        <w:rPr>
          <w:rFonts w:ascii="Arial" w:cs="Arial" w:eastAsia="Arial" w:hAnsi="Arial"/>
          <w:sz w:val="18"/>
          <w:szCs w:val="18"/>
          <w:color w:val="auto"/>
        </w:rPr>
      </w:pPr>
    </w:p>
    <w:p>
      <w:pPr>
        <w:ind w:left="1300" w:right="320" w:hanging="320"/>
        <w:spacing w:after="0" w:line="27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$26.1 million decrease in clinical-related spend for our PRAX-114 program due to our strategic realignment in the second quarter of 2022;</w:t>
      </w:r>
    </w:p>
    <w:p>
      <w:pPr>
        <w:spacing w:after="0" w:line="119" w:lineRule="exact"/>
        <w:rPr>
          <w:rFonts w:ascii="Arial" w:cs="Arial" w:eastAsia="Arial" w:hAnsi="Arial"/>
          <w:sz w:val="18"/>
          <w:szCs w:val="18"/>
          <w:color w:val="auto"/>
        </w:rPr>
      </w:pPr>
    </w:p>
    <w:p>
      <w:pPr>
        <w:ind w:left="1300" w:right="80" w:hanging="320"/>
        <w:spacing w:after="0" w:line="264" w:lineRule="auto"/>
        <w:tabs>
          <w:tab w:leader="none" w:pos="1303" w:val="left"/>
        </w:tabs>
        <w:numPr>
          <w:ilvl w:val="1"/>
          <w:numId w:val="14"/>
        </w:numPr>
        <w:rPr>
          <w:rFonts w:ascii="Arial" w:cs="Arial" w:eastAsia="Arial" w:hAnsi="Arial"/>
          <w:sz w:val="20"/>
          <w:szCs w:val="20"/>
          <w:color w:val="auto"/>
        </w:rPr>
      </w:pPr>
      <w:r>
        <w:rPr>
          <w:rFonts w:ascii="Arial" w:cs="Arial" w:eastAsia="Arial" w:hAnsi="Arial"/>
          <w:sz w:val="18"/>
          <w:szCs w:val="18"/>
          <w:color w:val="auto"/>
        </w:rPr>
        <w:t>$10.2 million decrease in spend for our PRAX-562 program primarily related to prior year manufacturing spend and Phase 1 trial spending, partially offset by costs related to our EMBOLD Phase 2 clinical trial in 2023;</w:t>
      </w:r>
    </w:p>
    <w:p>
      <w:pPr>
        <w:spacing w:after="0" w:line="126" w:lineRule="exact"/>
        <w:rPr>
          <w:rFonts w:ascii="Arial" w:cs="Arial" w:eastAsia="Arial" w:hAnsi="Arial"/>
          <w:sz w:val="20"/>
          <w:szCs w:val="20"/>
          <w:color w:val="auto"/>
        </w:rPr>
      </w:pPr>
    </w:p>
    <w:p>
      <w:pPr>
        <w:ind w:left="1300" w:right="320" w:hanging="320"/>
        <w:spacing w:after="0" w:line="275"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$4.9 million decrease in spend for our ulixacaltamide program, primarily due to prior year manufacturing spend as well as Phase 2a and Phase 1 trial spend, partially offset by increased Essential1 study activity in 2023;</w:t>
      </w:r>
    </w:p>
    <w:p>
      <w:pPr>
        <w:spacing w:after="0" w:line="119"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$4.0 million decrease in activities for our earlier stage assets;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$2.8 million increase in spend for our PRAX-628 Phase 1 clinical 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 million decrease in personnel-related costs due to decreased headcount;</w:t>
      </w:r>
    </w:p>
    <w:p>
      <w:pPr>
        <w:spacing w:after="0" w:line="171"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$3.3 million increase in expense related to our Solidus™ platform, driven primarily by initiation of the PRAX-222 EMBRAVE study in 2023 and associated $6.9 million milestone due to Ionis, partially offset by manufacturing expenses incurred in the prior year and a $2.0 million license fee expensed and paid to Ionis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6" w:name="page27"/>
    <w:bookmarkEnd w:id="26"/>
    <w:p>
      <w:pPr>
        <w:ind w:left="660" w:right="200"/>
        <w:spacing w:after="0" w:line="275" w:lineRule="auto"/>
        <w:rPr>
          <w:sz w:val="20"/>
          <w:szCs w:val="20"/>
          <w:color w:val="auto"/>
        </w:rPr>
      </w:pPr>
      <w:r>
        <w:rPr>
          <w:rFonts w:ascii="Arial" w:cs="Arial" w:eastAsia="Arial" w:hAnsi="Arial"/>
          <w:sz w:val="18"/>
          <w:szCs w:val="18"/>
          <w:color w:val="auto"/>
        </w:rPr>
        <w:t>in January 2022 upon exercise of our exclusive option to obtain the rights and license to further develop and commercialize PRAX-222; and</w:t>
      </w:r>
    </w:p>
    <w:p>
      <w:pPr>
        <w:spacing w:after="0" w:line="12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$0.9 million increase in indirect expenses, none of which were individually significant.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$9.6 million decrease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$4.9 million decrease in professional fees and consulting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$3.1 million decrease in personnel-related costs due to decreased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$1.6 million decrease in other general and administrative expenses, including insurance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23" w:lineRule="exact"/>
        <w:rPr>
          <w:sz w:val="20"/>
          <w:szCs w:val="20"/>
          <w:color w:val="auto"/>
        </w:rPr>
      </w:pPr>
    </w:p>
    <w:p>
      <w:pPr>
        <w:ind w:right="200" w:firstLine="446"/>
        <w:spacing w:after="0" w:line="275" w:lineRule="auto"/>
        <w:rPr>
          <w:sz w:val="20"/>
          <w:szCs w:val="20"/>
          <w:color w:val="auto"/>
        </w:rPr>
      </w:pPr>
      <w:r>
        <w:rPr>
          <w:rFonts w:ascii="Arial" w:cs="Arial" w:eastAsia="Arial" w:hAnsi="Arial"/>
          <w:sz w:val="18"/>
          <w:szCs w:val="18"/>
          <w:color w:val="auto"/>
        </w:rPr>
        <w:t>Other income for the six months ended June 30, 2023 and 2022 was comprised of interest income on our cash, cash equivalents and marketable securities and investment premium and discount amortization.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7" w:lineRule="exact"/>
        <w:rPr>
          <w:sz w:val="20"/>
          <w:szCs w:val="20"/>
          <w:color w:val="auto"/>
        </w:rPr>
      </w:pPr>
    </w:p>
    <w:p>
      <w:pPr>
        <w:jc w:val="both"/>
        <w:ind w:right="20" w:firstLine="446"/>
        <w:spacing w:after="0" w:line="263"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184"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follow-on public offerings and at-the-market offerings under our shelf registration statement. From inception through June 30, 2023, we have raised $613.6 million in aggregate cash proceeds from such transactions, net of issuance costs. As of June 30, 2023, we had cash and cash equivalents of $124.3 million.</w:t>
      </w:r>
    </w:p>
    <w:p>
      <w:pPr>
        <w:spacing w:after="0" w:line="190"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In November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acted as sales agent. We terminated the Sales Agreement in June 2023. During the three months ended June 30, 2023, we issued and sold 5,888,128 shares under the Sales Agreement for aggregate net proceeds of $6.0 million after deducting commissions. During the six months ended June 30, 2023, we issued and sold 14,291,937 shares under the sales agreement for aggregate net proceeds of $24.1 million. We issued and sold a total of 18,279,207 shares under the Sales Agreement for aggregate net proceeds of $40.7 million after deducting commissions and offering expenses payable by us.</w:t>
      </w:r>
    </w:p>
    <w:p>
      <w:pPr>
        <w:spacing w:after="0" w:line="195"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On June 21, 2023, we completed a public offering of: (i) an aggregate of 64,449,690 shares of common stock at a public offering price of $0.95 per share, including the underwriters' full exercise of their option to purchase 9,299,690 additional shares of common stock, and (ii) pre-funded warrants to purchase 7,050,000 shares of common stock at a public offering price of $0.9499 per share. The purchase prices per share for each pre-funded warrant represents the per share offering price for the common stock, less the $0.0001 per share exercise price for each underlying share. Total net proceeds generated from the offering were approximately $63.4 million, after deducting underwriting discounts, commissions and other offering expenses payable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27" w:name="page28"/>
    <w:bookmarkEnd w:id="27"/>
    <w:p>
      <w:pPr>
        <w:jc w:val="center"/>
        <w:ind w:left="8060"/>
        <w:spacing w:after="0"/>
        <w:rPr>
          <w:sz w:val="20"/>
          <w:szCs w:val="20"/>
          <w:color w:val="auto"/>
        </w:rPr>
      </w:pPr>
      <w:r>
        <w:rPr>
          <w:rFonts w:ascii="Arial" w:cs="Arial" w:eastAsia="Arial" w:hAnsi="Arial"/>
          <w:sz w:val="16"/>
          <w:szCs w:val="16"/>
          <w:b w:val="1"/>
          <w:bCs w:val="1"/>
          <w:color w:val="auto"/>
        </w:rPr>
        <w:t>Six Months Ended</w:t>
      </w:r>
    </w:p>
    <w:p>
      <w:pPr>
        <w:jc w:val="center"/>
        <w:ind w:left="8060"/>
        <w:spacing w:after="0"/>
        <w:rPr>
          <w:sz w:val="20"/>
          <w:szCs w:val="20"/>
          <w:color w:val="auto"/>
        </w:rPr>
      </w:pPr>
      <w:r>
        <w:rPr>
          <w:rFonts w:ascii="Arial" w:cs="Arial" w:eastAsia="Arial" w:hAnsi="Arial"/>
          <w:sz w:val="16"/>
          <w:szCs w:val="16"/>
          <w:b w:val="1"/>
          <w:bCs w:val="1"/>
          <w:color w:val="auto"/>
        </w:rPr>
        <w:t>June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left="459"/>
              <w:spacing w:after="0"/>
              <w:rPr>
                <w:sz w:val="20"/>
                <w:szCs w:val="20"/>
                <w:color w:val="auto"/>
              </w:rPr>
            </w:pPr>
            <w:r>
              <w:rPr>
                <w:rFonts w:ascii="Arial" w:cs="Arial" w:eastAsia="Arial" w:hAnsi="Arial"/>
                <w:sz w:val="16"/>
                <w:szCs w:val="16"/>
                <w:color w:val="auto"/>
              </w:rPr>
              <w:t>(64,060)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(111,318)</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rPr>
              <w:t>39,000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26,340</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87,745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center"/>
              <w:ind w:left="479"/>
              <w:spacing w:after="0"/>
              <w:rPr>
                <w:sz w:val="20"/>
                <w:szCs w:val="20"/>
                <w:color w:val="auto"/>
              </w:rPr>
            </w:pPr>
            <w:r>
              <w:rPr>
                <w:rFonts w:ascii="Arial" w:cs="Arial" w:eastAsia="Arial" w:hAnsi="Arial"/>
                <w:sz w:val="16"/>
                <w:szCs w:val="16"/>
                <w:color w:val="auto"/>
              </w:rPr>
              <w:t>62,685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23"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192" w:lineRule="exact"/>
        <w:rPr>
          <w:sz w:val="20"/>
          <w:szCs w:val="20"/>
          <w:color w:val="auto"/>
        </w:rPr>
      </w:pPr>
    </w:p>
    <w:p>
      <w:pPr>
        <w:ind w:right="80" w:firstLine="446"/>
        <w:spacing w:after="0" w:line="263" w:lineRule="auto"/>
        <w:rPr>
          <w:sz w:val="20"/>
          <w:szCs w:val="20"/>
          <w:color w:val="auto"/>
        </w:rPr>
      </w:pPr>
      <w:r>
        <w:rPr>
          <w:rFonts w:ascii="Arial" w:cs="Arial" w:eastAsia="Arial" w:hAnsi="Arial"/>
          <w:sz w:val="18"/>
          <w:szCs w:val="18"/>
          <w:color w:val="auto"/>
        </w:rPr>
        <w:t>During the six months ended June 30, 2023, net cash used in operating activities of $64.1 million was primarily due to our $71.8 million net loss and $6.3 million in changes in operating assets and liabilities primarily related to decreases in accrued expenses and accounts payable, partially offset by $14.0 million of non-cash charges primarily related to stock-based compensation.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2022, net cash used in operating activities of $111.3 million was primarily due to our</w:t>
      </w:r>
    </w:p>
    <w:p>
      <w:pPr>
        <w:spacing w:after="0" w:line="21"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$128.9 million net loss, partially offset by $16.7 million of non-cash charges primarily related to stock-based compensation, and $0.9 million in changes in operating assets and liabilities primarily related to an increase in accounts payable and a decrease in prepaid expenses and other current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23" w:lineRule="exact"/>
        <w:rPr>
          <w:sz w:val="20"/>
          <w:szCs w:val="20"/>
          <w:color w:val="auto"/>
        </w:rPr>
      </w:pPr>
    </w:p>
    <w:p>
      <w:pPr>
        <w:ind w:right="580" w:firstLine="446"/>
        <w:spacing w:after="0" w:line="275" w:lineRule="auto"/>
        <w:rPr>
          <w:sz w:val="20"/>
          <w:szCs w:val="20"/>
          <w:color w:val="auto"/>
        </w:rPr>
      </w:pPr>
      <w:r>
        <w:rPr>
          <w:rFonts w:ascii="Arial" w:cs="Arial" w:eastAsia="Arial" w:hAnsi="Arial"/>
          <w:sz w:val="18"/>
          <w:szCs w:val="18"/>
          <w:color w:val="auto"/>
        </w:rPr>
        <w:t>During the six months ended June 30, 2023, net cash provided by investing activities of $39.0 million was related to maturities of marketable securities.</w:t>
      </w:r>
    </w:p>
    <w:p>
      <w:pPr>
        <w:spacing w:after="0" w:line="174" w:lineRule="exact"/>
        <w:rPr>
          <w:sz w:val="20"/>
          <w:szCs w:val="20"/>
          <w:color w:val="auto"/>
        </w:rPr>
      </w:pPr>
    </w:p>
    <w:p>
      <w:pPr>
        <w:ind w:right="60" w:firstLine="446"/>
        <w:spacing w:after="0" w:line="275" w:lineRule="auto"/>
        <w:rPr>
          <w:sz w:val="20"/>
          <w:szCs w:val="20"/>
          <w:color w:val="auto"/>
        </w:rPr>
      </w:pPr>
      <w:r>
        <w:rPr>
          <w:rFonts w:ascii="Arial" w:cs="Arial" w:eastAsia="Arial" w:hAnsi="Arial"/>
          <w:sz w:val="18"/>
          <w:szCs w:val="18"/>
          <w:color w:val="auto"/>
        </w:rPr>
        <w:t>During the six months ended June 30, 2022, net cash provided by investing activities of $26.3 million was primarily related to maturities of marketable securities, partially offset by purchases of marketable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23" w:lineRule="exact"/>
        <w:rPr>
          <w:sz w:val="20"/>
          <w:szCs w:val="20"/>
          <w:color w:val="auto"/>
        </w:rPr>
      </w:pPr>
    </w:p>
    <w:p>
      <w:pPr>
        <w:ind w:right="740" w:firstLine="446"/>
        <w:spacing w:after="0" w:line="275" w:lineRule="auto"/>
        <w:rPr>
          <w:sz w:val="20"/>
          <w:szCs w:val="20"/>
          <w:color w:val="auto"/>
        </w:rPr>
      </w:pPr>
      <w:r>
        <w:rPr>
          <w:rFonts w:ascii="Arial" w:cs="Arial" w:eastAsia="Arial" w:hAnsi="Arial"/>
          <w:sz w:val="18"/>
          <w:szCs w:val="18"/>
          <w:color w:val="auto"/>
        </w:rPr>
        <w:t>During the six months ended June 30, 2023, net cash provided by financing activities of $87.7 million consisted primarily of net proceeds from at-the-market offerings and our June 2023 follow-on public offering.</w:t>
      </w:r>
    </w:p>
    <w:p>
      <w:pPr>
        <w:spacing w:after="0" w:line="174" w:lineRule="exact"/>
        <w:rPr>
          <w:sz w:val="20"/>
          <w:szCs w:val="20"/>
          <w:color w:val="auto"/>
        </w:rPr>
      </w:pPr>
    </w:p>
    <w:p>
      <w:pPr>
        <w:ind w:right="40" w:firstLine="446"/>
        <w:spacing w:after="0" w:line="263" w:lineRule="auto"/>
        <w:rPr>
          <w:sz w:val="20"/>
          <w:szCs w:val="20"/>
          <w:color w:val="auto"/>
        </w:rPr>
      </w:pPr>
      <w:r>
        <w:rPr>
          <w:rFonts w:ascii="Arial" w:cs="Arial" w:eastAsia="Arial" w:hAnsi="Arial"/>
          <w:sz w:val="18"/>
          <w:szCs w:val="18"/>
          <w:color w:val="auto"/>
        </w:rPr>
        <w:t>During the six months ended June 30, 2022, net cash provided by financing activities of $1.7 million consisted primarily of net proceeds from at-the-market offerings of $1.4 million and proceeds from purchases of common stock under our employee stock purchase plan and from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27" w:lineRule="exact"/>
        <w:rPr>
          <w:sz w:val="20"/>
          <w:szCs w:val="20"/>
          <w:color w:val="auto"/>
        </w:rPr>
      </w:pPr>
    </w:p>
    <w:p>
      <w:pPr>
        <w:jc w:val="both"/>
        <w:ind w:right="180" w:firstLine="446"/>
        <w:spacing w:after="0" w:line="285"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1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Cerebrum™ and Solidus™ platforms;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8" w:name="page29"/>
    <w:bookmarkEnd w:id="28"/>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6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75" w:lineRule="exact"/>
        <w:rPr>
          <w:rFonts w:ascii="Arial" w:cs="Arial" w:eastAsia="Arial" w:hAnsi="Arial"/>
          <w:sz w:val="18"/>
          <w:szCs w:val="18"/>
          <w:color w:val="auto"/>
        </w:rPr>
      </w:pPr>
    </w:p>
    <w:p>
      <w:pPr>
        <w:ind w:left="660" w:right="380" w:hanging="328"/>
        <w:spacing w:after="0" w:line="27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74" w:lineRule="exact"/>
        <w:rPr>
          <w:sz w:val="20"/>
          <w:szCs w:val="20"/>
          <w:color w:val="auto"/>
        </w:rPr>
      </w:pPr>
    </w:p>
    <w:p>
      <w:pPr>
        <w:jc w:val="both"/>
        <w:ind w:right="120" w:firstLine="446"/>
        <w:spacing w:after="0" w:line="258"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and cash equivalents as of June 30, 2023 will enable us to fund our operating expenses and capital expenditure requirements into the first quarter of 2025. However, we have based this estimate on assumptions that may prove to be wrong and we could exhaust our capital resources sooner than we expect.</w:t>
      </w:r>
    </w:p>
    <w:p>
      <w:pPr>
        <w:spacing w:after="0" w:line="190"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82"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platforms and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17" w:lineRule="exact"/>
        <w:rPr>
          <w:rFonts w:ascii="Arial" w:cs="Arial" w:eastAsia="Arial" w:hAnsi="Arial"/>
          <w:sz w:val="18"/>
          <w:szCs w:val="18"/>
          <w:color w:val="auto"/>
        </w:rPr>
      </w:pPr>
    </w:p>
    <w:p>
      <w:pPr>
        <w:ind w:left="820" w:right="20" w:hanging="326"/>
        <w:spacing w:after="0" w:line="275"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65" w:lineRule="exact"/>
        <w:rPr>
          <w:rFonts w:ascii="Arial" w:cs="Arial" w:eastAsia="Arial" w:hAnsi="Arial"/>
          <w:sz w:val="18"/>
          <w:szCs w:val="18"/>
          <w:color w:val="auto"/>
        </w:rPr>
      </w:pPr>
    </w:p>
    <w:p>
      <w:pPr>
        <w:ind w:left="820" w:right="40" w:hanging="326"/>
        <w:spacing w:after="0" w:line="275"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65" w:lineRule="exact"/>
        <w:rPr>
          <w:rFonts w:ascii="Arial" w:cs="Arial" w:eastAsia="Arial" w:hAnsi="Arial"/>
          <w:sz w:val="18"/>
          <w:szCs w:val="18"/>
          <w:color w:val="auto"/>
        </w:rPr>
      </w:pPr>
    </w:p>
    <w:p>
      <w:pPr>
        <w:ind w:left="820" w:right="80" w:hanging="326"/>
        <w:spacing w:after="0" w:line="275"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6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820" w:right="20" w:hanging="326"/>
        <w:spacing w:after="0" w:line="263"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184"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92" w:lineRule="exact"/>
        <w:rPr>
          <w:sz w:val="20"/>
          <w:szCs w:val="20"/>
          <w:color w:val="auto"/>
        </w:rPr>
      </w:pPr>
    </w:p>
    <w:p>
      <w:pPr>
        <w:ind w:right="180" w:firstLine="446"/>
        <w:spacing w:after="0" w:line="275"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could also adversely impact our ability to access capital as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8" w:right="359" w:bottom="1440" w:gutter="0" w:footer="0" w:header="0"/>
        </w:sectPr>
      </w:pPr>
    </w:p>
    <w:bookmarkStart w:id="29" w:name="page30"/>
    <w:bookmarkEnd w:id="29"/>
    <w:p>
      <w:pPr>
        <w:ind w:right="140"/>
        <w:spacing w:after="0" w:line="255" w:lineRule="auto"/>
        <w:rPr>
          <w:sz w:val="20"/>
          <w:szCs w:val="20"/>
          <w:color w:val="auto"/>
        </w:rPr>
      </w:pPr>
      <w:r>
        <w:rPr>
          <w:rFonts w:ascii="Arial" w:cs="Arial" w:eastAsia="Arial" w:hAnsi="Arial"/>
          <w:sz w:val="18"/>
          <w:szCs w:val="18"/>
          <w:color w:val="auto"/>
        </w:rPr>
        <w:t>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192" w:lineRule="exact"/>
        <w:rPr>
          <w:sz w:val="20"/>
          <w:szCs w:val="20"/>
          <w:color w:val="auto"/>
        </w:rPr>
      </w:pPr>
    </w:p>
    <w:p>
      <w:pPr>
        <w:ind w:right="140" w:firstLine="446"/>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7"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20" w:firstLine="446"/>
        <w:spacing w:after="0" w:line="258"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7, 2023, other than as disclosed in Note 2 to our condensed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7" w:lineRule="exact"/>
        <w:rPr>
          <w:sz w:val="20"/>
          <w:szCs w:val="20"/>
          <w:color w:val="auto"/>
        </w:rPr>
      </w:pPr>
    </w:p>
    <w:p>
      <w:pPr>
        <w:ind w:right="20" w:firstLine="446"/>
        <w:spacing w:after="0" w:line="263"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7"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cash, cash equivalents and marketable securities we may hold at any time may be in the form of money market funds or marketable debt securities or may be invested in U.S. Treasury and U.S. government agency obligations. However, because of the short-term nature and low risk profile of the instruments in our portfolio at any given time, an immediate change in market interest rates of 100 basis points would not have a material impact on our financial position or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27" w:lineRule="exact"/>
        <w:rPr>
          <w:sz w:val="20"/>
          <w:szCs w:val="20"/>
          <w:color w:val="auto"/>
        </w:rPr>
      </w:pPr>
    </w:p>
    <w:p>
      <w:pPr>
        <w:jc w:val="both"/>
        <w:ind w:right="100" w:firstLine="446"/>
        <w:spacing w:after="0" w:line="258"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0" w:name="page31"/>
    <w:bookmarkEnd w:id="30"/>
    <w:p>
      <w:pPr>
        <w:spacing w:after="0" w:line="255" w:lineRule="auto"/>
        <w:rPr>
          <w:sz w:val="20"/>
          <w:szCs w:val="20"/>
          <w:color w:val="auto"/>
        </w:rPr>
      </w:pPr>
      <w:r>
        <w:rPr>
          <w:rFonts w:ascii="Arial" w:cs="Arial" w:eastAsia="Arial" w:hAnsi="Arial"/>
          <w:sz w:val="18"/>
          <w:szCs w:val="18"/>
          <w:color w:val="auto"/>
        </w:rPr>
        <w:t>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92" w:lineRule="exact"/>
        <w:rPr>
          <w:sz w:val="20"/>
          <w:szCs w:val="20"/>
          <w:color w:val="auto"/>
        </w:rPr>
      </w:pPr>
    </w:p>
    <w:p>
      <w:pPr>
        <w:ind w:right="60" w:firstLine="446"/>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2023. Based on the evaluation of our disclosure controls and procedures as of June 30, 2023, our Chief Executive Officer and Chief Financial Officer concluded that, as of such date, our disclosure controls and procedures were effective at the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7" w:lineRule="exact"/>
        <w:rPr>
          <w:sz w:val="20"/>
          <w:szCs w:val="20"/>
          <w:color w:val="auto"/>
        </w:rPr>
      </w:pPr>
    </w:p>
    <w:p>
      <w:pPr>
        <w:ind w:right="120" w:firstLine="446"/>
        <w:spacing w:after="0" w:line="275"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4" w:right="37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7" w:lineRule="exact"/>
        <w:rPr>
          <w:sz w:val="20"/>
          <w:szCs w:val="20"/>
          <w:color w:val="auto"/>
        </w:rPr>
      </w:pPr>
    </w:p>
    <w:p>
      <w:pPr>
        <w:ind w:firstLine="446"/>
        <w:spacing w:after="0" w:line="258"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7" w:lineRule="exact"/>
        <w:rPr>
          <w:sz w:val="20"/>
          <w:szCs w:val="20"/>
          <w:color w:val="auto"/>
        </w:rPr>
      </w:pPr>
    </w:p>
    <w:p>
      <w:pPr>
        <w:ind w:right="180" w:firstLine="446"/>
        <w:spacing w:after="0" w:line="258" w:lineRule="auto"/>
        <w:rPr>
          <w:sz w:val="20"/>
          <w:szCs w:val="20"/>
          <w:color w:val="auto"/>
        </w:rPr>
      </w:pPr>
      <w:r>
        <w:rPr>
          <w:rFonts w:ascii="Arial" w:cs="Arial" w:eastAsia="Arial" w:hAnsi="Arial"/>
          <w:sz w:val="18"/>
          <w:szCs w:val="18"/>
          <w:color w:val="auto"/>
        </w:rPr>
        <w:t>The risk factors set forth below update, and should be read in conjunction with, the risk factors previously disclosed in the section entitled "Risk Factors" of our Annual Report on Form 10-K for the year ended December 31, 2022 filed with the SEC on February 7, 2023 and in the section entitled "Risk Factors" of our Quarterly Report on Form 10-Q for the quarter ended March 31, 2023 filed with the SEC on May 11, 2023.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Common Stock</w:t>
      </w:r>
    </w:p>
    <w:p>
      <w:pPr>
        <w:spacing w:after="0" w:line="107"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i w:val="1"/>
          <w:iCs w:val="1"/>
          <w:color w:val="auto"/>
        </w:rPr>
        <w:t>Future issuances of our common stock or the issuance of shares of common stock upon the exercise or conversion of securities that are exercisable or convertible into shares of common stock, such as our pre-funded warrants, or upon the exercise or vesting of incentive awards, may result in dilution for our stockholders.</w:t>
      </w:r>
    </w:p>
    <w:p>
      <w:pPr>
        <w:spacing w:after="0" w:line="189"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We have needed and anticipate we will need additional capital in the future to continue our planned operations. To the extent that we raise additional capital by issuing equity securities, our stockholders may experience substantial dilution.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222"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We have outstanding pre-funded warrants to purchase 7,050,000 shares of common stock at an exercise price of $0.0001 per share,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could result in substantial dilution to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June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repurchases of shares of common stock during the three months ended June 30, 2023.</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20"/>
          </w:cols>
          <w:pgMar w:left="320" w:top="131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8"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5. Other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0"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40" w:type="dxa"/>
            <w:vAlign w:val="bottom"/>
            <w:gridSpan w:val="4"/>
          </w:tcPr>
          <w:p>
            <w:pPr>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40" w:type="dxa"/>
            <w:vAlign w:val="bottom"/>
            <w:gridSpan w:val="12"/>
            <w:vMerge w:val="restart"/>
          </w:tcPr>
          <w:p>
            <w:pPr>
              <w:ind w:left="2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940" w:type="dxa"/>
            <w:vAlign w:val="bottom"/>
            <w:tcBorders>
              <w:bottom w:val="single" w:sz="8" w:color="auto"/>
            </w:tcBorders>
            <w:gridSpan w:val="1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gridSpan w:val="2"/>
          </w:tcPr>
          <w:p>
            <w:pPr>
              <w:ind w:left="20"/>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40" w:type="dxa"/>
            <w:vAlign w:val="bottom"/>
            <w:gridSpan w:val="13"/>
          </w:tcPr>
          <w:p>
            <w:pPr>
              <w:spacing w:after="0"/>
              <w:rPr>
                <w:rFonts w:ascii="Arial" w:cs="Arial" w:eastAsia="Arial" w:hAnsi="Arial"/>
                <w:sz w:val="18"/>
                <w:szCs w:val="18"/>
                <w:color w:val="0000FF"/>
              </w:rPr>
            </w:pPr>
            <w:hyperlink r:id="rId55">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reference to Exhibit 3.1 to the Registrant's Current Report on Form 8-K (File No. 001-39620) filed on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80" w:type="dxa"/>
            <w:vAlign w:val="bottom"/>
            <w:tcBorders>
              <w:top w:val="single" w:sz="8" w:color="0000FF"/>
            </w:tcBorders>
            <w:gridSpan w:val="7"/>
          </w:tcPr>
          <w:p>
            <w:pPr>
              <w:spacing w:after="0" w:line="169" w:lineRule="exact"/>
              <w:rPr>
                <w:rFonts w:ascii="Arial" w:cs="Arial" w:eastAsia="Arial" w:hAnsi="Arial"/>
                <w:sz w:val="18"/>
                <w:szCs w:val="18"/>
                <w:color w:val="0000FF"/>
              </w:rPr>
            </w:pPr>
            <w:hyperlink r:id="rId55">
              <w:r>
                <w:rPr>
                  <w:rFonts w:ascii="Arial" w:cs="Arial" w:eastAsia="Arial" w:hAnsi="Arial"/>
                  <w:sz w:val="18"/>
                  <w:szCs w:val="18"/>
                  <w:color w:val="0000FF"/>
                </w:rPr>
                <w:t>October 20, 2020).</w:t>
              </w:r>
            </w:hyperlink>
          </w:p>
        </w:tc>
        <w:tc>
          <w:tcPr>
            <w:tcW w:w="2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80" w:type="dxa"/>
            <w:vAlign w:val="bottom"/>
            <w:gridSpan w:val="2"/>
          </w:tcPr>
          <w:p>
            <w:pPr>
              <w:ind w:left="20"/>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gridSpan w:val="13"/>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Registrant's Current Report on Form 8-K (File No. 001-39620) filed on January 7,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0" w:type="dxa"/>
            <w:vAlign w:val="bottom"/>
            <w:gridSpan w:val="2"/>
          </w:tcPr>
          <w:p>
            <w:pPr>
              <w:ind w:left="20"/>
              <w:spacing w:after="0"/>
              <w:rPr>
                <w:rFonts w:ascii="Arial" w:cs="Arial" w:eastAsia="Arial" w:hAnsi="Arial"/>
                <w:sz w:val="18"/>
                <w:szCs w:val="18"/>
                <w:color w:val="0000FF"/>
                <w:w w:val="95"/>
              </w:rPr>
            </w:pPr>
            <w:hyperlink r:id="rId57">
              <w:r>
                <w:rPr>
                  <w:rFonts w:ascii="Arial" w:cs="Arial" w:eastAsia="Arial" w:hAnsi="Arial"/>
                  <w:sz w:val="18"/>
                  <w:szCs w:val="18"/>
                  <w:color w:val="0000FF"/>
                  <w:w w:val="95"/>
                </w:rPr>
                <w:t>4.</w:t>
              </w:r>
              <w:r>
                <w:rPr>
                  <w:rFonts w:ascii="Arial" w:cs="Arial" w:eastAsia="Arial" w:hAnsi="Arial"/>
                  <w:sz w:val="18"/>
                  <w:szCs w:val="18"/>
                  <w:u w:val="single" w:color="auto"/>
                  <w:color w:val="0000FF"/>
                  <w:w w:val="95"/>
                </w:rPr>
                <w:t>1</w:t>
              </w:r>
            </w:hyperlink>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3"/>
          </w:tcPr>
          <w:p>
            <w:pPr>
              <w:spacing w:after="0"/>
              <w:rPr>
                <w:rFonts w:ascii="Arial" w:cs="Arial" w:eastAsia="Arial" w:hAnsi="Arial"/>
                <w:sz w:val="18"/>
                <w:szCs w:val="18"/>
                <w:color w:val="0000FF"/>
              </w:rPr>
            </w:pPr>
            <w:hyperlink r:id="rId57">
              <w:r>
                <w:rPr>
                  <w:rFonts w:ascii="Arial" w:cs="Arial" w:eastAsia="Arial" w:hAnsi="Arial"/>
                  <w:sz w:val="18"/>
                  <w:szCs w:val="18"/>
                  <w:color w:val="0000FF"/>
                </w:rPr>
                <w:t>Form of Pre-funded Warrant (incorporated by reference to Exhibit 4.1 to the Registrant's Current Report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on Form 8-K (File No. 001-39620) filed on June 20, 2023.</w:t>
              </w:r>
            </w:hyperlink>
          </w:p>
        </w:tc>
        <w:tc>
          <w:tcPr>
            <w:tcW w:w="3660" w:type="dxa"/>
            <w:vAlign w:val="bottom"/>
            <w:tcBorders>
              <w:top w:val="single" w:sz="8" w:color="0000FF"/>
            </w:tcBorders>
            <w:gridSpan w:val="7"/>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40" w:type="dxa"/>
            <w:vAlign w:val="bottom"/>
            <w:gridSpan w:val="13"/>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40" w:type="dxa"/>
            <w:vAlign w:val="bottom"/>
            <w:gridSpan w:val="13"/>
          </w:tcPr>
          <w:p>
            <w:pPr>
              <w:spacing w:after="0" w:line="169" w:lineRule="exact"/>
              <w:rPr>
                <w:sz w:val="20"/>
                <w:szCs w:val="20"/>
                <w:color w:val="auto"/>
              </w:rPr>
            </w:pPr>
            <w:r>
              <w:rPr>
                <w:rFonts w:ascii="Arial" w:cs="Arial" w:eastAsia="Arial" w:hAnsi="Arial"/>
                <w:sz w:val="18"/>
                <w:szCs w:val="18"/>
                <w:color w:val="0000FF"/>
                <w:w w:val="99"/>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264"/>
        </w:trPr>
        <w:tc>
          <w:tcPr>
            <w:tcW w:w="440" w:type="dxa"/>
            <w:vAlign w:val="bottom"/>
            <w:gridSpan w:val="3"/>
          </w:tcPr>
          <w:p>
            <w:pPr>
              <w:ind w:left="20"/>
              <w:spacing w:after="0"/>
              <w:rPr>
                <w:sz w:val="20"/>
                <w:szCs w:val="20"/>
                <w:color w:val="auto"/>
              </w:rPr>
            </w:pPr>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under the Securities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20" w:type="dxa"/>
            <w:vAlign w:val="bottom"/>
            <w:gridSpan w:val="4"/>
          </w:tcPr>
          <w:p>
            <w:pPr>
              <w:ind w:left="20"/>
              <w:spacing w:after="0"/>
              <w:rPr>
                <w:sz w:val="20"/>
                <w:szCs w:val="20"/>
                <w:color w:val="auto"/>
              </w:rPr>
            </w:pPr>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w:t>
            </w:r>
          </w:p>
        </w:tc>
        <w:tc>
          <w:tcPr>
            <w:tcW w:w="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4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Section 1350, as Adopted Pursuant to Section 906 of the Sarbanes-Oxley Act of 2002.</w:t>
            </w:r>
          </w:p>
        </w:tc>
        <w:tc>
          <w:tcPr>
            <w:tcW w:w="9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15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4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right="3580" w:firstLine="26"/>
        <w:spacing w:after="0" w:line="312" w:lineRule="auto"/>
        <w:tabs>
          <w:tab w:leader="none" w:pos="1357"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340" w:hanging="332"/>
        <w:spacing w:after="0" w:line="254" w:lineRule="auto"/>
        <w:tabs>
          <w:tab w:leader="none" w:pos="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5" w:lineRule="exact"/>
        <w:rPr>
          <w:sz w:val="20"/>
          <w:szCs w:val="20"/>
          <w:color w:val="auto"/>
        </w:rPr>
      </w:pPr>
    </w:p>
    <w:p>
      <w:pPr>
        <w:ind w:right="380" w:firstLine="446"/>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PRAXIS PRECISION MEDICINES, INC.</w:t>
      </w:r>
    </w:p>
    <w:p>
      <w:pPr>
        <w:spacing w:after="0" w:line="303" w:lineRule="exact"/>
        <w:rPr>
          <w:sz w:val="20"/>
          <w:szCs w:val="20"/>
          <w:color w:val="auto"/>
        </w:rPr>
      </w:pPr>
    </w:p>
    <w:p>
      <w:pPr>
        <w:ind w:left="20"/>
        <w:spacing w:after="0"/>
        <w:tabs>
          <w:tab w:leader="none" w:pos="740" w:val="left"/>
          <w:tab w:leader="none" w:pos="5460" w:val="left"/>
          <w:tab w:leader="none" w:pos="8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13970</wp:posOffset>
            </wp:positionV>
            <wp:extent cx="31807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6"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Marcio Souza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20"/>
        <w:spacing w:after="0"/>
        <w:rPr>
          <w:sz w:val="20"/>
          <w:szCs w:val="20"/>
          <w:color w:val="auto"/>
        </w:rPr>
      </w:pPr>
      <w:r>
        <w:rPr>
          <w:rFonts w:ascii="Arial" w:cs="Arial" w:eastAsia="Arial" w:hAnsi="Arial"/>
          <w:sz w:val="18"/>
          <w:szCs w:val="18"/>
          <w:b w:val="1"/>
          <w:bCs w:val="1"/>
          <w:color w:val="auto"/>
        </w:rPr>
        <w:t>Officer)</w:t>
      </w:r>
    </w:p>
    <w:p>
      <w:pPr>
        <w:spacing w:after="0" w:line="281" w:lineRule="exact"/>
        <w:rPr>
          <w:sz w:val="20"/>
          <w:szCs w:val="20"/>
          <w:color w:val="auto"/>
        </w:rPr>
      </w:pPr>
    </w:p>
    <w:p>
      <w:pPr>
        <w:ind w:left="20"/>
        <w:spacing w:after="0"/>
        <w:tabs>
          <w:tab w:leader="none" w:pos="740" w:val="left"/>
          <w:tab w:leader="none" w:pos="5460" w:val="left"/>
          <w:tab w:leader="none" w:pos="8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22225</wp:posOffset>
            </wp:positionV>
            <wp:extent cx="31807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180715" cy="8255"/>
                    </a:xfrm>
                    <a:prstGeom prst="rect">
                      <a:avLst/>
                    </a:prstGeom>
                    <a:noFill/>
                  </pic:spPr>
                </pic:pic>
              </a:graphicData>
            </a:graphic>
          </wp:anchor>
        </w:drawing>
      </w:r>
    </w:p>
    <w:p>
      <w:pPr>
        <w:spacing w:after="0" w:line="2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Timothy Kelly</w:t>
      </w:r>
    </w:p>
    <w:p>
      <w:pPr>
        <w:spacing w:after="0" w:line="44"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320" w:top="886" w:right="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40" w:hanging="332"/>
        <w:spacing w:after="0" w:line="248"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640" w:val="left"/>
          <w:tab w:leader="none" w:pos="6440" w:val="left"/>
          <w:tab w:leader="none" w:pos="840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457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Marcio Souza</w:t>
      </w:r>
    </w:p>
    <w:p>
      <w:pPr>
        <w:spacing w:after="0" w:line="2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40" w:hanging="332"/>
        <w:spacing w:after="0" w:line="24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48"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2"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20"/>
        <w:spacing w:after="0"/>
        <w:tabs>
          <w:tab w:leader="none" w:pos="640" w:val="left"/>
          <w:tab w:leader="none" w:pos="6480" w:val="left"/>
          <w:tab w:leader="none" w:pos="8380" w:val="left"/>
        </w:tabs>
        <w:rPr>
          <w:sz w:val="20"/>
          <w:szCs w:val="20"/>
          <w:color w:val="auto"/>
        </w:rPr>
      </w:pPr>
      <w:r>
        <w:rPr>
          <w:rFonts w:ascii="Arial" w:cs="Arial" w:eastAsia="Arial" w:hAnsi="Arial"/>
          <w:sz w:val="18"/>
          <w:szCs w:val="18"/>
          <w:color w:val="auto"/>
        </w:rPr>
        <w:t>Date:</w:t>
        <w:tab/>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23495</wp:posOffset>
            </wp:positionV>
            <wp:extent cx="25374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Timothy Kelly</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446"/>
        <w:spacing w:after="0" w:line="263" w:lineRule="auto"/>
        <w:rPr>
          <w:sz w:val="20"/>
          <w:szCs w:val="20"/>
          <w:color w:val="auto"/>
        </w:rPr>
      </w:pPr>
      <w:r>
        <w:rPr>
          <w:rFonts w:ascii="Arial" w:cs="Arial" w:eastAsia="Arial" w:hAnsi="Arial"/>
          <w:sz w:val="18"/>
          <w:szCs w:val="18"/>
          <w:color w:val="auto"/>
        </w:rPr>
        <w:t>In connection with the Quarterly Report on Form 10-Q of Praxis Precision Medicines, Inc. (the “Company”) for the quarter ended June 30, 2023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03" w:lineRule="exact"/>
        <w:rPr>
          <w:sz w:val="20"/>
          <w:szCs w:val="20"/>
          <w:color w:val="auto"/>
        </w:rPr>
      </w:pPr>
    </w:p>
    <w:p>
      <w:pPr>
        <w:ind w:left="740" w:hanging="32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120"/>
              <w:spacing w:after="0"/>
              <w:rPr>
                <w:sz w:val="20"/>
                <w:szCs w:val="20"/>
                <w:color w:val="auto"/>
              </w:rPr>
            </w:pPr>
            <w:r>
              <w:rPr>
                <w:rFonts w:ascii="Arial" w:cs="Arial" w:eastAsia="Arial" w:hAnsi="Arial"/>
                <w:sz w:val="18"/>
                <w:szCs w:val="18"/>
                <w:color w:val="auto"/>
              </w:rPr>
              <w:t>August 9, 2023</w:t>
            </w:r>
          </w:p>
        </w:tc>
        <w:tc>
          <w:tcPr>
            <w:tcW w:w="3120" w:type="dxa"/>
            <w:vAlign w:val="bottom"/>
          </w:tcPr>
          <w:p>
            <w:pPr>
              <w:ind w:left="23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0"/>
              </w:rPr>
              <w:t>Marcio Souza</w:t>
            </w:r>
          </w:p>
        </w:tc>
      </w:tr>
      <w:tr>
        <w:trPr>
          <w:trHeight w:val="229"/>
        </w:trPr>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1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120"/>
              <w:spacing w:after="0"/>
              <w:rPr>
                <w:sz w:val="20"/>
                <w:szCs w:val="20"/>
                <w:color w:val="auto"/>
              </w:rPr>
            </w:pPr>
            <w:r>
              <w:rPr>
                <w:rFonts w:ascii="Arial" w:cs="Arial" w:eastAsia="Arial" w:hAnsi="Arial"/>
                <w:sz w:val="18"/>
                <w:szCs w:val="18"/>
                <w:color w:val="auto"/>
              </w:rPr>
              <w:t>August 9, 2023</w:t>
            </w:r>
          </w:p>
        </w:tc>
        <w:tc>
          <w:tcPr>
            <w:tcW w:w="3120" w:type="dxa"/>
            <w:vAlign w:val="bottom"/>
          </w:tcPr>
          <w:p>
            <w:pPr>
              <w:ind w:left="23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5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30"/>
        </w:trPr>
        <w:tc>
          <w:tcPr>
            <w:tcW w:w="5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43"/>
        </w:trPr>
        <w:tc>
          <w:tcPr>
            <w:tcW w:w="5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8"/>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lvl w:ilvl="1">
      <w:lvlJc w:val="left"/>
      <w:lvlText w:val="%2"/>
      <w:numFmt w:val="decimal"/>
      <w:start w:val="104"/>
    </w:lvl>
  </w:abstractNum>
  <w:abstractNum w:abstractNumId="20">
    <w:nsid w:val="2443A858"/>
    <w:multiLevelType w:val="hybridMultilevel"/>
    <w:lvl w:ilvl="0">
      <w:lvlJc w:val="left"/>
      <w:lvlText w:val="**"/>
      <w:numFmt w:val="bullet"/>
      <w:start w:val="1"/>
    </w:lvl>
    <w:lvl w:ilvl="1">
      <w:lvlJc w:val="left"/>
      <w:lvlText w:val="%2"/>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55" Type="http://schemas.openxmlformats.org/officeDocument/2006/relationships/hyperlink" Target="https://www.sec.gov/Archives/edgar/data/1689548/000119312520272877/d94620dex31.htm" TargetMode="External"/><Relationship Id="rId56" Type="http://schemas.openxmlformats.org/officeDocument/2006/relationships/hyperlink" Target="https://www.sec.gov/Archives/edgar/data/1689548/000110465922002260/tm222120d1_ex3-1.htm" TargetMode="External"/><Relationship Id="rId57" Type="http://schemas.openxmlformats.org/officeDocument/2006/relationships/hyperlink" Target="https://www.sec.gov/Archives/edgar/data/1689548/000110465923072550/tm238261d5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2023-08-09T07:43:23Z</dcterms:created>
  <dcterms:modified xsi:type="dcterms:W3CDTF">2023-08-09T07:43:23Z</dcterms:modified>
</cp:coreProperties>
</file>