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207645</wp:posOffset>
            </wp:positionH>
            <wp:positionV relativeFrom="page">
              <wp:posOffset>472440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438150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3277235</wp:posOffset>
            </wp:positionH>
            <wp:positionV relativeFrom="paragraph">
              <wp:posOffset>69215</wp:posOffset>
            </wp:positionV>
            <wp:extent cx="596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19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3277235</wp:posOffset>
            </wp:positionH>
            <wp:positionV relativeFrom="paragraph">
              <wp:posOffset>137795</wp:posOffset>
            </wp:positionV>
            <wp:extent cx="596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3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3" w:lineRule="exact"/>
        <w:rPr>
          <w:sz w:val="24"/>
          <w:szCs w:val="24"/>
          <w:color w:val="auto"/>
        </w:rPr>
      </w:pPr>
    </w:p>
    <w:p>
      <w:pPr>
        <w:ind w:left="440" w:hanging="415"/>
        <w:spacing w:after="0"/>
        <w:tabs>
          <w:tab w:leader="none" w:pos="44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ind w:left="440" w:hanging="415"/>
        <w:spacing w:after="0" w:line="204"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13" w:lineRule="exact"/>
        <w:rPr>
          <w:sz w:val="24"/>
          <w:szCs w:val="24"/>
          <w:color w:val="auto"/>
        </w:rPr>
      </w:pPr>
    </w:p>
    <w:p>
      <w:pPr>
        <w:ind w:left="32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3669030</wp:posOffset>
            </wp:positionH>
            <wp:positionV relativeFrom="paragraph">
              <wp:posOffset>-5715</wp:posOffset>
            </wp:positionV>
            <wp:extent cx="1432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3277235</wp:posOffset>
            </wp:positionH>
            <wp:positionV relativeFrom="paragraph">
              <wp:posOffset>95885</wp:posOffset>
            </wp:positionV>
            <wp:extent cx="596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34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PRAXIS PRECISION MEDICINES, INC.</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3277235</wp:posOffset>
            </wp:positionH>
            <wp:positionV relativeFrom="paragraph">
              <wp:posOffset>116205</wp:posOffset>
            </wp:positionV>
            <wp:extent cx="596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w w:val="99"/>
              </w:rPr>
              <w:t>Delaware</w:t>
            </w:r>
          </w:p>
        </w:tc>
        <w:tc>
          <w:tcPr>
            <w:tcW w:w="940" w:type="dxa"/>
            <w:vAlign w:val="bottom"/>
          </w:tcPr>
          <w:p>
            <w:pPr>
              <w:spacing w:after="0"/>
              <w:rPr>
                <w:sz w:val="18"/>
                <w:szCs w:val="18"/>
                <w:color w:val="auto"/>
              </w:rPr>
            </w:pPr>
          </w:p>
        </w:tc>
        <w:tc>
          <w:tcPr>
            <w:tcW w:w="5100" w:type="dxa"/>
            <w:vAlign w:val="bottom"/>
            <w:gridSpan w:val="3"/>
          </w:tcPr>
          <w:p>
            <w:pPr>
              <w:jc w:val="right"/>
              <w:ind w:right="2186"/>
              <w:spacing w:after="0"/>
              <w:rPr>
                <w:sz w:val="20"/>
                <w:szCs w:val="20"/>
                <w:color w:val="auto"/>
              </w:rPr>
            </w:pPr>
            <w:r>
              <w:rPr>
                <w:rFonts w:ascii="Arial" w:cs="Arial" w:eastAsia="Arial" w:hAnsi="Arial"/>
                <w:sz w:val="16"/>
                <w:szCs w:val="16"/>
                <w:b w:val="1"/>
                <w:bCs w:val="1"/>
                <w:color w:val="auto"/>
              </w:rPr>
              <w:t>47-5195942</w:t>
            </w:r>
          </w:p>
        </w:tc>
        <w:tc>
          <w:tcPr>
            <w:tcW w:w="0" w:type="dxa"/>
            <w:vAlign w:val="bottom"/>
          </w:tcPr>
          <w:p>
            <w:pPr>
              <w:spacing w:after="0"/>
              <w:rPr>
                <w:sz w:val="1"/>
                <w:szCs w:val="1"/>
                <w:color w:val="auto"/>
              </w:rPr>
            </w:pPr>
          </w:p>
        </w:tc>
      </w:tr>
      <w:tr>
        <w:trPr>
          <w:trHeight w:val="236"/>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940" w:type="dxa"/>
            <w:vAlign w:val="bottom"/>
          </w:tcPr>
          <w:p>
            <w:pPr>
              <w:spacing w:after="0"/>
              <w:rPr>
                <w:sz w:val="20"/>
                <w:szCs w:val="20"/>
                <w:color w:val="auto"/>
              </w:rPr>
            </w:pPr>
          </w:p>
        </w:tc>
        <w:tc>
          <w:tcPr>
            <w:tcW w:w="5100" w:type="dxa"/>
            <w:vAlign w:val="bottom"/>
            <w:gridSpan w:val="3"/>
          </w:tcPr>
          <w:p>
            <w:pPr>
              <w:jc w:val="center"/>
              <w:ind w:right="226"/>
              <w:spacing w:after="0"/>
              <w:rPr>
                <w:sz w:val="20"/>
                <w:szCs w:val="20"/>
                <w:color w:val="auto"/>
              </w:rPr>
            </w:pPr>
            <w:r>
              <w:rPr>
                <w:rFonts w:ascii="Arial" w:cs="Arial" w:eastAsia="Arial" w:hAnsi="Arial"/>
                <w:sz w:val="16"/>
                <w:szCs w:val="16"/>
                <w:b w:val="1"/>
                <w:bCs w:val="1"/>
                <w:color w:val="auto"/>
              </w:rPr>
              <w:t>(I.R.S. Employer Identification No.)</w:t>
            </w:r>
          </w:p>
        </w:tc>
        <w:tc>
          <w:tcPr>
            <w:tcW w:w="0" w:type="dxa"/>
            <w:vAlign w:val="bottom"/>
          </w:tcPr>
          <w:p>
            <w:pPr>
              <w:spacing w:after="0"/>
              <w:rPr>
                <w:sz w:val="1"/>
                <w:szCs w:val="1"/>
                <w:color w:val="auto"/>
              </w:rPr>
            </w:pPr>
          </w:p>
        </w:tc>
      </w:tr>
      <w:tr>
        <w:trPr>
          <w:trHeight w:val="315"/>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w w:val="99"/>
              </w:rPr>
              <w:t>One Broadway, 16th Floor</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rPr>
              <w:t>Cambridge, MA</w:t>
            </w:r>
          </w:p>
        </w:tc>
        <w:tc>
          <w:tcPr>
            <w:tcW w:w="940" w:type="dxa"/>
            <w:vAlign w:val="bottom"/>
          </w:tcPr>
          <w:p>
            <w:pPr>
              <w:spacing w:after="0"/>
              <w:rPr>
                <w:sz w:val="18"/>
                <w:szCs w:val="18"/>
                <w:color w:val="auto"/>
              </w:rPr>
            </w:pPr>
          </w:p>
        </w:tc>
        <w:tc>
          <w:tcPr>
            <w:tcW w:w="5100" w:type="dxa"/>
            <w:vAlign w:val="bottom"/>
            <w:gridSpan w:val="3"/>
          </w:tcPr>
          <w:p>
            <w:pPr>
              <w:jc w:val="right"/>
              <w:ind w:right="2386"/>
              <w:spacing w:after="0"/>
              <w:rPr>
                <w:sz w:val="20"/>
                <w:szCs w:val="20"/>
                <w:color w:val="auto"/>
              </w:rPr>
            </w:pPr>
            <w:r>
              <w:rPr>
                <w:rFonts w:ascii="Arial" w:cs="Arial" w:eastAsia="Arial" w:hAnsi="Arial"/>
                <w:sz w:val="16"/>
                <w:szCs w:val="16"/>
                <w:b w:val="1"/>
                <w:bCs w:val="1"/>
                <w:color w:val="auto"/>
              </w:rPr>
              <w:t>02142</w:t>
            </w:r>
          </w:p>
        </w:tc>
        <w:tc>
          <w:tcPr>
            <w:tcW w:w="0" w:type="dxa"/>
            <w:vAlign w:val="bottom"/>
          </w:tcPr>
          <w:p>
            <w:pPr>
              <w:spacing w:after="0"/>
              <w:rPr>
                <w:sz w:val="1"/>
                <w:szCs w:val="1"/>
                <w:color w:val="auto"/>
              </w:rPr>
            </w:pPr>
          </w:p>
        </w:tc>
      </w:tr>
      <w:tr>
        <w:trPr>
          <w:trHeight w:val="195"/>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(Address of principal executive offices)</w:t>
            </w: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jc w:val="center"/>
              <w:ind w:right="1646"/>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401"/>
        </w:trPr>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Registrant’s telephone number, including area code: 617-300-8460</w:t>
            </w:r>
          </w:p>
        </w:tc>
        <w:tc>
          <w:tcPr>
            <w:tcW w:w="0" w:type="dxa"/>
            <w:vAlign w:val="bottom"/>
          </w:tcPr>
          <w:p>
            <w:pPr>
              <w:spacing w:after="0"/>
              <w:rPr>
                <w:sz w:val="1"/>
                <w:szCs w:val="1"/>
                <w:color w:val="auto"/>
              </w:rPr>
            </w:pPr>
          </w:p>
        </w:tc>
      </w:tr>
      <w:tr>
        <w:trPr>
          <w:trHeight w:val="120"/>
        </w:trPr>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68"/>
        </w:trPr>
        <w:tc>
          <w:tcPr>
            <w:tcW w:w="5160" w:type="dxa"/>
            <w:vAlign w:val="bottom"/>
            <w:gridSpan w:val="3"/>
            <w:vMerge w:val="restart"/>
          </w:tcPr>
          <w:p>
            <w:pPr>
              <w:jc w:val="center"/>
              <w:ind w:right="1500"/>
              <w:spacing w:after="0"/>
              <w:rPr>
                <w:sz w:val="20"/>
                <w:szCs w:val="20"/>
                <w:color w:val="auto"/>
              </w:rPr>
            </w:pPr>
            <w:r>
              <w:rPr>
                <w:rFonts w:ascii="Arial" w:cs="Arial" w:eastAsia="Arial" w:hAnsi="Arial"/>
                <w:sz w:val="14"/>
                <w:szCs w:val="14"/>
                <w:b w:val="1"/>
                <w:bCs w:val="1"/>
                <w:color w:val="auto"/>
              </w:rPr>
              <w:t>Title of each class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4"/>
        </w:trPr>
        <w:tc>
          <w:tcPr>
            <w:tcW w:w="5160" w:type="dxa"/>
            <w:vAlign w:val="bottom"/>
            <w:gridSpan w:val="3"/>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Symbol(s)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07"/>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PRAX</w:t>
            </w: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40" w:firstLine="443"/>
        <w:spacing w:after="0" w:line="19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5" w:lineRule="exact"/>
        <w:rPr>
          <w:sz w:val="24"/>
          <w:szCs w:val="24"/>
          <w:color w:val="auto"/>
        </w:rPr>
      </w:pPr>
    </w:p>
    <w:p>
      <w:pPr>
        <w:jc w:val="both"/>
        <w:ind w:right="60" w:firstLine="443"/>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84" w:lineRule="exact"/>
        <w:tabs>
          <w:tab w:leader="none" w:pos="54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15" w:lineRule="exact"/>
        <w:rPr>
          <w:sz w:val="24"/>
          <w:szCs w:val="24"/>
          <w:color w:val="auto"/>
        </w:rPr>
      </w:pPr>
    </w:p>
    <w:p>
      <w:pPr>
        <w:jc w:val="both"/>
        <w:ind w:right="40" w:firstLine="443"/>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82"/>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6"/>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6"/>
        </w:trPr>
        <w:tc>
          <w:tcPr>
            <w:tcW w:w="1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4"/>
          <w:szCs w:val="24"/>
          <w:color w:val="auto"/>
        </w:rPr>
      </w:pPr>
    </w:p>
    <w:p>
      <w:pPr>
        <w:ind w:right="240" w:firstLine="443"/>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460" w:right="1400"/>
        <w:spacing w:after="0" w:line="23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6, 2021, the registrant had 44,712,538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408940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80645</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713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51" w:lineRule="exact"/>
        <w:rPr>
          <w:sz w:val="20"/>
          <w:szCs w:val="20"/>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168"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68" w:lineRule="exact"/>
        <w:rPr>
          <w:rFonts w:ascii="Arial" w:cs="Arial" w:eastAsia="Arial" w:hAnsi="Arial"/>
          <w:sz w:val="18"/>
          <w:szCs w:val="18"/>
          <w:color w:val="auto"/>
        </w:rPr>
      </w:pPr>
    </w:p>
    <w:p>
      <w:pPr>
        <w:ind w:left="980" w:right="340" w:hanging="328"/>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143" w:lineRule="exact"/>
        <w:rPr>
          <w:rFonts w:ascii="Arial" w:cs="Arial" w:eastAsia="Arial" w:hAnsi="Arial"/>
          <w:sz w:val="18"/>
          <w:szCs w:val="18"/>
          <w:color w:val="auto"/>
        </w:rPr>
      </w:pPr>
    </w:p>
    <w:p>
      <w:pPr>
        <w:ind w:left="980" w:right="420" w:hanging="328"/>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143"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products in light of the intellectual property rights of others;</w:t>
      </w:r>
    </w:p>
    <w:p>
      <w:pPr>
        <w:spacing w:after="0" w:line="168" w:lineRule="exact"/>
        <w:rPr>
          <w:rFonts w:ascii="Arial" w:cs="Arial" w:eastAsia="Arial" w:hAnsi="Arial"/>
          <w:sz w:val="18"/>
          <w:szCs w:val="18"/>
          <w:color w:val="auto"/>
        </w:rPr>
      </w:pPr>
    </w:p>
    <w:p>
      <w:pPr>
        <w:ind w:left="980" w:right="1400" w:hanging="328"/>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143"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68"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68" w:lineRule="exact"/>
        <w:rPr>
          <w:rFonts w:ascii="Arial" w:cs="Arial" w:eastAsia="Arial" w:hAnsi="Arial"/>
          <w:sz w:val="18"/>
          <w:szCs w:val="18"/>
          <w:color w:val="auto"/>
        </w:rPr>
      </w:pPr>
    </w:p>
    <w:p>
      <w:pPr>
        <w:ind w:left="980" w:right="180" w:hanging="328"/>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and any other approved product;</w:t>
      </w:r>
    </w:p>
    <w:p>
      <w:pPr>
        <w:spacing w:after="0" w:line="143"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68"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68"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68"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68"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68"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68"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68" w:lineRule="exact"/>
        <w:rPr>
          <w:rFonts w:ascii="Arial" w:cs="Arial" w:eastAsia="Arial" w:hAnsi="Arial"/>
          <w:sz w:val="18"/>
          <w:szCs w:val="18"/>
          <w:color w:val="auto"/>
        </w:rPr>
      </w:pPr>
    </w:p>
    <w:p>
      <w:pPr>
        <w:ind w:left="960" w:hanging="30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 and</w:t>
      </w:r>
    </w:p>
    <w:p>
      <w:pPr>
        <w:spacing w:after="0" w:line="168" w:lineRule="exact"/>
        <w:rPr>
          <w:rFonts w:ascii="Arial" w:cs="Arial" w:eastAsia="Arial" w:hAnsi="Arial"/>
          <w:sz w:val="18"/>
          <w:szCs w:val="18"/>
          <w:color w:val="auto"/>
        </w:rPr>
      </w:pPr>
    </w:p>
    <w:p>
      <w:pPr>
        <w:ind w:left="980" w:right="160" w:hanging="328"/>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COVID-19 pandemic, including mitigation efforts and economic effects, on any of the foregoing or other aspects of our business operations, including but not limited to our ongoing and planned preclinical studies and clinical trials.</w:t>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536575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2" w:name="page3"/>
    <w:bookmarkEnd w:id="2"/>
    <w:p>
      <w:pPr>
        <w:ind w:right="20"/>
        <w:spacing w:after="0" w:line="251" w:lineRule="auto"/>
        <w:rPr>
          <w:sz w:val="20"/>
          <w:szCs w:val="20"/>
          <w:color w:val="auto"/>
        </w:rPr>
      </w:pPr>
      <w:r>
        <w:rPr>
          <w:rFonts w:ascii="Arial" w:cs="Arial" w:eastAsia="Arial" w:hAnsi="Arial"/>
          <w:sz w:val="18"/>
          <w:szCs w:val="18"/>
          <w:color w:val="auto"/>
        </w:rPr>
        <w:t>section titled “Risk Factors” in our Annual Report on Form 10-K for the year ended December 31, 2020.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0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2020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535940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580" w:type="dxa"/>
            <w:vAlign w:val="bottom"/>
            <w:gridSpan w:val="21"/>
          </w:tcPr>
          <w:p>
            <w:pPr>
              <w:spacing w:after="0" w:line="168" w:lineRule="exact"/>
              <w:rPr>
                <w:rFonts w:ascii="Arial" w:cs="Arial" w:eastAsia="Arial" w:hAnsi="Arial"/>
                <w:sz w:val="18"/>
                <w:szCs w:val="18"/>
                <w:color w:val="0000FF"/>
              </w:rPr>
            </w:pPr>
            <w:hyperlink w:anchor="page4">
              <w:r>
                <w:rPr>
                  <w:rFonts w:ascii="Arial" w:cs="Arial" w:eastAsia="Arial" w:hAnsi="Arial"/>
                  <w:sz w:val="18"/>
                  <w:szCs w:val="18"/>
                  <w:color w:val="0000FF"/>
                </w:rPr>
                <w:t>FINANCIAL INFORMATION</w:t>
              </w:r>
            </w:hyperlink>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Borders>
              <w:bottom w:val="single" w:sz="8" w:color="0000FF"/>
            </w:tcBorders>
            <w:gridSpan w:val="11"/>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Financial Statements (Unaudited)</w:t>
              </w:r>
            </w:hyperlink>
          </w:p>
        </w:tc>
        <w:tc>
          <w:tcPr>
            <w:tcW w:w="5920" w:type="dxa"/>
            <w:vAlign w:val="bottom"/>
            <w:gridSpan w:val="10"/>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8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Sheets as of June </w:t>
              </w:r>
            </w:hyperlink>
            <w:r>
              <w:rPr>
                <w:rFonts w:ascii="Arial" w:cs="Arial" w:eastAsia="Arial" w:hAnsi="Arial"/>
                <w:sz w:val="18"/>
                <w:szCs w:val="18"/>
                <w:color w:val="0000FF"/>
              </w:rPr>
              <w:t xml:space="preserve">30, </w:t>
            </w:r>
            <w:hyperlink w:anchor="page5">
              <w:r>
                <w:rPr>
                  <w:rFonts w:ascii="Arial" w:cs="Arial" w:eastAsia="Arial" w:hAnsi="Arial"/>
                  <w:sz w:val="18"/>
                  <w:szCs w:val="18"/>
                  <w:color w:val="0000FF"/>
                </w:rPr>
                <w:t>2021 and December 31, 2020</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80" w:type="dxa"/>
            <w:vAlign w:val="bottom"/>
            <w:gridSpan w:val="21"/>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Operations for the Three and Six Months Ended June 30, 2021 and</w:t>
              </w:r>
            </w:hyperlink>
          </w:p>
        </w:tc>
        <w:tc>
          <w:tcPr>
            <w:tcW w:w="146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top w:val="single" w:sz="8" w:color="0000FF"/>
            </w:tcBorders>
          </w:tcPr>
          <w:p>
            <w:pPr>
              <w:spacing w:after="0" w:line="154" w:lineRule="exact"/>
              <w:rPr>
                <w:rFonts w:ascii="Arial" w:cs="Arial" w:eastAsia="Arial" w:hAnsi="Arial"/>
                <w:sz w:val="17"/>
                <w:szCs w:val="17"/>
                <w:color w:val="0000FF"/>
              </w:rPr>
            </w:pPr>
            <w:hyperlink w:anchor="page5">
              <w:r>
                <w:rPr>
                  <w:rFonts w:ascii="Arial" w:cs="Arial" w:eastAsia="Arial" w:hAnsi="Arial"/>
                  <w:sz w:val="17"/>
                  <w:szCs w:val="17"/>
                  <w:color w:val="0000FF"/>
                </w:rPr>
                <w:t>2020</w:t>
              </w:r>
            </w:hyperlink>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80" w:type="dxa"/>
            <w:vAlign w:val="bottom"/>
            <w:gridSpan w:val="2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Comprehensive Loss for the Three and Six Months Ended June 30,</w:t>
              </w:r>
            </w:hyperlink>
          </w:p>
        </w:tc>
        <w:tc>
          <w:tcPr>
            <w:tcW w:w="146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top w:val="single" w:sz="8" w:color="0000FF"/>
            </w:tcBorders>
            <w:gridSpan w:val="5"/>
          </w:tcPr>
          <w:p>
            <w:pPr>
              <w:spacing w:after="0" w:line="154" w:lineRule="exact"/>
              <w:rPr>
                <w:rFonts w:ascii="Arial" w:cs="Arial" w:eastAsia="Arial" w:hAnsi="Arial"/>
                <w:sz w:val="17"/>
                <w:szCs w:val="17"/>
                <w:color w:val="0000FF"/>
              </w:rPr>
            </w:pPr>
            <w:hyperlink w:anchor="page6">
              <w:r>
                <w:rPr>
                  <w:rFonts w:ascii="Arial" w:cs="Arial" w:eastAsia="Arial" w:hAnsi="Arial"/>
                  <w:sz w:val="17"/>
                  <w:szCs w:val="17"/>
                  <w:color w:val="0000FF"/>
                </w:rPr>
                <w:t>2021 and 2020</w:t>
              </w:r>
            </w:hyperlink>
          </w:p>
        </w:tc>
        <w:tc>
          <w:tcPr>
            <w:tcW w:w="734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80" w:type="dxa"/>
            <w:vAlign w:val="bottom"/>
            <w:gridSpan w:val="2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Redeemable Convertible Preferred Stock and Stockholders’ Equity</w:t>
              </w:r>
            </w:hyperlink>
          </w:p>
        </w:tc>
        <w:tc>
          <w:tcPr>
            <w:tcW w:w="1460" w:type="dxa"/>
            <w:vAlign w:val="bottom"/>
            <w:gridSpan w:val="4"/>
            <w:vMerge w:val="restart"/>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52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w:anchor="page7">
              <w:r>
                <w:rPr>
                  <w:rFonts w:ascii="Arial" w:cs="Arial" w:eastAsia="Arial" w:hAnsi="Arial"/>
                  <w:sz w:val="17"/>
                  <w:szCs w:val="17"/>
                  <w:color w:val="0000FF"/>
                </w:rPr>
                <w:t>(Deficit) for the Three and Six Months Ended June 30, 2021 and 2020</w:t>
              </w:r>
            </w:hyperlink>
          </w:p>
        </w:tc>
        <w:tc>
          <w:tcPr>
            <w:tcW w:w="2980" w:type="dxa"/>
            <w:vAlign w:val="bottom"/>
            <w:tcBorders>
              <w:top w:val="single" w:sz="8" w:color="0000FF"/>
            </w:tcBorders>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80" w:type="dxa"/>
            <w:vAlign w:val="bottom"/>
            <w:gridSpan w:val="2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 for the Six Months Ended June 30, 2021 and 2020</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80" w:type="dxa"/>
            <w:vAlign w:val="bottom"/>
            <w:gridSpan w:val="18"/>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400" w:type="dxa"/>
            <w:vAlign w:val="bottom"/>
            <w:gridSpan w:val="3"/>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gridSpan w:val="17"/>
          </w:tcPr>
          <w:p>
            <w:pPr>
              <w:spacing w:after="0"/>
              <w:rPr>
                <w:rFonts w:ascii="Arial" w:cs="Arial" w:eastAsia="Arial" w:hAnsi="Arial"/>
                <w:sz w:val="18"/>
                <w:szCs w:val="18"/>
                <w:color w:val="0000FF"/>
                <w:w w:val="99"/>
              </w:rPr>
            </w:pPr>
            <w:hyperlink w:anchor="page19">
              <w:r>
                <w:rPr>
                  <w:rFonts w:ascii="Arial" w:cs="Arial" w:eastAsia="Arial" w:hAnsi="Arial"/>
                  <w:sz w:val="18"/>
                  <w:szCs w:val="18"/>
                  <w:color w:val="0000FF"/>
                  <w:w w:val="99"/>
                </w:rPr>
                <w:t>Management’s Discussion and Analysis of Financial Condition and Results of Operations</w:t>
              </w:r>
            </w:hyperlink>
          </w:p>
        </w:tc>
        <w:tc>
          <w:tcPr>
            <w:tcW w:w="1540" w:type="dxa"/>
            <w:vAlign w:val="bottom"/>
            <w:gridSpan w:val="4"/>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540" w:type="dxa"/>
            <w:vAlign w:val="bottom"/>
            <w:gridSpan w:val="4"/>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8"/>
          </w:tcPr>
          <w:p>
            <w:pPr>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Controls and Procedures</w:t>
              </w:r>
            </w:hyperlink>
          </w:p>
        </w:tc>
        <w:tc>
          <w:tcPr>
            <w:tcW w:w="2760" w:type="dxa"/>
            <w:vAlign w:val="bottom"/>
            <w:gridSpan w:val="5"/>
          </w:tcPr>
          <w:p>
            <w:pPr>
              <w:spacing w:after="0"/>
              <w:rPr>
                <w:sz w:val="18"/>
                <w:szCs w:val="18"/>
                <w:color w:val="auto"/>
              </w:rPr>
            </w:pPr>
          </w:p>
        </w:tc>
        <w:tc>
          <w:tcPr>
            <w:tcW w:w="3900" w:type="dxa"/>
            <w:vAlign w:val="bottom"/>
            <w:gridSpan w:val="8"/>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8"/>
          </w:tcPr>
          <w:p>
            <w:pPr>
              <w:spacing w:after="0"/>
              <w:rPr>
                <w:rFonts w:ascii="Arial" w:cs="Arial" w:eastAsia="Arial" w:hAnsi="Arial"/>
                <w:sz w:val="18"/>
                <w:szCs w:val="18"/>
                <w:color w:val="0000FF"/>
                <w:w w:val="96"/>
              </w:rPr>
            </w:pPr>
            <w:hyperlink w:anchor="page32">
              <w:r>
                <w:rPr>
                  <w:rFonts w:ascii="Arial" w:cs="Arial" w:eastAsia="Arial" w:hAnsi="Arial"/>
                  <w:sz w:val="18"/>
                  <w:szCs w:val="18"/>
                  <w:color w:val="0000FF"/>
                  <w:w w:val="96"/>
                </w:rPr>
                <w:t>OTHER INFORMATION</w:t>
              </w:r>
            </w:hyperlink>
          </w:p>
        </w:tc>
        <w:tc>
          <w:tcPr>
            <w:tcW w:w="6660" w:type="dxa"/>
            <w:vAlign w:val="bottom"/>
            <w:gridSpan w:val="13"/>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6660" w:type="dxa"/>
            <w:vAlign w:val="bottom"/>
            <w:gridSpan w:val="13"/>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1A.</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4"/>
          </w:tcPr>
          <w:p>
            <w:pPr>
              <w:spacing w:after="0"/>
              <w:rPr>
                <w:rFonts w:ascii="Arial" w:cs="Arial" w:eastAsia="Arial" w:hAnsi="Arial"/>
                <w:sz w:val="18"/>
                <w:szCs w:val="18"/>
                <w:color w:val="0000FF"/>
                <w:w w:val="97"/>
              </w:rPr>
            </w:pPr>
            <w:hyperlink w:anchor="page33">
              <w:r>
                <w:rPr>
                  <w:rFonts w:ascii="Arial" w:cs="Arial" w:eastAsia="Arial" w:hAnsi="Arial"/>
                  <w:sz w:val="18"/>
                  <w:szCs w:val="18"/>
                  <w:color w:val="0000FF"/>
                  <w:w w:val="97"/>
                </w:rPr>
                <w:t>Risk Factors</w:t>
              </w:r>
            </w:hyperlink>
          </w:p>
        </w:tc>
        <w:tc>
          <w:tcPr>
            <w:tcW w:w="480" w:type="dxa"/>
            <w:vAlign w:val="bottom"/>
            <w:gridSpan w:val="3"/>
          </w:tcPr>
          <w:p>
            <w:pPr>
              <w:spacing w:after="0"/>
              <w:rPr>
                <w:sz w:val="18"/>
                <w:szCs w:val="18"/>
                <w:color w:val="auto"/>
              </w:rPr>
            </w:pPr>
          </w:p>
        </w:tc>
        <w:tc>
          <w:tcPr>
            <w:tcW w:w="7100" w:type="dxa"/>
            <w:vAlign w:val="bottom"/>
            <w:gridSpan w:val="14"/>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80" w:type="dxa"/>
            <w:vAlign w:val="bottom"/>
            <w:gridSpan w:val="2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Unregistered Sales of Equity Securities and Use of Proceeds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10"/>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Defaults Upon Senior Securities</w:t>
              </w:r>
            </w:hyperlink>
          </w:p>
        </w:tc>
        <w:tc>
          <w:tcPr>
            <w:tcW w:w="2280" w:type="dxa"/>
            <w:vAlign w:val="bottom"/>
            <w:gridSpan w:val="4"/>
          </w:tcPr>
          <w:p>
            <w:pPr>
              <w:spacing w:after="0"/>
              <w:rPr>
                <w:sz w:val="18"/>
                <w:szCs w:val="18"/>
                <w:color w:val="auto"/>
              </w:rPr>
            </w:pPr>
          </w:p>
        </w:tc>
        <w:tc>
          <w:tcPr>
            <w:tcW w:w="3760" w:type="dxa"/>
            <w:vAlign w:val="bottom"/>
            <w:gridSpan w:val="7"/>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8"/>
          </w:tcPr>
          <w:p>
            <w:pPr>
              <w:spacing w:after="0"/>
              <w:rPr>
                <w:rFonts w:ascii="Arial" w:cs="Arial" w:eastAsia="Arial" w:hAnsi="Arial"/>
                <w:sz w:val="18"/>
                <w:szCs w:val="18"/>
                <w:color w:val="0000FF"/>
                <w:w w:val="97"/>
              </w:rPr>
            </w:pPr>
            <w:hyperlink w:anchor="page33">
              <w:r>
                <w:rPr>
                  <w:rFonts w:ascii="Arial" w:cs="Arial" w:eastAsia="Arial" w:hAnsi="Arial"/>
                  <w:sz w:val="18"/>
                  <w:szCs w:val="18"/>
                  <w:color w:val="0000FF"/>
                  <w:w w:val="97"/>
                </w:rPr>
                <w:t>Mine Safety Disclosures</w:t>
              </w:r>
            </w:hyperlink>
          </w:p>
        </w:tc>
        <w:tc>
          <w:tcPr>
            <w:tcW w:w="620" w:type="dxa"/>
            <w:vAlign w:val="bottom"/>
            <w:gridSpan w:val="2"/>
          </w:tcPr>
          <w:p>
            <w:pPr>
              <w:spacing w:after="0"/>
              <w:rPr>
                <w:sz w:val="18"/>
                <w:szCs w:val="18"/>
                <w:color w:val="auto"/>
              </w:rPr>
            </w:pPr>
          </w:p>
        </w:tc>
        <w:tc>
          <w:tcPr>
            <w:tcW w:w="6040" w:type="dxa"/>
            <w:vAlign w:val="bottom"/>
            <w:gridSpan w:val="11"/>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60" w:type="dxa"/>
            <w:vAlign w:val="bottom"/>
            <w:gridSpan w:val="1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6"/>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Other Information</w:t>
              </w:r>
            </w:hyperlink>
          </w:p>
        </w:tc>
        <w:tc>
          <w:tcPr>
            <w:tcW w:w="520" w:type="dxa"/>
            <w:vAlign w:val="bottom"/>
            <w:gridSpan w:val="2"/>
          </w:tcPr>
          <w:p>
            <w:pPr>
              <w:spacing w:after="0"/>
              <w:rPr>
                <w:sz w:val="18"/>
                <w:szCs w:val="18"/>
                <w:color w:val="auto"/>
              </w:rPr>
            </w:pPr>
          </w:p>
        </w:tc>
        <w:tc>
          <w:tcPr>
            <w:tcW w:w="6660" w:type="dxa"/>
            <w:vAlign w:val="bottom"/>
            <w:gridSpan w:val="13"/>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180" w:type="dxa"/>
            <w:vAlign w:val="bottom"/>
            <w:gridSpan w:val="1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ind w:left="20"/>
              <w:spacing w:after="0"/>
              <w:rPr>
                <w:sz w:val="20"/>
                <w:szCs w:val="20"/>
                <w:color w:val="auto"/>
              </w:rPr>
            </w:pPr>
            <w:r>
              <w:rPr>
                <w:rFonts w:ascii="Arial" w:cs="Arial" w:eastAsia="Arial" w:hAnsi="Arial"/>
                <w:sz w:val="18"/>
                <w:szCs w:val="18"/>
                <w:color w:val="auto"/>
              </w:rPr>
              <w:t>Item 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6"/>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c>
          <w:tcPr>
            <w:tcW w:w="7180" w:type="dxa"/>
            <w:vAlign w:val="bottom"/>
            <w:gridSpan w:val="15"/>
          </w:tcPr>
          <w:p>
            <w:pPr>
              <w:spacing w:after="0"/>
              <w:rPr>
                <w:sz w:val="18"/>
                <w:szCs w:val="18"/>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40" w:type="dxa"/>
            <w:vAlign w:val="bottom"/>
            <w:gridSpan w:val="1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spacing w:after="0"/>
              <w:rPr>
                <w:sz w:val="18"/>
                <w:szCs w:val="18"/>
                <w:color w:val="auto"/>
              </w:rPr>
            </w:pPr>
          </w:p>
        </w:tc>
        <w:tc>
          <w:tcPr>
            <w:tcW w:w="8920" w:type="dxa"/>
            <w:vAlign w:val="bottom"/>
            <w:gridSpan w:val="23"/>
          </w:tcPr>
          <w:p>
            <w:pPr>
              <w:ind w:left="120"/>
              <w:spacing w:after="0"/>
              <w:rPr>
                <w:rFonts w:ascii="Arial" w:cs="Arial" w:eastAsia="Arial" w:hAnsi="Arial"/>
                <w:sz w:val="18"/>
                <w:szCs w:val="18"/>
                <w:color w:val="0000FF"/>
              </w:rPr>
            </w:pPr>
            <w:hyperlink w:anchor="page34">
              <w:r>
                <w:rPr>
                  <w:rFonts w:ascii="Arial" w:cs="Arial" w:eastAsia="Arial" w:hAnsi="Arial"/>
                  <w:sz w:val="18"/>
                  <w:szCs w:val="18"/>
                  <w:color w:val="0000FF"/>
                </w:rPr>
                <w:t>Signatures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0"/>
        </w:trPr>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198"/>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2"/>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175,879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296,608</w:t>
            </w:r>
          </w:p>
        </w:tc>
      </w:tr>
      <w:tr>
        <w:trPr>
          <w:trHeight w:val="212"/>
        </w:trPr>
        <w:tc>
          <w:tcPr>
            <w:tcW w:w="800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163,305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9,249</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r>
      <w:tr>
        <w:trPr>
          <w:trHeight w:val="208"/>
        </w:trPr>
        <w:tc>
          <w:tcPr>
            <w:tcW w:w="80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348,433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302,326</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2"/>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1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1"/>
        </w:trPr>
        <w:tc>
          <w:tcPr>
            <w:tcW w:w="800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353,511</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303,177</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2"/>
        </w:trPr>
        <w:tc>
          <w:tcPr>
            <w:tcW w:w="80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2"/>
        </w:trPr>
        <w:tc>
          <w:tcPr>
            <w:tcW w:w="80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r>
      <w:tr>
        <w:trPr>
          <w:trHeight w:val="212"/>
        </w:trPr>
        <w:tc>
          <w:tcPr>
            <w:tcW w:w="800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10,869</w:t>
            </w:r>
          </w:p>
        </w:tc>
      </w:tr>
      <w:tr>
        <w:trPr>
          <w:trHeight w:val="215"/>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r>
      <w:tr>
        <w:trPr>
          <w:trHeight w:val="208"/>
        </w:trPr>
        <w:tc>
          <w:tcPr>
            <w:tcW w:w="80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15,720</w:t>
            </w:r>
          </w:p>
        </w:tc>
      </w:tr>
      <w:tr>
        <w:trPr>
          <w:trHeight w:val="19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2"/>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15,720</w:t>
            </w:r>
          </w:p>
        </w:tc>
      </w:tr>
      <w:tr>
        <w:trPr>
          <w:trHeight w:val="212"/>
        </w:trPr>
        <w:tc>
          <w:tcPr>
            <w:tcW w:w="800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6"/>
        </w:trPr>
        <w:tc>
          <w:tcPr>
            <w:tcW w:w="8000" w:type="dxa"/>
            <w:vAlign w:val="bottom"/>
          </w:tcPr>
          <w:p>
            <w:pPr>
              <w:ind w:left="240"/>
              <w:spacing w:after="0" w:line="177"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7"/>
        </w:trPr>
        <w:tc>
          <w:tcPr>
            <w:tcW w:w="8000" w:type="dxa"/>
            <w:vAlign w:val="bottom"/>
          </w:tcPr>
          <w:p>
            <w:pPr>
              <w:ind w:left="240"/>
              <w:spacing w:after="0"/>
              <w:rPr>
                <w:sz w:val="20"/>
                <w:szCs w:val="20"/>
                <w:color w:val="auto"/>
              </w:rPr>
            </w:pPr>
            <w:r>
              <w:rPr>
                <w:rFonts w:ascii="Arial" w:cs="Arial" w:eastAsia="Arial" w:hAnsi="Arial"/>
                <w:sz w:val="16"/>
                <w:szCs w:val="16"/>
                <w:color w:val="auto"/>
              </w:rPr>
              <w:t>June 30, 2021 and December 31, 2020</w:t>
            </w:r>
          </w:p>
        </w:tc>
        <w:tc>
          <w:tcPr>
            <w:tcW w:w="18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9"/>
        </w:trPr>
        <w:tc>
          <w:tcPr>
            <w:tcW w:w="8000" w:type="dxa"/>
            <w:vAlign w:val="bottom"/>
            <w:shd w:val="clear" w:color="auto" w:fill="CCEEFF"/>
          </w:tcPr>
          <w:p>
            <w:pPr>
              <w:ind w:left="240"/>
              <w:spacing w:after="0" w:line="179" w:lineRule="exact"/>
              <w:rPr>
                <w:sz w:val="20"/>
                <w:szCs w:val="20"/>
                <w:color w:val="auto"/>
              </w:rPr>
            </w:pPr>
            <w:r>
              <w:rPr>
                <w:rFonts w:ascii="Arial" w:cs="Arial" w:eastAsia="Arial" w:hAnsi="Arial"/>
                <w:sz w:val="16"/>
                <w:szCs w:val="16"/>
                <w:color w:val="auto"/>
              </w:rPr>
              <w:t>Common stock, $0.0001 par value; 150,000,000 shares authorized; 44,693,162 shares issued and</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9"/>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outstanding as of June 30, 2021, and 38,268,543 shares issued and outstanding as of December 31, 2020</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800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547,145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437,007</w:t>
            </w:r>
          </w:p>
        </w:tc>
      </w:tr>
      <w:tr>
        <w:trPr>
          <w:trHeight w:val="218"/>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(213,328)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(149,554)</w:t>
            </w:r>
          </w:p>
        </w:tc>
      </w:tr>
      <w:tr>
        <w:trPr>
          <w:trHeight w:val="208"/>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333,772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287,457</w:t>
            </w:r>
          </w:p>
        </w:tc>
      </w:tr>
      <w:tr>
        <w:trPr>
          <w:trHeight w:val="211"/>
        </w:trPr>
        <w:tc>
          <w:tcPr>
            <w:tcW w:w="800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353,511</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303,177</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302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5"/>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6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25,678</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9,050</w:t>
            </w:r>
          </w:p>
        </w:tc>
        <w:tc>
          <w:tcPr>
            <w:tcW w:w="8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43,607</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15,918</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w:t>
            </w:r>
          </w:p>
        </w:tc>
        <w:tc>
          <w:tcPr>
            <w:tcW w:w="0" w:type="dxa"/>
            <w:vAlign w:val="bottom"/>
          </w:tcPr>
          <w:p>
            <w:pPr>
              <w:spacing w:after="0"/>
              <w:rPr>
                <w:sz w:val="1"/>
                <w:szCs w:val="1"/>
                <w:color w:val="auto"/>
              </w:rPr>
            </w:pPr>
          </w:p>
        </w:tc>
      </w:tr>
      <w:tr>
        <w:trPr>
          <w:trHeight w:val="208"/>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63,902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20,039</w:t>
            </w: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(20,039)</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8"/>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income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(19,906)</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(11,568)</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(63,774)</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(19,898)</w:t>
            </w:r>
          </w:p>
        </w:tc>
        <w:tc>
          <w:tcPr>
            <w:tcW w:w="0" w:type="dxa"/>
            <w:vAlign w:val="bottom"/>
          </w:tcPr>
          <w:p>
            <w:pPr>
              <w:spacing w:after="0"/>
              <w:rPr>
                <w:sz w:val="1"/>
                <w:szCs w:val="1"/>
                <w:color w:val="auto"/>
              </w:rPr>
            </w:pPr>
          </w:p>
        </w:tc>
      </w:tr>
      <w:tr>
        <w:trPr>
          <w:trHeight w:val="156"/>
        </w:trPr>
        <w:tc>
          <w:tcPr>
            <w:tcW w:w="4360" w:type="dxa"/>
            <w:vAlign w:val="bottom"/>
          </w:tcPr>
          <w:p>
            <w:pPr>
              <w:ind w:left="240"/>
              <w:spacing w:after="0" w:line="156" w:lineRule="exact"/>
              <w:rPr>
                <w:sz w:val="20"/>
                <w:szCs w:val="20"/>
                <w:color w:val="auto"/>
              </w:rPr>
            </w:pPr>
            <w:r>
              <w:rPr>
                <w:rFonts w:ascii="Arial" w:cs="Arial" w:eastAsia="Arial" w:hAnsi="Arial"/>
                <w:sz w:val="16"/>
                <w:szCs w:val="16"/>
                <w:color w:val="auto"/>
              </w:rPr>
              <w:t>Accretion and cumulative dividends on redeemable</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360" w:type="dxa"/>
            <w:vAlign w:val="bottom"/>
          </w:tcPr>
          <w:p>
            <w:pPr>
              <w:ind w:left="240"/>
              <w:spacing w:after="0"/>
              <w:rPr>
                <w:sz w:val="20"/>
                <w:szCs w:val="20"/>
                <w:color w:val="auto"/>
              </w:rPr>
            </w:pPr>
            <w:r>
              <w:rPr>
                <w:rFonts w:ascii="Arial" w:cs="Arial" w:eastAsia="Arial" w:hAnsi="Arial"/>
                <w:sz w:val="16"/>
                <w:szCs w:val="16"/>
                <w:color w:val="auto"/>
              </w:rPr>
              <w:t>convertible preferred stock</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(4,103)</w:t>
            </w:r>
          </w:p>
        </w:tc>
        <w:tc>
          <w:tcPr>
            <w:tcW w:w="0" w:type="dxa"/>
            <w:vAlign w:val="bottom"/>
          </w:tcPr>
          <w:p>
            <w:pPr>
              <w:spacing w:after="0"/>
              <w:rPr>
                <w:sz w:val="1"/>
                <w:szCs w:val="1"/>
                <w:color w:val="auto"/>
              </w:rPr>
            </w:pPr>
          </w:p>
        </w:tc>
      </w:tr>
      <w:tr>
        <w:trPr>
          <w:trHeight w:val="179"/>
        </w:trPr>
        <w:tc>
          <w:tcPr>
            <w:tcW w:w="4360" w:type="dxa"/>
            <w:vAlign w:val="bottom"/>
            <w:shd w:val="clear" w:color="auto" w:fill="CCEEFF"/>
          </w:tcPr>
          <w:p>
            <w:pPr>
              <w:ind w:left="240"/>
              <w:spacing w:after="0" w:line="179" w:lineRule="exact"/>
              <w:rPr>
                <w:sz w:val="20"/>
                <w:szCs w:val="20"/>
                <w:color w:val="auto"/>
              </w:rPr>
            </w:pPr>
            <w:r>
              <w:rPr>
                <w:rFonts w:ascii="Arial" w:cs="Arial" w:eastAsia="Arial" w:hAnsi="Arial"/>
                <w:sz w:val="16"/>
                <w:szCs w:val="16"/>
                <w:color w:val="auto"/>
              </w:rPr>
              <w:t>Gain on repurchase of redeemable convertible preferred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w:t>
            </w: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(36,401)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(13,607)</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(63,774)</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(23,508)</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Net loss per share attributable to common stockholders,</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193"/>
        </w:trPr>
        <w:tc>
          <w:tcPr>
            <w:tcW w:w="4360" w:type="dxa"/>
            <w:vAlign w:val="bottom"/>
            <w:tcBorders>
              <w:bottom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6"/>
                <w:szCs w:val="16"/>
                <w:color w:val="auto"/>
              </w:rPr>
              <w:t>Weighted average common shares outstanding, basic and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41,569,782</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1,642,484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40,028,807</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1,635,913</w:t>
            </w:r>
          </w:p>
        </w:tc>
        <w:tc>
          <w:tcPr>
            <w:tcW w:w="0" w:type="dxa"/>
            <w:vAlign w:val="bottom"/>
          </w:tcPr>
          <w:p>
            <w:pPr>
              <w:spacing w:after="0"/>
              <w:rPr>
                <w:sz w:val="1"/>
                <w:szCs w:val="1"/>
                <w:color w:val="auto"/>
              </w:rPr>
            </w:pPr>
          </w:p>
        </w:tc>
      </w:tr>
      <w:tr>
        <w:trPr>
          <w:trHeight w:val="173"/>
        </w:trPr>
        <w:tc>
          <w:tcPr>
            <w:tcW w:w="4360" w:type="dxa"/>
            <w:vAlign w:val="bottom"/>
          </w:tcPr>
          <w:p>
            <w:pPr>
              <w:ind w:left="20"/>
              <w:spacing w:after="0" w:line="173" w:lineRule="exact"/>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276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14"/>
        </w:trPr>
        <w:tc>
          <w:tcPr>
            <w:tcW w:w="43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June 30,</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180" w:type="dxa"/>
            <w:vAlign w:val="bottom"/>
            <w:tcBorders>
              <w:bottom w:val="single" w:sz="8" w:color="auto"/>
            </w:tcBorders>
          </w:tcPr>
          <w:p>
            <w:pPr>
              <w:spacing w:after="0"/>
              <w:rPr>
                <w:sz w:val="18"/>
                <w:szCs w:val="18"/>
                <w:color w:val="auto"/>
              </w:rPr>
            </w:pPr>
          </w:p>
        </w:tc>
      </w:tr>
      <w:tr>
        <w:trPr>
          <w:trHeight w:val="208"/>
        </w:trPr>
        <w:tc>
          <w:tcPr>
            <w:tcW w:w="43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(36,401)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(11,568)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(19,898)</w:t>
            </w:r>
          </w:p>
        </w:tc>
      </w:tr>
      <w:tr>
        <w:trPr>
          <w:trHeight w:val="176"/>
        </w:trPr>
        <w:tc>
          <w:tcPr>
            <w:tcW w:w="4360" w:type="dxa"/>
            <w:vAlign w:val="bottom"/>
          </w:tcPr>
          <w:p>
            <w:pPr>
              <w:ind w:left="240"/>
              <w:spacing w:after="0" w:line="177" w:lineRule="exact"/>
              <w:rPr>
                <w:sz w:val="20"/>
                <w:szCs w:val="20"/>
                <w:color w:val="auto"/>
              </w:rPr>
            </w:pPr>
            <w:r>
              <w:rPr>
                <w:rFonts w:ascii="Arial" w:cs="Arial" w:eastAsia="Arial" w:hAnsi="Arial"/>
                <w:sz w:val="16"/>
                <w:szCs w:val="16"/>
                <w:color w:val="auto"/>
              </w:rPr>
              <w:t>Unrealized gains (losses) on marketable securities, net of</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7"/>
        </w:trPr>
        <w:tc>
          <w:tcPr>
            <w:tcW w:w="4360" w:type="dxa"/>
            <w:vAlign w:val="bottom"/>
          </w:tcPr>
          <w:p>
            <w:pPr>
              <w:ind w:left="240"/>
              <w:spacing w:after="0"/>
              <w:rPr>
                <w:sz w:val="20"/>
                <w:szCs w:val="20"/>
                <w:color w:val="auto"/>
              </w:rPr>
            </w:pPr>
            <w:r>
              <w:rPr>
                <w:rFonts w:ascii="Arial" w:cs="Arial" w:eastAsia="Arial" w:hAnsi="Arial"/>
                <w:sz w:val="16"/>
                <w:szCs w:val="16"/>
                <w:color w:val="auto"/>
              </w:rPr>
              <w:t>tax</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02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(36,365)</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(11,568)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(63,824)</w:t>
            </w: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 w:name="page8"/>
    <w:bookmarkEnd w:id="7"/>
    <w:p>
      <w:pPr>
        <w:ind w:left="4020"/>
        <w:spacing w:after="0"/>
        <w:rPr>
          <w:sz w:val="20"/>
          <w:szCs w:val="20"/>
          <w:color w:val="auto"/>
        </w:rPr>
      </w:pPr>
      <w:r>
        <w:rPr>
          <w:rFonts w:ascii="Arial" w:cs="Arial" w:eastAsia="Arial" w:hAnsi="Arial"/>
          <w:sz w:val="18"/>
          <w:szCs w:val="18"/>
          <w:b w:val="1"/>
          <w:bCs w:val="1"/>
          <w:color w:val="auto"/>
        </w:rPr>
        <w:t>PRAXIS PRECISION MEDICINES, INC.</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(DEFICIT)</w:t>
      </w:r>
    </w:p>
    <w:p>
      <w:pPr>
        <w:spacing w:after="0" w:line="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7"/>
          </w:tcPr>
          <w:p>
            <w:pPr>
              <w:ind w:left="48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340" w:type="dxa"/>
            <w:vAlign w:val="bottom"/>
            <w:gridSpan w:val="5"/>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Series A</w:t>
            </w:r>
          </w:p>
        </w:tc>
        <w:tc>
          <w:tcPr>
            <w:tcW w:w="1400" w:type="dxa"/>
            <w:vAlign w:val="bottom"/>
            <w:gridSpan w:val="5"/>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Series B</w:t>
            </w:r>
          </w:p>
        </w:tc>
        <w:tc>
          <w:tcPr>
            <w:tcW w:w="1340" w:type="dxa"/>
            <w:vAlign w:val="bottom"/>
            <w:gridSpan w:val="5"/>
          </w:tcPr>
          <w:p>
            <w:pPr>
              <w:jc w:val="center"/>
              <w:ind w:right="80"/>
              <w:spacing w:after="0" w:line="148" w:lineRule="exact"/>
              <w:rPr>
                <w:sz w:val="20"/>
                <w:szCs w:val="20"/>
                <w:color w:val="auto"/>
              </w:rPr>
            </w:pPr>
            <w:r>
              <w:rPr>
                <w:rFonts w:ascii="Arial" w:cs="Arial" w:eastAsia="Arial" w:hAnsi="Arial"/>
                <w:sz w:val="13"/>
                <w:szCs w:val="13"/>
                <w:b w:val="1"/>
                <w:bCs w:val="1"/>
                <w:color w:val="auto"/>
                <w:w w:val="97"/>
              </w:rPr>
              <w:t>Series B-1</w:t>
            </w:r>
          </w:p>
        </w:tc>
        <w:tc>
          <w:tcPr>
            <w:tcW w:w="1340" w:type="dxa"/>
            <w:vAlign w:val="bottom"/>
            <w:gridSpan w:val="5"/>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Series C</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4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6"/>
              </w:rPr>
              <w:t>Redeemable</w:t>
            </w:r>
          </w:p>
        </w:tc>
        <w:tc>
          <w:tcPr>
            <w:tcW w:w="140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3"/>
              </w:rPr>
              <w:t>Redeemable</w:t>
            </w:r>
          </w:p>
        </w:tc>
        <w:tc>
          <w:tcPr>
            <w:tcW w:w="134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6"/>
              </w:rPr>
              <w:t>Redeemable</w:t>
            </w:r>
          </w:p>
        </w:tc>
        <w:tc>
          <w:tcPr>
            <w:tcW w:w="134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6"/>
              </w:rPr>
              <w:t>Redeemable</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720" w:type="dxa"/>
            <w:vAlign w:val="bottom"/>
            <w:vMerge w:val="restart"/>
          </w:tcPr>
          <w:p>
            <w:pPr>
              <w:jc w:val="center"/>
              <w:ind w:right="9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40" w:type="dxa"/>
            <w:vAlign w:val="bottom"/>
            <w:gridSpan w:val="5"/>
          </w:tcPr>
          <w:p>
            <w:pPr>
              <w:jc w:val="center"/>
              <w:ind w:right="100"/>
              <w:spacing w:after="0" w:line="121" w:lineRule="exact"/>
              <w:rPr>
                <w:sz w:val="20"/>
                <w:szCs w:val="20"/>
                <w:color w:val="auto"/>
              </w:rPr>
            </w:pPr>
            <w:r>
              <w:rPr>
                <w:rFonts w:ascii="Arial" w:cs="Arial" w:eastAsia="Arial" w:hAnsi="Arial"/>
                <w:sz w:val="13"/>
                <w:szCs w:val="13"/>
                <w:b w:val="1"/>
                <w:bCs w:val="1"/>
                <w:color w:val="auto"/>
                <w:w w:val="95"/>
              </w:rPr>
              <w:t>Convertible</w:t>
            </w:r>
          </w:p>
        </w:tc>
        <w:tc>
          <w:tcPr>
            <w:tcW w:w="140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5"/>
              </w:rPr>
              <w:t>Convertible</w:t>
            </w:r>
          </w:p>
        </w:tc>
        <w:tc>
          <w:tcPr>
            <w:tcW w:w="1340" w:type="dxa"/>
            <w:vAlign w:val="bottom"/>
            <w:gridSpan w:val="5"/>
          </w:tcPr>
          <w:p>
            <w:pPr>
              <w:jc w:val="center"/>
              <w:ind w:right="60"/>
              <w:spacing w:after="0" w:line="121" w:lineRule="exact"/>
              <w:rPr>
                <w:sz w:val="20"/>
                <w:szCs w:val="20"/>
                <w:color w:val="auto"/>
              </w:rPr>
            </w:pPr>
            <w:r>
              <w:rPr>
                <w:rFonts w:ascii="Arial" w:cs="Arial" w:eastAsia="Arial" w:hAnsi="Arial"/>
                <w:sz w:val="13"/>
                <w:szCs w:val="13"/>
                <w:b w:val="1"/>
                <w:bCs w:val="1"/>
                <w:color w:val="auto"/>
                <w:w w:val="95"/>
              </w:rPr>
              <w:t>Convertible</w:t>
            </w:r>
          </w:p>
        </w:tc>
        <w:tc>
          <w:tcPr>
            <w:tcW w:w="1340" w:type="dxa"/>
            <w:vAlign w:val="bottom"/>
            <w:gridSpan w:val="5"/>
          </w:tcPr>
          <w:p>
            <w:pPr>
              <w:jc w:val="center"/>
              <w:ind w:right="60"/>
              <w:spacing w:after="0" w:line="121" w:lineRule="exact"/>
              <w:rPr>
                <w:sz w:val="20"/>
                <w:szCs w:val="20"/>
                <w:color w:val="auto"/>
              </w:rPr>
            </w:pPr>
            <w:r>
              <w:rPr>
                <w:rFonts w:ascii="Arial" w:cs="Arial" w:eastAsia="Arial" w:hAnsi="Arial"/>
                <w:sz w:val="13"/>
                <w:szCs w:val="13"/>
                <w:b w:val="1"/>
                <w:bCs w:val="1"/>
                <w:color w:val="auto"/>
                <w:w w:val="95"/>
              </w:rPr>
              <w:t>Convertible</w:t>
            </w:r>
          </w:p>
        </w:tc>
        <w:tc>
          <w:tcPr>
            <w:tcW w:w="112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w w:val="94"/>
              </w:rPr>
              <w:t>Common Stock</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4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7"/>
              </w:rPr>
              <w:t>Preferred Stock</w:t>
            </w:r>
          </w:p>
        </w:tc>
        <w:tc>
          <w:tcPr>
            <w:tcW w:w="140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4"/>
              </w:rPr>
              <w:t>Preferred Stock</w:t>
            </w:r>
          </w:p>
        </w:tc>
        <w:tc>
          <w:tcPr>
            <w:tcW w:w="134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7"/>
              </w:rPr>
              <w:t>Preferred Stock</w:t>
            </w:r>
          </w:p>
        </w:tc>
        <w:tc>
          <w:tcPr>
            <w:tcW w:w="1340" w:type="dxa"/>
            <w:vAlign w:val="bottom"/>
            <w:gridSpan w:val="5"/>
          </w:tcPr>
          <w:p>
            <w:pPr>
              <w:jc w:val="center"/>
              <w:ind w:right="60"/>
              <w:spacing w:after="0" w:line="121" w:lineRule="exact"/>
              <w:rPr>
                <w:sz w:val="20"/>
                <w:szCs w:val="20"/>
                <w:color w:val="auto"/>
              </w:rPr>
            </w:pPr>
            <w:r>
              <w:rPr>
                <w:rFonts w:ascii="Arial" w:cs="Arial" w:eastAsia="Arial" w:hAnsi="Arial"/>
                <w:sz w:val="13"/>
                <w:szCs w:val="13"/>
                <w:b w:val="1"/>
                <w:bCs w:val="1"/>
                <w:color w:val="auto"/>
                <w:w w:val="94"/>
              </w:rPr>
              <w:t>Preferred Stock</w:t>
            </w:r>
          </w:p>
        </w:tc>
        <w:tc>
          <w:tcPr>
            <w:tcW w:w="11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60"/>
              <w:spacing w:after="0" w:line="121" w:lineRule="exact"/>
              <w:rPr>
                <w:sz w:val="20"/>
                <w:szCs w:val="20"/>
                <w:color w:val="auto"/>
              </w:rPr>
            </w:pPr>
            <w:r>
              <w:rPr>
                <w:rFonts w:ascii="Arial" w:cs="Arial" w:eastAsia="Arial" w:hAnsi="Arial"/>
                <w:sz w:val="13"/>
                <w:szCs w:val="13"/>
                <w:b w:val="1"/>
                <w:bCs w:val="1"/>
                <w:color w:val="auto"/>
                <w:w w:val="97"/>
              </w:rPr>
              <w:t>Other</w:t>
            </w:r>
          </w:p>
        </w:tc>
        <w:tc>
          <w:tcPr>
            <w:tcW w:w="880" w:type="dxa"/>
            <w:vAlign w:val="bottom"/>
            <w:gridSpan w:val="2"/>
          </w:tcPr>
          <w:p>
            <w:pPr>
              <w:ind w:left="40"/>
              <w:spacing w:after="0" w:line="121"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54"/>
        </w:trPr>
        <w:tc>
          <w:tcPr>
            <w:tcW w:w="9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Paid-In</w:t>
            </w:r>
          </w:p>
        </w:tc>
        <w:tc>
          <w:tcPr>
            <w:tcW w:w="920" w:type="dxa"/>
            <w:vAlign w:val="bottom"/>
            <w:gridSpan w:val="3"/>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1040" w:type="dxa"/>
            <w:vAlign w:val="bottom"/>
            <w:gridSpan w:val="3"/>
          </w:tcPr>
          <w:p>
            <w:pPr>
              <w:ind w:left="20"/>
              <w:spacing w:after="0" w:line="54" w:lineRule="exact"/>
              <w:rPr>
                <w:sz w:val="20"/>
                <w:szCs w:val="20"/>
                <w:color w:val="auto"/>
              </w:rPr>
            </w:pPr>
            <w:r>
              <w:rPr>
                <w:rFonts w:ascii="Arial" w:cs="Arial" w:eastAsia="Arial" w:hAnsi="Arial"/>
                <w:sz w:val="6"/>
                <w:szCs w:val="6"/>
                <w:b w:val="1"/>
                <w:bCs w:val="1"/>
                <w:color w:val="auto"/>
              </w:rPr>
              <w:t>Comprehensive</w:t>
            </w:r>
          </w:p>
        </w:tc>
        <w:tc>
          <w:tcPr>
            <w:tcW w:w="160" w:type="dxa"/>
            <w:vAlign w:val="bottom"/>
          </w:tcPr>
          <w:p>
            <w:pPr>
              <w:spacing w:after="0"/>
              <w:rPr>
                <w:sz w:val="4"/>
                <w:szCs w:val="4"/>
                <w:color w:val="auto"/>
              </w:rPr>
            </w:pPr>
          </w:p>
        </w:tc>
        <w:tc>
          <w:tcPr>
            <w:tcW w:w="720" w:type="dxa"/>
            <w:vAlign w:val="bottom"/>
          </w:tcPr>
          <w:p>
            <w:pPr>
              <w:jc w:val="center"/>
              <w:ind w:right="79"/>
              <w:spacing w:after="0" w:line="54" w:lineRule="exact"/>
              <w:rPr>
                <w:sz w:val="20"/>
                <w:szCs w:val="20"/>
                <w:color w:val="auto"/>
              </w:rPr>
            </w:pPr>
            <w:r>
              <w:rPr>
                <w:rFonts w:ascii="Arial" w:cs="Arial" w:eastAsia="Arial" w:hAnsi="Arial"/>
                <w:sz w:val="6"/>
                <w:szCs w:val="6"/>
                <w:b w:val="1"/>
                <w:bCs w:val="1"/>
                <w:color w:val="auto"/>
              </w:rPr>
              <w:t>Equity</w:t>
            </w: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5"/>
                <w:szCs w:val="15"/>
                <w:color w:val="auto"/>
              </w:rPr>
            </w:pPr>
          </w:p>
        </w:tc>
        <w:tc>
          <w:tcPr>
            <w:tcW w:w="720" w:type="dxa"/>
            <w:vAlign w:val="bottom"/>
          </w:tcPr>
          <w:p>
            <w:pPr>
              <w:jc w:val="center"/>
              <w:ind w:right="79"/>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05"/>
        </w:trPr>
        <w:tc>
          <w:tcPr>
            <w:tcW w:w="900" w:type="dxa"/>
            <w:vAlign w:val="bottom"/>
            <w:tcBorders>
              <w:top w:val="single" w:sz="8" w:color="CCEEFF"/>
            </w:tcBorders>
            <w:shd w:val="clear" w:color="auto" w:fill="CCEEFF"/>
          </w:tcPr>
          <w:p>
            <w:pPr>
              <w:ind w:left="20"/>
              <w:spacing w:after="0" w:line="105" w:lineRule="exact"/>
              <w:rPr>
                <w:sz w:val="20"/>
                <w:szCs w:val="20"/>
                <w:color w:val="auto"/>
              </w:rPr>
            </w:pPr>
            <w:r>
              <w:rPr>
                <w:rFonts w:ascii="Arial" w:cs="Arial" w:eastAsia="Arial" w:hAnsi="Arial"/>
                <w:sz w:val="11"/>
                <w:szCs w:val="11"/>
                <w:b w:val="1"/>
                <w:bCs w:val="1"/>
                <w:color w:val="auto"/>
              </w:rPr>
              <w:t>Balance at</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March 31,</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38,621,049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442,524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(176,927)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265,515</w:t>
            </w:r>
          </w:p>
        </w:tc>
        <w:tc>
          <w:tcPr>
            <w:tcW w:w="0" w:type="dxa"/>
            <w:vAlign w:val="bottom"/>
          </w:tcPr>
          <w:p>
            <w:pPr>
              <w:spacing w:after="0"/>
              <w:rPr>
                <w:sz w:val="1"/>
                <w:szCs w:val="1"/>
                <w:color w:val="auto"/>
              </w:rPr>
            </w:pPr>
          </w:p>
        </w:tc>
      </w:tr>
      <w:tr>
        <w:trPr>
          <w:trHeight w:val="128"/>
        </w:trPr>
        <w:tc>
          <w:tcPr>
            <w:tcW w:w="900" w:type="dxa"/>
            <w:vAlign w:val="bottom"/>
          </w:tcPr>
          <w:p>
            <w:pPr>
              <w:ind w:left="20"/>
              <w:spacing w:after="0" w:line="128" w:lineRule="exact"/>
              <w:rPr>
                <w:sz w:val="20"/>
                <w:szCs w:val="20"/>
                <w:color w:val="auto"/>
              </w:rPr>
            </w:pPr>
            <w:r>
              <w:rPr>
                <w:rFonts w:ascii="Arial" w:cs="Arial" w:eastAsia="Arial" w:hAnsi="Arial"/>
                <w:sz w:val="13"/>
                <w:szCs w:val="13"/>
                <w:color w:val="auto"/>
              </w:rPr>
              <w:t>Stock-based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compensation</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00" w:type="dxa"/>
            <w:vAlign w:val="bottom"/>
          </w:tcPr>
          <w:p>
            <w:pPr>
              <w:ind w:left="20"/>
              <w:spacing w:after="0"/>
              <w:rPr>
                <w:sz w:val="20"/>
                <w:szCs w:val="20"/>
                <w:color w:val="auto"/>
              </w:rPr>
            </w:pPr>
            <w:r>
              <w:rPr>
                <w:rFonts w:ascii="Arial" w:cs="Arial" w:eastAsia="Arial" w:hAnsi="Arial"/>
                <w:sz w:val="13"/>
                <w:szCs w:val="13"/>
                <w:color w:val="auto"/>
              </w:rPr>
              <w:t>expense</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5,400</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Issuance of</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common stock</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from follow-on</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public offering,</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net of offering</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$229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5,750,000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98,413</w:t>
            </w:r>
          </w:p>
        </w:tc>
        <w:tc>
          <w:tcPr>
            <w:tcW w:w="0" w:type="dxa"/>
            <w:vAlign w:val="bottom"/>
          </w:tcPr>
          <w:p>
            <w:pPr>
              <w:spacing w:after="0"/>
              <w:rPr>
                <w:sz w:val="1"/>
                <w:szCs w:val="1"/>
                <w:color w:val="auto"/>
              </w:rPr>
            </w:pPr>
          </w:p>
        </w:tc>
      </w:tr>
      <w:tr>
        <w:trPr>
          <w:trHeight w:val="128"/>
        </w:trPr>
        <w:tc>
          <w:tcPr>
            <w:tcW w:w="900" w:type="dxa"/>
            <w:vAlign w:val="bottom"/>
          </w:tcPr>
          <w:p>
            <w:pPr>
              <w:ind w:left="20"/>
              <w:spacing w:after="0" w:line="128" w:lineRule="exact"/>
              <w:rPr>
                <w:sz w:val="20"/>
                <w:szCs w:val="20"/>
                <w:color w:val="auto"/>
              </w:rPr>
            </w:pPr>
            <w:r>
              <w:rPr>
                <w:rFonts w:ascii="Arial" w:cs="Arial" w:eastAsia="Arial" w:hAnsi="Arial"/>
                <w:sz w:val="13"/>
                <w:szCs w:val="13"/>
                <w:color w:val="auto"/>
              </w:rPr>
              <w:t>Issuance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common stock</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upon exercise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of stock</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00" w:type="dxa"/>
            <w:vAlign w:val="bottom"/>
          </w:tcPr>
          <w:p>
            <w:pPr>
              <w:ind w:left="20"/>
              <w:spacing w:after="0"/>
              <w:rPr>
                <w:sz w:val="20"/>
                <w:szCs w:val="20"/>
                <w:color w:val="auto"/>
              </w:rPr>
            </w:pPr>
            <w:r>
              <w:rPr>
                <w:rFonts w:ascii="Arial" w:cs="Arial" w:eastAsia="Arial" w:hAnsi="Arial"/>
                <w:sz w:val="13"/>
                <w:szCs w:val="13"/>
                <w:color w:val="auto"/>
              </w:rPr>
              <w:t>options</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322,113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809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Change in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9"/>
              </w:rPr>
              <w:t>unrealized loss</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on marketable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securities, net</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tax</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68"/>
        </w:trPr>
        <w:tc>
          <w:tcPr>
            <w:tcW w:w="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76"/>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(36,401)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(36,401)</w:t>
            </w:r>
          </w:p>
        </w:tc>
        <w:tc>
          <w:tcPr>
            <w:tcW w:w="0" w:type="dxa"/>
            <w:vAlign w:val="bottom"/>
          </w:tcPr>
          <w:p>
            <w:pPr>
              <w:spacing w:after="0"/>
              <w:rPr>
                <w:sz w:val="1"/>
                <w:szCs w:val="1"/>
                <w:color w:val="auto"/>
              </w:rPr>
            </w:pPr>
          </w:p>
        </w:tc>
      </w:tr>
      <w:tr>
        <w:trPr>
          <w:trHeight w:val="107"/>
        </w:trPr>
        <w:tc>
          <w:tcPr>
            <w:tcW w:w="90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8"/>
              </w:rPr>
              <w:t>44,693,162</w:t>
            </w:r>
          </w:p>
        </w:tc>
        <w:tc>
          <w:tcPr>
            <w:tcW w:w="8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547,145</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(213,328)</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333,772</w:t>
            </w:r>
          </w:p>
        </w:tc>
        <w:tc>
          <w:tcPr>
            <w:tcW w:w="0" w:type="dxa"/>
            <w:vAlign w:val="bottom"/>
          </w:tcPr>
          <w:p>
            <w:pPr>
              <w:spacing w:after="0"/>
              <w:rPr>
                <w:sz w:val="1"/>
                <w:szCs w:val="1"/>
                <w:color w:val="auto"/>
              </w:rPr>
            </w:pPr>
          </w:p>
        </w:tc>
      </w:tr>
      <w:tr>
        <w:trPr>
          <w:trHeight w:val="168"/>
        </w:trPr>
        <w:tc>
          <w:tcPr>
            <w:tcW w:w="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June 30, 2021</w:t>
            </w:r>
          </w:p>
        </w:tc>
        <w:tc>
          <w:tcPr>
            <w:tcW w:w="7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Arial" w:cs="Arial" w:eastAsia="Arial" w:hAnsi="Arial"/>
                <w:sz w:val="11"/>
                <w:szCs w:val="11"/>
                <w:b w:val="1"/>
                <w:bCs w:val="1"/>
                <w:color w:val="auto"/>
              </w:rPr>
              <w:t>Balance at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9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March 31,</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Arial" w:cs="Arial" w:eastAsia="Arial" w:hAnsi="Arial"/>
                <w:sz w:val="13"/>
                <w:szCs w:val="13"/>
                <w:b w:val="1"/>
                <w:bCs w:val="1"/>
                <w:color w:val="auto"/>
              </w:rPr>
              <w:t>2020</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8,075,799</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10,092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5"/>
              </w:rPr>
              <w:t>14,913,704</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0"/>
              </w:rPr>
              <w:t>50,859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2,666,666</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0"/>
              </w:rPr>
              <w:t>10,630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3,980,584</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0"/>
              </w:rPr>
              <w:t>21,074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1,635,023</w:t>
            </w:r>
          </w:p>
        </w:tc>
        <w:tc>
          <w:tcPr>
            <w:tcW w:w="8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(90,763)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(90,762)</w:t>
            </w:r>
          </w:p>
        </w:tc>
        <w:tc>
          <w:tcPr>
            <w:tcW w:w="0" w:type="dxa"/>
            <w:vAlign w:val="bottom"/>
          </w:tcPr>
          <w:p>
            <w:pPr>
              <w:spacing w:after="0"/>
              <w:rPr>
                <w:sz w:val="1"/>
                <w:szCs w:val="1"/>
                <w:color w:val="auto"/>
              </w:rPr>
            </w:pPr>
          </w:p>
        </w:tc>
      </w:tr>
      <w:tr>
        <w:trPr>
          <w:trHeight w:val="133"/>
        </w:trPr>
        <w:tc>
          <w:tcPr>
            <w:tcW w:w="9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Issuance of</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Series C</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redeemable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convertible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preferred</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stock, net of</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issuance costs</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4,563,108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23,496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900" w:type="dxa"/>
            <w:vAlign w:val="bottom"/>
          </w:tcPr>
          <w:p>
            <w:pPr>
              <w:ind w:left="20"/>
              <w:spacing w:after="0" w:line="128" w:lineRule="exact"/>
              <w:rPr>
                <w:sz w:val="20"/>
                <w:szCs w:val="20"/>
                <w:color w:val="auto"/>
              </w:rPr>
            </w:pPr>
            <w:r>
              <w:rPr>
                <w:rFonts w:ascii="Arial" w:cs="Arial" w:eastAsia="Arial" w:hAnsi="Arial"/>
                <w:sz w:val="13"/>
                <w:szCs w:val="13"/>
                <w:color w:val="auto"/>
              </w:rPr>
              <w:t>Vesting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w w:val="98"/>
              </w:rPr>
              <w:t>restricted stock</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00" w:type="dxa"/>
            <w:vAlign w:val="bottom"/>
          </w:tcPr>
          <w:p>
            <w:pPr>
              <w:ind w:left="20"/>
              <w:spacing w:after="0"/>
              <w:rPr>
                <w:sz w:val="20"/>
                <w:szCs w:val="20"/>
                <w:color w:val="auto"/>
              </w:rPr>
            </w:pPr>
            <w:r>
              <w:rPr>
                <w:rFonts w:ascii="Arial" w:cs="Arial" w:eastAsia="Arial" w:hAnsi="Arial"/>
                <w:sz w:val="13"/>
                <w:szCs w:val="13"/>
                <w:color w:val="auto"/>
              </w:rPr>
              <w:t>awards</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13,142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Stock-based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compensation</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28"/>
        </w:trPr>
        <w:tc>
          <w:tcPr>
            <w:tcW w:w="900" w:type="dxa"/>
            <w:vAlign w:val="bottom"/>
          </w:tcPr>
          <w:p>
            <w:pPr>
              <w:ind w:left="20"/>
              <w:spacing w:after="0" w:line="128" w:lineRule="exact"/>
              <w:rPr>
                <w:sz w:val="20"/>
                <w:szCs w:val="20"/>
                <w:color w:val="auto"/>
              </w:rPr>
            </w:pPr>
            <w:r>
              <w:rPr>
                <w:rFonts w:ascii="Arial" w:cs="Arial" w:eastAsia="Arial" w:hAnsi="Arial"/>
                <w:sz w:val="13"/>
                <w:szCs w:val="13"/>
                <w:color w:val="auto"/>
              </w:rPr>
              <w:t>Accretion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redeemable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convertible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w w:val="99"/>
              </w:rPr>
              <w:t>preferred stock</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to redemption</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00" w:type="dxa"/>
            <w:vAlign w:val="bottom"/>
          </w:tcPr>
          <w:p>
            <w:pPr>
              <w:ind w:left="20"/>
              <w:spacing w:after="0"/>
              <w:rPr>
                <w:sz w:val="20"/>
                <w:szCs w:val="20"/>
                <w:color w:val="auto"/>
              </w:rPr>
            </w:pPr>
            <w:r>
              <w:rPr>
                <w:rFonts w:ascii="Arial" w:cs="Arial" w:eastAsia="Arial" w:hAnsi="Arial"/>
                <w:sz w:val="13"/>
                <w:szCs w:val="13"/>
                <w:color w:val="auto"/>
              </w:rPr>
              <w:t>value</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890</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198</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789</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(2,039)</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Net loss and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7"/>
              </w:rPr>
              <w:t>comprehensive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76"/>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(11,568)</w:t>
            </w:r>
          </w:p>
        </w:tc>
        <w:tc>
          <w:tcPr>
            <w:tcW w:w="0" w:type="dxa"/>
            <w:vAlign w:val="bottom"/>
          </w:tcPr>
          <w:p>
            <w:pPr>
              <w:spacing w:after="0"/>
              <w:rPr>
                <w:sz w:val="1"/>
                <w:szCs w:val="1"/>
                <w:color w:val="auto"/>
              </w:rPr>
            </w:pPr>
          </w:p>
        </w:tc>
      </w:tr>
      <w:tr>
        <w:trPr>
          <w:trHeight w:val="101"/>
        </w:trPr>
        <w:tc>
          <w:tcPr>
            <w:tcW w:w="900" w:type="dxa"/>
            <w:vAlign w:val="bottom"/>
          </w:tcPr>
          <w:p>
            <w:pPr>
              <w:ind w:left="20"/>
              <w:spacing w:after="0" w:line="101" w:lineRule="exact"/>
              <w:rPr>
                <w:sz w:val="20"/>
                <w:szCs w:val="20"/>
                <w:color w:val="auto"/>
              </w:rPr>
            </w:pPr>
            <w:r>
              <w:rPr>
                <w:rFonts w:ascii="Arial" w:cs="Arial" w:eastAsia="Arial" w:hAnsi="Arial"/>
                <w:sz w:val="11"/>
                <w:szCs w:val="11"/>
                <w:b w:val="1"/>
                <w:bCs w:val="1"/>
                <w:color w:val="auto"/>
              </w:rPr>
              <w:t>Balance at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8,075,799</w:t>
            </w:r>
          </w:p>
        </w:tc>
        <w:tc>
          <w:tcPr>
            <w:tcW w:w="8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95"/>
              </w:rPr>
              <w:t>10,254</w:t>
            </w:r>
          </w:p>
        </w:tc>
        <w:tc>
          <w:tcPr>
            <w:tcW w:w="8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14,913,704</w:t>
            </w:r>
          </w:p>
        </w:tc>
        <w:tc>
          <w:tcPr>
            <w:tcW w:w="8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90"/>
              </w:rPr>
              <w:t>51,749</w:t>
            </w: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2,666,666</w:t>
            </w:r>
          </w:p>
        </w:tc>
        <w:tc>
          <w:tcPr>
            <w:tcW w:w="8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90"/>
              </w:rPr>
              <w:t>10,828</w:t>
            </w: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8,543,692</w:t>
            </w:r>
          </w:p>
        </w:tc>
        <w:tc>
          <w:tcPr>
            <w:tcW w:w="8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90"/>
              </w:rPr>
              <w:t>45,359</w:t>
            </w:r>
          </w:p>
        </w:tc>
        <w:tc>
          <w:tcPr>
            <w:tcW w:w="8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1,648,165</w:t>
            </w:r>
          </w:p>
        </w:tc>
        <w:tc>
          <w:tcPr>
            <w:tcW w:w="8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(104,085)</w:t>
            </w:r>
          </w:p>
        </w:tc>
        <w:tc>
          <w:tcPr>
            <w:tcW w:w="8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(104,084)</w:t>
            </w:r>
          </w:p>
        </w:tc>
        <w:tc>
          <w:tcPr>
            <w:tcW w:w="0" w:type="dxa"/>
            <w:vAlign w:val="bottom"/>
          </w:tcPr>
          <w:p>
            <w:pPr>
              <w:spacing w:after="0"/>
              <w:rPr>
                <w:sz w:val="1"/>
                <w:szCs w:val="1"/>
                <w:color w:val="auto"/>
              </w:rPr>
            </w:pPr>
          </w:p>
        </w:tc>
      </w:tr>
      <w:tr>
        <w:trPr>
          <w:trHeight w:val="148"/>
        </w:trPr>
        <w:tc>
          <w:tcPr>
            <w:tcW w:w="90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June 30, 2020</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80"/>
          </w:cols>
          <w:pgMar w:left="320" w:top="1378" w:right="299" w:bottom="1440" w:gutter="0" w:footer="0" w:header="0"/>
        </w:sectPr>
      </w:pPr>
    </w:p>
    <w:bookmarkStart w:id="8" w:name="page9"/>
    <w:bookmarkEnd w:id="8"/>
    <w:p>
      <w:pPr>
        <w:ind w:left="4020"/>
        <w:spacing w:after="0"/>
        <w:rPr>
          <w:sz w:val="20"/>
          <w:szCs w:val="20"/>
          <w:color w:val="auto"/>
        </w:rPr>
      </w:pPr>
      <w:r>
        <w:rPr>
          <w:rFonts w:ascii="Arial" w:cs="Arial" w:eastAsia="Arial" w:hAnsi="Arial"/>
          <w:sz w:val="18"/>
          <w:szCs w:val="18"/>
          <w:b w:val="1"/>
          <w:bCs w:val="1"/>
          <w:color w:val="auto"/>
        </w:rPr>
        <w:t>PRAXIS PRECISION MEDICINES, INC.</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EQUITY (DEFICIT)</w:t>
      </w:r>
    </w:p>
    <w:p>
      <w:pPr>
        <w:spacing w:after="0" w:line="9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7"/>
          </w:tcPr>
          <w:p>
            <w:pPr>
              <w:ind w:left="580"/>
              <w:spacing w:after="0"/>
              <w:rPr>
                <w:sz w:val="20"/>
                <w:szCs w:val="20"/>
                <w:color w:val="auto"/>
              </w:rPr>
            </w:pPr>
            <w:r>
              <w:rPr>
                <w:rFonts w:ascii="Arial" w:cs="Arial" w:eastAsia="Arial" w:hAnsi="Arial"/>
                <w:sz w:val="13"/>
                <w:szCs w:val="13"/>
                <w:b w:val="1"/>
                <w:bCs w:val="1"/>
                <w:color w:val="auto"/>
              </w:rPr>
              <w:t>Six Months Ended</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900" w:type="dxa"/>
            <w:vAlign w:val="bottom"/>
          </w:tcPr>
          <w:p>
            <w:pPr>
              <w:spacing w:after="0"/>
              <w:rPr>
                <w:sz w:val="24"/>
                <w:szCs w:val="24"/>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6"/>
              </w:rPr>
              <w:t>Series A</w:t>
            </w:r>
          </w:p>
        </w:tc>
        <w:tc>
          <w:tcPr>
            <w:tcW w:w="14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6"/>
              </w:rPr>
              <w:t>Series B</w:t>
            </w:r>
          </w:p>
        </w:tc>
        <w:tc>
          <w:tcPr>
            <w:tcW w:w="13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7"/>
              </w:rPr>
              <w:t>Series B-1</w:t>
            </w:r>
          </w:p>
        </w:tc>
        <w:tc>
          <w:tcPr>
            <w:tcW w:w="1120" w:type="dxa"/>
            <w:vAlign w:val="bottom"/>
            <w:gridSpan w:val="3"/>
          </w:tcPr>
          <w:p>
            <w:pPr>
              <w:jc w:val="center"/>
              <w:ind w:left="117"/>
              <w:spacing w:after="0"/>
              <w:rPr>
                <w:sz w:val="20"/>
                <w:szCs w:val="20"/>
                <w:color w:val="auto"/>
              </w:rPr>
            </w:pPr>
            <w:r>
              <w:rPr>
                <w:rFonts w:ascii="Arial" w:cs="Arial" w:eastAsia="Arial" w:hAnsi="Arial"/>
                <w:sz w:val="13"/>
                <w:szCs w:val="13"/>
                <w:b w:val="1"/>
                <w:bCs w:val="1"/>
                <w:color w:val="auto"/>
                <w:w w:val="96"/>
              </w:rPr>
              <w:t>Series 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4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6"/>
              </w:rPr>
              <w:t>Redeemable</w:t>
            </w:r>
          </w:p>
        </w:tc>
        <w:tc>
          <w:tcPr>
            <w:tcW w:w="142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6"/>
              </w:rPr>
              <w:t>Redeemable</w:t>
            </w:r>
          </w:p>
        </w:tc>
        <w:tc>
          <w:tcPr>
            <w:tcW w:w="134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6"/>
              </w:rPr>
              <w:t>Redeemable</w:t>
            </w:r>
          </w:p>
        </w:tc>
        <w:tc>
          <w:tcPr>
            <w:tcW w:w="1120" w:type="dxa"/>
            <w:vAlign w:val="bottom"/>
            <w:gridSpan w:val="3"/>
          </w:tcPr>
          <w:p>
            <w:pPr>
              <w:jc w:val="center"/>
              <w:ind w:left="117"/>
              <w:spacing w:after="0" w:line="121" w:lineRule="exact"/>
              <w:rPr>
                <w:sz w:val="20"/>
                <w:szCs w:val="20"/>
                <w:color w:val="auto"/>
              </w:rPr>
            </w:pPr>
            <w:r>
              <w:rPr>
                <w:rFonts w:ascii="Arial" w:cs="Arial" w:eastAsia="Arial" w:hAnsi="Arial"/>
                <w:sz w:val="13"/>
                <w:szCs w:val="13"/>
                <w:b w:val="1"/>
                <w:bCs w:val="1"/>
                <w:color w:val="auto"/>
                <w:w w:val="96"/>
              </w:rPr>
              <w:t>Redeemable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1340" w:type="dxa"/>
            <w:vAlign w:val="bottom"/>
            <w:gridSpan w:val="5"/>
          </w:tcPr>
          <w:p>
            <w:pPr>
              <w:jc w:val="center"/>
              <w:ind w:right="60"/>
              <w:spacing w:after="0" w:line="134" w:lineRule="exact"/>
              <w:rPr>
                <w:sz w:val="20"/>
                <w:szCs w:val="20"/>
                <w:color w:val="auto"/>
              </w:rPr>
            </w:pPr>
            <w:r>
              <w:rPr>
                <w:rFonts w:ascii="Arial" w:cs="Arial" w:eastAsia="Arial" w:hAnsi="Arial"/>
                <w:sz w:val="13"/>
                <w:szCs w:val="13"/>
                <w:b w:val="1"/>
                <w:bCs w:val="1"/>
                <w:color w:val="auto"/>
                <w:w w:val="95"/>
              </w:rPr>
              <w:t>Convertible</w:t>
            </w:r>
          </w:p>
        </w:tc>
        <w:tc>
          <w:tcPr>
            <w:tcW w:w="1420" w:type="dxa"/>
            <w:vAlign w:val="bottom"/>
            <w:gridSpan w:val="5"/>
          </w:tcPr>
          <w:p>
            <w:pPr>
              <w:jc w:val="center"/>
              <w:ind w:right="80"/>
              <w:spacing w:after="0" w:line="134" w:lineRule="exact"/>
              <w:rPr>
                <w:sz w:val="20"/>
                <w:szCs w:val="20"/>
                <w:color w:val="auto"/>
              </w:rPr>
            </w:pPr>
            <w:r>
              <w:rPr>
                <w:rFonts w:ascii="Arial" w:cs="Arial" w:eastAsia="Arial" w:hAnsi="Arial"/>
                <w:sz w:val="13"/>
                <w:szCs w:val="13"/>
                <w:b w:val="1"/>
                <w:bCs w:val="1"/>
                <w:color w:val="auto"/>
                <w:w w:val="97"/>
              </w:rPr>
              <w:t>Convertible</w:t>
            </w:r>
          </w:p>
        </w:tc>
        <w:tc>
          <w:tcPr>
            <w:tcW w:w="1340" w:type="dxa"/>
            <w:vAlign w:val="bottom"/>
            <w:gridSpan w:val="5"/>
          </w:tcPr>
          <w:p>
            <w:pPr>
              <w:jc w:val="center"/>
              <w:ind w:right="80"/>
              <w:spacing w:after="0" w:line="134" w:lineRule="exact"/>
              <w:rPr>
                <w:sz w:val="20"/>
                <w:szCs w:val="20"/>
                <w:color w:val="auto"/>
              </w:rPr>
            </w:pPr>
            <w:r>
              <w:rPr>
                <w:rFonts w:ascii="Arial" w:cs="Arial" w:eastAsia="Arial" w:hAnsi="Arial"/>
                <w:sz w:val="13"/>
                <w:szCs w:val="13"/>
                <w:b w:val="1"/>
                <w:bCs w:val="1"/>
                <w:color w:val="auto"/>
                <w:w w:val="97"/>
              </w:rPr>
              <w:t>Convertible</w:t>
            </w:r>
          </w:p>
        </w:tc>
        <w:tc>
          <w:tcPr>
            <w:tcW w:w="1120" w:type="dxa"/>
            <w:vAlign w:val="bottom"/>
            <w:gridSpan w:val="3"/>
          </w:tcPr>
          <w:p>
            <w:pPr>
              <w:jc w:val="center"/>
              <w:ind w:left="137"/>
              <w:spacing w:after="0" w:line="134" w:lineRule="exact"/>
              <w:rPr>
                <w:sz w:val="20"/>
                <w:szCs w:val="20"/>
                <w:color w:val="auto"/>
              </w:rPr>
            </w:pPr>
            <w:r>
              <w:rPr>
                <w:rFonts w:ascii="Arial" w:cs="Arial" w:eastAsia="Arial" w:hAnsi="Arial"/>
                <w:sz w:val="13"/>
                <w:szCs w:val="13"/>
                <w:b w:val="1"/>
                <w:bCs w:val="1"/>
                <w:color w:val="auto"/>
                <w:w w:val="95"/>
              </w:rPr>
              <w:t>Convertible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w w:val="94"/>
              </w:rPr>
              <w:t>Common Stock</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720" w:type="dxa"/>
            <w:vAlign w:val="bottom"/>
          </w:tcPr>
          <w:p>
            <w:pPr>
              <w:jc w:val="center"/>
              <w:ind w:right="77"/>
              <w:spacing w:after="0" w:line="134"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40" w:type="dxa"/>
            <w:vAlign w:val="bottom"/>
            <w:gridSpan w:val="5"/>
          </w:tcPr>
          <w:p>
            <w:pPr>
              <w:jc w:val="center"/>
              <w:ind w:right="60"/>
              <w:spacing w:after="0" w:line="121" w:lineRule="exact"/>
              <w:rPr>
                <w:sz w:val="20"/>
                <w:szCs w:val="20"/>
                <w:color w:val="auto"/>
              </w:rPr>
            </w:pPr>
            <w:r>
              <w:rPr>
                <w:rFonts w:ascii="Arial" w:cs="Arial" w:eastAsia="Arial" w:hAnsi="Arial"/>
                <w:sz w:val="13"/>
                <w:szCs w:val="13"/>
                <w:b w:val="1"/>
                <w:bCs w:val="1"/>
                <w:color w:val="auto"/>
                <w:w w:val="94"/>
              </w:rPr>
              <w:t>Preferred Stock</w:t>
            </w:r>
          </w:p>
        </w:tc>
        <w:tc>
          <w:tcPr>
            <w:tcW w:w="142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7"/>
              </w:rPr>
              <w:t>Preferred Stock</w:t>
            </w:r>
          </w:p>
        </w:tc>
        <w:tc>
          <w:tcPr>
            <w:tcW w:w="134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7"/>
              </w:rPr>
              <w:t>Preferred Stock</w:t>
            </w:r>
          </w:p>
        </w:tc>
        <w:tc>
          <w:tcPr>
            <w:tcW w:w="1120" w:type="dxa"/>
            <w:vAlign w:val="bottom"/>
            <w:gridSpan w:val="3"/>
          </w:tcPr>
          <w:p>
            <w:pPr>
              <w:jc w:val="center"/>
              <w:ind w:left="137"/>
              <w:spacing w:after="0" w:line="121" w:lineRule="exact"/>
              <w:rPr>
                <w:sz w:val="20"/>
                <w:szCs w:val="20"/>
                <w:color w:val="auto"/>
              </w:rPr>
            </w:pPr>
            <w:r>
              <w:rPr>
                <w:rFonts w:ascii="Arial" w:cs="Arial" w:eastAsia="Arial" w:hAnsi="Arial"/>
                <w:sz w:val="13"/>
                <w:szCs w:val="13"/>
                <w:b w:val="1"/>
                <w:bCs w:val="1"/>
                <w:color w:val="auto"/>
                <w:w w:val="94"/>
              </w:rPr>
              <w:t>Preferred Stock</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1" w:lineRule="exact"/>
              <w:rPr>
                <w:sz w:val="20"/>
                <w:szCs w:val="20"/>
                <w:color w:val="auto"/>
              </w:rPr>
            </w:pPr>
            <w:r>
              <w:rPr>
                <w:rFonts w:ascii="Arial" w:cs="Arial" w:eastAsia="Arial" w:hAnsi="Arial"/>
                <w:sz w:val="13"/>
                <w:szCs w:val="13"/>
                <w:b w:val="1"/>
                <w:bCs w:val="1"/>
                <w:color w:val="auto"/>
                <w:w w:val="97"/>
              </w:rPr>
              <w:t>Other</w:t>
            </w:r>
          </w:p>
        </w:tc>
        <w:tc>
          <w:tcPr>
            <w:tcW w:w="860" w:type="dxa"/>
            <w:vAlign w:val="bottom"/>
            <w:gridSpan w:val="2"/>
          </w:tcPr>
          <w:p>
            <w:pPr>
              <w:ind w:left="20"/>
              <w:spacing w:after="0" w:line="121"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restart"/>
          </w:tcPr>
          <w:p>
            <w:pPr>
              <w:ind w:left="20"/>
              <w:spacing w:after="0" w:line="121" w:lineRule="exact"/>
              <w:rPr>
                <w:sz w:val="20"/>
                <w:szCs w:val="20"/>
                <w:color w:val="auto"/>
              </w:rPr>
            </w:pPr>
            <w:r>
              <w:rPr>
                <w:rFonts w:ascii="Arial" w:cs="Arial" w:eastAsia="Arial" w:hAnsi="Arial"/>
                <w:sz w:val="13"/>
                <w:szCs w:val="13"/>
                <w:b w:val="1"/>
                <w:bCs w:val="1"/>
                <w:color w:val="auto"/>
              </w:rPr>
              <w:t>Paid-In</w:t>
            </w:r>
          </w:p>
        </w:tc>
        <w:tc>
          <w:tcPr>
            <w:tcW w:w="900" w:type="dxa"/>
            <w:vAlign w:val="bottom"/>
            <w:gridSpan w:val="3"/>
            <w:vMerge w:val="restart"/>
          </w:tcPr>
          <w:p>
            <w:pPr>
              <w:ind w:left="20"/>
              <w:spacing w:after="0" w:line="121"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3"/>
            <w:vMerge w:val="restart"/>
          </w:tcPr>
          <w:p>
            <w:pPr>
              <w:ind w:left="20"/>
              <w:spacing w:after="0" w:line="121"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3"/>
                <w:szCs w:val="3"/>
                <w:color w:val="auto"/>
              </w:rPr>
            </w:pPr>
          </w:p>
        </w:tc>
        <w:tc>
          <w:tcPr>
            <w:tcW w:w="720" w:type="dxa"/>
            <w:vAlign w:val="bottom"/>
            <w:vMerge w:val="restart"/>
          </w:tcPr>
          <w:p>
            <w:pPr>
              <w:jc w:val="center"/>
              <w:ind w:right="77"/>
              <w:spacing w:after="0" w:line="121"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61"/>
        </w:trPr>
        <w:tc>
          <w:tcPr>
            <w:tcW w:w="900" w:type="dxa"/>
            <w:vAlign w:val="bottom"/>
          </w:tcPr>
          <w:p>
            <w:pPr>
              <w:spacing w:after="0"/>
              <w:rPr>
                <w:sz w:val="5"/>
                <w:szCs w:val="5"/>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7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40" w:type="dxa"/>
            <w:vAlign w:val="bottom"/>
          </w:tcPr>
          <w:p>
            <w:pPr>
              <w:spacing w:after="0"/>
              <w:rPr>
                <w:sz w:val="14"/>
                <w:szCs w:val="14"/>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05"/>
        </w:trPr>
        <w:tc>
          <w:tcPr>
            <w:tcW w:w="900" w:type="dxa"/>
            <w:vAlign w:val="bottom"/>
            <w:tcBorders>
              <w:top w:val="single" w:sz="8" w:color="CCEEFF"/>
            </w:tcBorders>
            <w:shd w:val="clear" w:color="auto" w:fill="CCEEFF"/>
          </w:tcPr>
          <w:p>
            <w:pPr>
              <w:ind w:left="20"/>
              <w:spacing w:after="0" w:line="105" w:lineRule="exact"/>
              <w:rPr>
                <w:sz w:val="20"/>
                <w:szCs w:val="20"/>
                <w:color w:val="auto"/>
              </w:rPr>
            </w:pPr>
            <w:r>
              <w:rPr>
                <w:rFonts w:ascii="Arial" w:cs="Arial" w:eastAsia="Arial" w:hAnsi="Arial"/>
                <w:sz w:val="11"/>
                <w:szCs w:val="11"/>
                <w:b w:val="1"/>
                <w:bCs w:val="1"/>
                <w:color w:val="auto"/>
              </w:rPr>
              <w:t>Balance at</w:t>
            </w: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December 31,</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38,268,543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437,007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287,457</w:t>
            </w:r>
          </w:p>
        </w:tc>
        <w:tc>
          <w:tcPr>
            <w:tcW w:w="0" w:type="dxa"/>
            <w:vAlign w:val="bottom"/>
          </w:tcPr>
          <w:p>
            <w:pPr>
              <w:spacing w:after="0"/>
              <w:rPr>
                <w:sz w:val="1"/>
                <w:szCs w:val="1"/>
                <w:color w:val="auto"/>
              </w:rPr>
            </w:pPr>
          </w:p>
        </w:tc>
      </w:tr>
      <w:tr>
        <w:trPr>
          <w:trHeight w:val="128"/>
        </w:trPr>
        <w:tc>
          <w:tcPr>
            <w:tcW w:w="900" w:type="dxa"/>
            <w:vAlign w:val="bottom"/>
          </w:tcPr>
          <w:p>
            <w:pPr>
              <w:ind w:left="20"/>
              <w:spacing w:after="0" w:line="128" w:lineRule="exact"/>
              <w:rPr>
                <w:sz w:val="20"/>
                <w:szCs w:val="20"/>
                <w:color w:val="auto"/>
              </w:rPr>
            </w:pPr>
            <w:r>
              <w:rPr>
                <w:rFonts w:ascii="Arial" w:cs="Arial" w:eastAsia="Arial" w:hAnsi="Arial"/>
                <w:sz w:val="13"/>
                <w:szCs w:val="13"/>
                <w:color w:val="auto"/>
              </w:rPr>
              <w:t>Stock-based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compensation</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00" w:type="dxa"/>
            <w:vAlign w:val="bottom"/>
          </w:tcPr>
          <w:p>
            <w:pPr>
              <w:ind w:left="20"/>
              <w:spacing w:after="0"/>
              <w:rPr>
                <w:sz w:val="20"/>
                <w:szCs w:val="20"/>
                <w:color w:val="auto"/>
              </w:rPr>
            </w:pPr>
            <w:r>
              <w:rPr>
                <w:rFonts w:ascii="Arial" w:cs="Arial" w:eastAsia="Arial" w:hAnsi="Arial"/>
                <w:sz w:val="13"/>
                <w:szCs w:val="13"/>
                <w:color w:val="auto"/>
              </w:rPr>
              <w:t>expense</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10,066</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Issuance of</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common stock</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from follow-on</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public offering,</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net of offering</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$229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5,750,000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98,413</w:t>
            </w:r>
          </w:p>
        </w:tc>
        <w:tc>
          <w:tcPr>
            <w:tcW w:w="0" w:type="dxa"/>
            <w:vAlign w:val="bottom"/>
          </w:tcPr>
          <w:p>
            <w:pPr>
              <w:spacing w:after="0"/>
              <w:rPr>
                <w:sz w:val="1"/>
                <w:szCs w:val="1"/>
                <w:color w:val="auto"/>
              </w:rPr>
            </w:pPr>
          </w:p>
        </w:tc>
      </w:tr>
      <w:tr>
        <w:trPr>
          <w:trHeight w:val="128"/>
        </w:trPr>
        <w:tc>
          <w:tcPr>
            <w:tcW w:w="900" w:type="dxa"/>
            <w:vAlign w:val="bottom"/>
          </w:tcPr>
          <w:p>
            <w:pPr>
              <w:ind w:left="20"/>
              <w:spacing w:after="0" w:line="128" w:lineRule="exact"/>
              <w:rPr>
                <w:sz w:val="20"/>
                <w:szCs w:val="20"/>
                <w:color w:val="auto"/>
              </w:rPr>
            </w:pPr>
            <w:r>
              <w:rPr>
                <w:rFonts w:ascii="Arial" w:cs="Arial" w:eastAsia="Arial" w:hAnsi="Arial"/>
                <w:sz w:val="13"/>
                <w:szCs w:val="13"/>
                <w:color w:val="auto"/>
              </w:rPr>
              <w:t>Issuance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common stock</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upon exercise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of stock</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00" w:type="dxa"/>
            <w:vAlign w:val="bottom"/>
          </w:tcPr>
          <w:p>
            <w:pPr>
              <w:ind w:left="20"/>
              <w:spacing w:after="0"/>
              <w:rPr>
                <w:sz w:val="20"/>
                <w:szCs w:val="20"/>
                <w:color w:val="auto"/>
              </w:rPr>
            </w:pPr>
            <w:r>
              <w:rPr>
                <w:rFonts w:ascii="Arial" w:cs="Arial" w:eastAsia="Arial" w:hAnsi="Arial"/>
                <w:sz w:val="13"/>
                <w:szCs w:val="13"/>
                <w:color w:val="auto"/>
              </w:rPr>
              <w:t>options</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674,619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1,660</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w w:val="96"/>
              </w:rPr>
              <w:t>Unrealized loss</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on marketable</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securities, net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tax</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left="517"/>
              <w:spacing w:after="0"/>
              <w:rPr>
                <w:sz w:val="20"/>
                <w:szCs w:val="20"/>
                <w:color w:val="auto"/>
              </w:rPr>
            </w:pPr>
            <w:r>
              <w:rPr>
                <w:rFonts w:ascii="Arial" w:cs="Arial" w:eastAsia="Arial" w:hAnsi="Arial"/>
                <w:sz w:val="13"/>
                <w:szCs w:val="13"/>
                <w:color w:val="auto"/>
                <w:w w:val="94"/>
              </w:rPr>
              <w:t>(50)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8"/>
        </w:trPr>
        <w:tc>
          <w:tcPr>
            <w:tcW w:w="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(63,774)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55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(63,774)</w:t>
            </w:r>
          </w:p>
        </w:tc>
        <w:tc>
          <w:tcPr>
            <w:tcW w:w="0" w:type="dxa"/>
            <w:vAlign w:val="bottom"/>
          </w:tcPr>
          <w:p>
            <w:pPr>
              <w:spacing w:after="0"/>
              <w:rPr>
                <w:sz w:val="1"/>
                <w:szCs w:val="1"/>
                <w:color w:val="auto"/>
              </w:rPr>
            </w:pPr>
          </w:p>
        </w:tc>
      </w:tr>
      <w:tr>
        <w:trPr>
          <w:trHeight w:val="107"/>
        </w:trPr>
        <w:tc>
          <w:tcPr>
            <w:tcW w:w="90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44,693,162</w:t>
            </w:r>
          </w:p>
        </w:tc>
        <w:tc>
          <w:tcPr>
            <w:tcW w:w="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547,145</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(213,328)</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center"/>
              <w:ind w:left="517"/>
              <w:spacing w:after="0"/>
              <w:rPr>
                <w:sz w:val="20"/>
                <w:szCs w:val="20"/>
                <w:color w:val="auto"/>
              </w:rPr>
            </w:pPr>
            <w:r>
              <w:rPr>
                <w:rFonts w:ascii="Arial" w:cs="Arial" w:eastAsia="Arial" w:hAnsi="Arial"/>
                <w:sz w:val="13"/>
                <w:szCs w:val="13"/>
                <w:color w:val="auto"/>
                <w:w w:val="94"/>
              </w:rPr>
              <w:t>(50)</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333,772</w:t>
            </w:r>
          </w:p>
        </w:tc>
        <w:tc>
          <w:tcPr>
            <w:tcW w:w="0" w:type="dxa"/>
            <w:vAlign w:val="bottom"/>
          </w:tcPr>
          <w:p>
            <w:pPr>
              <w:spacing w:after="0"/>
              <w:rPr>
                <w:sz w:val="1"/>
                <w:szCs w:val="1"/>
                <w:color w:val="auto"/>
              </w:rPr>
            </w:pPr>
          </w:p>
        </w:tc>
      </w:tr>
      <w:tr>
        <w:trPr>
          <w:trHeight w:val="168"/>
        </w:trPr>
        <w:tc>
          <w:tcPr>
            <w:tcW w:w="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June 30, 2021</w:t>
            </w:r>
          </w:p>
        </w:tc>
        <w:tc>
          <w:tcPr>
            <w:tcW w:w="7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Arial" w:cs="Arial" w:eastAsia="Arial" w:hAnsi="Arial"/>
                <w:sz w:val="11"/>
                <w:szCs w:val="11"/>
                <w:b w:val="1"/>
                <w:bCs w:val="1"/>
                <w:color w:val="auto"/>
              </w:rPr>
              <w:t>Balance at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9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December 31,</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Arial" w:cs="Arial" w:eastAsia="Arial" w:hAnsi="Arial"/>
                <w:sz w:val="13"/>
                <w:szCs w:val="13"/>
                <w:b w:val="1"/>
                <w:bCs w:val="1"/>
                <w:color w:val="auto"/>
              </w:rPr>
              <w:t>2019</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8,075,799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9,932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14,913,704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49,969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2,666,666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10,431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9,805,827</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50,789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1,621,880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(81,009)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(81,008)</w:t>
            </w:r>
          </w:p>
        </w:tc>
        <w:tc>
          <w:tcPr>
            <w:tcW w:w="0" w:type="dxa"/>
            <w:vAlign w:val="bottom"/>
          </w:tcPr>
          <w:p>
            <w:pPr>
              <w:spacing w:after="0"/>
              <w:rPr>
                <w:sz w:val="1"/>
                <w:szCs w:val="1"/>
                <w:color w:val="auto"/>
              </w:rPr>
            </w:pPr>
          </w:p>
        </w:tc>
      </w:tr>
      <w:tr>
        <w:trPr>
          <w:trHeight w:val="133"/>
        </w:trPr>
        <w:tc>
          <w:tcPr>
            <w:tcW w:w="9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Repurchase of</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Series C</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redeemable</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convertible</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preferred stock</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(5,825,243)</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99"/>
              </w:rPr>
              <w:t>(30,493)</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28"/>
        </w:trPr>
        <w:tc>
          <w:tcPr>
            <w:tcW w:w="900" w:type="dxa"/>
            <w:vAlign w:val="bottom"/>
          </w:tcPr>
          <w:p>
            <w:pPr>
              <w:ind w:left="20"/>
              <w:spacing w:after="0" w:line="128" w:lineRule="exact"/>
              <w:rPr>
                <w:sz w:val="20"/>
                <w:szCs w:val="20"/>
                <w:color w:val="auto"/>
              </w:rPr>
            </w:pPr>
            <w:r>
              <w:rPr>
                <w:rFonts w:ascii="Arial" w:cs="Arial" w:eastAsia="Arial" w:hAnsi="Arial"/>
                <w:sz w:val="13"/>
                <w:szCs w:val="13"/>
                <w:color w:val="auto"/>
              </w:rPr>
              <w:t>Issuance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Series C</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redeemable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convertible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preferred</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stock, net of</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issuance costs</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00" w:type="dxa"/>
            <w:vAlign w:val="bottom"/>
          </w:tcPr>
          <w:p>
            <w:pPr>
              <w:ind w:left="20"/>
              <w:spacing w:after="0"/>
              <w:rPr>
                <w:sz w:val="20"/>
                <w:szCs w:val="20"/>
                <w:color w:val="auto"/>
              </w:rPr>
            </w:pPr>
            <w:r>
              <w:rPr>
                <w:rFonts w:ascii="Arial" w:cs="Arial" w:eastAsia="Arial" w:hAnsi="Arial"/>
                <w:sz w:val="13"/>
                <w:szCs w:val="13"/>
                <w:color w:val="auto"/>
              </w:rPr>
              <w:t>of $41</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4,563,108</w:t>
            </w: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23,459</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Vesting of</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8"/>
              </w:rPr>
              <w:t>restricted stock</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awards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26,285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900" w:type="dxa"/>
            <w:vAlign w:val="bottom"/>
          </w:tcPr>
          <w:p>
            <w:pPr>
              <w:ind w:left="20"/>
              <w:spacing w:after="0" w:line="128" w:lineRule="exact"/>
              <w:rPr>
                <w:sz w:val="20"/>
                <w:szCs w:val="20"/>
                <w:color w:val="auto"/>
              </w:rPr>
            </w:pPr>
            <w:r>
              <w:rPr>
                <w:rFonts w:ascii="Arial" w:cs="Arial" w:eastAsia="Arial" w:hAnsi="Arial"/>
                <w:sz w:val="13"/>
                <w:szCs w:val="13"/>
                <w:color w:val="auto"/>
              </w:rPr>
              <w:t>Stock-based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rPr>
              <w:t>compensation</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00" w:type="dxa"/>
            <w:vAlign w:val="bottom"/>
          </w:tcPr>
          <w:p>
            <w:pPr>
              <w:ind w:left="20"/>
              <w:spacing w:after="0"/>
              <w:rPr>
                <w:sz w:val="20"/>
                <w:szCs w:val="20"/>
                <w:color w:val="auto"/>
              </w:rPr>
            </w:pPr>
            <w:r>
              <w:rPr>
                <w:rFonts w:ascii="Arial" w:cs="Arial" w:eastAsia="Arial" w:hAnsi="Arial"/>
                <w:sz w:val="13"/>
                <w:szCs w:val="13"/>
                <w:color w:val="auto"/>
              </w:rPr>
              <w:t>expense</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432</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Accretion of</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redeemable</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convertible</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9"/>
              </w:rPr>
              <w:t>preferred stock</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to redemption</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value</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1,780</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1,604</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(4,103)</w:t>
            </w:r>
          </w:p>
        </w:tc>
        <w:tc>
          <w:tcPr>
            <w:tcW w:w="0" w:type="dxa"/>
            <w:vAlign w:val="bottom"/>
          </w:tcPr>
          <w:p>
            <w:pPr>
              <w:spacing w:after="0"/>
              <w:rPr>
                <w:sz w:val="1"/>
                <w:szCs w:val="1"/>
                <w:color w:val="auto"/>
              </w:rPr>
            </w:pPr>
          </w:p>
        </w:tc>
      </w:tr>
      <w:tr>
        <w:trPr>
          <w:trHeight w:val="128"/>
        </w:trPr>
        <w:tc>
          <w:tcPr>
            <w:tcW w:w="900" w:type="dxa"/>
            <w:vAlign w:val="bottom"/>
          </w:tcPr>
          <w:p>
            <w:pPr>
              <w:ind w:left="20"/>
              <w:spacing w:after="0" w:line="128" w:lineRule="exact"/>
              <w:rPr>
                <w:sz w:val="20"/>
                <w:szCs w:val="20"/>
                <w:color w:val="auto"/>
              </w:rPr>
            </w:pPr>
            <w:r>
              <w:rPr>
                <w:rFonts w:ascii="Arial" w:cs="Arial" w:eastAsia="Arial" w:hAnsi="Arial"/>
                <w:sz w:val="13"/>
                <w:szCs w:val="13"/>
                <w:color w:val="auto"/>
              </w:rPr>
              <w:t>Net loss and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20"/>
              <w:spacing w:after="0" w:line="121" w:lineRule="exact"/>
              <w:rPr>
                <w:sz w:val="20"/>
                <w:szCs w:val="20"/>
                <w:color w:val="auto"/>
              </w:rPr>
            </w:pPr>
            <w:r>
              <w:rPr>
                <w:rFonts w:ascii="Arial" w:cs="Arial" w:eastAsia="Arial" w:hAnsi="Arial"/>
                <w:sz w:val="13"/>
                <w:szCs w:val="13"/>
                <w:color w:val="auto"/>
                <w:w w:val="97"/>
              </w:rPr>
              <w:t>comprehensive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loss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(19,898)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left="55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(19,898)</w:t>
            </w:r>
          </w:p>
        </w:tc>
        <w:tc>
          <w:tcPr>
            <w:tcW w:w="0" w:type="dxa"/>
            <w:vAlign w:val="bottom"/>
          </w:tcPr>
          <w:p>
            <w:pPr>
              <w:spacing w:after="0"/>
              <w:rPr>
                <w:sz w:val="1"/>
                <w:szCs w:val="1"/>
                <w:color w:val="auto"/>
              </w:rPr>
            </w:pPr>
          </w:p>
        </w:tc>
      </w:tr>
      <w:tr>
        <w:trPr>
          <w:trHeight w:val="107"/>
        </w:trPr>
        <w:tc>
          <w:tcPr>
            <w:tcW w:w="90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8,075,799</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0"/>
              </w:rPr>
              <w:t>10,254</w:t>
            </w: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8"/>
              </w:rPr>
              <w:t>14,913,704</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51,749</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2,666,666</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10,828</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8,543,692</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94"/>
              </w:rPr>
              <w:t>$ 45,359</w:t>
            </w: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1,648,165</w:t>
            </w:r>
          </w:p>
        </w:tc>
        <w:tc>
          <w:tcPr>
            <w:tcW w:w="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(104,085)</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CEEFF"/>
          </w:tcPr>
          <w:p>
            <w:pPr>
              <w:jc w:val="center"/>
              <w:ind w:left="477"/>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(104,084)</w:t>
            </w:r>
          </w:p>
        </w:tc>
        <w:tc>
          <w:tcPr>
            <w:tcW w:w="0" w:type="dxa"/>
            <w:vAlign w:val="bottom"/>
          </w:tcPr>
          <w:p>
            <w:pPr>
              <w:spacing w:after="0"/>
              <w:rPr>
                <w:sz w:val="1"/>
                <w:szCs w:val="1"/>
                <w:color w:val="auto"/>
              </w:rPr>
            </w:pPr>
          </w:p>
        </w:tc>
      </w:tr>
      <w:tr>
        <w:trPr>
          <w:trHeight w:val="168"/>
        </w:trPr>
        <w:tc>
          <w:tcPr>
            <w:tcW w:w="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June 30, 2020</w:t>
            </w: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92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7" w:lineRule="exact"/>
        <w:rPr>
          <w:sz w:val="20"/>
          <w:szCs w:val="20"/>
          <w:color w:val="auto"/>
        </w:rPr>
      </w:pPr>
    </w:p>
    <w:p>
      <w:pPr>
        <w:jc w:val="center"/>
        <w:ind w:left="7800"/>
        <w:spacing w:after="0"/>
        <w:rPr>
          <w:sz w:val="20"/>
          <w:szCs w:val="20"/>
          <w:color w:val="auto"/>
        </w:rPr>
      </w:pPr>
      <w:r>
        <w:rPr>
          <w:rFonts w:ascii="Arial" w:cs="Arial" w:eastAsia="Arial" w:hAnsi="Arial"/>
          <w:sz w:val="16"/>
          <w:szCs w:val="16"/>
          <w:b w:val="1"/>
          <w:bCs w:val="1"/>
          <w:color w:val="auto"/>
        </w:rPr>
        <w:t>Six Months Ended</w:t>
      </w:r>
    </w:p>
    <w:p>
      <w:pPr>
        <w:jc w:val="center"/>
        <w:ind w:left="7800"/>
        <w:spacing w:after="0"/>
        <w:rPr>
          <w:sz w:val="20"/>
          <w:szCs w:val="20"/>
          <w:color w:val="auto"/>
        </w:rPr>
      </w:pPr>
      <w:r>
        <w:rPr>
          <w:rFonts w:ascii="Arial" w:cs="Arial" w:eastAsia="Arial" w:hAnsi="Arial"/>
          <w:sz w:val="16"/>
          <w:szCs w:val="16"/>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19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(63,774)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(19,898)</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782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8"/>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212"/>
        </w:trPr>
        <w:tc>
          <w:tcPr>
            <w:tcW w:w="782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8"/>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82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2"/>
        </w:trPr>
        <w:tc>
          <w:tcPr>
            <w:tcW w:w="782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912</w:t>
            </w:r>
          </w:p>
        </w:tc>
      </w:tr>
      <w:tr>
        <w:trPr>
          <w:trHeight w:val="218"/>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2"/>
        </w:trPr>
        <w:tc>
          <w:tcPr>
            <w:tcW w:w="782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15"/>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8"/>
        </w:trPr>
        <w:tc>
          <w:tcPr>
            <w:tcW w:w="7820" w:type="dxa"/>
            <w:vAlign w:val="bottom"/>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(55,735)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(18,513)</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(164,170)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820" w:type="dxa"/>
            <w:vAlign w:val="bottom"/>
          </w:tcPr>
          <w:p>
            <w:pPr>
              <w:ind w:left="66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(164,239)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follow-on public offering, net of issuance costs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98,576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issuance costs for initial public offering and issuance of redeemable convertible preferred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exercise of options to purchase common stock</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redeemable convertible preferred stock, net of issuance costs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23,459</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Repurchase of Series C redeemable convertible preferred stock</w:t>
            </w: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08"/>
        </w:trPr>
        <w:tc>
          <w:tcPr>
            <w:tcW w:w="78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provided by (used in)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99,661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(6,554)</w:t>
            </w:r>
          </w:p>
        </w:tc>
      </w:tr>
      <w:tr>
        <w:trPr>
          <w:trHeight w:val="208"/>
        </w:trPr>
        <w:tc>
          <w:tcPr>
            <w:tcW w:w="7820" w:type="dxa"/>
            <w:vAlign w:val="bottom"/>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(120,313)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(25,067)</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45,415</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176,895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2"/>
        </w:trPr>
        <w:tc>
          <w:tcPr>
            <w:tcW w:w="78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Reconciliation of cash, cash equivalents and restricted cash:</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175,879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19,748</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1"/>
        </w:trPr>
        <w:tc>
          <w:tcPr>
            <w:tcW w:w="7820" w:type="dxa"/>
            <w:vAlign w:val="bottom"/>
          </w:tcPr>
          <w:p>
            <w:pPr>
              <w:ind w:left="660"/>
              <w:spacing w:after="0"/>
              <w:rPr>
                <w:sz w:val="20"/>
                <w:szCs w:val="20"/>
                <w:color w:val="auto"/>
              </w:rPr>
            </w:pPr>
            <w:r>
              <w:rPr>
                <w:rFonts w:ascii="Arial" w:cs="Arial" w:eastAsia="Arial" w:hAnsi="Arial"/>
                <w:sz w:val="16"/>
                <w:szCs w:val="16"/>
                <w:color w:val="auto"/>
              </w:rPr>
              <w:t>Total cash, cash equivalents and restricted cash</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176,895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2"/>
        </w:trPr>
        <w:tc>
          <w:tcPr>
            <w:tcW w:w="78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Supplemental disclosures of non-cash activities: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offering costs included in accounts payable and accrued expenses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8"/>
        </w:trPr>
        <w:tc>
          <w:tcPr>
            <w:tcW w:w="7820" w:type="dxa"/>
            <w:vAlign w:val="bottom"/>
          </w:tcPr>
          <w:p>
            <w:pPr>
              <w:ind w:left="2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of redeemable convertible preferred stock to redemption value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0" w:name="page11"/>
    <w:bookmarkEnd w:id="10"/>
    <w:p>
      <w:pPr>
        <w:jc w:val="center"/>
        <w:ind w:left="340" w:right="2700"/>
        <w:spacing w:after="0" w:line="441"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97" w:lineRule="exact"/>
        <w:rPr>
          <w:sz w:val="20"/>
          <w:szCs w:val="20"/>
          <w:color w:val="auto"/>
        </w:rPr>
      </w:pPr>
    </w:p>
    <w:p>
      <w:pPr>
        <w:ind w:right="40" w:firstLine="443"/>
        <w:spacing w:after="0" w:line="250"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genetic insights into the development of therapies for central nervous system (“CNS”) disorders characterized by neuronal imbalance. The Company has established a broad portfolio, including multiple disclosed programs across CNS disorders, including depression, epilepsy, movement disorders and pain syndromes, with three clinical-stage product candidates. The Company intends to develop differentiated therapies that can deliver long-term benefits to human health by meaningfully impacting patients and society. The Company’s most advanced programs, PRAX-114 and PRAX-944, are currently in Phase 2/3 and Phase 2 development, respectively. PRAX-114 is an extrasynaptic GABA</w:t>
      </w:r>
      <w:r>
        <w:rPr>
          <w:rFonts w:ascii="Arial" w:cs="Arial" w:eastAsia="Arial" w:hAnsi="Arial"/>
          <w:sz w:val="16"/>
          <w:szCs w:val="16"/>
          <w:color w:val="auto"/>
        </w:rPr>
        <w:t>A</w:t>
      </w:r>
      <w:r>
        <w:rPr>
          <w:rFonts w:ascii="Arial" w:cs="Arial" w:eastAsia="Arial" w:hAnsi="Arial"/>
          <w:sz w:val="18"/>
          <w:szCs w:val="18"/>
          <w:color w:val="auto"/>
        </w:rPr>
        <w:t xml:space="preserve"> receptor preferring positive allosteric modulator currently being developed for the treatment of major depressive disorder and perimenopausal depression. The Company plans to initiate Phase 2 trials of PRAX-114 in post-traumatic stress disorder and essential tremor ("ET") in the second half of 2021 and intends to disclose plans for a Phase 2b trial in women with menopausal and mood symptoms in the second half of 2021. PRAX-944 is a selective small molecule inhibitor of T-type calcium channels currently being developed for the treatment of ET. The Company plans to initiate a Phase 2 trial of PRAX-944 in Parkinson's disease in the first half of 2022.</w:t>
      </w:r>
    </w:p>
    <w:p>
      <w:pPr>
        <w:spacing w:after="0" w:line="205" w:lineRule="exact"/>
        <w:rPr>
          <w:sz w:val="20"/>
          <w:szCs w:val="20"/>
          <w:color w:val="auto"/>
        </w:rPr>
      </w:pPr>
    </w:p>
    <w:p>
      <w:pPr>
        <w:ind w:right="40" w:firstLine="443"/>
        <w:spacing w:after="0" w:line="252"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convertible debt and redeemable convertible preferred stock, and from the sale of common stock through an initial public offering and a follow-on public offering. From inception through June 30, 2021, the Company raised $509.4 million in aggregate cash proceeds from these transactions, net of issuance costs.</w:t>
      </w:r>
    </w:p>
    <w:p>
      <w:pPr>
        <w:spacing w:after="0" w:line="204" w:lineRule="exact"/>
        <w:rPr>
          <w:sz w:val="20"/>
          <w:szCs w:val="20"/>
          <w:color w:val="auto"/>
        </w:rPr>
      </w:pPr>
    </w:p>
    <w:p>
      <w:pPr>
        <w:ind w:firstLine="443"/>
        <w:spacing w:after="0" w:line="251" w:lineRule="auto"/>
        <w:rPr>
          <w:sz w:val="20"/>
          <w:szCs w:val="20"/>
          <w:color w:val="auto"/>
        </w:rPr>
      </w:pPr>
      <w:r>
        <w:rPr>
          <w:rFonts w:ascii="Arial" w:cs="Arial" w:eastAsia="Arial" w:hAnsi="Arial"/>
          <w:sz w:val="18"/>
          <w:szCs w:val="18"/>
          <w:color w:val="auto"/>
        </w:rPr>
        <w:t>In May 2021, the Company completed a follow-on public offering in which the Company issued and sold 5,750,000 shares of its common stock at a public offering price of $ 18.25 per share, including 750,000 shares of common stock issued and sold pursuant to the underwriters' exercise, in full, of their option to purchase additional shares of common stock, for aggregate gross proceeds of $104.9 million. The Company received approximately $98.4 million in net proceeds after deducting discounts, commissions and offering expenses payable by the Company.</w:t>
      </w:r>
    </w:p>
    <w:p>
      <w:pPr>
        <w:spacing w:after="0" w:line="206" w:lineRule="exact"/>
        <w:rPr>
          <w:sz w:val="20"/>
          <w:szCs w:val="20"/>
          <w:color w:val="auto"/>
        </w:rPr>
      </w:pPr>
    </w:p>
    <w:p>
      <w:pPr>
        <w:ind w:right="40" w:firstLine="443"/>
        <w:spacing w:after="0" w:line="250"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9" w:lineRule="exact"/>
        <w:rPr>
          <w:sz w:val="20"/>
          <w:szCs w:val="20"/>
          <w:color w:val="auto"/>
        </w:rPr>
      </w:pPr>
    </w:p>
    <w:p>
      <w:pPr>
        <w:ind w:right="220" w:firstLine="443"/>
        <w:spacing w:after="0" w:line="259"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98" w:lineRule="exact"/>
        <w:rPr>
          <w:sz w:val="20"/>
          <w:szCs w:val="20"/>
          <w:color w:val="auto"/>
        </w:rPr>
      </w:pPr>
    </w:p>
    <w:p>
      <w:pPr>
        <w:ind w:right="200" w:firstLine="443"/>
        <w:spacing w:after="0" w:line="254" w:lineRule="auto"/>
        <w:rPr>
          <w:sz w:val="20"/>
          <w:szCs w:val="20"/>
          <w:color w:val="auto"/>
        </w:rPr>
      </w:pPr>
      <w:r>
        <w:rPr>
          <w:rFonts w:ascii="Arial" w:cs="Arial" w:eastAsia="Arial" w:hAnsi="Arial"/>
          <w:sz w:val="18"/>
          <w:szCs w:val="18"/>
          <w:color w:val="auto"/>
        </w:rPr>
        <w:t>The Company has incurred recurring losses since its inception, including net losses of $63.8 million for the six months ended June 30, 2021. In addition, as of June 30, 2021, the Company had an accumulated deficit of $213.3 million. The Company expects to continue to generate operating losses for the foreseeable future.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 w:name="page12"/>
    <w:bookmarkEnd w:id="11"/>
    <w:p>
      <w:pPr>
        <w:ind w:firstLine="443"/>
        <w:spacing w:after="0" w:line="251" w:lineRule="auto"/>
        <w:rPr>
          <w:sz w:val="20"/>
          <w:szCs w:val="20"/>
          <w:color w:val="auto"/>
        </w:rPr>
      </w:pPr>
      <w:r>
        <w:rPr>
          <w:rFonts w:ascii="Arial" w:cs="Arial" w:eastAsia="Arial" w:hAnsi="Arial"/>
          <w:sz w:val="18"/>
          <w:szCs w:val="18"/>
          <w:color w:val="auto"/>
        </w:rPr>
        <w:t>The Company expects that its cash, cash equivalents and marketable securities as of June 30, 2021 of $339.2 million will be sufficient to fund the operating expenses and capital expenditure requirements necessary to advance its research efforts and clinical trials for at least one year from the date of issuance of these condensed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90" w:lineRule="exact"/>
        <w:rPr>
          <w:sz w:val="20"/>
          <w:szCs w:val="20"/>
          <w:color w:val="auto"/>
        </w:rPr>
      </w:pPr>
    </w:p>
    <w:p>
      <w:pPr>
        <w:ind w:right="7280" w:firstLine="7"/>
        <w:spacing w:after="0" w:line="386" w:lineRule="auto"/>
        <w:tabs>
          <w:tab w:leader="none" w:pos="19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right="100" w:firstLine="443"/>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202" w:lineRule="exact"/>
        <w:rPr>
          <w:sz w:val="20"/>
          <w:szCs w:val="20"/>
          <w:color w:val="auto"/>
        </w:rPr>
      </w:pPr>
    </w:p>
    <w:p>
      <w:pPr>
        <w:ind w:right="560" w:firstLine="443"/>
        <w:spacing w:after="0" w:line="254"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six months ended June 30, 2021 are consistent with those discussed in Note 2 to the consolidated financial statements included in the Company's 2020 Annual Report on Form 10-K, other than as noted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37" w:lineRule="exact"/>
        <w:rPr>
          <w:sz w:val="20"/>
          <w:szCs w:val="20"/>
          <w:color w:val="auto"/>
        </w:rPr>
      </w:pPr>
    </w:p>
    <w:p>
      <w:pPr>
        <w:ind w:right="20" w:firstLine="443"/>
        <w:spacing w:after="0" w:line="250" w:lineRule="auto"/>
        <w:rPr>
          <w:sz w:val="20"/>
          <w:szCs w:val="20"/>
          <w:color w:val="auto"/>
        </w:rPr>
      </w:pPr>
      <w:r>
        <w:rPr>
          <w:rFonts w:ascii="Arial" w:cs="Arial" w:eastAsia="Arial" w:hAnsi="Arial"/>
          <w:sz w:val="18"/>
          <w:szCs w:val="18"/>
          <w:color w:val="auto"/>
        </w:rPr>
        <w:t>The accompanying condensed consolidated balance sheet as of June 30, 2021, the condensed consolidated statements of operations for the three and six months ended June 30, 2021 and 2020, the condensed consolidated statements of comprehensive loss for the three and six months ended June 30, 2021 and 2020, the condensed consolidated statements of cash flows for the six months ended June 30, 2021 and 2020 and the condensed consolidated statements of redeemable convertible preferred stock and stockholders’ equity (deficit) for the three and six months ended June 30, 2021 and 2020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2021, the results of its operations for the three and six months ended June 30, 2021 and 2020 and its cash flows for the six months ended June 30, 2021 and 2020. Financial statement disclosures for the three and six months ended June 30, 2021 and 2020 are condensed and do not include all disclosures required for an annual set of financial statements in accordance with GAAP.</w:t>
      </w:r>
    </w:p>
    <w:p>
      <w:pPr>
        <w:spacing w:after="0" w:line="206" w:lineRule="exact"/>
        <w:rPr>
          <w:sz w:val="20"/>
          <w:szCs w:val="20"/>
          <w:color w:val="auto"/>
        </w:rPr>
      </w:pPr>
    </w:p>
    <w:p>
      <w:pPr>
        <w:ind w:right="60" w:firstLine="443"/>
        <w:spacing w:after="0" w:line="259" w:lineRule="auto"/>
        <w:rPr>
          <w:sz w:val="20"/>
          <w:szCs w:val="20"/>
          <w:color w:val="auto"/>
        </w:rPr>
      </w:pPr>
      <w:r>
        <w:rPr>
          <w:rFonts w:ascii="Arial" w:cs="Arial" w:eastAsia="Arial" w:hAnsi="Arial"/>
          <w:sz w:val="18"/>
          <w:szCs w:val="18"/>
          <w:color w:val="auto"/>
        </w:rPr>
        <w:t>The results for the three and six months ended June 30, 2021 are not necessarily indicative of results to be expected for the year ended December 31, 2021, any other interim periods, or any future year or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7" w:lineRule="exact"/>
        <w:rPr>
          <w:sz w:val="20"/>
          <w:szCs w:val="20"/>
          <w:color w:val="auto"/>
        </w:rPr>
      </w:pPr>
    </w:p>
    <w:p>
      <w:pPr>
        <w:ind w:right="60" w:firstLine="483"/>
        <w:spacing w:after="0" w:line="250"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the accrual for research and development expenses, stock-based compensation expense, and the valuation of equity awards. Estimates are periodically reviewed in light of changes in circumstances, facts and experience. Changes in estimates are recorded in the period in which they become known. Actual results could differ materially from those estimates.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7" w:lineRule="exact"/>
        <w:rPr>
          <w:sz w:val="20"/>
          <w:szCs w:val="20"/>
          <w:color w:val="auto"/>
        </w:rPr>
      </w:pPr>
    </w:p>
    <w:p>
      <w:pPr>
        <w:ind w:firstLine="443"/>
        <w:spacing w:after="0" w:line="251" w:lineRule="auto"/>
        <w:rPr>
          <w:sz w:val="20"/>
          <w:szCs w:val="20"/>
          <w:color w:val="auto"/>
        </w:rPr>
      </w:pPr>
      <w:r>
        <w:rPr>
          <w:rFonts w:ascii="Arial" w:cs="Arial" w:eastAsia="Arial" w:hAnsi="Arial"/>
          <w:sz w:val="18"/>
          <w:szCs w:val="18"/>
          <w:color w:val="auto"/>
        </w:rPr>
        <w:t>The Company invests its excess cash in money market funds and debt instruments of the U.S. Treasury, financial institutions, corporations and U.S. government agencies with strong credit ratings and an investment grade rating at or above A-1 or P-1 by two of the three nationally recognized statistical rating organizations. The Company does not believe that it is exposed to more than a nominal amount of credit risk in its marketable securities. The Company has established guidelines relative to diversification and maturities that maintain safety and liquidity, and periodically reviews and modifies these guidelines to maximize trends in yields and interest rates without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2" w:name="page13"/>
    <w:bookmarkEnd w:id="12"/>
    <w:p>
      <w:pPr>
        <w:ind w:right="140"/>
        <w:spacing w:after="0" w:line="251" w:lineRule="auto"/>
        <w:rPr>
          <w:sz w:val="20"/>
          <w:szCs w:val="20"/>
          <w:color w:val="auto"/>
        </w:rPr>
      </w:pPr>
      <w:r>
        <w:rPr>
          <w:rFonts w:ascii="Arial" w:cs="Arial" w:eastAsia="Arial" w:hAnsi="Arial"/>
          <w:sz w:val="18"/>
          <w:szCs w:val="18"/>
          <w:color w:val="auto"/>
        </w:rPr>
        <w:t>compromising safety and liquidity. The Company classifies its investments in debt instruments as available-for-sale. Available-for-sale investments are reported at fair value at each balance sheet date, and include any unrealized holding gains and losses in accumulated other comprehensive gain (loss), a component of stockholders’ equity. Realized gains and losses are included in the Company's condensed consolidated statements of operations. All of the Company's available -for-sale securities are available for use in its current operations. As a result, the Company has categorized all of these securities as current assets even though the stated maturity of some individual securities may be one year or more beyond the balance sheet date.</w:t>
      </w:r>
    </w:p>
    <w:p>
      <w:pPr>
        <w:spacing w:after="0" w:line="3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evaluates securities for impairment at the end of each reporting period. Impairment is evaluated considering numerous factors, and their relative significance varies depending on the situation. Factors considered include whether a decline in fair value below the amortized cost basis is due to credit-related factors or non-credit-related factors, the financial condition and near-term prospects of the issuer, and the Company's intent and ability to hold the investment to allow for an anticipated recovery in fair value. A credit-related impairment is recognized as an allowance on the balance sheet with a corresponding adjustment to earnings. Any impairment that is not credit- related is recognized in other comprehensive (loss) income, net of applicable taxes.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48" w:lineRule="exact"/>
        <w:rPr>
          <w:sz w:val="20"/>
          <w:szCs w:val="20"/>
          <w:color w:val="auto"/>
        </w:rPr>
      </w:pPr>
    </w:p>
    <w:p>
      <w:pPr>
        <w:ind w:right="60" w:firstLine="443"/>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740)—Simplifying the Accounting for Income Taxes</w:t>
      </w:r>
      <w:r>
        <w:rPr>
          <w:rFonts w:ascii="Arial" w:cs="Arial" w:eastAsia="Arial" w:hAnsi="Arial"/>
          <w:sz w:val="18"/>
          <w:szCs w:val="18"/>
          <w:color w:val="auto"/>
        </w:rPr>
        <w:t xml:space="preserve"> ("ASU 2019-12"). The ASU simplifies the accounting for income taxes by eliminating certain exceptions to the guidance in ASC 740, Income Taxes, related to the approach for allocating income tax expense or benefit for the year to continuing operations, discontinued operations, other comprehensive income, and other charges or credits recorded directly to shareholders’ equity; the methodology for calculating income taxes in an interim period; and the recognition of deferred tax liabilities for outside basis differences. On January 1, 2021, the Company early adopted ASU 2019-12 on a prospective basis, with no material impact on its condensed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35" w:lineRule="exact"/>
        <w:rPr>
          <w:sz w:val="20"/>
          <w:szCs w:val="20"/>
          <w:color w:val="auto"/>
        </w:rPr>
      </w:pPr>
    </w:p>
    <w:p>
      <w:pPr>
        <w:ind w:firstLine="443"/>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which has been subsequently amended by ASU No. 2018-19, ASU No. 2019-04, ASU No. 2019-05, ASU No. 2019-10,</w:t>
      </w:r>
      <w:r>
        <w:rPr>
          <w:rFonts w:ascii="Arial" w:cs="Arial" w:eastAsia="Arial" w:hAnsi="Arial"/>
          <w:sz w:val="18"/>
          <w:szCs w:val="18"/>
          <w:i w:val="1"/>
          <w:iCs w:val="1"/>
          <w:color w:val="auto"/>
        </w:rPr>
        <w:t xml:space="preserve"> </w:t>
      </w:r>
      <w:r>
        <w:rPr>
          <w:rFonts w:ascii="Arial" w:cs="Arial" w:eastAsia="Arial" w:hAnsi="Arial"/>
          <w:sz w:val="18"/>
          <w:szCs w:val="18"/>
          <w:color w:val="auto"/>
        </w:rPr>
        <w:t>ASU No. 2019-11 and ASU No. 2020-03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timing of its adoption of this standard, as well as the potential impact that this standard may have on its financial position and results of operations, but does not expect the impact to be significant.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37" w:lineRule="exact"/>
        <w:rPr>
          <w:sz w:val="20"/>
          <w:szCs w:val="20"/>
          <w:color w:val="auto"/>
        </w:rPr>
      </w:pPr>
    </w:p>
    <w:p>
      <w:pPr>
        <w:ind w:right="440" w:firstLine="443"/>
        <w:spacing w:after="0" w:line="259" w:lineRule="auto"/>
        <w:rPr>
          <w:sz w:val="20"/>
          <w:szCs w:val="20"/>
          <w:color w:val="auto"/>
        </w:rPr>
      </w:pPr>
      <w:r>
        <w:rPr>
          <w:rFonts w:ascii="Arial" w:cs="Arial" w:eastAsia="Arial" w:hAnsi="Arial"/>
          <w:sz w:val="18"/>
          <w:szCs w:val="18"/>
          <w:color w:val="auto"/>
        </w:rPr>
        <w:t>The following is a summary of the Company's investment portfolio at June 30, 2021 (in thousands). The Company did not have any marketable securities as of December 31, 2020.</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5"/>
          </w:tcPr>
          <w:p>
            <w:pPr>
              <w:ind w:left="120"/>
              <w:spacing w:after="0"/>
              <w:rPr>
                <w:sz w:val="20"/>
                <w:szCs w:val="20"/>
                <w:color w:val="auto"/>
              </w:rPr>
            </w:pPr>
            <w:r>
              <w:rPr>
                <w:rFonts w:ascii="Arial" w:cs="Arial" w:eastAsia="Arial" w:hAnsi="Arial"/>
                <w:sz w:val="18"/>
                <w:szCs w:val="18"/>
                <w:b w:val="1"/>
                <w:bCs w:val="1"/>
                <w:color w:val="auto"/>
              </w:rPr>
              <w:t>Gross Unrealized</w:t>
            </w:r>
          </w:p>
        </w:tc>
        <w:tc>
          <w:tcPr>
            <w:tcW w:w="240" w:type="dxa"/>
            <w:vAlign w:val="bottom"/>
          </w:tcPr>
          <w:p>
            <w:pPr>
              <w:spacing w:after="0"/>
              <w:rPr>
                <w:sz w:val="19"/>
                <w:szCs w:val="19"/>
                <w:color w:val="auto"/>
              </w:rPr>
            </w:pPr>
          </w:p>
        </w:tc>
        <w:tc>
          <w:tcPr>
            <w:tcW w:w="1380" w:type="dxa"/>
            <w:vAlign w:val="bottom"/>
          </w:tcPr>
          <w:p>
            <w:pPr>
              <w:jc w:val="right"/>
              <w:ind w:right="297"/>
              <w:spacing w:after="0"/>
              <w:rPr>
                <w:sz w:val="20"/>
                <w:szCs w:val="20"/>
                <w:color w:val="auto"/>
              </w:rPr>
            </w:pPr>
            <w:r>
              <w:rPr>
                <w:rFonts w:ascii="Arial" w:cs="Arial" w:eastAsia="Arial" w:hAnsi="Arial"/>
                <w:sz w:val="18"/>
                <w:szCs w:val="18"/>
                <w:b w:val="1"/>
                <w:bCs w:val="1"/>
                <w:color w:val="auto"/>
              </w:rPr>
              <w:t>Estimated</w:t>
            </w:r>
          </w:p>
        </w:tc>
      </w:tr>
      <w:tr>
        <w:trPr>
          <w:trHeight w:val="238"/>
        </w:trPr>
        <w:tc>
          <w:tcPr>
            <w:tcW w:w="5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8"/>
              <w:spacing w:after="0"/>
              <w:rPr>
                <w:sz w:val="20"/>
                <w:szCs w:val="20"/>
                <w:color w:val="auto"/>
              </w:rPr>
            </w:pPr>
            <w:r>
              <w:rPr>
                <w:rFonts w:ascii="Arial" w:cs="Arial" w:eastAsia="Arial" w:hAnsi="Arial"/>
                <w:sz w:val="18"/>
                <w:szCs w:val="18"/>
                <w:b w:val="1"/>
                <w:bCs w:val="1"/>
                <w:color w:val="auto"/>
              </w:rPr>
              <w:t>Cost</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Gains</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Losses</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Fair Value</w:t>
            </w:r>
          </w:p>
        </w:tc>
      </w:tr>
      <w:tr>
        <w:trPr>
          <w:trHeight w:val="208"/>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2"/>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Corporate debt securities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58,511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58,512</w:t>
            </w:r>
          </w:p>
        </w:tc>
      </w:tr>
      <w:tr>
        <w:trPr>
          <w:trHeight w:val="215"/>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55,952</w:t>
            </w:r>
          </w:p>
        </w:tc>
      </w:tr>
      <w:tr>
        <w:trPr>
          <w:trHeight w:val="208"/>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114,463</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114,464</w:t>
            </w:r>
          </w:p>
        </w:tc>
      </w:tr>
      <w:tr>
        <w:trPr>
          <w:trHeight w:val="251"/>
        </w:trPr>
        <w:tc>
          <w:tcPr>
            <w:tcW w:w="5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12"/>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Corporate debt securities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36,692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36,637</w:t>
            </w:r>
          </w:p>
        </w:tc>
      </w:tr>
      <w:tr>
        <w:trPr>
          <w:trHeight w:val="215"/>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12,204</w:t>
            </w:r>
          </w:p>
        </w:tc>
      </w:tr>
      <w:tr>
        <w:trPr>
          <w:trHeight w:val="208"/>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securities with a maturity of one to two years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48,892</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48,841</w:t>
            </w:r>
          </w:p>
        </w:tc>
      </w:tr>
      <w:tr>
        <w:trPr>
          <w:trHeight w:val="236"/>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available-for-sale securities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163,355</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163,305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340" w:firstLine="443"/>
        <w:spacing w:after="0" w:line="252" w:lineRule="auto"/>
        <w:rPr>
          <w:sz w:val="20"/>
          <w:szCs w:val="20"/>
          <w:color w:val="auto"/>
        </w:rPr>
      </w:pPr>
      <w:r>
        <w:rPr>
          <w:rFonts w:ascii="Arial" w:cs="Arial" w:eastAsia="Arial" w:hAnsi="Arial"/>
          <w:sz w:val="18"/>
          <w:szCs w:val="18"/>
          <w:color w:val="auto"/>
        </w:rPr>
        <w:t>As of June 30, 2021, the Company had 12 securities with a total fair market value of $73.8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Therefore, the Company anticipates a full recovery of the amortized cost basis of its debt securities at maturity.</w:t>
      </w:r>
    </w:p>
    <w:p>
      <w:pPr>
        <w:spacing w:after="0" w:line="97" w:lineRule="exact"/>
        <w:rPr>
          <w:sz w:val="20"/>
          <w:szCs w:val="20"/>
          <w:color w:val="auto"/>
        </w:rPr>
      </w:pPr>
    </w:p>
    <w:p>
      <w:pPr>
        <w:ind w:right="240" w:firstLine="443"/>
        <w:spacing w:after="0" w:line="259"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and six months ended June 30,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37" w:lineRule="exact"/>
        <w:rPr>
          <w:sz w:val="20"/>
          <w:szCs w:val="20"/>
          <w:color w:val="auto"/>
        </w:rPr>
      </w:pPr>
    </w:p>
    <w:p>
      <w:pPr>
        <w:ind w:right="60" w:firstLine="443"/>
        <w:spacing w:after="0" w:line="254"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94" w:lineRule="exact"/>
        <w:rPr>
          <w:sz w:val="20"/>
          <w:szCs w:val="20"/>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15" w:lineRule="exact"/>
        <w:rPr>
          <w:rFonts w:ascii="Arial" w:cs="Arial" w:eastAsia="Arial" w:hAnsi="Arial"/>
          <w:sz w:val="18"/>
          <w:szCs w:val="18"/>
          <w:color w:val="auto"/>
        </w:rPr>
      </w:pPr>
    </w:p>
    <w:p>
      <w:pPr>
        <w:ind w:left="660" w:right="900" w:hanging="331"/>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90" w:lineRule="exact"/>
        <w:rPr>
          <w:rFonts w:ascii="Arial" w:cs="Arial" w:eastAsia="Arial" w:hAnsi="Arial"/>
          <w:sz w:val="18"/>
          <w:szCs w:val="18"/>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1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indicates the level of the fair value hierarchy utilized to determine such fair values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As of June 30, 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195"/>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12"/>
        </w:trPr>
        <w:tc>
          <w:tcPr>
            <w:tcW w:w="518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172,274</w:t>
            </w:r>
          </w:p>
        </w:tc>
      </w:tr>
      <w:tr>
        <w:trPr>
          <w:trHeight w:val="212"/>
        </w:trPr>
        <w:tc>
          <w:tcPr>
            <w:tcW w:w="518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95,149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95,149</w:t>
            </w:r>
          </w:p>
        </w:tc>
      </w:tr>
      <w:tr>
        <w:trPr>
          <w:trHeight w:val="212"/>
        </w:trPr>
        <w:tc>
          <w:tcPr>
            <w:tcW w:w="518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55,952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55,952</w:t>
            </w:r>
          </w:p>
        </w:tc>
      </w:tr>
      <w:tr>
        <w:trPr>
          <w:trHeight w:val="215"/>
        </w:trPr>
        <w:tc>
          <w:tcPr>
            <w:tcW w:w="5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12,204</w:t>
            </w:r>
          </w:p>
        </w:tc>
      </w:tr>
      <w:tr>
        <w:trPr>
          <w:trHeight w:val="208"/>
        </w:trPr>
        <w:tc>
          <w:tcPr>
            <w:tcW w:w="51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184,478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151,101</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335,579</w:t>
            </w:r>
          </w:p>
        </w:tc>
      </w:tr>
      <w:tr>
        <w:trPr>
          <w:trHeight w:val="23"/>
        </w:trPr>
        <w:tc>
          <w:tcPr>
            <w:tcW w:w="51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As of December 31, 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195"/>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12"/>
        </w:trPr>
        <w:tc>
          <w:tcPr>
            <w:tcW w:w="518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5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290,931</w:t>
            </w:r>
          </w:p>
        </w:tc>
      </w:tr>
      <w:tr>
        <w:trPr>
          <w:trHeight w:val="208"/>
        </w:trPr>
        <w:tc>
          <w:tcPr>
            <w:tcW w:w="51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290,931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290,931</w:t>
            </w:r>
          </w:p>
        </w:tc>
      </w:tr>
      <w:tr>
        <w:trPr>
          <w:trHeight w:val="23"/>
        </w:trPr>
        <w:tc>
          <w:tcPr>
            <w:tcW w:w="51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11"/>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4,848</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4,206</w:t>
            </w:r>
          </w:p>
        </w:tc>
      </w:tr>
      <w:tr>
        <w:trPr>
          <w:trHeight w:val="212"/>
        </w:trPr>
        <w:tc>
          <w:tcPr>
            <w:tcW w:w="804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5,516</w:t>
            </w: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r>
      <w:tr>
        <w:trPr>
          <w:trHeight w:val="211"/>
        </w:trPr>
        <w:tc>
          <w:tcPr>
            <w:tcW w:w="804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7,826</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10,869</w:t>
            </w:r>
          </w:p>
        </w:tc>
      </w:tr>
      <w:tr>
        <w:trPr>
          <w:trHeight w:val="20"/>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37" w:lineRule="exact"/>
        <w:rPr>
          <w:sz w:val="20"/>
          <w:szCs w:val="20"/>
          <w:color w:val="auto"/>
        </w:rPr>
      </w:pPr>
    </w:p>
    <w:p>
      <w:pPr>
        <w:ind w:right="40" w:firstLine="443"/>
        <w:spacing w:after="0" w:line="250"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to be used as the Company's corporate headquarters. The sublease expires on January 31, 2026, with no option to renew or terminate early. The base rent increases by approximately 2% annually. The Company issued a letter of credit to the landlord for $ 0.4 million related to the security deposit, secured by restricted cash, which is reflected within other non-current assets on the accompanying condensed consolidated balance sheet as of June 30, 2021. This lease qualifies as an operating lease. At inception, the Company recorded an operating lease right-of-use asset and operating lease liability of $4.1 million. As of June 30, 2021, the Company had an operating lease right-of-use asset of $4.0 million, current operating lease liability of approximately $0.2 million, and non-current operating lease liability of approximately $4.0 million included in the condensed consolidated balance sheet.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lease payments under the non-cancellable sublease agreement as of June 30, 2021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Future Lease Payments</w:t>
            </w:r>
          </w:p>
        </w:tc>
      </w:tr>
      <w:tr>
        <w:trPr>
          <w:trHeight w:val="211"/>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82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1,160</w:t>
            </w:r>
          </w:p>
        </w:tc>
      </w:tr>
      <w:tr>
        <w:trPr>
          <w:trHeight w:val="218"/>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r>
      <w:tr>
        <w:trPr>
          <w:trHeight w:val="212"/>
        </w:trPr>
        <w:tc>
          <w:tcPr>
            <w:tcW w:w="882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1,296</w:t>
            </w:r>
          </w:p>
        </w:tc>
      </w:tr>
      <w:tr>
        <w:trPr>
          <w:trHeight w:val="218"/>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w:t>
            </w:r>
          </w:p>
        </w:tc>
      </w:tr>
      <w:tr>
        <w:trPr>
          <w:trHeight w:val="212"/>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08"/>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lease payments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5,157</w:t>
            </w:r>
          </w:p>
        </w:tc>
      </w:tr>
      <w:tr>
        <w:trPr>
          <w:trHeight w:val="208"/>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w:t>
            </w:r>
          </w:p>
        </w:tc>
      </w:tr>
      <w:tr>
        <w:trPr>
          <w:trHeight w:val="23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2021, the remaining lease term and discount rate of the sublease agreement was 4.6 years and 9.0%, respectively.</w:t>
      </w:r>
    </w:p>
    <w:p>
      <w:pPr>
        <w:spacing w:after="0" w:line="115" w:lineRule="exact"/>
        <w:rPr>
          <w:sz w:val="20"/>
          <w:szCs w:val="20"/>
          <w:color w:val="auto"/>
        </w:rPr>
      </w:pPr>
    </w:p>
    <w:p>
      <w:pPr>
        <w:ind w:right="20" w:firstLine="443"/>
        <w:spacing w:after="0" w:line="251" w:lineRule="auto"/>
        <w:rPr>
          <w:sz w:val="20"/>
          <w:szCs w:val="20"/>
          <w:color w:val="auto"/>
        </w:rPr>
      </w:pPr>
      <w:r>
        <w:rPr>
          <w:rFonts w:ascii="Arial" w:cs="Arial" w:eastAsia="Arial" w:hAnsi="Arial"/>
          <w:sz w:val="18"/>
          <w:szCs w:val="18"/>
          <w:color w:val="auto"/>
        </w:rPr>
        <w:t>In October 2018, the Company entered into a sublease agreement for office space located in Cambridge, Massachusetts that expires on December 31, 2021, with no option to renew or terminate early. The base rent increases by approximately 1% annually. The Company issued a letter of credit to the landlord for $0.6 million related to the security deposit, secured by restricted cash, which is reflected within prepaid expenses and other current assets on the accompanying condensed consolidated balance sheets as of June 30, 2021 and December 31, 2020, as the lease term expires less than twelve months from the condensed consolidated balance sheet dates. This lease qualifies as an operating lease.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5" w:name="page16"/>
    <w:bookmarkEnd w:id="15"/>
    <w:p>
      <w:pPr>
        <w:ind w:right="7980" w:firstLine="7"/>
        <w:spacing w:after="0" w:line="386" w:lineRule="auto"/>
        <w:tabs>
          <w:tab w:leader="none" w:pos="19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ind w:right="360" w:firstLine="443"/>
        <w:spacing w:after="0" w:line="259" w:lineRule="auto"/>
        <w:rPr>
          <w:sz w:val="20"/>
          <w:szCs w:val="20"/>
          <w:color w:val="auto"/>
        </w:rPr>
      </w:pPr>
      <w:r>
        <w:rPr>
          <w:rFonts w:ascii="Arial" w:cs="Arial" w:eastAsia="Arial" w:hAnsi="Arial"/>
          <w:sz w:val="18"/>
          <w:szCs w:val="18"/>
          <w:color w:val="auto"/>
        </w:rPr>
        <w:t>As of June 30, 2021 and December 31, 2020, the authorized capital stock of the Company included 150,000,000 shares of common stock, $0.0001 par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2021 and December 31, 2020, the Company did not hold any treasury shares.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4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4"/>
        </w:trPr>
        <w:tc>
          <w:tcPr>
            <w:tcW w:w="362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0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6,608,072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5,944,546</w:t>
            </w:r>
          </w:p>
        </w:tc>
      </w:tr>
      <w:tr>
        <w:trPr>
          <w:trHeight w:val="212"/>
        </w:trPr>
        <w:tc>
          <w:tcPr>
            <w:tcW w:w="362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3,138,096</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3,036,776</w:t>
            </w:r>
          </w:p>
        </w:tc>
      </w:tr>
      <w:tr>
        <w:trPr>
          <w:trHeight w:val="218"/>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654,204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327,102</w:t>
            </w:r>
          </w:p>
        </w:tc>
      </w:tr>
      <w:tr>
        <w:trPr>
          <w:trHeight w:val="212"/>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340,563</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10,740,935</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9,308,424</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7" w:lineRule="exact"/>
        <w:rPr>
          <w:sz w:val="20"/>
          <w:szCs w:val="20"/>
          <w:color w:val="auto"/>
        </w:rPr>
      </w:pPr>
    </w:p>
    <w:p>
      <w:pPr>
        <w:jc w:val="both"/>
        <w:ind w:right="80" w:firstLine="443"/>
        <w:spacing w:after="0" w:line="259" w:lineRule="auto"/>
        <w:rPr>
          <w:sz w:val="20"/>
          <w:szCs w:val="20"/>
          <w:color w:val="auto"/>
        </w:rPr>
      </w:pPr>
      <w:r>
        <w:rPr>
          <w:rFonts w:ascii="Arial" w:cs="Arial" w:eastAsia="Arial" w:hAnsi="Arial"/>
          <w:sz w:val="18"/>
          <w:szCs w:val="18"/>
          <w:color w:val="auto"/>
        </w:rPr>
        <w:t>As of June 30, 2021 and December 31, 2020, the authorized capital stock of the Company included 10,000,000 shares of undesignated preferred stock, $0.0001 par value.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37" w:lineRule="exact"/>
        <w:rPr>
          <w:sz w:val="20"/>
          <w:szCs w:val="20"/>
          <w:color w:val="auto"/>
        </w:rPr>
      </w:pPr>
    </w:p>
    <w:p>
      <w:pPr>
        <w:ind w:right="20" w:firstLine="443"/>
        <w:spacing w:after="0" w:line="259" w:lineRule="auto"/>
        <w:rPr>
          <w:sz w:val="20"/>
          <w:szCs w:val="20"/>
          <w:color w:val="auto"/>
        </w:rPr>
      </w:pPr>
      <w:r>
        <w:rPr>
          <w:rFonts w:ascii="Arial" w:cs="Arial" w:eastAsia="Arial" w:hAnsi="Arial"/>
          <w:sz w:val="18"/>
          <w:szCs w:val="18"/>
          <w:color w:val="auto"/>
        </w:rPr>
        <w:t>The total number of shares of common stock authorized for issuance under the 2020 Stock Option Incentive Plan (the "2020 Plan”) as of June 30, 2021 and December 31, 2020 was 5,184,455 shares and 3,271,028 shares,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37" w:lineRule="exact"/>
        <w:rPr>
          <w:sz w:val="20"/>
          <w:szCs w:val="20"/>
          <w:color w:val="auto"/>
        </w:rPr>
      </w:pPr>
    </w:p>
    <w:p>
      <w:pPr>
        <w:ind w:right="340" w:firstLine="443"/>
        <w:spacing w:after="0" w:line="254"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June 30, 2021 and December 31, 2020 was 5,937,763 shares. Any authorization to issue new options under the 2017 Plan was cancelled upon the effectiveness of the 2020 Plan and no further awards will be granted under the 2017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37" w:lineRule="exact"/>
        <w:rPr>
          <w:sz w:val="20"/>
          <w:szCs w:val="20"/>
          <w:color w:val="auto"/>
        </w:rPr>
      </w:pPr>
    </w:p>
    <w:p>
      <w:pPr>
        <w:ind w:right="20" w:firstLine="443"/>
        <w:spacing w:after="0" w:line="259"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June 30, 2021 and December 31, 2020 was 654,204 shares and 327,102 shares,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1"/>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9"/>
              <w:spacing w:after="0" w:line="161"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1"/>
        </w:trPr>
        <w:tc>
          <w:tcPr>
            <w:tcW w:w="8060" w:type="dxa"/>
            <w:vAlign w:val="bottom"/>
          </w:tcPr>
          <w:p>
            <w:pPr>
              <w:spacing w:after="0"/>
              <w:rPr>
                <w:sz w:val="14"/>
                <w:szCs w:val="14"/>
                <w:color w:val="auto"/>
              </w:rPr>
            </w:pPr>
          </w:p>
        </w:tc>
        <w:tc>
          <w:tcPr>
            <w:tcW w:w="15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9"/>
              <w:spacing w:after="0" w:line="161"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80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as of December 31, 2020</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060" w:type="dxa"/>
            <w:vAlign w:val="bottom"/>
          </w:tcPr>
          <w:p>
            <w:pPr>
              <w:ind w:left="240"/>
              <w:spacing w:after="0"/>
              <w:rPr>
                <w:sz w:val="20"/>
                <w:szCs w:val="20"/>
                <w:color w:val="auto"/>
              </w:rPr>
            </w:pPr>
            <w:r>
              <w:rPr>
                <w:rFonts w:ascii="Arial" w:cs="Arial" w:eastAsia="Arial" w:hAnsi="Arial"/>
                <w:sz w:val="16"/>
                <w:szCs w:val="16"/>
                <w:color w:val="auto"/>
              </w:rPr>
              <w:t>Issued</w:t>
            </w:r>
          </w:p>
        </w:tc>
        <w:tc>
          <w:tcPr>
            <w:tcW w:w="1520" w:type="dxa"/>
            <w:vAlign w:val="bottom"/>
          </w:tcPr>
          <w:p>
            <w:pPr>
              <w:jc w:val="right"/>
              <w:spacing w:after="0"/>
              <w:rPr>
                <w:sz w:val="20"/>
                <w:szCs w:val="20"/>
                <w:color w:val="auto"/>
              </w:rPr>
            </w:pPr>
            <w:r>
              <w:rPr>
                <w:rFonts w:ascii="Arial" w:cs="Arial" w:eastAsia="Arial" w:hAnsi="Arial"/>
                <w:sz w:val="16"/>
                <w:szCs w:val="16"/>
                <w:color w:val="auto"/>
              </w:rPr>
              <w:t>352,663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50.52</w:t>
            </w:r>
          </w:p>
        </w:tc>
        <w:tc>
          <w:tcPr>
            <w:tcW w:w="0" w:type="dxa"/>
            <w:vAlign w:val="bottom"/>
          </w:tcPr>
          <w:p>
            <w:pPr>
              <w:spacing w:after="0"/>
              <w:rPr>
                <w:sz w:val="1"/>
                <w:szCs w:val="1"/>
                <w:color w:val="auto"/>
              </w:rPr>
            </w:pPr>
          </w:p>
        </w:tc>
      </w:tr>
      <w:tr>
        <w:trPr>
          <w:trHeight w:val="218"/>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w:t>
            </w:r>
          </w:p>
        </w:tc>
        <w:tc>
          <w:tcPr>
            <w:tcW w:w="0" w:type="dxa"/>
            <w:vAlign w:val="bottom"/>
          </w:tcPr>
          <w:p>
            <w:pPr>
              <w:spacing w:after="0"/>
              <w:rPr>
                <w:sz w:val="1"/>
                <w:szCs w:val="1"/>
                <w:color w:val="auto"/>
              </w:rPr>
            </w:pPr>
          </w:p>
        </w:tc>
      </w:tr>
      <w:tr>
        <w:trPr>
          <w:trHeight w:val="23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June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340,563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14"/>
                <w:szCs w:val="14"/>
                <w:color w:val="auto"/>
              </w:rPr>
            </w:pPr>
          </w:p>
        </w:tc>
        <w:tc>
          <w:tcPr>
            <w:tcW w:w="1380" w:type="dxa"/>
            <w:vAlign w:val="bottom"/>
          </w:tcPr>
          <w:p>
            <w:pPr>
              <w:jc w:val="center"/>
              <w:ind w:right="99"/>
              <w:spacing w:after="0" w:line="161" w:lineRule="exact"/>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4"/>
                <w:szCs w:val="14"/>
                <w:color w:val="auto"/>
              </w:rPr>
            </w:pPr>
          </w:p>
        </w:tc>
        <w:tc>
          <w:tcPr>
            <w:tcW w:w="14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79"/>
              <w:spacing w:after="0" w:line="161" w:lineRule="exact"/>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8"/>
              </w:rPr>
              <w:t>Contractual</w:t>
            </w: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1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60" w:type="dxa"/>
            <w:vAlign w:val="bottom"/>
          </w:tcPr>
          <w:p>
            <w:pPr>
              <w:spacing w:after="0"/>
              <w:rPr>
                <w:sz w:val="18"/>
                <w:szCs w:val="18"/>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Intrinsic Value</w:t>
            </w:r>
          </w:p>
        </w:tc>
        <w:tc>
          <w:tcPr>
            <w:tcW w:w="0" w:type="dxa"/>
            <w:vAlign w:val="bottom"/>
          </w:tcPr>
          <w:p>
            <w:pPr>
              <w:spacing w:after="0"/>
              <w:rPr>
                <w:sz w:val="1"/>
                <w:szCs w:val="1"/>
                <w:color w:val="auto"/>
              </w:rPr>
            </w:pPr>
          </w:p>
        </w:tc>
      </w:tr>
      <w:tr>
        <w:trPr>
          <w:trHeight w:val="208"/>
        </w:trPr>
        <w:tc>
          <w:tcPr>
            <w:tcW w:w="50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5,944,546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1,548,403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44.78</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17,696</w:t>
            </w:r>
          </w:p>
        </w:tc>
        <w:tc>
          <w:tcPr>
            <w:tcW w:w="0" w:type="dxa"/>
            <w:vAlign w:val="bottom"/>
          </w:tcPr>
          <w:p>
            <w:pPr>
              <w:spacing w:after="0"/>
              <w:rPr>
                <w:sz w:val="1"/>
                <w:szCs w:val="1"/>
                <w:color w:val="auto"/>
              </w:rPr>
            </w:pPr>
          </w:p>
        </w:tc>
      </w:tr>
      <w:tr>
        <w:trPr>
          <w:trHeight w:val="212"/>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June 30,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6,608,072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56,586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June 30, 2021</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971,361</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3.97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13,958</w:t>
            </w: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June 30, 2021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54,961</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firstLine="443"/>
        <w:spacing w:after="0" w:line="251" w:lineRule="auto"/>
        <w:rPr>
          <w:sz w:val="20"/>
          <w:szCs w:val="20"/>
          <w:color w:val="auto"/>
        </w:rPr>
      </w:pPr>
      <w:r>
        <w:rPr>
          <w:rFonts w:ascii="Arial" w:cs="Arial" w:eastAsia="Arial" w:hAnsi="Arial"/>
          <w:sz w:val="18"/>
          <w:szCs w:val="18"/>
          <w:color w:val="auto"/>
        </w:rPr>
        <w:t>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June 30, 2021.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estimated fair value of the Company’s common stock on the exercise date.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w:t>
      </w:r>
    </w:p>
    <w:p>
      <w:pPr>
        <w:spacing w:after="0" w:line="133" w:lineRule="exact"/>
        <w:rPr>
          <w:sz w:val="20"/>
          <w:szCs w:val="20"/>
          <w:color w:val="auto"/>
        </w:rPr>
      </w:pPr>
    </w:p>
    <w:p>
      <w:pPr>
        <w:ind w:right="240" w:firstLine="443"/>
        <w:spacing w:after="0" w:line="254"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and six months ended June 30,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Three Months Ended</w:t>
            </w:r>
          </w:p>
        </w:tc>
        <w:tc>
          <w:tcPr>
            <w:tcW w:w="202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 June</w:t>
            </w:r>
          </w:p>
        </w:tc>
      </w:tr>
      <w:tr>
        <w:trPr>
          <w:trHeight w:val="214"/>
        </w:trPr>
        <w:tc>
          <w:tcPr>
            <w:tcW w:w="712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June 30,</w:t>
            </w:r>
          </w:p>
        </w:tc>
        <w:tc>
          <w:tcPr>
            <w:tcW w:w="2020" w:type="dxa"/>
            <w:vAlign w:val="bottom"/>
          </w:tcPr>
          <w:p>
            <w:pPr>
              <w:jc w:val="right"/>
              <w:ind w:right="819"/>
              <w:spacing w:after="0"/>
              <w:rPr>
                <w:sz w:val="20"/>
                <w:szCs w:val="20"/>
                <w:color w:val="auto"/>
              </w:rPr>
            </w:pPr>
            <w:r>
              <w:rPr>
                <w:rFonts w:ascii="Arial" w:cs="Arial" w:eastAsia="Arial" w:hAnsi="Arial"/>
                <w:sz w:val="16"/>
                <w:szCs w:val="16"/>
                <w:b w:val="1"/>
                <w:bCs w:val="1"/>
                <w:color w:val="auto"/>
              </w:rPr>
              <w:t>30,</w:t>
            </w:r>
          </w:p>
        </w:tc>
      </w:tr>
      <w:tr>
        <w:trPr>
          <w:trHeight w:val="208"/>
        </w:trPr>
        <w:tc>
          <w:tcPr>
            <w:tcW w:w="7120" w:type="dxa"/>
            <w:vAlign w:val="bottom"/>
            <w:tcBorders>
              <w:bottom w:val="single" w:sz="8" w:color="CCEEFF"/>
            </w:tcBorders>
          </w:tcPr>
          <w:p>
            <w:pPr>
              <w:spacing w:after="0"/>
              <w:rPr>
                <w:sz w:val="18"/>
                <w:szCs w:val="18"/>
                <w:color w:val="auto"/>
              </w:rPr>
            </w:pPr>
          </w:p>
        </w:tc>
        <w:tc>
          <w:tcPr>
            <w:tcW w:w="2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8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0.76 %</w:t>
            </w: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020" w:type="dxa"/>
            <w:vAlign w:val="bottom"/>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86.42 %</w:t>
            </w:r>
          </w:p>
        </w:tc>
        <w:tc>
          <w:tcPr>
            <w:tcW w:w="8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85.58 %</w:t>
            </w:r>
          </w:p>
        </w:tc>
      </w:tr>
      <w:tr>
        <w:trPr>
          <w:trHeight w:val="209"/>
        </w:trPr>
        <w:tc>
          <w:tcPr>
            <w:tcW w:w="71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10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02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314" w:lineRule="exact"/>
        <w:rPr>
          <w:sz w:val="20"/>
          <w:szCs w:val="20"/>
          <w:color w:val="auto"/>
        </w:rPr>
      </w:pPr>
    </w:p>
    <w:p>
      <w:pPr>
        <w:ind w:right="340" w:firstLine="443"/>
        <w:spacing w:after="0" w:line="259" w:lineRule="auto"/>
        <w:rPr>
          <w:sz w:val="20"/>
          <w:szCs w:val="20"/>
          <w:color w:val="auto"/>
        </w:rPr>
      </w:pPr>
      <w:r>
        <w:rPr>
          <w:rFonts w:ascii="Arial" w:cs="Arial" w:eastAsia="Arial" w:hAnsi="Arial"/>
          <w:sz w:val="18"/>
          <w:szCs w:val="18"/>
          <w:color w:val="auto"/>
        </w:rPr>
        <w:t>The weighted-average grant-date fair value of the Company’s stock options granted during the three and six months ended June 30, 2021 was $16.52 per share and $31.99 per share,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5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4"/>
        </w:trPr>
        <w:tc>
          <w:tcPr>
            <w:tcW w:w="5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08"/>
        </w:trPr>
        <w:tc>
          <w:tcPr>
            <w:tcW w:w="5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2,031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3,369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5,717</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233"/>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5,400</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10,066</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380" w:firstLine="443"/>
        <w:spacing w:after="0" w:line="259" w:lineRule="auto"/>
        <w:rPr>
          <w:sz w:val="20"/>
          <w:szCs w:val="20"/>
          <w:color w:val="auto"/>
        </w:rPr>
      </w:pPr>
      <w:r>
        <w:rPr>
          <w:rFonts w:ascii="Arial" w:cs="Arial" w:eastAsia="Arial" w:hAnsi="Arial"/>
          <w:sz w:val="18"/>
          <w:szCs w:val="18"/>
          <w:color w:val="auto"/>
        </w:rPr>
        <w:t>As of June 30, 2021, total unrecognized compensation expense related to unvested stock-based awards was $80.2 million, which is expected to be recognized over a weighted-average period of 3.06 years.</w:t>
      </w:r>
    </w:p>
    <w:p>
      <w:pPr>
        <w:sectPr>
          <w:pgSz w:w="11900" w:h="16838" w:orient="portrait"/>
          <w:cols w:equalWidth="0" w:num="1">
            <w:col w:w="11240"/>
          </w:cols>
          <w:pgMar w:left="320" w:top="1204"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Net Loss per Share</w:t>
      </w:r>
    </w:p>
    <w:p>
      <w:pPr>
        <w:spacing w:after="0" w:line="137" w:lineRule="exact"/>
        <w:rPr>
          <w:sz w:val="20"/>
          <w:szCs w:val="20"/>
          <w:color w:val="auto"/>
        </w:rPr>
      </w:pPr>
    </w:p>
    <w:p>
      <w:pPr>
        <w:ind w:right="80" w:firstLine="443"/>
        <w:spacing w:after="0" w:line="259"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5"/>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5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(36,401)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(11,568)</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(63,774)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(19,898)</w:t>
            </w:r>
          </w:p>
        </w:tc>
        <w:tc>
          <w:tcPr>
            <w:tcW w:w="0" w:type="dxa"/>
            <w:vAlign w:val="bottom"/>
          </w:tcPr>
          <w:p>
            <w:pPr>
              <w:spacing w:after="0"/>
              <w:rPr>
                <w:sz w:val="1"/>
                <w:szCs w:val="1"/>
                <w:color w:val="auto"/>
              </w:rPr>
            </w:pPr>
          </w:p>
        </w:tc>
      </w:tr>
      <w:tr>
        <w:trPr>
          <w:trHeight w:val="179"/>
        </w:trPr>
        <w:tc>
          <w:tcPr>
            <w:tcW w:w="5580" w:type="dxa"/>
            <w:vAlign w:val="bottom"/>
            <w:shd w:val="clear" w:color="auto" w:fill="CCEEFF"/>
          </w:tcPr>
          <w:p>
            <w:pPr>
              <w:ind w:left="240"/>
              <w:spacing w:after="0" w:line="179" w:lineRule="exact"/>
              <w:rPr>
                <w:sz w:val="20"/>
                <w:szCs w:val="20"/>
                <w:color w:val="auto"/>
              </w:rPr>
            </w:pPr>
            <w:r>
              <w:rPr>
                <w:rFonts w:ascii="Arial" w:cs="Arial" w:eastAsia="Arial" w:hAnsi="Arial"/>
                <w:sz w:val="16"/>
                <w:szCs w:val="16"/>
                <w:color w:val="auto"/>
              </w:rPr>
              <w:t>Accretion and cumulative dividends on redeemable convertible preferred</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0" w:type="dxa"/>
            <w:vAlign w:val="bottom"/>
          </w:tcPr>
          <w:p>
            <w:pPr>
              <w:spacing w:after="0"/>
              <w:rPr>
                <w:sz w:val="1"/>
                <w:szCs w:val="1"/>
                <w:color w:val="auto"/>
              </w:rPr>
            </w:pPr>
          </w:p>
        </w:tc>
      </w:tr>
      <w:tr>
        <w:trPr>
          <w:trHeight w:val="212"/>
        </w:trPr>
        <w:tc>
          <w:tcPr>
            <w:tcW w:w="5580" w:type="dxa"/>
            <w:vAlign w:val="bottom"/>
          </w:tcPr>
          <w:p>
            <w:pPr>
              <w:ind w:left="240"/>
              <w:spacing w:after="0"/>
              <w:rPr>
                <w:sz w:val="20"/>
                <w:szCs w:val="20"/>
                <w:color w:val="auto"/>
              </w:rPr>
            </w:pPr>
            <w:r>
              <w:rPr>
                <w:rFonts w:ascii="Arial" w:cs="Arial" w:eastAsia="Arial" w:hAnsi="Arial"/>
                <w:sz w:val="16"/>
                <w:szCs w:val="16"/>
                <w:color w:val="auto"/>
              </w:rPr>
              <w:t>Gain on repurchase of redeemable convertible preferred stock</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33"/>
        </w:trPr>
        <w:tc>
          <w:tcPr>
            <w:tcW w:w="55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Weighted average common shares outstanding, basic and diluted</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41,569,782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1,642,484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40,028,807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1,635,913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8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140" w:firstLine="443"/>
        <w:spacing w:after="0" w:line="254" w:lineRule="auto"/>
        <w:rPr>
          <w:sz w:val="20"/>
          <w:szCs w:val="20"/>
          <w:color w:val="auto"/>
        </w:rPr>
      </w:pPr>
      <w:r>
        <w:rPr>
          <w:rFonts w:ascii="Arial" w:cs="Arial" w:eastAsia="Arial" w:hAnsi="Arial"/>
          <w:sz w:val="18"/>
          <w:szCs w:val="18"/>
          <w:color w:val="auto"/>
        </w:rPr>
        <w:t>The following potential shares of common stock, presented based on amounts outstanding at each period end, were excluded from the calculation of diluted net loss per share attributable to common stockholders for the periods indicated because including them would have been anti-dilutive: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29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9"/>
              </w:rPr>
              <w:t>Three Months Ended</w:t>
            </w:r>
          </w:p>
        </w:tc>
        <w:tc>
          <w:tcPr>
            <w:tcW w:w="28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4"/>
        </w:trPr>
        <w:tc>
          <w:tcPr>
            <w:tcW w:w="546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w w:val="99"/>
              </w:rPr>
              <w:t>June 30,</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w w:val="99"/>
              </w:rPr>
              <w:t>June 30,</w:t>
            </w:r>
          </w:p>
        </w:tc>
        <w:tc>
          <w:tcPr>
            <w:tcW w:w="980" w:type="dxa"/>
            <w:vAlign w:val="bottom"/>
            <w:tcBorders>
              <w:bottom w:val="single" w:sz="8" w:color="auto"/>
            </w:tcBorders>
          </w:tcPr>
          <w:p>
            <w:pPr>
              <w:spacing w:after="0"/>
              <w:rPr>
                <w:sz w:val="18"/>
                <w:szCs w:val="18"/>
                <w:color w:val="auto"/>
              </w:rPr>
            </w:pPr>
          </w:p>
        </w:tc>
      </w:tr>
      <w:tr>
        <w:trPr>
          <w:trHeight w:val="208"/>
        </w:trPr>
        <w:tc>
          <w:tcPr>
            <w:tcW w:w="54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6,608,072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3,220,201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6,608,072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3,220,201</w:t>
            </w:r>
          </w:p>
        </w:tc>
      </w:tr>
      <w:tr>
        <w:trPr>
          <w:trHeight w:val="212"/>
        </w:trPr>
        <w:tc>
          <w:tcPr>
            <w:tcW w:w="5460" w:type="dxa"/>
            <w:vAlign w:val="bottom"/>
          </w:tcPr>
          <w:p>
            <w:pPr>
              <w:ind w:left="20"/>
              <w:spacing w:after="0"/>
              <w:rPr>
                <w:sz w:val="20"/>
                <w:szCs w:val="20"/>
                <w:color w:val="auto"/>
              </w:rPr>
            </w:pPr>
            <w:r>
              <w:rPr>
                <w:rFonts w:ascii="Arial" w:cs="Arial" w:eastAsia="Arial" w:hAnsi="Arial"/>
                <w:sz w:val="16"/>
                <w:szCs w:val="16"/>
                <w:color w:val="auto"/>
              </w:rPr>
              <w:t>Unvested restricted common stock and restricted stock units</w:t>
            </w:r>
          </w:p>
        </w:tc>
        <w:tc>
          <w:tcPr>
            <w:tcW w:w="1380" w:type="dxa"/>
            <w:vAlign w:val="bottom"/>
          </w:tcPr>
          <w:p>
            <w:pPr>
              <w:jc w:val="right"/>
              <w:spacing w:after="0"/>
              <w:rPr>
                <w:sz w:val="20"/>
                <w:szCs w:val="20"/>
                <w:color w:val="auto"/>
              </w:rPr>
            </w:pPr>
            <w:r>
              <w:rPr>
                <w:rFonts w:ascii="Arial" w:cs="Arial" w:eastAsia="Arial" w:hAnsi="Arial"/>
                <w:sz w:val="16"/>
                <w:szCs w:val="16"/>
                <w:color w:val="auto"/>
              </w:rPr>
              <w:t>340,563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21,905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340,563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21,905</w:t>
            </w:r>
          </w:p>
        </w:tc>
      </w:tr>
      <w:tr>
        <w:trPr>
          <w:trHeight w:val="218"/>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 redeemable convertible preferred stock</w:t>
            </w: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3,773,820</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3,773,820</w:t>
            </w:r>
          </w:p>
        </w:tc>
      </w:tr>
      <w:tr>
        <w:trPr>
          <w:trHeight w:val="212"/>
        </w:trPr>
        <w:tc>
          <w:tcPr>
            <w:tcW w:w="5460" w:type="dxa"/>
            <w:vAlign w:val="bottom"/>
          </w:tcPr>
          <w:p>
            <w:pPr>
              <w:ind w:left="20"/>
              <w:spacing w:after="0"/>
              <w:rPr>
                <w:sz w:val="20"/>
                <w:szCs w:val="20"/>
                <w:color w:val="auto"/>
              </w:rPr>
            </w:pPr>
            <w:r>
              <w:rPr>
                <w:rFonts w:ascii="Arial" w:cs="Arial" w:eastAsia="Arial" w:hAnsi="Arial"/>
                <w:sz w:val="16"/>
                <w:szCs w:val="16"/>
                <w:color w:val="auto"/>
              </w:rPr>
              <w:t>Series B redeemable convertible preferred stock</w:t>
            </w:r>
          </w:p>
        </w:tc>
        <w:tc>
          <w:tcPr>
            <w:tcW w:w="188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6,969,173</w:t>
            </w:r>
          </w:p>
        </w:tc>
        <w:tc>
          <w:tcPr>
            <w:tcW w:w="100" w:type="dxa"/>
            <w:vAlign w:val="bottom"/>
          </w:tcPr>
          <w:p>
            <w:pPr>
              <w:spacing w:after="0"/>
              <w:rPr>
                <w:sz w:val="18"/>
                <w:szCs w:val="18"/>
                <w:color w:val="auto"/>
              </w:rPr>
            </w:pPr>
          </w:p>
        </w:tc>
        <w:tc>
          <w:tcPr>
            <w:tcW w:w="186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6,969,173</w:t>
            </w:r>
          </w:p>
        </w:tc>
      </w:tr>
      <w:tr>
        <w:trPr>
          <w:trHeight w:val="218"/>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B-1 redeemable convertible preferred stock</w:t>
            </w: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1,246,133</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1,246,133</w:t>
            </w:r>
          </w:p>
        </w:tc>
      </w:tr>
      <w:tr>
        <w:trPr>
          <w:trHeight w:val="212"/>
        </w:trPr>
        <w:tc>
          <w:tcPr>
            <w:tcW w:w="5460" w:type="dxa"/>
            <w:vAlign w:val="bottom"/>
          </w:tcPr>
          <w:p>
            <w:pPr>
              <w:ind w:left="20"/>
              <w:spacing w:after="0"/>
              <w:rPr>
                <w:sz w:val="20"/>
                <w:szCs w:val="20"/>
                <w:color w:val="auto"/>
              </w:rPr>
            </w:pPr>
            <w:r>
              <w:rPr>
                <w:rFonts w:ascii="Arial" w:cs="Arial" w:eastAsia="Arial" w:hAnsi="Arial"/>
                <w:sz w:val="16"/>
                <w:szCs w:val="16"/>
                <w:color w:val="auto"/>
              </w:rPr>
              <w:t>Series C redeemable convertible preferred stock</w:t>
            </w:r>
          </w:p>
        </w:tc>
        <w:tc>
          <w:tcPr>
            <w:tcW w:w="188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3,992,463</w:t>
            </w:r>
          </w:p>
        </w:tc>
        <w:tc>
          <w:tcPr>
            <w:tcW w:w="100" w:type="dxa"/>
            <w:vAlign w:val="bottom"/>
          </w:tcPr>
          <w:p>
            <w:pPr>
              <w:spacing w:after="0"/>
              <w:rPr>
                <w:sz w:val="18"/>
                <w:szCs w:val="18"/>
                <w:color w:val="auto"/>
              </w:rPr>
            </w:pPr>
          </w:p>
        </w:tc>
        <w:tc>
          <w:tcPr>
            <w:tcW w:w="186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3,992,463</w:t>
            </w:r>
          </w:p>
        </w:tc>
      </w:tr>
      <w:tr>
        <w:trPr>
          <w:trHeight w:val="211"/>
        </w:trPr>
        <w:tc>
          <w:tcPr>
            <w:tcW w:w="54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6,948,635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19,223,695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6,948,635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19,223,695</w:t>
            </w:r>
          </w:p>
        </w:tc>
      </w:tr>
    </w:tbl>
    <w:p>
      <w:pPr>
        <w:spacing w:after="0" w:line="308" w:lineRule="exact"/>
        <w:rPr>
          <w:sz w:val="20"/>
          <w:szCs w:val="20"/>
          <w:color w:val="auto"/>
        </w:rPr>
      </w:pPr>
    </w:p>
    <w:p>
      <w:pPr>
        <w:ind w:right="500" w:firstLine="443"/>
        <w:spacing w:after="0" w:line="259" w:lineRule="auto"/>
        <w:rPr>
          <w:sz w:val="20"/>
          <w:szCs w:val="20"/>
          <w:color w:val="auto"/>
        </w:rPr>
      </w:pPr>
      <w:r>
        <w:rPr>
          <w:rFonts w:ascii="Arial" w:cs="Arial" w:eastAsia="Arial" w:hAnsi="Arial"/>
          <w:sz w:val="18"/>
          <w:szCs w:val="18"/>
          <w:color w:val="auto"/>
        </w:rPr>
        <w:t>The shares of common stock issuable upon conversion of the redeemable convertible preferred stock for the three and six months ended June 30, 2020 assumed automatic conversion in the event of a qualified public offering.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37" w:lineRule="exact"/>
        <w:rPr>
          <w:sz w:val="20"/>
          <w:szCs w:val="20"/>
          <w:color w:val="auto"/>
        </w:rPr>
      </w:pPr>
    </w:p>
    <w:p>
      <w:pPr>
        <w:ind w:right="80" w:firstLine="443"/>
        <w:spacing w:after="0" w:line="250"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 As of June 30, 2021, the Company had accrued expenses of $0.3 million due to RogCon under the License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37" w:lineRule="exact"/>
        <w:rPr>
          <w:sz w:val="20"/>
          <w:szCs w:val="20"/>
          <w:color w:val="auto"/>
        </w:rPr>
      </w:pPr>
    </w:p>
    <w:p>
      <w:pPr>
        <w:ind w:right="560" w:firstLine="443"/>
        <w:spacing w:after="0" w:line="259"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3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60"/>
          </w:cols>
          <w:pgMar w:left="320" w:top="1011" w:right="8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or SEC, on March 17,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2020, our actual results could differ materially from the results described in or implied by the forward-looking statements contained in the following discussion and analysis.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7" w:lineRule="exact"/>
        <w:rPr>
          <w:sz w:val="20"/>
          <w:szCs w:val="20"/>
          <w:color w:val="auto"/>
        </w:rPr>
      </w:pPr>
    </w:p>
    <w:p>
      <w:pPr>
        <w:ind w:right="40" w:firstLine="443"/>
        <w:spacing w:after="0" w:line="266" w:lineRule="auto"/>
        <w:rPr>
          <w:sz w:val="20"/>
          <w:szCs w:val="20"/>
          <w:color w:val="auto"/>
        </w:rPr>
      </w:pPr>
      <w:r>
        <w:rPr>
          <w:rFonts w:ascii="Arial" w:cs="Arial" w:eastAsia="Arial" w:hAnsi="Arial"/>
          <w:sz w:val="17"/>
          <w:szCs w:val="17"/>
          <w:color w:val="auto"/>
        </w:rPr>
        <w:t>We are a clinical-stage biopharmaceutical company translating genetic insights into the development of therapies for central nervous system, or CNS, disorders characterized by neuronal imbalance. Normal brain function requires a delicate balance of excitation and inhibition in neuronal circuits, which, when dysregulated, leads to abnormal function and disease. We are applying insights from genetic epilepsies to broader neurological and psychiatric disorders, using our understanding of shared biological targets and circuits in the brain. We apply a deliberate and pragmatic precision approach, leveraging a suite of translational tools including novel transgenic and predictive translational animal models and electrophysiology markers, to enable an efficient path to proof-of-concept in patients. Through this approach, we have established a broad portfolio, including multiple disclosed programs across CNS disorders, including depression, epilepsy, movement disorders and pain syndromes, with three clinical-stage product candidates. We expect multiple topline clinical trial readouts from all three programs in the next year and anticipate the launch of a new clinical development program in the next year. We intend to develop differentiated therapies that can deliver long-term benefits to human health by meaningfully impacting patients and society.</w:t>
      </w:r>
    </w:p>
    <w:p>
      <w:pPr>
        <w:spacing w:after="0" w:line="196" w:lineRule="exact"/>
        <w:rPr>
          <w:sz w:val="20"/>
          <w:szCs w:val="20"/>
          <w:color w:val="auto"/>
        </w:rPr>
      </w:pPr>
    </w:p>
    <w:p>
      <w:pPr>
        <w:ind w:firstLine="443"/>
        <w:spacing w:after="0" w:line="249" w:lineRule="auto"/>
        <w:rPr>
          <w:sz w:val="20"/>
          <w:szCs w:val="20"/>
          <w:color w:val="auto"/>
        </w:rPr>
      </w:pPr>
      <w:r>
        <w:rPr>
          <w:rFonts w:ascii="Arial" w:cs="Arial" w:eastAsia="Arial" w:hAnsi="Arial"/>
          <w:sz w:val="18"/>
          <w:szCs w:val="18"/>
          <w:color w:val="auto"/>
        </w:rPr>
        <w:t>Our most advanced programs, PRAX-114 and PRAX-944, are currently in Phase 2/3 and Phase 2 development, respectively. PRAX-114 is currently being developed for the treatment of major depressive disorder and perimenopausal depression. Together, these conditions affect more than 22 million patients in the United States. We are finalizing the market assessment, including key opinion leader interactions and market research analysis, to inform plans for a Phase 2b trial in women with menopausal and mood symptoms and facilitate discussions with regulatory agencies. We expect to disclose plans for the Phase 2b study in the second half of 2021. We plan to initiate a Phase 2 trial of PRAX-114 in post-traumatic stress disorder and a Phase 2 trial of PRAX-114 in essential tremor, or ET, in the second half of 2021. PRAX-944 is a selective small molecule inhibitor of T-type calcium channels, currently being developed for the treatment of ET, a progressive and debilitating movement disorder affecting up to seven million people in the United States. We plan to initiate a PRAX-944 Phase 2 trial for the treatment of Parkinson's disease in the first half of 2022. In addition, we completed a Phase 1 trial of PRAX-562, a persistent sodium current blocker, for the potential treatment of a broad range of rare, devastating CNS disorders, such as severe pediatric epilepsies and rare adult cephalgias and plan to initiate a first-in-patient trial in rare adult cephalgias in the fourth quarter of 2021. In addition to our clinical programs, we have multiple disclosed preclinical product candidates in development for severe genetic epilepsies.</w:t>
      </w:r>
    </w:p>
    <w:p>
      <w:pPr>
        <w:spacing w:after="0" w:line="215" w:lineRule="exact"/>
        <w:rPr>
          <w:sz w:val="20"/>
          <w:szCs w:val="20"/>
          <w:color w:val="auto"/>
        </w:rPr>
      </w:pPr>
    </w:p>
    <w:p>
      <w:pPr>
        <w:ind w:right="60" w:firstLine="443"/>
        <w:spacing w:after="0" w:line="251"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portfolio, business planning, raising capital and providing general and administrative support for these operations. We employ a “virtual” research and development model, relying heavily upon external consultants, collaborators and contract research organizations to conduct our preclinical and clinical activities. Since inception, we have financed our operations primarily with proceeds from the issuances of convertible debt, redeemable convertible preferred stock, and common stock from our initial public offering, or IPO, in October 2020 and follow-on public offering in May 2021.</w:t>
      </w:r>
    </w:p>
    <w:p>
      <w:pPr>
        <w:spacing w:after="0" w:line="204" w:lineRule="exact"/>
        <w:rPr>
          <w:sz w:val="20"/>
          <w:szCs w:val="20"/>
          <w:color w:val="auto"/>
        </w:rPr>
      </w:pPr>
    </w:p>
    <w:p>
      <w:pPr>
        <w:ind w:firstLine="443"/>
        <w:spacing w:after="0" w:line="252" w:lineRule="auto"/>
        <w:rPr>
          <w:sz w:val="20"/>
          <w:szCs w:val="20"/>
          <w:color w:val="auto"/>
        </w:rPr>
      </w:pPr>
      <w:r>
        <w:rPr>
          <w:rFonts w:ascii="Arial" w:cs="Arial" w:eastAsia="Arial" w:hAnsi="Arial"/>
          <w:sz w:val="18"/>
          <w:szCs w:val="18"/>
          <w:color w:val="auto"/>
        </w:rPr>
        <w:t>On May 18, 2021, we completed a follow-on public offering in which we issued and sold 5,750,000 shares of our common stock at a public offering price of $18.25 per share, including 750,000 shares of common stock issued and sold pursuant to the underwriters' exercise, in full, of their option to purchase additional shares of common stock, for aggregate gross proceeds of $104.9 million. We received approximately $98.4 million in net proceeds after deducting discounts, commissions, and offering expenses payable by us.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04" w:right="379" w:bottom="1440" w:gutter="0" w:footer="0" w:header="0"/>
        </w:sectPr>
      </w:pPr>
    </w:p>
    <w:bookmarkStart w:id="20" w:name="page21"/>
    <w:bookmarkEnd w:id="20"/>
    <w:p>
      <w:pPr>
        <w:ind w:right="20" w:firstLine="443"/>
        <w:spacing w:after="0" w:line="250"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programs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$63.8 million for the six months ended June 30, 2021. As of June 30, 2021, we had an accumulated deficit of $213.3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increase significantly in connection with our ongoing activities, as we:</w:t>
      </w:r>
    </w:p>
    <w:p>
      <w:pPr>
        <w:spacing w:after="0" w:line="153" w:lineRule="exact"/>
        <w:rPr>
          <w:sz w:val="20"/>
          <w:szCs w:val="20"/>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our lead product candidates, PRAX-114 and PRAX-944, to and through late stage clinical trials;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our PRAX-562 product candidate to Phase 2 clinical trials;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our preclinical programs to clinical trials;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 for our investigational medicines;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protect and defend our intellectual property portfolio;</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secure facilities to support continued growth in our research, development and commercialization efforts;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headcount to support our development efforts and to expand our clinical development team;</w:t>
      </w:r>
    </w:p>
    <w:p>
      <w:pPr>
        <w:spacing w:after="0" w:line="168" w:lineRule="exact"/>
        <w:rPr>
          <w:rFonts w:ascii="Arial" w:cs="Arial" w:eastAsia="Arial" w:hAnsi="Arial"/>
          <w:sz w:val="18"/>
          <w:szCs w:val="18"/>
          <w:color w:val="auto"/>
        </w:rPr>
      </w:pPr>
    </w:p>
    <w:p>
      <w:pPr>
        <w:ind w:left="660" w:right="760" w:hanging="331"/>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costs and general and administrative headcount growth associated with our continued operations as a public company; and</w:t>
      </w:r>
    </w:p>
    <w:p>
      <w:pPr>
        <w:spacing w:after="0" w:line="143"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costs as a public company as we transition out of emerging growth company status at the end of 2021.</w:t>
      </w:r>
    </w:p>
    <w:p>
      <w:pPr>
        <w:spacing w:after="0" w:line="222" w:lineRule="exact"/>
        <w:rPr>
          <w:sz w:val="20"/>
          <w:szCs w:val="20"/>
          <w:color w:val="auto"/>
        </w:rPr>
      </w:pPr>
    </w:p>
    <w:p>
      <w:pPr>
        <w:ind w:right="720" w:firstLine="443"/>
        <w:spacing w:after="0" w:line="259" w:lineRule="auto"/>
        <w:rPr>
          <w:sz w:val="20"/>
          <w:szCs w:val="20"/>
          <w:color w:val="auto"/>
        </w:rPr>
      </w:pPr>
      <w:r>
        <w:rPr>
          <w:rFonts w:ascii="Arial" w:cs="Arial" w:eastAsia="Arial" w:hAnsi="Arial"/>
          <w:sz w:val="18"/>
          <w:szCs w:val="18"/>
          <w:color w:val="auto"/>
        </w:rPr>
        <w:t>In addition, as we progress toward potential marketing approval for any of our product candidates, we expect to incur significant commercialization expenses related to product manufacturing, marketing, sales and distribution.</w:t>
      </w:r>
    </w:p>
    <w:p>
      <w:pPr>
        <w:spacing w:after="0" w:line="197" w:lineRule="exact"/>
        <w:rPr>
          <w:sz w:val="20"/>
          <w:szCs w:val="20"/>
          <w:color w:val="auto"/>
        </w:rPr>
      </w:pPr>
    </w:p>
    <w:p>
      <w:pPr>
        <w:ind w:right="100" w:firstLine="443"/>
        <w:spacing w:after="0" w:line="251"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204" w:lineRule="exact"/>
        <w:rPr>
          <w:sz w:val="20"/>
          <w:szCs w:val="20"/>
          <w:color w:val="auto"/>
        </w:rPr>
      </w:pPr>
    </w:p>
    <w:p>
      <w:pPr>
        <w:ind w:firstLine="443"/>
        <w:spacing w:after="0" w:line="252"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04" w:lineRule="exact"/>
        <w:rPr>
          <w:sz w:val="20"/>
          <w:szCs w:val="20"/>
          <w:color w:val="auto"/>
        </w:rPr>
      </w:pPr>
    </w:p>
    <w:p>
      <w:pPr>
        <w:ind w:right="20" w:firstLine="443"/>
        <w:spacing w:after="0" w:line="252" w:lineRule="auto"/>
        <w:rPr>
          <w:sz w:val="20"/>
          <w:szCs w:val="20"/>
          <w:color w:val="auto"/>
        </w:rPr>
      </w:pPr>
      <w:r>
        <w:rPr>
          <w:rFonts w:ascii="Arial" w:cs="Arial" w:eastAsia="Arial" w:hAnsi="Arial"/>
          <w:sz w:val="18"/>
          <w:szCs w:val="18"/>
          <w:color w:val="auto"/>
        </w:rPr>
        <w:t>As of June 30, 2021, we had cash, cash equivalents and marketable securities of $ 339.2 million. We believe that our existing cash, cash equivalents and marketable securities will enable us to fund our operating expenses and capital expenditure requirements into the second quarter of 2023. We have based this estimate on assumptions that may prove to be wrong, and we could exhaust our available capital resources sooner than we expect. See “—Liquidity and Capital Resources.”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37" w:lineRule="exact"/>
        <w:rPr>
          <w:sz w:val="20"/>
          <w:szCs w:val="20"/>
          <w:color w:val="auto"/>
        </w:rPr>
      </w:pPr>
    </w:p>
    <w:p>
      <w:pPr>
        <w:ind w:right="20" w:firstLine="443"/>
        <w:spacing w:after="0" w:line="250" w:lineRule="auto"/>
        <w:rPr>
          <w:sz w:val="20"/>
          <w:szCs w:val="20"/>
          <w:color w:val="auto"/>
        </w:rPr>
      </w:pPr>
      <w:r>
        <w:rPr>
          <w:rFonts w:ascii="Arial" w:cs="Arial" w:eastAsia="Arial" w:hAnsi="Arial"/>
          <w:sz w:val="18"/>
          <w:szCs w:val="18"/>
          <w:color w:val="auto"/>
        </w:rPr>
        <w:t>In light of the ongoing COVID-19 pandemic, we have implemented business continuity plans designed to address and mitigate the impact of the COVID-19 pandemic on our employees and our business, including our preclinical studies and clinical trials. We are continuing to operate during this period and have taken measures to secure our research and development activities.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209" w:lineRule="exact"/>
        <w:rPr>
          <w:sz w:val="20"/>
          <w:szCs w:val="20"/>
          <w:color w:val="auto"/>
        </w:rPr>
      </w:pPr>
    </w:p>
    <w:p>
      <w:pPr>
        <w:ind w:firstLine="443"/>
        <w:spacing w:after="0" w:line="250" w:lineRule="auto"/>
        <w:rPr>
          <w:sz w:val="20"/>
          <w:szCs w:val="20"/>
          <w:color w:val="auto"/>
        </w:rPr>
      </w:pPr>
      <w:r>
        <w:rPr>
          <w:rFonts w:ascii="Arial" w:cs="Arial" w:eastAsia="Arial" w:hAnsi="Arial"/>
          <w:sz w:val="18"/>
          <w:szCs w:val="18"/>
          <w:color w:val="auto"/>
        </w:rPr>
        <w:t>In addition, while we have taken and are continuing to take steps to mitigate against possible delays,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7" w:lineRule="exact"/>
        <w:rPr>
          <w:sz w:val="20"/>
          <w:szCs w:val="20"/>
          <w:color w:val="auto"/>
        </w:rPr>
      </w:pPr>
    </w:p>
    <w:p>
      <w:pPr>
        <w:ind w:right="260" w:firstLine="443"/>
        <w:spacing w:after="0" w:line="252"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for several years, if at all. If our development efforts for our current or future product candidates are successful and result in marketing approval or collaboration or license agreements with third parties, we may generate revenue in the future from a combination of product sales or payments from collaboration or license agreements that we may enter into with third parties.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69" w:lineRule="exact"/>
        <w:rPr>
          <w:sz w:val="20"/>
          <w:szCs w:val="20"/>
          <w:color w:val="auto"/>
        </w:rPr>
      </w:pPr>
    </w:p>
    <w:p>
      <w:pPr>
        <w:ind w:left="640" w:hanging="31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to develop our portfolio;</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development costs for our programs; and</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costs above comprise the following categories:</w:t>
      </w:r>
    </w:p>
    <w:p>
      <w:pPr>
        <w:spacing w:after="0" w:line="169" w:lineRule="exact"/>
        <w:rPr>
          <w:sz w:val="20"/>
          <w:szCs w:val="20"/>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68" w:lineRule="exact"/>
        <w:rPr>
          <w:rFonts w:ascii="Arial" w:cs="Arial" w:eastAsia="Arial" w:hAnsi="Arial"/>
          <w:sz w:val="18"/>
          <w:szCs w:val="18"/>
          <w:color w:val="auto"/>
        </w:rPr>
      </w:pPr>
    </w:p>
    <w:p>
      <w:pPr>
        <w:ind w:left="660" w:right="120" w:hanging="331"/>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contract research organizations, that conduct our preclinical and clinical studies and in-licensing arrangements;</w:t>
      </w:r>
    </w:p>
    <w:p>
      <w:pPr>
        <w:spacing w:after="0" w:line="143"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68" w:lineRule="exact"/>
        <w:rPr>
          <w:rFonts w:ascii="Arial" w:cs="Arial" w:eastAsia="Arial" w:hAnsi="Arial"/>
          <w:sz w:val="18"/>
          <w:szCs w:val="18"/>
          <w:color w:val="auto"/>
        </w:rPr>
      </w:pPr>
    </w:p>
    <w:p>
      <w:pPr>
        <w:ind w:left="660" w:right="80" w:hanging="331"/>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04" w:right="379" w:bottom="1440" w:gutter="0" w:footer="0" w:header="0"/>
        </w:sectPr>
      </w:pPr>
    </w:p>
    <w:bookmarkStart w:id="22" w:name="page23"/>
    <w:bookmarkEnd w:id="22"/>
    <w:p>
      <w:pPr>
        <w:ind w:left="660" w:right="80" w:hanging="331"/>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insurance and other operating costs, incurred as a result of our research and development activities.</w:t>
      </w:r>
    </w:p>
    <w:p>
      <w:pPr>
        <w:spacing w:after="0" w:line="197" w:lineRule="exact"/>
        <w:rPr>
          <w:sz w:val="20"/>
          <w:szCs w:val="20"/>
          <w:color w:val="auto"/>
        </w:rPr>
      </w:pPr>
    </w:p>
    <w:p>
      <w:pPr>
        <w:ind w:right="20" w:firstLine="443"/>
        <w:spacing w:after="0" w:line="250"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 expenses or accrued research and development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209" w:lineRule="exact"/>
        <w:rPr>
          <w:sz w:val="20"/>
          <w:szCs w:val="20"/>
          <w:color w:val="auto"/>
        </w:rPr>
      </w:pPr>
    </w:p>
    <w:p>
      <w:pPr>
        <w:ind w:right="160" w:firstLine="443"/>
        <w:spacing w:after="0" w:line="252" w:lineRule="auto"/>
        <w:rPr>
          <w:sz w:val="20"/>
          <w:szCs w:val="20"/>
          <w:color w:val="auto"/>
        </w:rPr>
      </w:pPr>
      <w:r>
        <w:rPr>
          <w:rFonts w:ascii="Arial" w:cs="Arial" w:eastAsia="Arial" w:hAnsi="Arial"/>
          <w:sz w:val="18"/>
          <w:szCs w:val="18"/>
          <w:color w:val="auto"/>
        </w:rPr>
        <w:t>A significant portion of our research and development costs have been external costs. We track direct external research and development expenses to specific programs upon commencement. Due to the number of ongoing programs and our ability to use resources across several projects, indirect or shared operating costs incurred for our research and development programs, such as personnel, facility costs and certain consulting costs, are not recorded or maintained on a program-specific basis.</w:t>
      </w:r>
    </w:p>
    <w:p>
      <w:pPr>
        <w:spacing w:after="0" w:line="204" w:lineRule="exact"/>
        <w:rPr>
          <w:sz w:val="20"/>
          <w:szCs w:val="20"/>
          <w:color w:val="auto"/>
        </w:rPr>
      </w:pPr>
    </w:p>
    <w:p>
      <w:pPr>
        <w:ind w:right="40" w:firstLine="443"/>
        <w:spacing w:after="0" w:line="252" w:lineRule="auto"/>
        <w:rPr>
          <w:sz w:val="20"/>
          <w:szCs w:val="20"/>
          <w:color w:val="auto"/>
        </w:rPr>
      </w:pPr>
      <w:r>
        <w:rPr>
          <w:rFonts w:ascii="Arial" w:cs="Arial" w:eastAsia="Arial" w:hAnsi="Arial"/>
          <w:sz w:val="18"/>
          <w:szCs w:val="18"/>
          <w:color w:val="auto"/>
        </w:rPr>
        <w:t>Our major programs, PRAX-114, PRAX-944 and PRAX-562, are those for which we have initiated clinical activities. Our discovery-stage programs are those which are at an earlier point in the development process. The following table reflects our research and development expenses, including direct program-specific expenses summarized by major program, discovery-stage program costs and indirect or shared operating costs recognized as research and development expenses during each period presented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0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w:t>
            </w:r>
          </w:p>
        </w:tc>
      </w:tr>
      <w:tr>
        <w:trPr>
          <w:trHeight w:val="214"/>
        </w:trPr>
        <w:tc>
          <w:tcPr>
            <w:tcW w:w="6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r>
      <w:tr>
        <w:trPr>
          <w:trHeight w:val="208"/>
        </w:trPr>
        <w:tc>
          <w:tcPr>
            <w:tcW w:w="6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49"/>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PRAX-114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w:t>
            </w:r>
          </w:p>
        </w:tc>
      </w:tr>
      <w:tr>
        <w:trPr>
          <w:trHeight w:val="212"/>
        </w:trPr>
        <w:tc>
          <w:tcPr>
            <w:tcW w:w="6500" w:type="dxa"/>
            <w:vAlign w:val="bottom"/>
          </w:tcPr>
          <w:p>
            <w:pPr>
              <w:ind w:left="20"/>
              <w:spacing w:after="0"/>
              <w:rPr>
                <w:sz w:val="20"/>
                <w:szCs w:val="20"/>
                <w:color w:val="auto"/>
              </w:rPr>
            </w:pPr>
            <w:r>
              <w:rPr>
                <w:rFonts w:ascii="Arial" w:cs="Arial" w:eastAsia="Arial" w:hAnsi="Arial"/>
                <w:sz w:val="16"/>
                <w:szCs w:val="16"/>
                <w:color w:val="auto"/>
              </w:rPr>
              <w:t>PRAX-944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1,577</w:t>
            </w:r>
          </w:p>
        </w:tc>
      </w:tr>
      <w:tr>
        <w:trPr>
          <w:trHeight w:val="218"/>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PRAX-562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r>
      <w:tr>
        <w:trPr>
          <w:trHeight w:val="212"/>
        </w:trPr>
        <w:tc>
          <w:tcPr>
            <w:tcW w:w="6500" w:type="dxa"/>
            <w:vAlign w:val="bottom"/>
          </w:tcPr>
          <w:p>
            <w:pPr>
              <w:ind w:left="20"/>
              <w:spacing w:after="0"/>
              <w:rPr>
                <w:sz w:val="20"/>
                <w:szCs w:val="20"/>
                <w:color w:val="auto"/>
              </w:rPr>
            </w:pPr>
            <w:r>
              <w:rPr>
                <w:rFonts w:ascii="Arial" w:cs="Arial" w:eastAsia="Arial" w:hAnsi="Arial"/>
                <w:sz w:val="16"/>
                <w:szCs w:val="16"/>
                <w:color w:val="auto"/>
              </w:rPr>
              <w:t>Discovery-stage programs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1,896</w:t>
            </w:r>
          </w:p>
        </w:tc>
      </w:tr>
      <w:tr>
        <w:trPr>
          <w:trHeight w:val="218"/>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w:t>
            </w:r>
          </w:p>
        </w:tc>
      </w:tr>
      <w:tr>
        <w:trPr>
          <w:trHeight w:val="21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w:t>
            </w:r>
          </w:p>
        </w:tc>
      </w:tr>
      <w:tr>
        <w:trPr>
          <w:trHeight w:val="23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43,607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60" w:firstLine="443"/>
        <w:spacing w:after="0" w:line="251"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206" w:lineRule="exact"/>
        <w:rPr>
          <w:sz w:val="20"/>
          <w:szCs w:val="20"/>
          <w:color w:val="auto"/>
        </w:rPr>
      </w:pPr>
    </w:p>
    <w:p>
      <w:pPr>
        <w:ind w:right="20" w:firstLine="443"/>
        <w:spacing w:after="0" w:line="252"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51" w:lineRule="exact"/>
        <w:rPr>
          <w:sz w:val="20"/>
          <w:szCs w:val="20"/>
          <w:color w:val="auto"/>
        </w:rPr>
      </w:pPr>
    </w:p>
    <w:p>
      <w:pPr>
        <w:ind w:left="640" w:hanging="31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23" w:name="page24"/>
    <w:bookmarkEnd w:id="23"/>
    <w:p>
      <w:pPr>
        <w:ind w:left="660" w:right="80" w:hanging="331"/>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U.S. Food and Drug Administration, or FDA, or any comparable foreign regulatory authority;</w:t>
      </w:r>
    </w:p>
    <w:p>
      <w:pPr>
        <w:spacing w:after="0" w:line="143"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68" w:lineRule="exact"/>
        <w:rPr>
          <w:rFonts w:ascii="Arial" w:cs="Arial" w:eastAsia="Arial" w:hAnsi="Arial"/>
          <w:sz w:val="18"/>
          <w:szCs w:val="18"/>
          <w:color w:val="auto"/>
        </w:rPr>
      </w:pPr>
    </w:p>
    <w:p>
      <w:pPr>
        <w:ind w:left="660" w:right="1160" w:hanging="331"/>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143" w:lineRule="exact"/>
        <w:rPr>
          <w:rFonts w:ascii="Arial" w:cs="Arial" w:eastAsia="Arial" w:hAnsi="Arial"/>
          <w:sz w:val="18"/>
          <w:szCs w:val="18"/>
          <w:color w:val="auto"/>
        </w:rPr>
      </w:pPr>
    </w:p>
    <w:p>
      <w:pPr>
        <w:ind w:left="660" w:right="320" w:hanging="331"/>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143" w:lineRule="exact"/>
        <w:rPr>
          <w:rFonts w:ascii="Arial" w:cs="Arial" w:eastAsia="Arial" w:hAnsi="Arial"/>
          <w:sz w:val="18"/>
          <w:szCs w:val="18"/>
          <w:color w:val="auto"/>
        </w:rPr>
      </w:pPr>
    </w:p>
    <w:p>
      <w:pPr>
        <w:ind w:left="660" w:right="60" w:hanging="331"/>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143" w:lineRule="exact"/>
        <w:rPr>
          <w:rFonts w:ascii="Arial" w:cs="Arial" w:eastAsia="Arial" w:hAnsi="Arial"/>
          <w:sz w:val="18"/>
          <w:szCs w:val="18"/>
          <w:color w:val="auto"/>
        </w:rPr>
      </w:pPr>
    </w:p>
    <w:p>
      <w:pPr>
        <w:ind w:left="660" w:right="320" w:hanging="331"/>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143" w:lineRule="exact"/>
        <w:rPr>
          <w:rFonts w:ascii="Arial" w:cs="Arial" w:eastAsia="Arial" w:hAnsi="Arial"/>
          <w:sz w:val="18"/>
          <w:szCs w:val="18"/>
          <w:color w:val="auto"/>
        </w:rPr>
      </w:pPr>
    </w:p>
    <w:p>
      <w:pPr>
        <w:ind w:left="660" w:right="540" w:hanging="331"/>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intellectual property protection and regulatory exclusivity for our product candidates if and when approved;</w:t>
      </w:r>
    </w:p>
    <w:p>
      <w:pPr>
        <w:spacing w:after="0" w:line="143"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commercialize products, if and when approved, whether alone or in collaboration with others; and</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acceptable safety profiles of the product candidates following approval.</w:t>
      </w:r>
    </w:p>
    <w:p>
      <w:pPr>
        <w:spacing w:after="0" w:line="222" w:lineRule="exact"/>
        <w:rPr>
          <w:sz w:val="20"/>
          <w:szCs w:val="20"/>
          <w:color w:val="auto"/>
        </w:rPr>
      </w:pPr>
    </w:p>
    <w:p>
      <w:pPr>
        <w:ind w:right="40" w:firstLine="443"/>
        <w:spacing w:after="0" w:line="251"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millions of dollars in development costs.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3" w:lineRule="exact"/>
        <w:rPr>
          <w:sz w:val="20"/>
          <w:szCs w:val="20"/>
          <w:color w:val="auto"/>
        </w:rPr>
      </w:pPr>
    </w:p>
    <w:p>
      <w:pPr>
        <w:ind w:right="20" w:firstLine="443"/>
        <w:spacing w:after="0" w:line="250"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insurance costs; administrative travel expenses; and facility-related expenses, which include direct depreciation costs and allocated expenses for office rent and other operating costs. These costs relate to the operation of the business, unrelated to the research and development function, or any individual program. Costs to secure and defend our intellectual property, or IP, are expensed as incurred and are classified as general and administrative expenses.</w:t>
      </w:r>
    </w:p>
    <w:p>
      <w:pPr>
        <w:spacing w:after="0" w:line="209" w:lineRule="exact"/>
        <w:rPr>
          <w:sz w:val="20"/>
          <w:szCs w:val="20"/>
          <w:color w:val="auto"/>
        </w:rPr>
      </w:pPr>
    </w:p>
    <w:p>
      <w:pPr>
        <w:ind w:firstLine="443"/>
        <w:spacing w:after="0" w:line="251"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the expected growth in our research and development activities and the potential commercialization of our product candidates. We also expect to incur increased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 We also expect to incur additional IP-related expenses as we file patent applications to protect innovations arising from our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6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33" w:lineRule="exact"/>
        <w:rPr>
          <w:sz w:val="20"/>
          <w:szCs w:val="20"/>
          <w:color w:val="auto"/>
        </w:rPr>
      </w:pPr>
    </w:p>
    <w:p>
      <w:pPr>
        <w:ind w:right="60" w:firstLine="443"/>
        <w:spacing w:after="0" w:line="259"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7" w:lineRule="exact"/>
        <w:rPr>
          <w:sz w:val="20"/>
          <w:szCs w:val="20"/>
          <w:color w:val="auto"/>
        </w:rPr>
      </w:pPr>
    </w:p>
    <w:p>
      <w:pPr>
        <w:ind w:right="20" w:firstLine="443"/>
        <w:spacing w:after="0" w:line="251"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or benefit recognized for the three and six months ended June 30, 2021. The income tax benefit (provision) for the three and six months ended June 30, 2020 was not material.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1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25,678</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9,050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16,628</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8,285</w:t>
            </w: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24,913</w:t>
            </w:r>
          </w:p>
        </w:tc>
        <w:tc>
          <w:tcPr>
            <w:tcW w:w="0" w:type="dxa"/>
            <w:vAlign w:val="bottom"/>
          </w:tcPr>
          <w:p>
            <w:pPr>
              <w:spacing w:after="0"/>
              <w:rPr>
                <w:sz w:val="1"/>
                <w:szCs w:val="1"/>
                <w:color w:val="auto"/>
              </w:rPr>
            </w:pP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(24,913)</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Total other income: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8"/>
        </w:trPr>
        <w:tc>
          <w:tcPr>
            <w:tcW w:w="6700" w:type="dxa"/>
            <w:vAlign w:val="bottom"/>
          </w:tcPr>
          <w:p>
            <w:pPr>
              <w:ind w:left="660"/>
              <w:spacing w:after="0"/>
              <w:rPr>
                <w:sz w:val="20"/>
                <w:szCs w:val="20"/>
                <w:color w:val="auto"/>
              </w:rPr>
            </w:pPr>
            <w:r>
              <w:rPr>
                <w:rFonts w:ascii="Arial" w:cs="Arial" w:eastAsia="Arial" w:hAnsi="Arial"/>
                <w:sz w:val="16"/>
                <w:szCs w:val="16"/>
                <w:color w:val="auto"/>
              </w:rPr>
              <w:t>Total other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(24,836)</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3" w:lineRule="exact"/>
        <w:rPr>
          <w:sz w:val="20"/>
          <w:szCs w:val="20"/>
          <w:color w:val="auto"/>
        </w:rPr>
      </w:pPr>
    </w:p>
    <w:p>
      <w:pPr>
        <w:ind w:right="300" w:firstLine="443"/>
        <w:spacing w:after="0" w:line="259"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1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PRAX-114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PRAX-944</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PRAX-562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Discovery-stage programs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w:t>
            </w:r>
          </w:p>
        </w:tc>
        <w:tc>
          <w:tcPr>
            <w:tcW w:w="0" w:type="dxa"/>
            <w:vAlign w:val="bottom"/>
          </w:tcPr>
          <w:p>
            <w:pPr>
              <w:spacing w:after="0"/>
              <w:rPr>
                <w:sz w:val="1"/>
                <w:szCs w:val="1"/>
                <w:color w:val="auto"/>
              </w:rPr>
            </w:pPr>
          </w:p>
        </w:tc>
      </w:tr>
      <w:tr>
        <w:trPr>
          <w:trHeight w:val="21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3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5" w:name="page26"/>
    <w:bookmarkEnd w:id="25"/>
    <w:p>
      <w:pPr>
        <w:jc w:val="both"/>
        <w:ind w:firstLine="443"/>
        <w:spacing w:after="0" w:line="254" w:lineRule="auto"/>
        <w:rPr>
          <w:sz w:val="20"/>
          <w:szCs w:val="20"/>
          <w:color w:val="auto"/>
        </w:rPr>
      </w:pPr>
      <w:r>
        <w:rPr>
          <w:rFonts w:ascii="Arial" w:cs="Arial" w:eastAsia="Arial" w:hAnsi="Arial"/>
          <w:sz w:val="18"/>
          <w:szCs w:val="18"/>
          <w:color w:val="auto"/>
        </w:rPr>
        <w:t>Research and development expenses increased approximately $16.6 million from approximately $ 9.0 million for the three months ended June 30, 2020 to $25.7 million for the three months ended June 30, 2021. The increase in research and development expenses was primarily attributable to the following:</w:t>
      </w:r>
    </w:p>
    <w:p>
      <w:pPr>
        <w:spacing w:after="0" w:line="148" w:lineRule="exact"/>
        <w:rPr>
          <w:sz w:val="20"/>
          <w:szCs w:val="20"/>
          <w:color w:val="auto"/>
        </w:rPr>
      </w:pPr>
    </w:p>
    <w:p>
      <w:pPr>
        <w:ind w:left="660" w:right="460" w:hanging="331"/>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$4.4 million increase in personnel-related costs due to increased headcount, including an increase of $1.9 million in stock-based compensation expense due to the increase in fair value of our stock options since becoming a public company;</w:t>
      </w:r>
    </w:p>
    <w:p>
      <w:pPr>
        <w:spacing w:after="0" w:line="143" w:lineRule="exact"/>
        <w:rPr>
          <w:rFonts w:ascii="Arial" w:cs="Arial" w:eastAsia="Arial" w:hAnsi="Arial"/>
          <w:sz w:val="18"/>
          <w:szCs w:val="18"/>
          <w:color w:val="auto"/>
        </w:rPr>
      </w:pPr>
    </w:p>
    <w:p>
      <w:pPr>
        <w:ind w:left="660" w:right="140" w:hanging="331"/>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$3.5 million increase in expense related to our PRAX-114 program, driven by an increase in clinical-related and toxicology spend for our Phase 2/3 clinical trial for this program;</w:t>
      </w:r>
    </w:p>
    <w:p>
      <w:pPr>
        <w:spacing w:after="0" w:line="143" w:lineRule="exact"/>
        <w:rPr>
          <w:rFonts w:ascii="Arial" w:cs="Arial" w:eastAsia="Arial" w:hAnsi="Arial"/>
          <w:sz w:val="18"/>
          <w:szCs w:val="18"/>
          <w:color w:val="auto"/>
        </w:rPr>
      </w:pPr>
    </w:p>
    <w:p>
      <w:pPr>
        <w:ind w:left="660" w:right="260" w:hanging="331"/>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 million increase in expense related to our discovery-stage programs, primarily driven by an increase in preclinical activities for such programs;</w:t>
      </w:r>
    </w:p>
    <w:p>
      <w:pPr>
        <w:spacing w:after="0" w:line="143" w:lineRule="exact"/>
        <w:rPr>
          <w:rFonts w:ascii="Arial" w:cs="Arial" w:eastAsia="Arial" w:hAnsi="Arial"/>
          <w:sz w:val="18"/>
          <w:szCs w:val="18"/>
          <w:color w:val="auto"/>
        </w:rPr>
      </w:pPr>
    </w:p>
    <w:p>
      <w:pPr>
        <w:ind w:left="660" w:right="400" w:hanging="331"/>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$2.7 million increase in expense related to our PRAX-562 program, primarily driven by an increase toxicology and clinical-related spend;</w:t>
      </w:r>
    </w:p>
    <w:p>
      <w:pPr>
        <w:spacing w:after="0" w:line="143" w:lineRule="exact"/>
        <w:rPr>
          <w:rFonts w:ascii="Arial" w:cs="Arial" w:eastAsia="Arial" w:hAnsi="Arial"/>
          <w:sz w:val="18"/>
          <w:szCs w:val="18"/>
          <w:color w:val="auto"/>
        </w:rPr>
      </w:pPr>
    </w:p>
    <w:p>
      <w:pPr>
        <w:ind w:left="660" w:right="220" w:hanging="331"/>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$2.1 million increase in expense related to our PRAX-944 program, driven primarily by an increase in toxicology and clinical-related spend; and</w:t>
      </w:r>
    </w:p>
    <w:p>
      <w:pPr>
        <w:spacing w:after="0" w:line="143" w:lineRule="exact"/>
        <w:rPr>
          <w:rFonts w:ascii="Arial" w:cs="Arial" w:eastAsia="Arial" w:hAnsi="Arial"/>
          <w:sz w:val="18"/>
          <w:szCs w:val="18"/>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$0.8 million increase in other indirect research and development expenses, driven by an increase in technology spend.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3" w:lineRule="exact"/>
        <w:rPr>
          <w:sz w:val="20"/>
          <w:szCs w:val="20"/>
          <w:color w:val="auto"/>
        </w:rPr>
      </w:pPr>
    </w:p>
    <w:p>
      <w:pPr>
        <w:ind w:right="40" w:firstLine="443"/>
        <w:spacing w:after="0" w:line="288" w:lineRule="auto"/>
        <w:rPr>
          <w:sz w:val="20"/>
          <w:szCs w:val="20"/>
          <w:color w:val="auto"/>
        </w:rPr>
      </w:pPr>
      <w:r>
        <w:rPr>
          <w:rFonts w:ascii="Arial" w:cs="Arial" w:eastAsia="Arial" w:hAnsi="Arial"/>
          <w:sz w:val="17"/>
          <w:szCs w:val="17"/>
          <w:color w:val="auto"/>
        </w:rPr>
        <w:t>General and administrative expenses increased $8.3 million from $2.5 million for the three months ended June 30, 2020 to $10.8 million for the three months ended June 30, 2021. The increase in general and administrative expenses was primarily attributable to the following:</w:t>
      </w:r>
    </w:p>
    <w:p>
      <w:pPr>
        <w:spacing w:after="0" w:line="121" w:lineRule="exact"/>
        <w:rPr>
          <w:sz w:val="20"/>
          <w:szCs w:val="20"/>
          <w:color w:val="auto"/>
        </w:rPr>
      </w:pPr>
    </w:p>
    <w:p>
      <w:pPr>
        <w:ind w:left="660" w:right="460" w:hanging="331"/>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$4.6 million increase in personnel-related costs, primarily driven by increased headcount, including an increase of $3.2 million in stock-based compensation expense due to the increase in fair value of our stock options since becoming a public company;</w:t>
      </w:r>
    </w:p>
    <w:p>
      <w:pPr>
        <w:spacing w:after="0" w:line="143" w:lineRule="exact"/>
        <w:rPr>
          <w:rFonts w:ascii="Arial" w:cs="Arial" w:eastAsia="Arial" w:hAnsi="Arial"/>
          <w:sz w:val="18"/>
          <w:szCs w:val="18"/>
          <w:color w:val="auto"/>
        </w:rPr>
      </w:pPr>
    </w:p>
    <w:p>
      <w:pPr>
        <w:ind w:left="660" w:right="40" w:hanging="331"/>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$2.2 million increase in professional fees including legal and consulting services, driven by a $1.9 million increase in consulting costs, including increased commercial-related spend to support assessments of our clinical-stage programs and a $0.2 million increase in audit and legal fees; and</w:t>
      </w:r>
    </w:p>
    <w:p>
      <w:pPr>
        <w:spacing w:after="0" w:line="148" w:lineRule="exact"/>
        <w:rPr>
          <w:rFonts w:ascii="Arial" w:cs="Arial" w:eastAsia="Arial" w:hAnsi="Arial"/>
          <w:sz w:val="18"/>
          <w:szCs w:val="18"/>
          <w:color w:val="auto"/>
        </w:rPr>
      </w:pPr>
    </w:p>
    <w:p>
      <w:pPr>
        <w:ind w:left="660" w:right="220" w:hanging="331"/>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 million increase in other general and administrative expenses, including a $1.1 million increase in insurance and related costs, primarily due to becoming a public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33" w:lineRule="exact"/>
        <w:rPr>
          <w:sz w:val="20"/>
          <w:szCs w:val="20"/>
          <w:color w:val="auto"/>
        </w:rPr>
      </w:pPr>
    </w:p>
    <w:p>
      <w:pPr>
        <w:ind w:right="360" w:firstLine="443"/>
        <w:spacing w:after="0" w:line="259" w:lineRule="auto"/>
        <w:rPr>
          <w:sz w:val="20"/>
          <w:szCs w:val="20"/>
          <w:color w:val="auto"/>
        </w:rPr>
      </w:pPr>
      <w:r>
        <w:rPr>
          <w:rFonts w:ascii="Arial" w:cs="Arial" w:eastAsia="Arial" w:hAnsi="Arial"/>
          <w:sz w:val="18"/>
          <w:szCs w:val="18"/>
          <w:color w:val="auto"/>
        </w:rPr>
        <w:t>Other income for the three months ended June 30, 2021 and 2020, comprised of interest income on our cash, cash equivalents and marketable securities and investment premium amortization, was not material.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 (in thousands):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46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Pr>
          <w:p>
            <w:pPr>
              <w:spacing w:after="0"/>
              <w:rPr>
                <w:sz w:val="16"/>
                <w:szCs w:val="16"/>
                <w:color w:val="auto"/>
              </w:rPr>
            </w:pPr>
          </w:p>
        </w:tc>
        <w:tc>
          <w:tcPr>
            <w:tcW w:w="11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43,607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15,918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27,689</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16,174</w:t>
            </w: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63,902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43,863</w:t>
            </w:r>
          </w:p>
        </w:tc>
        <w:tc>
          <w:tcPr>
            <w:tcW w:w="0" w:type="dxa"/>
            <w:vAlign w:val="bottom"/>
          </w:tcPr>
          <w:p>
            <w:pPr>
              <w:spacing w:after="0"/>
              <w:rPr>
                <w:sz w:val="1"/>
                <w:szCs w:val="1"/>
                <w:color w:val="auto"/>
              </w:rPr>
            </w:pP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(43,863)</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Total other income: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8"/>
        </w:trPr>
        <w:tc>
          <w:tcPr>
            <w:tcW w:w="6700" w:type="dxa"/>
            <w:vAlign w:val="bottom"/>
          </w:tcPr>
          <w:p>
            <w:pPr>
              <w:ind w:left="660"/>
              <w:spacing w:after="0"/>
              <w:rPr>
                <w:sz w:val="20"/>
                <w:szCs w:val="20"/>
                <w:color w:val="auto"/>
              </w:rPr>
            </w:pPr>
            <w:r>
              <w:rPr>
                <w:rFonts w:ascii="Arial" w:cs="Arial" w:eastAsia="Arial" w:hAnsi="Arial"/>
                <w:sz w:val="16"/>
                <w:szCs w:val="16"/>
                <w:color w:val="auto"/>
              </w:rPr>
              <w:t>Total other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(43,868)</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(43,876)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3" w:lineRule="exact"/>
        <w:rPr>
          <w:sz w:val="20"/>
          <w:szCs w:val="20"/>
          <w:color w:val="auto"/>
        </w:rPr>
      </w:pPr>
    </w:p>
    <w:p>
      <w:pPr>
        <w:ind w:right="300" w:firstLine="443"/>
        <w:spacing w:after="0" w:line="259"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46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Pr>
          <w:p>
            <w:pPr>
              <w:spacing w:after="0"/>
              <w:rPr>
                <w:sz w:val="16"/>
                <w:szCs w:val="16"/>
                <w:color w:val="auto"/>
              </w:rPr>
            </w:pPr>
          </w:p>
        </w:tc>
        <w:tc>
          <w:tcPr>
            <w:tcW w:w="11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PRAX-114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PRAX-944</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4,333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PRAX-562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Discovery-stage programs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5,694</w:t>
            </w: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w:t>
            </w:r>
          </w:p>
        </w:tc>
        <w:tc>
          <w:tcPr>
            <w:tcW w:w="0" w:type="dxa"/>
            <w:vAlign w:val="bottom"/>
          </w:tcPr>
          <w:p>
            <w:pPr>
              <w:spacing w:after="0"/>
              <w:rPr>
                <w:sz w:val="1"/>
                <w:szCs w:val="1"/>
                <w:color w:val="auto"/>
              </w:rPr>
            </w:pPr>
          </w:p>
        </w:tc>
      </w:tr>
      <w:tr>
        <w:trPr>
          <w:trHeight w:val="21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43,607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27,689</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firstLine="443"/>
        <w:spacing w:after="0" w:line="254" w:lineRule="auto"/>
        <w:rPr>
          <w:sz w:val="20"/>
          <w:szCs w:val="20"/>
          <w:color w:val="auto"/>
        </w:rPr>
      </w:pPr>
      <w:r>
        <w:rPr>
          <w:rFonts w:ascii="Arial" w:cs="Arial" w:eastAsia="Arial" w:hAnsi="Arial"/>
          <w:sz w:val="18"/>
          <w:szCs w:val="18"/>
          <w:color w:val="auto"/>
        </w:rPr>
        <w:t>Research and development expenses increased approximately $27.7 million from $15.9 million for the six months ended June 30, 2020 to $43.6 million for the six months ended June 30, 2021. The increase in research and development expenses was primarily attributable to the following:</w:t>
      </w:r>
    </w:p>
    <w:p>
      <w:pPr>
        <w:spacing w:after="0" w:line="148" w:lineRule="exact"/>
        <w:rPr>
          <w:sz w:val="20"/>
          <w:szCs w:val="20"/>
          <w:color w:val="auto"/>
        </w:rPr>
      </w:pPr>
    </w:p>
    <w:p>
      <w:pPr>
        <w:ind w:left="660" w:right="240" w:hanging="331"/>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$8.9 million increase in personnel-related costs primarily due to increased headcount, including an increase of $4.1 million in stock-based compensation expense due to the increase in fair value of our stock options since becoming a public company;</w:t>
      </w:r>
    </w:p>
    <w:p>
      <w:pPr>
        <w:spacing w:after="0" w:line="143" w:lineRule="exact"/>
        <w:rPr>
          <w:rFonts w:ascii="Arial" w:cs="Arial" w:eastAsia="Arial" w:hAnsi="Arial"/>
          <w:sz w:val="18"/>
          <w:szCs w:val="18"/>
          <w:color w:val="auto"/>
        </w:rPr>
      </w:pPr>
    </w:p>
    <w:p>
      <w:pPr>
        <w:ind w:left="660" w:right="280" w:hanging="331"/>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$5.7 million increase in expense related to our discovery-stage programs, primarily driven by an increase in preclinical activities for such programs;</w:t>
      </w:r>
    </w:p>
    <w:p>
      <w:pPr>
        <w:spacing w:after="0" w:line="143" w:lineRule="exact"/>
        <w:rPr>
          <w:rFonts w:ascii="Arial" w:cs="Arial" w:eastAsia="Arial" w:hAnsi="Arial"/>
          <w:sz w:val="18"/>
          <w:szCs w:val="18"/>
          <w:color w:val="auto"/>
        </w:rPr>
      </w:pPr>
    </w:p>
    <w:p>
      <w:pPr>
        <w:ind w:left="660" w:right="160" w:hanging="331"/>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$4.7 million increase in expense related to our PRAX-114 program, driven by an increase in toxicology and clinical-related spend for our Phase 2/3 clinical trial for this program;</w:t>
      </w:r>
    </w:p>
    <w:p>
      <w:pPr>
        <w:spacing w:after="0" w:line="143" w:lineRule="exact"/>
        <w:rPr>
          <w:rFonts w:ascii="Arial" w:cs="Arial" w:eastAsia="Arial" w:hAnsi="Arial"/>
          <w:sz w:val="18"/>
          <w:szCs w:val="18"/>
          <w:color w:val="auto"/>
        </w:rPr>
      </w:pPr>
    </w:p>
    <w:p>
      <w:pPr>
        <w:ind w:left="660" w:right="240" w:hanging="331"/>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$4.5 million increase in expense related to our PRAX-562 program, primarily driven by an increase in toxicology and clinical-related spend;</w:t>
      </w:r>
    </w:p>
    <w:p>
      <w:pPr>
        <w:spacing w:after="0" w:line="143" w:lineRule="exact"/>
        <w:rPr>
          <w:rFonts w:ascii="Arial" w:cs="Arial" w:eastAsia="Arial" w:hAnsi="Arial"/>
          <w:sz w:val="18"/>
          <w:szCs w:val="18"/>
          <w:color w:val="auto"/>
        </w:rPr>
      </w:pPr>
    </w:p>
    <w:p>
      <w:pPr>
        <w:ind w:left="660" w:right="240" w:hanging="331"/>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$2.8 million increase in expense related to our PRAX-944 program, driven primarily by an increase in toxicology and clinical-related spend; and</w:t>
      </w:r>
    </w:p>
    <w:p>
      <w:pPr>
        <w:spacing w:after="0" w:line="143" w:lineRule="exact"/>
        <w:rPr>
          <w:rFonts w:ascii="Arial" w:cs="Arial" w:eastAsia="Arial" w:hAnsi="Arial"/>
          <w:sz w:val="18"/>
          <w:szCs w:val="18"/>
          <w:color w:val="auto"/>
        </w:rPr>
      </w:pPr>
    </w:p>
    <w:p>
      <w:pPr>
        <w:ind w:left="660" w:right="80" w:hanging="331"/>
        <w:spacing w:after="0" w:line="28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$1.1 million increase in other indirect research and development expenses, driven by an increase in facility and other allocated overhead costs primarily attributable to increased research and development headcount, as well as an increase in technology spend.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3" w:lineRule="exact"/>
        <w:rPr>
          <w:sz w:val="20"/>
          <w:szCs w:val="20"/>
          <w:color w:val="auto"/>
        </w:rPr>
      </w:pPr>
    </w:p>
    <w:p>
      <w:pPr>
        <w:ind w:right="40" w:firstLine="443"/>
        <w:spacing w:after="0" w:line="254" w:lineRule="auto"/>
        <w:rPr>
          <w:sz w:val="20"/>
          <w:szCs w:val="20"/>
          <w:color w:val="auto"/>
        </w:rPr>
      </w:pPr>
      <w:r>
        <w:rPr>
          <w:rFonts w:ascii="Arial" w:cs="Arial" w:eastAsia="Arial" w:hAnsi="Arial"/>
          <w:sz w:val="18"/>
          <w:szCs w:val="18"/>
          <w:color w:val="auto"/>
        </w:rPr>
        <w:t>General and administrative expenses increased approximately $ 16.2 million from $4.1 million for the six months ended June 30, 2020 to $20.3 million for the six months ended June 30, 2021. The increase in general and administrative expenses was primarily attributable to the following:</w:t>
      </w:r>
    </w:p>
    <w:p>
      <w:pPr>
        <w:spacing w:after="0" w:line="148" w:lineRule="exact"/>
        <w:rPr>
          <w:sz w:val="20"/>
          <w:szCs w:val="20"/>
          <w:color w:val="auto"/>
        </w:rPr>
      </w:pPr>
    </w:p>
    <w:p>
      <w:pPr>
        <w:ind w:left="660" w:right="480" w:hanging="331"/>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$8.4 million increase in personnel-related costs, primarily driven by increased headcount, including an increase of $5.5 million in stock-based compensation expense due to the increase in fair value of our stock options since becoming a public company;</w:t>
      </w:r>
    </w:p>
    <w:p>
      <w:pPr>
        <w:spacing w:after="0" w:line="143" w:lineRule="exact"/>
        <w:rPr>
          <w:rFonts w:ascii="Arial" w:cs="Arial" w:eastAsia="Arial" w:hAnsi="Arial"/>
          <w:sz w:val="18"/>
          <w:szCs w:val="18"/>
          <w:color w:val="auto"/>
        </w:rPr>
      </w:pPr>
    </w:p>
    <w:p>
      <w:pPr>
        <w:ind w:left="660" w:right="60" w:hanging="331"/>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$4.5 million increase in professional fees including legal and consulting services, driven by a $3.7 million increase in consulting costs, including $2.5 million of increased commercial-related spend to support assessments of our clinical-stage programs and $0.8 million for general and administrative infrastructure costs, and a $0.8 million increase in audit and legal fees; and</w:t>
      </w:r>
    </w:p>
    <w:p>
      <w:pPr>
        <w:spacing w:after="0" w:line="148" w:lineRule="exact"/>
        <w:rPr>
          <w:rFonts w:ascii="Arial" w:cs="Arial" w:eastAsia="Arial" w:hAnsi="Arial"/>
          <w:sz w:val="18"/>
          <w:szCs w:val="18"/>
          <w:color w:val="auto"/>
        </w:rPr>
      </w:pPr>
    </w:p>
    <w:p>
      <w:pPr>
        <w:ind w:left="660" w:right="220" w:hanging="331"/>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$3.3 million increase in other general and administrative expenses, including a $2.1 million increase in insurance and related costs due to becoming a public company, a $0.5 million increase in donations and sponsorships and a $0.3 million increase in technology spend.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33" w:lineRule="exact"/>
        <w:rPr>
          <w:sz w:val="20"/>
          <w:szCs w:val="20"/>
          <w:color w:val="auto"/>
        </w:rPr>
      </w:pPr>
    </w:p>
    <w:p>
      <w:pPr>
        <w:ind w:right="580" w:firstLine="443"/>
        <w:spacing w:after="0" w:line="259" w:lineRule="auto"/>
        <w:rPr>
          <w:sz w:val="20"/>
          <w:szCs w:val="20"/>
          <w:color w:val="auto"/>
        </w:rPr>
      </w:pPr>
      <w:r>
        <w:rPr>
          <w:rFonts w:ascii="Arial" w:cs="Arial" w:eastAsia="Arial" w:hAnsi="Arial"/>
          <w:sz w:val="18"/>
          <w:szCs w:val="18"/>
          <w:color w:val="auto"/>
        </w:rPr>
        <w:t>Other income for the six months ended June 30, 2021 and 2020, comprised of interest income on our cash, cash equivalents and marketable securities and investment premium amortization, was not material.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7" w:lineRule="exact"/>
        <w:rPr>
          <w:sz w:val="20"/>
          <w:szCs w:val="20"/>
          <w:color w:val="auto"/>
        </w:rPr>
      </w:pPr>
    </w:p>
    <w:p>
      <w:pPr>
        <w:jc w:val="both"/>
        <w:ind w:right="100" w:firstLine="443"/>
        <w:spacing w:after="0" w:line="254"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94" w:lineRule="exact"/>
        <w:rPr>
          <w:sz w:val="20"/>
          <w:szCs w:val="20"/>
          <w:color w:val="auto"/>
        </w:rPr>
      </w:pPr>
    </w:p>
    <w:p>
      <w:pPr>
        <w:jc w:val="both"/>
        <w:ind w:right="240" w:firstLine="443"/>
        <w:spacing w:after="0" w:line="252" w:lineRule="auto"/>
        <w:rPr>
          <w:sz w:val="20"/>
          <w:szCs w:val="20"/>
          <w:color w:val="auto"/>
        </w:rPr>
      </w:pPr>
      <w:r>
        <w:rPr>
          <w:rFonts w:ascii="Arial" w:cs="Arial" w:eastAsia="Arial" w:hAnsi="Arial"/>
          <w:sz w:val="18"/>
          <w:szCs w:val="18"/>
          <w:color w:val="auto"/>
        </w:rPr>
        <w:t>To date, we have financed our operations primarily with proceeds from the sale and issuance of our redeemable convertible preferred stock, the sale and issuance of convertible debt, and the sale and issuance of common stock in our IPO and follow-on public offering. From inception through June 30, 2020, we have raised $509.4 million in aggregate cash proceeds from these transactions, net of issuance costs. As of June 30, 2021, we had cash, cash equivalents and marketable securities of $339.2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22"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Six Months Ended</w:t>
      </w:r>
    </w:p>
    <w:p>
      <w:pPr>
        <w:jc w:val="center"/>
        <w:ind w:left="8040"/>
        <w:spacing w:after="0"/>
        <w:rPr>
          <w:sz w:val="20"/>
          <w:szCs w:val="20"/>
          <w:color w:val="auto"/>
        </w:rPr>
      </w:pPr>
      <w:r>
        <w:rPr>
          <w:rFonts w:ascii="Arial" w:cs="Arial" w:eastAsia="Arial" w:hAnsi="Arial"/>
          <w:sz w:val="16"/>
          <w:szCs w:val="16"/>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195"/>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(55,735)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(18,513)</w:t>
            </w:r>
          </w:p>
        </w:tc>
      </w:tr>
      <w:tr>
        <w:trPr>
          <w:trHeight w:val="21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(6,554)</w:t>
            </w:r>
          </w:p>
        </w:tc>
      </w:tr>
      <w:tr>
        <w:trPr>
          <w:trHeight w:val="23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3" w:lineRule="exact"/>
        <w:rPr>
          <w:sz w:val="20"/>
          <w:szCs w:val="20"/>
          <w:color w:val="auto"/>
        </w:rPr>
      </w:pPr>
    </w:p>
    <w:p>
      <w:pPr>
        <w:ind w:right="120" w:firstLine="443"/>
        <w:spacing w:after="0" w:line="251"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components of working capital, which are primarily the result of increased expenses and timing of vendor payments.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28" w:name="page29"/>
    <w:bookmarkEnd w:id="28"/>
    <w:p>
      <w:pPr>
        <w:jc w:val="both"/>
        <w:ind w:right="60" w:firstLine="443"/>
        <w:spacing w:after="0" w:line="254" w:lineRule="auto"/>
        <w:rPr>
          <w:sz w:val="20"/>
          <w:szCs w:val="20"/>
          <w:color w:val="auto"/>
        </w:rPr>
      </w:pPr>
      <w:r>
        <w:rPr>
          <w:rFonts w:ascii="Arial" w:cs="Arial" w:eastAsia="Arial" w:hAnsi="Arial"/>
          <w:sz w:val="18"/>
          <w:szCs w:val="18"/>
          <w:color w:val="auto"/>
        </w:rPr>
        <w:t>During the six months ended June 30, 2021, net cash used in operating activities of $55.7 million was primarily due to our $63.8 million net loss and $3.4 million in changes in operating assets and liabilities, partially offset by $11.4 million of non-cash charges primarily related to stock-based compensation.</w:t>
      </w:r>
    </w:p>
    <w:p>
      <w:pPr>
        <w:spacing w:after="0" w:line="202" w:lineRule="exact"/>
        <w:rPr>
          <w:sz w:val="20"/>
          <w:szCs w:val="20"/>
          <w:color w:val="auto"/>
        </w:rPr>
      </w:pPr>
    </w:p>
    <w:p>
      <w:pPr>
        <w:ind w:right="120" w:firstLine="443"/>
        <w:spacing w:after="0" w:line="259" w:lineRule="auto"/>
        <w:rPr>
          <w:sz w:val="20"/>
          <w:szCs w:val="20"/>
          <w:color w:val="auto"/>
        </w:rPr>
      </w:pPr>
      <w:r>
        <w:rPr>
          <w:rFonts w:ascii="Arial" w:cs="Arial" w:eastAsia="Arial" w:hAnsi="Arial"/>
          <w:sz w:val="18"/>
          <w:szCs w:val="18"/>
          <w:color w:val="auto"/>
        </w:rPr>
        <w:t>During the six months ended June 30, 2020, net cash used in operating activities of $18.5 million was primarily due to our $19.9 million net loss, partially offset by $0.6 million in changes in operating assets and liabilities and $0.8 million of non-cash charges.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3" w:lineRule="exact"/>
        <w:rPr>
          <w:sz w:val="20"/>
          <w:szCs w:val="20"/>
          <w:color w:val="auto"/>
        </w:rPr>
      </w:pPr>
    </w:p>
    <w:p>
      <w:pPr>
        <w:ind w:right="260" w:firstLine="443"/>
        <w:spacing w:after="0" w:line="259" w:lineRule="auto"/>
        <w:rPr>
          <w:sz w:val="20"/>
          <w:szCs w:val="20"/>
          <w:color w:val="auto"/>
        </w:rPr>
      </w:pPr>
      <w:r>
        <w:rPr>
          <w:rFonts w:ascii="Arial" w:cs="Arial" w:eastAsia="Arial" w:hAnsi="Arial"/>
          <w:sz w:val="18"/>
          <w:szCs w:val="18"/>
          <w:color w:val="auto"/>
        </w:rPr>
        <w:t>During the six months ended June 30, 2021, net cash used in investing activities of $164.2 million primarily related to the purchase of marketable securities. There were no cash flows from investing activities during the six months ended June 30,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3" w:lineRule="exact"/>
        <w:rPr>
          <w:sz w:val="20"/>
          <w:szCs w:val="20"/>
          <w:color w:val="auto"/>
        </w:rPr>
      </w:pPr>
    </w:p>
    <w:p>
      <w:pPr>
        <w:ind w:firstLine="443"/>
        <w:spacing w:after="0" w:line="254" w:lineRule="auto"/>
        <w:rPr>
          <w:sz w:val="20"/>
          <w:szCs w:val="20"/>
          <w:color w:val="auto"/>
        </w:rPr>
      </w:pPr>
      <w:r>
        <w:rPr>
          <w:rFonts w:ascii="Arial" w:cs="Arial" w:eastAsia="Arial" w:hAnsi="Arial"/>
          <w:sz w:val="18"/>
          <w:szCs w:val="18"/>
          <w:color w:val="auto"/>
        </w:rPr>
        <w:t>During the six months ended June 30, 2021, net cash provided by financing activities of $ 99.7 million consisted of net proceeds from our follow-on public offering of $98.6 million and net proceeds from the exercise of stock options of $1.7 million, partially offset by the payment of issuance costs for our IPO and for the issuance of redeemable convertible preferred stock.</w:t>
      </w:r>
    </w:p>
    <w:p>
      <w:pPr>
        <w:spacing w:after="0" w:line="202" w:lineRule="exact"/>
        <w:rPr>
          <w:sz w:val="20"/>
          <w:szCs w:val="20"/>
          <w:color w:val="auto"/>
        </w:rPr>
      </w:pPr>
    </w:p>
    <w:p>
      <w:pPr>
        <w:ind w:right="180" w:firstLine="443"/>
        <w:spacing w:after="0" w:line="254" w:lineRule="auto"/>
        <w:rPr>
          <w:sz w:val="20"/>
          <w:szCs w:val="20"/>
          <w:color w:val="auto"/>
        </w:rPr>
      </w:pPr>
      <w:r>
        <w:rPr>
          <w:rFonts w:ascii="Arial" w:cs="Arial" w:eastAsia="Arial" w:hAnsi="Arial"/>
          <w:sz w:val="18"/>
          <w:szCs w:val="18"/>
          <w:color w:val="auto"/>
        </w:rPr>
        <w:t>During the six months ended June 30, 2020, net cash used in financing activities of $6.6 million consisted of cash paid for the repurchase of our Series C redeemable convertible preferred stock and payment of issuance costs, partially offset by net proceeds from the issuance of Series C redeemable convertible preferred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37" w:lineRule="exact"/>
        <w:rPr>
          <w:sz w:val="20"/>
          <w:szCs w:val="20"/>
          <w:color w:val="auto"/>
        </w:rPr>
      </w:pPr>
    </w:p>
    <w:p>
      <w:pPr>
        <w:ind w:firstLine="443"/>
        <w:spacing w:after="0" w:line="251"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In addition, we expect to incur additional costs associated with operating as a public company and as we transition from being an emerging growth company. As a result, we expect to incur substantial operating losses and negative operating cash flows for the foreseeable future. We anticipate that our expenses will increase substantially if and as we:</w:t>
      </w:r>
    </w:p>
    <w:p>
      <w:pPr>
        <w:spacing w:after="0" w:line="152" w:lineRule="exact"/>
        <w:rPr>
          <w:sz w:val="20"/>
          <w:szCs w:val="20"/>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clinical development of our PRAX-114, PRAX-944 and PRAX-562 product candidates;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our current intellectual property portfolio and opportunistically acquire complementary intellectual property;</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68" w:lineRule="exact"/>
        <w:rPr>
          <w:rFonts w:ascii="Arial" w:cs="Arial" w:eastAsia="Arial" w:hAnsi="Arial"/>
          <w:sz w:val="18"/>
          <w:szCs w:val="18"/>
          <w:color w:val="auto"/>
        </w:rPr>
      </w:pPr>
    </w:p>
    <w:p>
      <w:pPr>
        <w:ind w:left="660" w:right="240" w:hanging="331"/>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143" w:lineRule="exact"/>
        <w:rPr>
          <w:rFonts w:ascii="Arial" w:cs="Arial" w:eastAsia="Arial" w:hAnsi="Arial"/>
          <w:sz w:val="18"/>
          <w:szCs w:val="18"/>
          <w:color w:val="auto"/>
        </w:rPr>
      </w:pPr>
    </w:p>
    <w:p>
      <w:pPr>
        <w:ind w:left="660" w:right="100" w:hanging="331"/>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143" w:lineRule="exact"/>
        <w:rPr>
          <w:rFonts w:ascii="Arial" w:cs="Arial" w:eastAsia="Arial" w:hAnsi="Arial"/>
          <w:sz w:val="18"/>
          <w:szCs w:val="18"/>
          <w:color w:val="auto"/>
        </w:rPr>
      </w:pPr>
    </w:p>
    <w:p>
      <w:pPr>
        <w:ind w:left="660" w:right="460" w:hanging="331"/>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97" w:lineRule="exact"/>
        <w:rPr>
          <w:sz w:val="20"/>
          <w:szCs w:val="20"/>
          <w:color w:val="auto"/>
        </w:rPr>
      </w:pPr>
    </w:p>
    <w:p>
      <w:pPr>
        <w:ind w:right="260" w:firstLine="443"/>
        <w:spacing w:after="0" w:line="252"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existing cash, cash equivalents and marketable securities will enable us to fund our operating expenses and capital expenditure requirements into the second quarter of 2023. However, we have based this estimate on assumptions that may prove to be wrong and we could exhaust our capital resources sooner than we expect.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29" w:name="page30"/>
    <w:bookmarkEnd w:id="29"/>
    <w:p>
      <w:pPr>
        <w:ind w:right="140" w:firstLine="443"/>
        <w:spacing w:after="0" w:line="251" w:lineRule="auto"/>
        <w:rPr>
          <w:sz w:val="20"/>
          <w:szCs w:val="20"/>
          <w:color w:val="auto"/>
        </w:rPr>
      </w:pPr>
      <w:r>
        <w:rPr>
          <w:rFonts w:ascii="Arial" w:cs="Arial" w:eastAsia="Arial" w:hAnsi="Arial"/>
          <w:sz w:val="18"/>
          <w:szCs w:val="18"/>
          <w:color w:val="auto"/>
        </w:rPr>
        <w:t>Because of the numerous risks and uncertainties associated with product development, and because the extent to which we may enter into collaborations with third 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52" w:lineRule="exact"/>
        <w:rPr>
          <w:sz w:val="20"/>
          <w:szCs w:val="20"/>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programs and product candidates;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programs and technologies that we develop or may in-license;</w:t>
      </w:r>
    </w:p>
    <w:p>
      <w:pPr>
        <w:spacing w:after="0" w:line="168" w:lineRule="exact"/>
        <w:rPr>
          <w:rFonts w:ascii="Arial" w:cs="Arial" w:eastAsia="Arial" w:hAnsi="Arial"/>
          <w:sz w:val="18"/>
          <w:szCs w:val="18"/>
          <w:color w:val="auto"/>
        </w:rPr>
      </w:pPr>
    </w:p>
    <w:p>
      <w:pPr>
        <w:ind w:left="660" w:right="280" w:hanging="331"/>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43" w:lineRule="exact"/>
        <w:rPr>
          <w:rFonts w:ascii="Arial" w:cs="Arial" w:eastAsia="Arial" w:hAnsi="Arial"/>
          <w:sz w:val="18"/>
          <w:szCs w:val="18"/>
          <w:color w:val="auto"/>
        </w:rPr>
      </w:pPr>
    </w:p>
    <w:p>
      <w:pPr>
        <w:ind w:left="660" w:right="280" w:hanging="331"/>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143" w:lineRule="exact"/>
        <w:rPr>
          <w:rFonts w:ascii="Arial" w:cs="Arial" w:eastAsia="Arial" w:hAnsi="Arial"/>
          <w:sz w:val="18"/>
          <w:szCs w:val="18"/>
          <w:color w:val="auto"/>
        </w:rPr>
      </w:pPr>
    </w:p>
    <w:p>
      <w:pPr>
        <w:ind w:left="660" w:right="120" w:hanging="331"/>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43"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68"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68" w:lineRule="exact"/>
        <w:rPr>
          <w:rFonts w:ascii="Arial" w:cs="Arial" w:eastAsia="Arial" w:hAnsi="Arial"/>
          <w:sz w:val="18"/>
          <w:szCs w:val="18"/>
          <w:color w:val="auto"/>
        </w:rPr>
      </w:pPr>
    </w:p>
    <w:p>
      <w:pPr>
        <w:ind w:left="660" w:right="160" w:hanging="331"/>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our manufacturers, suppliers or other vendors resulting from the COVID-19 pandemic or similar public health crisis; and</w:t>
      </w:r>
    </w:p>
    <w:p>
      <w:pPr>
        <w:spacing w:after="0" w:line="143" w:lineRule="exact"/>
        <w:rPr>
          <w:rFonts w:ascii="Arial" w:cs="Arial" w:eastAsia="Arial" w:hAnsi="Arial"/>
          <w:sz w:val="18"/>
          <w:szCs w:val="18"/>
          <w:color w:val="auto"/>
        </w:rPr>
      </w:pPr>
    </w:p>
    <w:p>
      <w:pPr>
        <w:ind w:left="660" w:right="140" w:hanging="331"/>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202" w:lineRule="exact"/>
        <w:rPr>
          <w:sz w:val="20"/>
          <w:szCs w:val="20"/>
          <w:color w:val="auto"/>
        </w:rPr>
      </w:pPr>
    </w:p>
    <w:p>
      <w:pPr>
        <w:ind w:right="20" w:firstLine="443"/>
        <w:spacing w:after="0" w:line="251"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206" w:lineRule="exact"/>
        <w:rPr>
          <w:sz w:val="20"/>
          <w:szCs w:val="20"/>
          <w:color w:val="auto"/>
        </w:rPr>
      </w:pPr>
    </w:p>
    <w:p>
      <w:pPr>
        <w:ind w:firstLine="443"/>
        <w:spacing w:after="0" w:line="250"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resulting from the COVID-19 pandemic or other factors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208" w:lineRule="exact"/>
        <w:rPr>
          <w:sz w:val="20"/>
          <w:szCs w:val="20"/>
          <w:color w:val="auto"/>
        </w:rPr>
      </w:pPr>
    </w:p>
    <w:p>
      <w:pPr>
        <w:ind w:right="20" w:firstLine="443"/>
        <w:spacing w:after="0" w:line="252"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0" w:name="page31"/>
    <w:bookmarkEnd w:id="30"/>
    <w:p>
      <w:pPr>
        <w:ind w:right="220"/>
        <w:spacing w:after="0" w:line="259" w:lineRule="auto"/>
        <w:rPr>
          <w:sz w:val="20"/>
          <w:szCs w:val="20"/>
          <w:color w:val="auto"/>
        </w:rPr>
      </w:pPr>
      <w:r>
        <w:rPr>
          <w:rFonts w:ascii="Arial" w:cs="Arial" w:eastAsia="Arial" w:hAnsi="Arial"/>
          <w:sz w:val="18"/>
          <w:szCs w:val="18"/>
          <w:color w:val="auto"/>
        </w:rPr>
        <w:t>development programs or any future commercialization efforts or grant rights to develop and market product candidates to third parties that we would otherwise prefer to develop and market ourselves.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4" w:lineRule="exact"/>
        <w:rPr>
          <w:sz w:val="20"/>
          <w:szCs w:val="20"/>
          <w:color w:val="auto"/>
        </w:rPr>
      </w:pPr>
    </w:p>
    <w:p>
      <w:pPr>
        <w:ind w:right="180" w:firstLine="443"/>
        <w:spacing w:after="0" w:line="223" w:lineRule="auto"/>
        <w:rPr>
          <w:sz w:val="20"/>
          <w:szCs w:val="20"/>
          <w:color w:val="auto"/>
        </w:rPr>
      </w:pPr>
      <w:r>
        <w:rPr>
          <w:rFonts w:ascii="Arial" w:cs="Arial" w:eastAsia="Arial" w:hAnsi="Arial"/>
          <w:sz w:val="18"/>
          <w:szCs w:val="18"/>
          <w:color w:val="auto"/>
        </w:rPr>
        <w:t>As of June 30, 2021, there have been no significant changes to our contractual obligations from those described under the heading “Management’s Discussion and Analysis of Financial Condition and Results of Operations – Contractual Obligations and Commitments” included in our Annual Report on Form 10-K filed with the SEC on March 17, 2021, other than our new sublease agreement entered into in May 2021 for office space in Boston, Massachusetts. The space is to be used as our new corporate headquarters and the sublease expires on January 31, 2026, with no option to renew or terminate early. The base rent increases by 2% annually. Starting in January 2022, we are obligated to pay $5.2 million in total future lease payments over the remaining term of the lease.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7" w:lineRule="exact"/>
        <w:rPr>
          <w:sz w:val="20"/>
          <w:szCs w:val="20"/>
          <w:color w:val="auto"/>
        </w:rPr>
      </w:pPr>
    </w:p>
    <w:p>
      <w:pPr>
        <w:ind w:right="360" w:firstLine="443"/>
        <w:spacing w:after="0" w:line="259"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7" w:lineRule="exact"/>
        <w:rPr>
          <w:sz w:val="20"/>
          <w:szCs w:val="20"/>
          <w:color w:val="auto"/>
        </w:rPr>
      </w:pPr>
    </w:p>
    <w:p>
      <w:pPr>
        <w:ind w:right="60" w:firstLine="443"/>
        <w:spacing w:after="0" w:line="250"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or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8" w:lineRule="exact"/>
        <w:rPr>
          <w:sz w:val="20"/>
          <w:szCs w:val="20"/>
          <w:color w:val="auto"/>
        </w:rPr>
      </w:pPr>
    </w:p>
    <w:p>
      <w:pPr>
        <w:jc w:val="both"/>
        <w:ind w:firstLine="443"/>
        <w:spacing w:after="0" w:line="254"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March 17,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and Emerging Growth Company Status</w:t>
      </w:r>
    </w:p>
    <w:p>
      <w:pPr>
        <w:spacing w:after="0" w:line="137" w:lineRule="exact"/>
        <w:rPr>
          <w:sz w:val="20"/>
          <w:szCs w:val="20"/>
          <w:color w:val="auto"/>
        </w:rPr>
      </w:pPr>
    </w:p>
    <w:p>
      <w:pPr>
        <w:ind w:right="20" w:firstLine="443"/>
        <w:spacing w:after="0" w:line="250" w:lineRule="auto"/>
        <w:rPr>
          <w:sz w:val="20"/>
          <w:szCs w:val="20"/>
          <w:color w:val="auto"/>
        </w:rPr>
      </w:pPr>
      <w:r>
        <w:rPr>
          <w:rFonts w:ascii="Arial" w:cs="Arial" w:eastAsia="Arial" w:hAnsi="Arial"/>
          <w:sz w:val="18"/>
          <w:szCs w:val="18"/>
          <w:color w:val="auto"/>
        </w:rPr>
        <w:t>In April 2012, the JOBS Act was enacted. As an emerging growth company, or EGC, under the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initial public offering,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the extended transition period and, therefore, while we are an EGC we will not be subject to new or revised accounting standards at the same time that they become applicable to other public companies that are not EGCs, unless we choose to early adopt a new or revised accounting standard.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18"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7" w:lineRule="exact"/>
        <w:rPr>
          <w:sz w:val="20"/>
          <w:szCs w:val="20"/>
          <w:color w:val="auto"/>
        </w:rPr>
      </w:pPr>
    </w:p>
    <w:p>
      <w:pPr>
        <w:ind w:right="20" w:firstLine="443"/>
        <w:spacing w:after="0" w:line="254"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Reserved.</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37" w:lineRule="exact"/>
        <w:rPr>
          <w:sz w:val="20"/>
          <w:szCs w:val="20"/>
          <w:color w:val="auto"/>
        </w:rPr>
      </w:pPr>
    </w:p>
    <w:p>
      <w:pPr>
        <w:ind w:firstLine="443"/>
        <w:spacing w:after="0" w:line="250"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7" w:lineRule="exact"/>
        <w:rPr>
          <w:sz w:val="20"/>
          <w:szCs w:val="20"/>
          <w:color w:val="auto"/>
        </w:rPr>
      </w:pPr>
    </w:p>
    <w:p>
      <w:pPr>
        <w:ind w:right="100" w:firstLine="443"/>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2021. Based on the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4" w:lineRule="exact"/>
        <w:rPr>
          <w:sz w:val="20"/>
          <w:szCs w:val="20"/>
          <w:color w:val="auto"/>
        </w:rPr>
      </w:pPr>
    </w:p>
    <w:p>
      <w:pPr>
        <w:ind w:right="160" w:firstLine="443"/>
        <w:spacing w:after="0" w:line="259"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04" w:right="39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7" w:lineRule="exact"/>
        <w:rPr>
          <w:sz w:val="20"/>
          <w:szCs w:val="20"/>
          <w:color w:val="auto"/>
        </w:rPr>
      </w:pPr>
    </w:p>
    <w:p>
      <w:pPr>
        <w:ind w:right="60" w:firstLine="443"/>
        <w:spacing w:after="0" w:line="252"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7" w:lineRule="exact"/>
        <w:rPr>
          <w:sz w:val="20"/>
          <w:szCs w:val="20"/>
          <w:color w:val="auto"/>
        </w:rPr>
      </w:pPr>
    </w:p>
    <w:p>
      <w:pPr>
        <w:ind w:right="460" w:firstLine="443"/>
        <w:spacing w:after="0" w:line="259" w:lineRule="auto"/>
        <w:rPr>
          <w:sz w:val="20"/>
          <w:szCs w:val="20"/>
          <w:color w:val="auto"/>
        </w:rPr>
      </w:pPr>
      <w:r>
        <w:rPr>
          <w:rFonts w:ascii="Arial" w:cs="Arial" w:eastAsia="Arial" w:hAnsi="Arial"/>
          <w:sz w:val="18"/>
          <w:szCs w:val="18"/>
          <w:color w:val="auto"/>
        </w:rPr>
        <w:t>There have been no material changes from the risk factors previously disclosed in the section entitled "Risk Factors" of our Annual Report on Form 10-K for the year ended December 31, 2020 filed with the SEC on March 17,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44" w:lineRule="exact"/>
        <w:rPr>
          <w:sz w:val="20"/>
          <w:szCs w:val="20"/>
          <w:color w:val="auto"/>
        </w:rPr>
      </w:pPr>
    </w:p>
    <w:p>
      <w:pPr>
        <w:ind w:firstLine="443"/>
        <w:spacing w:after="0" w:line="259" w:lineRule="auto"/>
        <w:rPr>
          <w:sz w:val="20"/>
          <w:szCs w:val="20"/>
          <w:color w:val="auto"/>
        </w:rPr>
      </w:pPr>
      <w:r>
        <w:rPr>
          <w:rFonts w:ascii="Arial" w:cs="Arial" w:eastAsia="Arial" w:hAnsi="Arial"/>
          <w:sz w:val="18"/>
          <w:szCs w:val="18"/>
          <w:color w:val="auto"/>
        </w:rPr>
        <w:t>In October 2020, we completed the initial public offering of our common stock, or IPO, pursuant to which we issued and sold 11,500,000 shares of our common stock at a price to the public of $19.00 per share.</w:t>
      </w:r>
    </w:p>
    <w:p>
      <w:pPr>
        <w:spacing w:after="0" w:line="224" w:lineRule="exact"/>
        <w:rPr>
          <w:sz w:val="20"/>
          <w:szCs w:val="20"/>
          <w:color w:val="auto"/>
        </w:rPr>
      </w:pPr>
    </w:p>
    <w:p>
      <w:pPr>
        <w:ind w:firstLine="403"/>
        <w:spacing w:after="0" w:line="215" w:lineRule="exact"/>
        <w:rPr>
          <w:sz w:val="20"/>
          <w:szCs w:val="20"/>
          <w:color w:val="auto"/>
        </w:rPr>
      </w:pPr>
      <w:r>
        <w:rPr>
          <w:rFonts w:ascii="Arial" w:cs="Arial" w:eastAsia="Arial" w:hAnsi="Arial"/>
          <w:sz w:val="18"/>
          <w:szCs w:val="18"/>
          <w:color w:val="auto"/>
        </w:rPr>
        <w:t>All of the shares issued and sold in the IPO were registered under the Securities Act pursuant to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(File No. 333-249074), which was declared effective by the Securities and Exchange Commission, or the SEC, on October 15, 2020. Following the sale of all shares, including shares sold pursuant to the underwriters' option to purchase an additional 1,500,000 shares exercised in October 2020, the offering terminated. Cowen and Company, LLC, Evercore Group L.L.C. and Piper Sandler &amp; Co. acted as joint book-running managers, Wedbush Securities Inc. acted as lead manager and Blackstone Securities Partners L.P. acted as co-manager of the IPO.</w:t>
      </w:r>
    </w:p>
    <w:p>
      <w:pPr>
        <w:spacing w:after="0" w:line="242" w:lineRule="exact"/>
        <w:rPr>
          <w:sz w:val="20"/>
          <w:szCs w:val="20"/>
          <w:color w:val="auto"/>
        </w:rPr>
      </w:pPr>
    </w:p>
    <w:p>
      <w:pPr>
        <w:ind w:right="100" w:firstLine="403"/>
        <w:spacing w:after="0" w:line="252" w:lineRule="auto"/>
        <w:rPr>
          <w:sz w:val="20"/>
          <w:szCs w:val="20"/>
          <w:color w:val="auto"/>
        </w:rPr>
      </w:pPr>
      <w:r>
        <w:rPr>
          <w:rFonts w:ascii="Arial" w:cs="Arial" w:eastAsia="Arial" w:hAnsi="Arial"/>
          <w:sz w:val="18"/>
          <w:szCs w:val="18"/>
          <w:color w:val="auto"/>
        </w:rPr>
        <w:t>We received aggregate gross proceeds from our IPO of approximately $218.5 million, or aggregate net cash proceeds of approximately $200.3 million after deducting underwriting discounts and commissions and offering expenses. None of the underwriting discounts and commissions or offering expenses were incurred or paid to directors or officers of ours or their associates or to persons owning 10% or more of our common stock or to any of our affiliates.</w:t>
      </w:r>
    </w:p>
    <w:p>
      <w:pPr>
        <w:spacing w:after="0" w:line="231" w:lineRule="exact"/>
        <w:rPr>
          <w:sz w:val="20"/>
          <w:szCs w:val="20"/>
          <w:color w:val="auto"/>
        </w:rPr>
      </w:pPr>
    </w:p>
    <w:p>
      <w:pPr>
        <w:ind w:right="20" w:firstLine="403"/>
        <w:spacing w:after="0" w:line="251" w:lineRule="auto"/>
        <w:rPr>
          <w:sz w:val="20"/>
          <w:szCs w:val="20"/>
          <w:color w:val="auto"/>
        </w:rPr>
      </w:pPr>
      <w:r>
        <w:rPr>
          <w:rFonts w:ascii="Arial" w:cs="Arial" w:eastAsia="Arial" w:hAnsi="Arial"/>
          <w:sz w:val="18"/>
          <w:szCs w:val="18"/>
          <w:color w:val="auto"/>
        </w:rPr>
        <w:t>Information related to use of proceeds from registered securities is incorporated herein by reference to the “Use of Proceeds” section of our final prospectus filed pursuant to Rule 424(b)(4) under the Securities Act with the SEC on October 16, 2020. There has been no material change in the planned use of proceeds from our IPO as described in our final prospectus. We are holding the balance of the net proceeds in cash, cash equivalents, and marketable securities. We invested the funds received in short-term, interest-bearing investment-grade securities and government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00"/>
          </w:cols>
          <w:pgMar w:left="320" w:top="1311"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80" w:type="dxa"/>
            <w:vAlign w:val="bottom"/>
            <w:gridSpan w:val="5"/>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720" w:type="dxa"/>
            <w:vAlign w:val="bottom"/>
            <w:gridSpan w:val="9"/>
            <w:vMerge w:val="restart"/>
          </w:tcPr>
          <w:p>
            <w:pPr>
              <w:ind w:left="44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80" w:type="dxa"/>
            <w:vAlign w:val="bottom"/>
            <w:gridSpan w:val="5"/>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7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auto"/>
              <w:bottom w:val="single" w:sz="8" w:color="auto"/>
            </w:tcBorders>
            <w:vMerge w:val="restart"/>
          </w:tcPr>
          <w:p>
            <w:pPr>
              <w:spacing w:after="0"/>
              <w:rPr>
                <w:sz w:val="19"/>
                <w:szCs w:val="19"/>
                <w:color w:val="auto"/>
              </w:rPr>
            </w:pPr>
          </w:p>
        </w:tc>
        <w:tc>
          <w:tcPr>
            <w:tcW w:w="360" w:type="dxa"/>
            <w:vAlign w:val="bottom"/>
            <w:tcBorders>
              <w:top w:val="single" w:sz="8" w:color="auto"/>
              <w:bottom w:val="single" w:sz="8" w:color="auto"/>
            </w:tcBorders>
            <w:vMerge w:val="restart"/>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940" w:type="dxa"/>
            <w:vAlign w:val="bottom"/>
            <w:tcBorders>
              <w:top w:val="single" w:sz="8" w:color="auto"/>
              <w:bottom w:val="single" w:sz="8" w:color="0000FF"/>
            </w:tcBorders>
            <w:gridSpan w:val="4"/>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Sublease dated May 27, 2021, by and between CBRE, Inc. and Praxis Precision Medicines, Inc. (incorporated by</w:t>
              </w:r>
            </w:hyperlink>
          </w:p>
        </w:tc>
        <w:tc>
          <w:tcPr>
            <w:tcW w:w="780" w:type="dxa"/>
            <w:vAlign w:val="bottom"/>
            <w:tcBorders>
              <w:top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gridSpan w:val="9"/>
          </w:tcPr>
          <w:p>
            <w:pPr>
              <w:spacing w:after="0" w:line="154" w:lineRule="exact"/>
              <w:rPr>
                <w:rFonts w:ascii="Arial" w:cs="Arial" w:eastAsia="Arial" w:hAnsi="Arial"/>
                <w:sz w:val="17"/>
                <w:szCs w:val="17"/>
                <w:color w:val="0000FF"/>
              </w:rPr>
            </w:pPr>
            <w:hyperlink r:id="rId51">
              <w:r>
                <w:rPr>
                  <w:rFonts w:ascii="Arial" w:cs="Arial" w:eastAsia="Arial" w:hAnsi="Arial"/>
                  <w:sz w:val="17"/>
                  <w:szCs w:val="17"/>
                  <w:color w:val="0000FF"/>
                </w:rPr>
                <w:t>referenced to Exhibit 10.1 to the Registrant's Current Report on Form 8-K (File No. 001-39620) filed on June 2, 2020).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0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Certification of Principal Executive Officer Pursuant to Rules 13a-14(a) and 15d-14(a) under the Securities Exchange Act</w:t>
              </w:r>
            </w:hyperlink>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6"/>
          </w:tcPr>
          <w:p>
            <w:pPr>
              <w:spacing w:after="0" w:line="154" w:lineRule="exact"/>
              <w:rPr>
                <w:rFonts w:ascii="Arial" w:cs="Arial" w:eastAsia="Arial" w:hAnsi="Arial"/>
                <w:sz w:val="17"/>
                <w:szCs w:val="17"/>
                <w:color w:val="0000FF"/>
              </w:rPr>
            </w:pPr>
            <w:hyperlink w:anchor="page36">
              <w:r>
                <w:rPr>
                  <w:rFonts w:ascii="Arial" w:cs="Arial" w:eastAsia="Arial" w:hAnsi="Arial"/>
                  <w:sz w:val="17"/>
                  <w:szCs w:val="17"/>
                  <w:color w:val="0000FF"/>
                </w:rPr>
                <w:t>of 1934, as Adopted Pursuant to Section 302 of the Sarbanes-Oxley Act of 2002.</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20" w:type="dxa"/>
            <w:vAlign w:val="bottom"/>
            <w:gridSpan w:val="4"/>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9"/>
          </w:tcPr>
          <w:p>
            <w:pP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Certification of Principal Financial Officer Pursuant to Rules 13a-14(a) and 15d-14(a) under the Securities Exchange Act of</w:t>
              </w:r>
            </w:hyperlink>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rPr>
            </w:pPr>
            <w:hyperlink w:anchor="page37">
              <w:r>
                <w:rPr>
                  <w:rFonts w:ascii="Arial" w:cs="Arial" w:eastAsia="Arial" w:hAnsi="Arial"/>
                  <w:sz w:val="17"/>
                  <w:szCs w:val="17"/>
                  <w:color w:val="0000FF"/>
                </w:rPr>
                <w:t>1934, as Adopted Pursuant to Section 302 of the Sarbanes-Oxley Act of 2002.</w:t>
              </w:r>
            </w:hyperlink>
          </w:p>
        </w:tc>
        <w:tc>
          <w:tcPr>
            <w:tcW w:w="348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1380" w:type="dxa"/>
            <w:vAlign w:val="bottom"/>
            <w:gridSpan w:val="5"/>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Principal Executive Officer and Principal Financial Officer Pursuant to 18 U.S.C. Section 1350, as Adopted</w:t>
              </w:r>
            </w:hyperlink>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rPr>
            </w:pPr>
            <w:hyperlink w:anchor="page38">
              <w:r>
                <w:rPr>
                  <w:rFonts w:ascii="Arial" w:cs="Arial" w:eastAsia="Arial" w:hAnsi="Arial"/>
                  <w:sz w:val="17"/>
                  <w:szCs w:val="17"/>
                  <w:color w:val="0000FF"/>
                </w:rPr>
                <w:t>Pursuant to Section 906 of the Sarbanes-Oxley Act of 2002.</w:t>
              </w:r>
            </w:hyperlink>
          </w:p>
        </w:tc>
        <w:tc>
          <w:tcPr>
            <w:tcW w:w="4840" w:type="dxa"/>
            <w:vAlign w:val="bottom"/>
            <w:tcBorders>
              <w:top w:val="single" w:sz="8" w:color="0000FF"/>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520" w:hanging="1495"/>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8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7" w:lineRule="exact"/>
        <w:rPr>
          <w:rFonts w:ascii="Arial" w:cs="Arial" w:eastAsia="Arial" w:hAnsi="Arial"/>
          <w:sz w:val="18"/>
          <w:szCs w:val="18"/>
          <w:color w:val="auto"/>
        </w:rPr>
      </w:pPr>
    </w:p>
    <w:p>
      <w:pPr>
        <w:ind w:left="320" w:right="100" w:hanging="313"/>
        <w:spacing w:after="0" w:line="252" w:lineRule="auto"/>
        <w:tabs>
          <w:tab w:leader="none" w:pos="3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4" w:lineRule="exact"/>
        <w:rPr>
          <w:sz w:val="20"/>
          <w:szCs w:val="20"/>
          <w:color w:val="auto"/>
        </w:rPr>
      </w:pPr>
    </w:p>
    <w:p>
      <w:pPr>
        <w:ind w:right="400" w:firstLine="443"/>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PRAXIS PRECISION MEDICINES, INC.</w:t>
      </w:r>
    </w:p>
    <w:p>
      <w:pPr>
        <w:spacing w:after="0" w:line="312" w:lineRule="exact"/>
        <w:rPr>
          <w:sz w:val="20"/>
          <w:szCs w:val="20"/>
          <w:color w:val="auto"/>
        </w:rPr>
      </w:pPr>
    </w:p>
    <w:p>
      <w:pPr>
        <w:ind w:left="20"/>
        <w:spacing w:after="0"/>
        <w:tabs>
          <w:tab w:leader="none" w:pos="720" w:val="left"/>
          <w:tab w:leader="none" w:pos="5460" w:val="left"/>
          <w:tab w:leader="none" w:pos="8040" w:val="left"/>
        </w:tabs>
        <w:rPr>
          <w:sz w:val="20"/>
          <w:szCs w:val="20"/>
          <w:color w:val="auto"/>
        </w:rPr>
      </w:pPr>
      <w:r>
        <w:rPr>
          <w:rFonts w:ascii="Arial" w:cs="Arial" w:eastAsia="Arial" w:hAnsi="Arial"/>
          <w:sz w:val="18"/>
          <w:szCs w:val="18"/>
          <w:color w:val="auto"/>
        </w:rPr>
        <w:t>Date:</w:t>
        <w:tab/>
        <w:t>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5715</wp:posOffset>
            </wp:positionV>
            <wp:extent cx="3195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195955" cy="8255"/>
                    </a:xfrm>
                    <a:prstGeom prst="rect">
                      <a:avLst/>
                    </a:prstGeom>
                    <a:noFill/>
                  </pic:spPr>
                </pic:pic>
              </a:graphicData>
            </a:graphic>
          </wp:anchor>
        </w:drawing>
      </w: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90" w:lineRule="exact"/>
        <w:rPr>
          <w:sz w:val="20"/>
          <w:szCs w:val="20"/>
          <w:color w:val="auto"/>
        </w:rPr>
      </w:pPr>
    </w:p>
    <w:p>
      <w:pPr>
        <w:ind w:left="20"/>
        <w:spacing w:after="0"/>
        <w:tabs>
          <w:tab w:leader="none" w:pos="720" w:val="left"/>
          <w:tab w:leader="none" w:pos="5460" w:val="left"/>
          <w:tab w:leader="none" w:pos="8060" w:val="left"/>
        </w:tabs>
        <w:rPr>
          <w:sz w:val="20"/>
          <w:szCs w:val="20"/>
          <w:color w:val="auto"/>
        </w:rPr>
      </w:pPr>
      <w:r>
        <w:rPr>
          <w:rFonts w:ascii="Arial" w:cs="Arial" w:eastAsia="Arial" w:hAnsi="Arial"/>
          <w:sz w:val="18"/>
          <w:szCs w:val="18"/>
          <w:color w:val="auto"/>
        </w:rPr>
        <w:t>Date:</w:t>
        <w:tab/>
        <w:t>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5715</wp:posOffset>
            </wp:positionV>
            <wp:extent cx="3195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195955" cy="825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31"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882"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Marcio Souza, certify that:</w:t>
      </w:r>
    </w:p>
    <w:p>
      <w:pPr>
        <w:spacing w:after="0" w:line="249"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49" w:lineRule="exact"/>
        <w:rPr>
          <w:rFonts w:ascii="Arial" w:cs="Arial" w:eastAsia="Arial" w:hAnsi="Arial"/>
          <w:sz w:val="18"/>
          <w:szCs w:val="18"/>
          <w:color w:val="auto"/>
        </w:rPr>
      </w:pPr>
    </w:p>
    <w:p>
      <w:pPr>
        <w:ind w:left="320" w:hanging="313"/>
        <w:spacing w:after="0" w:line="339"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20" w:right="460" w:hanging="313"/>
        <w:spacing w:after="0" w:line="305"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20" w:right="500" w:hanging="313"/>
        <w:spacing w:after="0" w:line="27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8" w:lineRule="exact"/>
        <w:rPr>
          <w:rFonts w:ascii="Arial" w:cs="Arial" w:eastAsia="Arial" w:hAnsi="Arial"/>
          <w:sz w:val="18"/>
          <w:szCs w:val="18"/>
          <w:color w:val="auto"/>
        </w:rPr>
      </w:pPr>
    </w:p>
    <w:p>
      <w:pPr>
        <w:ind w:left="660" w:right="440" w:hanging="331"/>
        <w:spacing w:after="0" w:line="261" w:lineRule="auto"/>
        <w:tabs>
          <w:tab w:leader="none" w:pos="65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hanging="311"/>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49" w:lineRule="exact"/>
        <w:rPr>
          <w:rFonts w:ascii="Arial" w:cs="Arial" w:eastAsia="Arial" w:hAnsi="Arial"/>
          <w:sz w:val="18"/>
          <w:szCs w:val="18"/>
          <w:color w:val="auto"/>
        </w:rPr>
      </w:pPr>
    </w:p>
    <w:p>
      <w:pPr>
        <w:jc w:val="both"/>
        <w:ind w:left="660" w:right="920" w:hanging="331"/>
        <w:spacing w:after="0" w:line="339" w:lineRule="auto"/>
        <w:tabs>
          <w:tab w:leader="none" w:pos="65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660" w:hanging="331"/>
        <w:spacing w:after="0" w:line="261"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20" w:right="200" w:hanging="313"/>
        <w:spacing w:after="0" w:line="305"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660" w:right="400" w:hanging="331"/>
        <w:spacing w:after="0" w:line="305" w:lineRule="auto"/>
        <w:tabs>
          <w:tab w:leader="none" w:pos="657"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660" w:right="360" w:hanging="331"/>
        <w:spacing w:after="0" w:line="274"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Date:   August 16, 2021</w:t>
            </w:r>
          </w:p>
        </w:tc>
        <w:tc>
          <w:tcPr>
            <w:tcW w:w="3040" w:type="dxa"/>
            <w:vAlign w:val="bottom"/>
          </w:tcPr>
          <w:p>
            <w:pPr>
              <w:ind w:left="23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1"/>
        </w:trPr>
        <w:tc>
          <w:tcPr>
            <w:tcW w:w="4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0"/>
              </w:rPr>
              <w:t>Marcio Souza</w:t>
            </w:r>
          </w:p>
        </w:tc>
      </w:tr>
      <w:tr>
        <w:trPr>
          <w:trHeight w:val="228"/>
        </w:trPr>
        <w:tc>
          <w:tcPr>
            <w:tcW w:w="4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29"/>
        </w:trPr>
        <w:tc>
          <w:tcPr>
            <w:tcW w:w="4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88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 Timothy Kelly, certify that:</w:t>
      </w:r>
    </w:p>
    <w:p>
      <w:pPr>
        <w:spacing w:after="0" w:line="249"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49" w:lineRule="exact"/>
        <w:rPr>
          <w:rFonts w:ascii="Arial" w:cs="Arial" w:eastAsia="Arial" w:hAnsi="Arial"/>
          <w:sz w:val="18"/>
          <w:szCs w:val="18"/>
          <w:color w:val="auto"/>
        </w:rPr>
      </w:pPr>
    </w:p>
    <w:p>
      <w:pPr>
        <w:ind w:left="320" w:hanging="313"/>
        <w:spacing w:after="0" w:line="339"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20" w:right="460" w:hanging="313"/>
        <w:spacing w:after="0" w:line="305"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20" w:right="500" w:hanging="313"/>
        <w:spacing w:after="0" w:line="274"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8" w:lineRule="exact"/>
        <w:rPr>
          <w:rFonts w:ascii="Arial" w:cs="Arial" w:eastAsia="Arial" w:hAnsi="Arial"/>
          <w:sz w:val="18"/>
          <w:szCs w:val="18"/>
          <w:color w:val="auto"/>
        </w:rPr>
      </w:pPr>
    </w:p>
    <w:p>
      <w:pPr>
        <w:ind w:left="660" w:right="440" w:hanging="331"/>
        <w:spacing w:after="0" w:line="261" w:lineRule="auto"/>
        <w:tabs>
          <w:tab w:leader="none" w:pos="6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hanging="311"/>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49" w:lineRule="exact"/>
        <w:rPr>
          <w:rFonts w:ascii="Arial" w:cs="Arial" w:eastAsia="Arial" w:hAnsi="Arial"/>
          <w:sz w:val="18"/>
          <w:szCs w:val="18"/>
          <w:color w:val="auto"/>
        </w:rPr>
      </w:pPr>
    </w:p>
    <w:p>
      <w:pPr>
        <w:jc w:val="both"/>
        <w:ind w:left="660" w:right="920" w:hanging="331"/>
        <w:spacing w:after="0" w:line="339" w:lineRule="auto"/>
        <w:tabs>
          <w:tab w:leader="none" w:pos="65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660" w:hanging="331"/>
        <w:spacing w:after="0" w:line="261" w:lineRule="auto"/>
        <w:tabs>
          <w:tab w:leader="none" w:pos="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20" w:right="200" w:hanging="313"/>
        <w:spacing w:after="0" w:line="305"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660" w:right="400" w:hanging="331"/>
        <w:spacing w:after="0" w:line="305" w:lineRule="auto"/>
        <w:tabs>
          <w:tab w:leader="none" w:pos="657"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660" w:right="360" w:hanging="331"/>
        <w:spacing w:after="0" w:line="274" w:lineRule="auto"/>
        <w:tabs>
          <w:tab w:leader="none" w:pos="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Date:   August 16, 2021</w:t>
            </w:r>
          </w:p>
        </w:tc>
        <w:tc>
          <w:tcPr>
            <w:tcW w:w="3040" w:type="dxa"/>
            <w:vAlign w:val="bottom"/>
          </w:tcPr>
          <w:p>
            <w:pPr>
              <w:ind w:left="23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1"/>
        </w:trPr>
        <w:tc>
          <w:tcPr>
            <w:tcW w:w="4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28"/>
        </w:trPr>
        <w:tc>
          <w:tcPr>
            <w:tcW w:w="4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29"/>
        </w:trPr>
        <w:tc>
          <w:tcPr>
            <w:tcW w:w="4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(Principal Financial Officer)</w:t>
            </w:r>
          </w:p>
        </w:tc>
      </w:tr>
    </w:tbl>
    <w:p>
      <w:pPr>
        <w:sectPr>
          <w:pgSz w:w="11900" w:h="16838" w:orient="portrait"/>
          <w:cols w:equalWidth="0" w:num="1">
            <w:col w:w="11240"/>
          </w:cols>
          <w:pgMar w:left="320" w:top="886" w:right="339" w:bottom="1440" w:gutter="0" w:footer="0" w:header="0"/>
        </w:sectPr>
      </w:pPr>
    </w:p>
    <w:bookmarkStart w:id="37" w:name="page38"/>
    <w:bookmarkEnd w:id="37"/>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firstLine="443"/>
        <w:spacing w:after="0" w:line="261" w:lineRule="auto"/>
        <w:rPr>
          <w:sz w:val="20"/>
          <w:szCs w:val="20"/>
          <w:color w:val="auto"/>
        </w:rPr>
      </w:pPr>
      <w:r>
        <w:rPr>
          <w:rFonts w:ascii="Arial" w:cs="Arial" w:eastAsia="Arial" w:hAnsi="Arial"/>
          <w:sz w:val="18"/>
          <w:szCs w:val="18"/>
          <w:color w:val="auto"/>
        </w:rPr>
        <w:t>In connection with the Quarterly Report on Form 10-Q of Praxis Precision Medicines, Inc. (the “Company”) for the quarter ended June 30, 2021 as filed with the Securities and Exchange Commission on the date hereof (the “Report”), the undersigned hereby certify, pursuant to 18 U.S.C. Section 1350, as adopted pursuant to § 906 of the Sarbanes-Oxley Act of 2002, that, to the best of their knowledge:</w:t>
      </w:r>
    </w:p>
    <w:p>
      <w:pPr>
        <w:spacing w:after="0" w:line="90" w:lineRule="exact"/>
        <w:rPr>
          <w:sz w:val="20"/>
          <w:szCs w:val="20"/>
          <w:color w:val="auto"/>
        </w:rPr>
      </w:pPr>
    </w:p>
    <w:p>
      <w:pPr>
        <w:ind w:left="720" w:hanging="31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720" w:hanging="310"/>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Pr>
          <w:p>
            <w:pPr>
              <w:ind w:left="100"/>
              <w:spacing w:after="0"/>
              <w:rPr>
                <w:sz w:val="20"/>
                <w:szCs w:val="20"/>
                <w:color w:val="auto"/>
              </w:rPr>
            </w:pPr>
            <w:r>
              <w:rPr>
                <w:rFonts w:ascii="Arial" w:cs="Arial" w:eastAsia="Arial" w:hAnsi="Arial"/>
                <w:sz w:val="18"/>
                <w:szCs w:val="18"/>
                <w:color w:val="auto"/>
              </w:rPr>
              <w:t>August 16, 2021</w:t>
            </w:r>
          </w:p>
        </w:tc>
        <w:tc>
          <w:tcPr>
            <w:tcW w:w="3040" w:type="dxa"/>
            <w:vAlign w:val="bottom"/>
          </w:tcPr>
          <w:p>
            <w:pPr>
              <w:ind w:left="23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1"/>
        </w:trPr>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0"/>
              </w:rPr>
              <w:t>Marcio Souza</w:t>
            </w:r>
          </w:p>
        </w:tc>
      </w:tr>
      <w:tr>
        <w:trPr>
          <w:trHeight w:val="228"/>
        </w:trPr>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r>
        <w:trPr>
          <w:trHeight w:val="229"/>
        </w:trPr>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96"/>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Pr>
          <w:p>
            <w:pPr>
              <w:ind w:left="100"/>
              <w:spacing w:after="0"/>
              <w:rPr>
                <w:sz w:val="20"/>
                <w:szCs w:val="20"/>
                <w:color w:val="auto"/>
              </w:rPr>
            </w:pPr>
            <w:r>
              <w:rPr>
                <w:rFonts w:ascii="Arial" w:cs="Arial" w:eastAsia="Arial" w:hAnsi="Arial"/>
                <w:sz w:val="18"/>
                <w:szCs w:val="18"/>
                <w:color w:val="auto"/>
              </w:rPr>
              <w:t>August 16, 2021</w:t>
            </w:r>
          </w:p>
        </w:tc>
        <w:tc>
          <w:tcPr>
            <w:tcW w:w="3040" w:type="dxa"/>
            <w:vAlign w:val="bottom"/>
          </w:tcPr>
          <w:p>
            <w:pPr>
              <w:ind w:left="23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1"/>
        </w:trPr>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28"/>
        </w:trPr>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29"/>
        </w:trPr>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(Principal Financial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7"/>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lvl w:ilvl="1">
      <w:lvlJc w:val="left"/>
      <w:lvlText w:val="%2"/>
      <w:numFmt w:val="decimal"/>
      <w:start w:val="104"/>
    </w:lvl>
  </w:abstractNum>
  <w:abstractNum w:abstractNumId="19">
    <w:nsid w:val="333AB105"/>
    <w:multiLevelType w:val="hybridMultilevel"/>
    <w:lvl w:ilvl="0">
      <w:lvlJc w:val="left"/>
      <w:lvlText w:val="**"/>
      <w:numFmt w:val="bullet"/>
      <w:start w:val="1"/>
    </w:lvl>
    <w:lvl w:ilvl="1">
      <w:lvlJc w:val="left"/>
      <w:lvlText w:val="%2"/>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1" Type="http://schemas.openxmlformats.org/officeDocument/2006/relationships/hyperlink" Target="https://www.sec.gov/Archives/edgar/data/1689548/000168954821000054/exhibit101202105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2021-08-16T07:10:49Z</dcterms:created>
  <dcterms:modified xsi:type="dcterms:W3CDTF">2021-08-16T07:10:49Z</dcterms:modified>
</cp:coreProperties>
</file>