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445"/>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20" w:firstLine="44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2025, the registrant had 25,007,171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sections titled "Risk Factors" in our Annual Report on Form 10-K for the year ended December 31, 2024 and our Quarterly Report on Form 10-Q for the quarter ended June 30, 2025. If one or more of these risks or uncertainties occur, or if our underlying assumptions prove to be incorrect, actual events or results may vary significantly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ind w:right="20"/>
        <w:spacing w:after="0" w:line="262" w:lineRule="auto"/>
        <w:rPr>
          <w:sz w:val="20"/>
          <w:szCs w:val="20"/>
          <w:color w:val="auto"/>
        </w:rPr>
      </w:pPr>
      <w:r>
        <w:rPr>
          <w:rFonts w:ascii="Arial" w:cs="Arial" w:eastAsia="Arial" w:hAnsi="Arial"/>
          <w:sz w:val="18"/>
          <w:szCs w:val="18"/>
          <w:color w:val="auto"/>
        </w:rPr>
        <w:t>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sections titled “Risk Factors” in our Annual Report on Form 10-K for the year ended December 31, 2024, our Quarterly Report on Form 10-Q for the quarter ended June 30, 2025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21"/>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FF"/>
                <w:w w:val="99"/>
              </w:rPr>
              <w:t>Condensed Consolidated Balance Sheets as of September 30, 2025 and December 31, 2024</w:t>
            </w:r>
          </w:p>
        </w:tc>
        <w:tc>
          <w:tcPr>
            <w:tcW w:w="112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40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2025 and 2024</w:t>
            </w: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Loss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2025 and 2024</w:t>
            </w:r>
          </w:p>
        </w:tc>
        <w:tc>
          <w:tcPr>
            <w:tcW w:w="5540" w:type="dxa"/>
            <w:vAlign w:val="bottom"/>
            <w:tcBorders>
              <w:top w:val="single" w:sz="8" w:color="0000FF"/>
            </w:tcBorders>
            <w:gridSpan w:val="9"/>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Stockholders’ Equity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2025 and 2024</w:t>
            </w:r>
          </w:p>
        </w:tc>
        <w:tc>
          <w:tcPr>
            <w:tcW w:w="1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2025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2024</w:t>
            </w:r>
          </w:p>
        </w:tc>
        <w:tc>
          <w:tcPr>
            <w:tcW w:w="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480" w:type="dxa"/>
            <w:vAlign w:val="bottom"/>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18"/>
                <w:szCs w:val="18"/>
                <w:color w:val="auto"/>
              </w:rPr>
            </w:pPr>
          </w:p>
        </w:tc>
        <w:tc>
          <w:tcPr>
            <w:tcW w:w="148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6"/>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3"/>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16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117,630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177,195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273,844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404,372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76,961</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30,819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52,883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37,660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September 30, 2025 and December 31, 2024</w:t>
            </w: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value; 150,000,000 shares authorized; 21,165,933 shares issued and</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outstanding as of September 30, 2025, and 19,422,358 shares issued and outstanding as of December 31,</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1,394,088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1,281,522</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gain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(1,051,097)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(836,740)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343,505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445,450</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78,359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229,154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137,299</w:t>
            </w: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(56,835)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(229,154)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(136,209)</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(214,357)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(124,140)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21,977,268</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18,884,562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21,506,021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17,210,604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1960" w:type="dxa"/>
            <w:vAlign w:val="bottom"/>
          </w:tcPr>
          <w:p>
            <w:pPr>
              <w:spacing w:after="0"/>
              <w:rPr>
                <w:sz w:val="21"/>
                <w:szCs w:val="21"/>
                <w:color w:val="auto"/>
              </w:rPr>
            </w:pPr>
          </w:p>
        </w:tc>
        <w:tc>
          <w:tcPr>
            <w:tcW w:w="6100" w:type="dxa"/>
            <w:vAlign w:val="bottom"/>
            <w:gridSpan w:val="7"/>
          </w:tcPr>
          <w:p>
            <w:pPr>
              <w:jc w:val="center"/>
              <w:ind w:left="1110"/>
              <w:spacing w:after="0"/>
              <w:rPr>
                <w:sz w:val="20"/>
                <w:szCs w:val="20"/>
                <w:color w:val="auto"/>
              </w:rPr>
            </w:pPr>
            <w:r>
              <w:rPr>
                <w:rFonts w:ascii="Arial" w:cs="Arial" w:eastAsia="Arial" w:hAnsi="Arial"/>
                <w:sz w:val="18"/>
                <w:szCs w:val="18"/>
                <w:b w:val="1"/>
                <w:bCs w:val="1"/>
                <w:color w:val="auto"/>
                <w:w w:val="99"/>
              </w:rPr>
              <w:t>PRAXIS PRECISION MEDICINES, INC.</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77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(Unaudited)</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4"/>
                <w:szCs w:val="24"/>
                <w:color w:val="auto"/>
              </w:rPr>
            </w:pPr>
          </w:p>
        </w:tc>
        <w:tc>
          <w:tcPr>
            <w:tcW w:w="5060" w:type="dxa"/>
            <w:vAlign w:val="bottom"/>
            <w:gridSpan w:val="5"/>
          </w:tcPr>
          <w:p>
            <w:pPr>
              <w:jc w:val="center"/>
              <w:ind w:left="2130"/>
              <w:spacing w:after="0"/>
              <w:rPr>
                <w:sz w:val="20"/>
                <w:szCs w:val="20"/>
                <w:color w:val="auto"/>
              </w:rPr>
            </w:pPr>
            <w:r>
              <w:rPr>
                <w:rFonts w:ascii="Arial" w:cs="Arial" w:eastAsia="Arial" w:hAnsi="Arial"/>
                <w:sz w:val="18"/>
                <w:szCs w:val="18"/>
                <w:b w:val="1"/>
                <w:bCs w:val="1"/>
                <w:color w:val="auto"/>
              </w:rPr>
              <w:t>(Amounts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800" w:type="dxa"/>
            <w:vAlign w:val="bottom"/>
            <w:gridSpan w:val="4"/>
          </w:tcPr>
          <w:p>
            <w:pPr>
              <w:jc w:val="right"/>
              <w:ind w:right="639"/>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(124,140)</w:t>
            </w:r>
          </w:p>
        </w:tc>
        <w:tc>
          <w:tcPr>
            <w:tcW w:w="0" w:type="dxa"/>
            <w:vAlign w:val="bottom"/>
          </w:tcPr>
          <w:p>
            <w:pPr>
              <w:spacing w:after="0"/>
              <w:rPr>
                <w:sz w:val="1"/>
                <w:szCs w:val="1"/>
                <w:color w:val="auto"/>
              </w:rPr>
            </w:pPr>
          </w:p>
        </w:tc>
      </w:tr>
      <w:tr>
        <w:trPr>
          <w:trHeight w:val="162"/>
        </w:trPr>
        <w:tc>
          <w:tcPr>
            <w:tcW w:w="502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Change in unrealized gain (loss) on marketable securities, net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of tax</w:t>
            </w: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(73,829)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(214,511)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(122,809)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7"/>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Gain</w:t>
            </w: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19,422,358</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1,281,522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(836,740)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445,450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8,786</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$1,120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694,212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173,840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(18,765)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0" w:type="dxa"/>
            <w:vAlign w:val="bottom"/>
          </w:tcPr>
          <w:p>
            <w:pPr>
              <w:spacing w:after="0"/>
              <w:rPr>
                <w:sz w:val="1"/>
                <w:szCs w:val="1"/>
                <w:color w:val="auto"/>
              </w:rPr>
            </w:pPr>
          </w:p>
        </w:tc>
      </w:tr>
      <w:tr>
        <w:trPr>
          <w:trHeight w:val="174"/>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20,341,917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1,344,577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(906,036)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439,214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7,770</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common stock from at-the-market offerings, net of commission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costs of $579</w:t>
            </w:r>
          </w:p>
        </w:tc>
        <w:tc>
          <w:tcPr>
            <w:tcW w:w="1080" w:type="dxa"/>
            <w:vAlign w:val="bottom"/>
          </w:tcPr>
          <w:p>
            <w:pPr>
              <w:jc w:val="right"/>
              <w:spacing w:after="0"/>
              <w:rPr>
                <w:sz w:val="20"/>
                <w:szCs w:val="20"/>
                <w:color w:val="auto"/>
              </w:rPr>
            </w:pPr>
            <w:r>
              <w:rPr>
                <w:rFonts w:ascii="Arial" w:cs="Arial" w:eastAsia="Arial" w:hAnsi="Arial"/>
                <w:sz w:val="13"/>
                <w:szCs w:val="13"/>
                <w:color w:val="auto"/>
              </w:rPr>
              <w:t>657,477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28,360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28,360</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tcPr>
          <w:p>
            <w:pPr>
              <w:jc w:val="right"/>
              <w:spacing w:after="0"/>
              <w:rPr>
                <w:sz w:val="20"/>
                <w:szCs w:val="20"/>
                <w:color w:val="auto"/>
              </w:rPr>
            </w:pPr>
            <w:r>
              <w:rPr>
                <w:rFonts w:ascii="Arial" w:cs="Arial" w:eastAsia="Arial" w:hAnsi="Arial"/>
                <w:sz w:val="13"/>
                <w:szCs w:val="13"/>
                <w:color w:val="auto"/>
              </w:rPr>
              <w:t>9,319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(71,127)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(71,127)</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21,040,474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1,380,978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(977,163)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404,224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7,447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7,447</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7"/>
              </w:rPr>
              <w:t>Issuance of common stock from at-the-market offerings, net of issuance and</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$359</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102,364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3,746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20,455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(73,934)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(73,934)</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21,165,933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1,394,088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(1,051,097)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343,505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7"/>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Gain (Loss)</w:t>
            </w:r>
          </w:p>
        </w:tc>
        <w:tc>
          <w:tcPr>
            <w:tcW w:w="12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8,791,877</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723,577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69,669</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$10,836</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and commission costs of $376</w:t>
            </w:r>
          </w:p>
        </w:tc>
        <w:tc>
          <w:tcPr>
            <w:tcW w:w="1080" w:type="dxa"/>
            <w:vAlign w:val="bottom"/>
          </w:tcPr>
          <w:p>
            <w:pPr>
              <w:jc w:val="right"/>
              <w:spacing w:after="0"/>
              <w:rPr>
                <w:sz w:val="20"/>
                <w:szCs w:val="20"/>
                <w:color w:val="auto"/>
              </w:rPr>
            </w:pPr>
            <w:r>
              <w:rPr>
                <w:rFonts w:ascii="Arial" w:cs="Arial" w:eastAsia="Arial" w:hAnsi="Arial"/>
                <w:sz w:val="13"/>
                <w:szCs w:val="13"/>
                <w:color w:val="auto"/>
              </w:rPr>
              <w:t>209,852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6,169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a collaboration and license agreement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3,634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$14,013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3,849,558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215,988</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622,123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17,755,506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1,145,308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(726,151)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419,100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12,432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12,432</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and commission costs of $70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4,971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(51,910)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(51,910)</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17,785,697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1,159,382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(778,061)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382,666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688975</wp:posOffset>
            </wp:positionV>
            <wp:extent cx="4397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(214,357)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(124,140)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32,785</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(172,743)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(75,635)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(302,101)</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(237,576)</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377,636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14,765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7,647</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400,556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increase in cash, cash equivalents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87,345</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168,645</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from at-the-market offering included in accrued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left="360" w:right="266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29" w:lineRule="exact"/>
        <w:rPr>
          <w:sz w:val="20"/>
          <w:szCs w:val="20"/>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98"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at-the-market offerings under its shelf registration statement, and follow-on public offerings of common stock and pre-funded warrants to purchase common stock. From inception through September 30, 2025, the Company raised $1.2 billion in aggregate cash proceeds from these transactions, net of issuance costs.</w:t>
      </w:r>
    </w:p>
    <w:p>
      <w:pPr>
        <w:spacing w:after="0" w:line="179" w:lineRule="exact"/>
        <w:rPr>
          <w:sz w:val="20"/>
          <w:szCs w:val="20"/>
          <w:color w:val="auto"/>
        </w:rPr>
      </w:pPr>
    </w:p>
    <w:p>
      <w:pPr>
        <w:ind w:right="220" w:firstLine="445"/>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$214.4 million for the nine months ended September 30, 2025. In addition, as of September 30, 2025, the Company had an accumulated deficit of $1.1 billion. The Company expects to continue to generate operating losses for the foreseeable future.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ind w:right="40" w:firstLine="445"/>
        <w:spacing w:after="0" w:line="256" w:lineRule="auto"/>
        <w:rPr>
          <w:sz w:val="20"/>
          <w:szCs w:val="20"/>
          <w:color w:val="auto"/>
        </w:rPr>
      </w:pPr>
      <w:r>
        <w:rPr>
          <w:rFonts w:ascii="Arial" w:cs="Arial" w:eastAsia="Arial" w:hAnsi="Arial"/>
          <w:sz w:val="18"/>
          <w:szCs w:val="18"/>
          <w:color w:val="auto"/>
        </w:rPr>
        <w:t>The Company expects that its cash, cash equivalents and marketable securities as of September 30, 2025 of $389.2 million, together with net proceeds of $567.0 million from the October 2025 financing, will be sufficient to fund its operating expenditures and capital expenditure requirements necessary to advance its program activities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1" w:lineRule="exact"/>
        <w:rPr>
          <w:sz w:val="20"/>
          <w:szCs w:val="20"/>
          <w:color w:val="auto"/>
        </w:rPr>
      </w:pPr>
    </w:p>
    <w:p>
      <w:pPr>
        <w:ind w:right="724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jc w:val="both"/>
        <w:ind w:right="32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2025 are consistent with those discussed in Note 2 to the consolidated financial statements included in the Company's 2024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September 30, 2025, the condensed consolidated statements of operations for the three and nine months ended September 30, 2025 and 2024, the condensed consolidated statements of comprehensive loss for the three and nine months ended September 30, 2025 and 2024, the condensed consolidated statements of cash flows for the nine months ended September 30, 2025 and 2024 and the condensed consolidated statements of stockholders’ equity for the three and nine months ended September 30, 2025 and 2024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2025, the results of its operations for the three and nine months ended September 30, 2025 and 2024 and its cash flows for the nine months ended September 30, 2025 and 2024. Financial statement disclosures for the three and nine months ended September 30, 2025 and 2024 are condensed and do not include all disclosures required for an annual set of financial statements in accordance with GAAP.</w:t>
      </w:r>
    </w:p>
    <w:p>
      <w:pPr>
        <w:spacing w:after="0" w:line="185"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results for the three and nine months ended September 30, 2025 are not necessarily indicative of results to be expected for the year ended December 31, 2025,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Tax Legislation</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The One Big Beautiful Bill Act (“OBBBA”) was enacted in the U.S. on July 4, 2025. The OBBBA legislation provides for the permanent extension of certain expiring provisions of the Tax Cuts and Jobs Act, revisions to the international tax framework and the reinstatement of favorable tax treatment for certain business provisions. The legislation has multiple effective dates, with certain provisions effective in 2025 and others implemented in future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2" w:name="page13"/>
    <w:bookmarkEnd w:id="12"/>
    <w:p>
      <w:pPr>
        <w:ind w:right="180"/>
        <w:spacing w:after="0" w:line="262" w:lineRule="auto"/>
        <w:rPr>
          <w:sz w:val="20"/>
          <w:szCs w:val="20"/>
          <w:color w:val="auto"/>
        </w:rPr>
      </w:pPr>
      <w:r>
        <w:rPr>
          <w:rFonts w:ascii="Arial" w:cs="Arial" w:eastAsia="Arial" w:hAnsi="Arial"/>
          <w:sz w:val="18"/>
          <w:szCs w:val="18"/>
          <w:color w:val="auto"/>
        </w:rPr>
        <w:t>periods. While tax changes in the OBBBA do not have a material impact to the Company's effective tax rate, we anticipate that certain tax provisions in the OBBBA, namely the provision allowing for immediate expensing of certain research and development expenses, will result in accelerated deductions of previously capitalized expenses of approximately $203.9 million. We continue to evaluate the tax and other provisions of the OBBBA and the potential effects on our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ASU No. 2023-09 provides more transparency about income tax information through improvements to income tax disclosures primarily related to the rate reconciliation and income taxes paid information. For public companies, the amendments are effective for annual periods beginning after December 15, 2024 and can be applied prospectively or retrospectively. The Company has determined that the effects of adopting the amendments in ASU 2023-09 will only impact its disclosures and will not have a material impact on its consolidated financial position and the results of its operations when such amendment is adopted.</w:t>
      </w:r>
    </w:p>
    <w:p>
      <w:pPr>
        <w:spacing w:after="0" w:line="18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In November 2023, the FASB issued ASU No.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requiring public entities to disclose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adopting ASU 2024-03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September 30, 2025 and December 31,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As of September 30, 2025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76,033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76,033</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98,237</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99,823</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1,929</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39,649</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315,171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315,671</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107,852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8,820</w:t>
            </w:r>
          </w:p>
        </w:tc>
      </w:tr>
      <w:tr>
        <w:trPr>
          <w:trHeight w:val="23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160" w:firstLine="445"/>
        <w:spacing w:after="0" w:line="259" w:lineRule="auto"/>
        <w:rPr>
          <w:sz w:val="20"/>
          <w:szCs w:val="20"/>
          <w:color w:val="auto"/>
        </w:rPr>
      </w:pPr>
      <w:r>
        <w:rPr>
          <w:rFonts w:ascii="Arial" w:cs="Arial" w:eastAsia="Arial" w:hAnsi="Arial"/>
          <w:sz w:val="18"/>
          <w:szCs w:val="18"/>
          <w:color w:val="auto"/>
        </w:rPr>
        <w:t>As of September 30, 2025, the Company had 4 securities with a total fair market value of $16.1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177,195</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122,008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76,961</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239,638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254,156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nine months ended September 30, 2025 and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71"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September 30, 2025 and December 31, 2024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As of September 30, 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76,033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76,033</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98,237</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99,823</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1,929</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39,649</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174,270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141,401</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315,671</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144,644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8,794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273,296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125,467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398,763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13,363</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21,628</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prepaid expenses and other current assets and other non-current assets on the accompanying condensed consolidated balance sheets as of September 30, 2025 and December 31, 2024, respectively. This lease qualifies as an operating lease.</w:t>
      </w:r>
    </w:p>
    <w:p>
      <w:pPr>
        <w:spacing w:after="0" w:line="287" w:lineRule="exact"/>
        <w:rPr>
          <w:sz w:val="20"/>
          <w:szCs w:val="20"/>
          <w:color w:val="auto"/>
        </w:rPr>
      </w:pPr>
    </w:p>
    <w:p>
      <w:pPr>
        <w:ind w:right="7700" w:firstLine="8"/>
        <w:spacing w:after="0" w:line="397" w:lineRule="auto"/>
        <w:tabs>
          <w:tab w:leader="none" w:pos="2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was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76"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The Company recognized revenue for its research services performance obligation over time using an input method over the duration of the research services. In December 2024, UCB exercised its option to in-license global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5" w:name="page16"/>
    <w:bookmarkEnd w:id="15"/>
    <w:p>
      <w:pPr>
        <w:ind w:right="220"/>
        <w:spacing w:after="0" w:line="262" w:lineRule="auto"/>
        <w:rPr>
          <w:sz w:val="20"/>
          <w:szCs w:val="20"/>
          <w:color w:val="auto"/>
        </w:rPr>
      </w:pPr>
      <w:r>
        <w:rPr>
          <w:rFonts w:ascii="Arial" w:cs="Arial" w:eastAsia="Arial" w:hAnsi="Arial"/>
          <w:sz w:val="18"/>
          <w:szCs w:val="18"/>
          <w:color w:val="auto"/>
        </w:rPr>
        <w:t>development and commercialization rights for a KCNT1 development candidate as part of the Collaboration Agreement. Upon notice of the exercise, the Company recognized the $ 6.0 million option exercise fee and the $2.6 million of remaining collaboration revenue associated with the $ 5.0 million up front payment as collaboration revenue within the December 31, 2024 consolidated statement of operations, as the Company had no further research service obligations under the terms of the Collaboration Agreement.</w:t>
      </w:r>
    </w:p>
    <w:p>
      <w:pPr>
        <w:spacing w:after="0" w:line="17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Company did not recognize any collaboration revenue associated with this Collaboration Agreement during the three and nine months ended September 30, 2025. As of September 30, 2025, there was no deferred revenue recorded in the condensed consolidated balance sheet. During the three and nine months ended September 30, 2024, the Company recognized $0.3 million and $1.1 million, respectively, related to the Collaboration Agreement in the condensed consolidated statement of operations. As of December 31, 2024, there was no deferred revenue recorded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18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176"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17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License Agreement, both of which were received in January 2024. During the three and nine months ended September 30, 2025 and 2024, the Company did not achieve any development or sales milestones or earn any royalties under the License Agreement.</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collaboration and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ind w:firstLine="445"/>
        <w:spacing w:after="0" w:line="262" w:lineRule="auto"/>
        <w:rPr>
          <w:sz w:val="20"/>
          <w:szCs w:val="20"/>
          <w:color w:val="auto"/>
        </w:rPr>
      </w:pPr>
      <w:r>
        <w:rPr>
          <w:rFonts w:ascii="Arial" w:cs="Arial" w:eastAsia="Arial" w:hAnsi="Arial"/>
          <w:sz w:val="18"/>
          <w:szCs w:val="18"/>
          <w:color w:val="auto"/>
        </w:rPr>
        <w:t>As of September 30, 2025 and December 31, 2024, the Company did not have any receivables or deferred revenue related to the arrangement with Tenacia. The Company did not recognize any contract assets related to costs to obtain a contract with a customer or costs to fulfill a contract with a customer through September 30, 2025 because no qualifying costs were incurred. During the three and nine months ended September 30, 2025 and 2024, the Company did not recognize any revenue associated with the combined arrangement.</w:t>
      </w:r>
    </w:p>
    <w:p>
      <w:pPr>
        <w:spacing w:after="0" w:line="284" w:lineRule="exact"/>
        <w:rPr>
          <w:sz w:val="20"/>
          <w:szCs w:val="20"/>
          <w:color w:val="auto"/>
        </w:rPr>
      </w:pPr>
    </w:p>
    <w:p>
      <w:pPr>
        <w:ind w:right="796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As of September 30, 2025 and December 31, 2024,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2025 and December 31, 2024,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16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year ended December 31, 2024, 152,145 pre-funded warrants were exercised via a cashless exercise, resulting in 152,142 shares of common stock issued. No cash proceeds associated with the exercise were received by the Company.</w:t>
      </w:r>
    </w:p>
    <w:p>
      <w:pPr>
        <w:spacing w:after="0" w:line="185"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During the nine months ended September 30, 2025, 200,355 pre-funded warrants were exercised via cashless exercise, resulting in 200,349 shares of common stock issued. No cash proceeds associated with the exercise were received by the Company. As of September 30, 2025, a total of 704,225 pre-funded warrants associated with this offering remained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2024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18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right="180"/>
        <w:spacing w:after="0" w:line="257" w:lineRule="auto"/>
        <w:rPr>
          <w:sz w:val="20"/>
          <w:szCs w:val="20"/>
          <w:color w:val="auto"/>
        </w:rPr>
      </w:pPr>
      <w:r>
        <w:rPr>
          <w:rFonts w:ascii="Arial" w:cs="Arial" w:eastAsia="Arial" w:hAnsi="Arial"/>
          <w:sz w:val="18"/>
          <w:szCs w:val="18"/>
          <w:color w:val="auto"/>
        </w:rPr>
        <w:t>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September 30, 2025, none of the pre-funded warrants have been exercised and all remained outstanding.</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 xml:space="preserve">The Company determined that the pre-funded warrants related to the January 2024 and April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2,070,371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704,225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904,580</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462,188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91,343</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294,552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109,648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tcPr>
          <w:p>
            <w:pPr>
              <w:jc w:val="right"/>
              <w:spacing w:after="0"/>
              <w:rPr>
                <w:sz w:val="20"/>
                <w:szCs w:val="20"/>
                <w:color w:val="auto"/>
              </w:rPr>
            </w:pPr>
            <w:r>
              <w:rPr>
                <w:rFonts w:ascii="Arial" w:cs="Arial" w:eastAsia="Arial" w:hAnsi="Arial"/>
                <w:sz w:val="16"/>
                <w:szCs w:val="16"/>
                <w:color w:val="auto"/>
              </w:rPr>
              <w:t>950,600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112,774</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516,119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r>
      <w:tr>
        <w:trPr>
          <w:trHeight w:val="210"/>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5,219,293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3,473,399</w:t>
            </w:r>
          </w:p>
        </w:tc>
      </w:tr>
      <w:tr>
        <w:trPr>
          <w:trHeight w:val="20"/>
        </w:trPr>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right="660" w:firstLine="445"/>
        <w:spacing w:after="0" w:line="287" w:lineRule="auto"/>
        <w:rPr>
          <w:sz w:val="20"/>
          <w:szCs w:val="20"/>
          <w:color w:val="auto"/>
        </w:rPr>
      </w:pPr>
      <w:r>
        <w:rPr>
          <w:rFonts w:ascii="Arial" w:cs="Arial" w:eastAsia="Arial" w:hAnsi="Arial"/>
          <w:sz w:val="18"/>
          <w:szCs w:val="18"/>
          <w:color w:val="auto"/>
        </w:rPr>
        <w:t>As of September 30, 2025 and December 31, 2024, the authorized capital stock of the Company included 10,000,000 shares of undesignated preferred stock, $0.0001 par value.</w:t>
      </w:r>
    </w:p>
    <w:p>
      <w:pPr>
        <w:spacing w:after="0" w:line="261" w:lineRule="exact"/>
        <w:rPr>
          <w:sz w:val="20"/>
          <w:szCs w:val="20"/>
          <w:color w:val="auto"/>
        </w:rPr>
      </w:pPr>
    </w:p>
    <w:p>
      <w:pPr>
        <w:ind w:right="8640" w:firstLine="8"/>
        <w:spacing w:after="0" w:line="375"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2024 Inducement Plan</w:t>
      </w:r>
    </w:p>
    <w:p>
      <w:pPr>
        <w:spacing w:after="0" w:line="1"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In January 2025, the number of shares of common stock authorized for issuance under the Inducement Plan was increased by 870,000 shares. The total number of shares of common stock authorized for issuance under the Inducement Plan as of September 30, 2025 and December 31, 2024 was 1,000,000 shares and 130,000 shares,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September 30, 2025 and December 31, 2024 was 2,941,950 shares and 1,970,833 shares,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520" w:firstLine="445"/>
        <w:spacing w:after="0" w:line="268"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September 30, 2025 and December 31, 2024 was 395,850 shares. Any authorization to issue new options under the 2017 Plan was cancelled upon the effectiveness of the 2020 Plan and no further awards will be granted under the 2017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September 30, 2025 and December 31, 2024 was 369,368 shares and 175,145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387,431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61.51</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September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516,119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As of September 30, 2025, total unrecognized compensation cost related to unvested restricted stock units was $25.0 million, which is expected to be recognized over a weighted-average period of 3.09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324,670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67.76</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September 30,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7.28</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1,197,365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108.73</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September 30, 2025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5"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nine months ended September 30, 2025. No stock options were granted during the three months ended September 30, 2025.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184"/>
        </w:trPr>
        <w:tc>
          <w:tcPr>
            <w:tcW w:w="954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9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9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r>
      <w:tr>
        <w:trPr>
          <w:trHeight w:val="209"/>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93.08 %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46.74</w:t>
            </w:r>
          </w:p>
        </w:tc>
      </w:tr>
    </w:tbl>
    <w:p>
      <w:pPr>
        <w:spacing w:after="0" w:line="292" w:lineRule="exact"/>
        <w:rPr>
          <w:sz w:val="20"/>
          <w:szCs w:val="20"/>
          <w:color w:val="auto"/>
        </w:rPr>
      </w:pPr>
    </w:p>
    <w:p>
      <w:pPr>
        <w:ind w:right="700" w:firstLine="445"/>
        <w:spacing w:after="0" w:line="287" w:lineRule="auto"/>
        <w:rPr>
          <w:sz w:val="20"/>
          <w:szCs w:val="20"/>
          <w:color w:val="auto"/>
        </w:rPr>
      </w:pPr>
      <w:r>
        <w:rPr>
          <w:rFonts w:ascii="Arial" w:cs="Arial" w:eastAsia="Arial" w:hAnsi="Arial"/>
          <w:sz w:val="18"/>
          <w:szCs w:val="18"/>
          <w:color w:val="auto"/>
        </w:rPr>
        <w:t>As of September 30, 2025, total unrecognized compensation cost related to unvested stock options was $36.4 million, which is expected to be recognized over a weighted-average period of 2.24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12,298</w:t>
            </w: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14,034</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20,487</w:t>
            </w:r>
          </w:p>
        </w:tc>
      </w:tr>
      <w:tr>
        <w:trPr>
          <w:trHeight w:val="23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12,432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24,003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32,785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1,829,324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1,829,324</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516,119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222,674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516,119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222,674</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7,391</w:t>
            </w:r>
          </w:p>
        </w:tc>
      </w:tr>
      <w:tr>
        <w:trPr>
          <w:trHeight w:val="209"/>
        </w:trPr>
        <w:tc>
          <w:tcPr>
            <w:tcW w:w="48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2,600,285</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2,059,389</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2,600,285</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2,059,389</w:t>
            </w:r>
          </w:p>
        </w:tc>
      </w:tr>
      <w:tr>
        <w:trPr>
          <w:trHeight w:val="21"/>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January 2024 and April 2024 underwritten public offerings are included in the calculation of basic weighted average number of common shares outstanding for the three and nine months ended September 30,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activities performed under the License Agreement. Expenses incurred during all periods presented were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1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 allocating resources based on net loss that also is reported on the condensed consolidated statement of operations as consolidated net loss. Net loss is used by the CODM to make key strategic and operational decisions. The operating segment's revenue is derived from a single domestic collaboration agreement from which the segment licenses certain development or product candidates and has performed research and development services. The measure of segment assets is reported on the condensed consolidated balance sheet as total consolidated assets. The majority of the Company's long-lived assets are held in the United States.</w:t>
      </w:r>
    </w:p>
    <w:p>
      <w:pPr>
        <w:spacing w:after="0" w:line="185"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The following table presents selected financial information about the Company's single operating segment for the three and nine months ended September 30, 2025 and 2024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Program-specific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Ulixacaltamide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43,160</w:t>
            </w:r>
          </w:p>
        </w:tc>
      </w:tr>
      <w:tr>
        <w:trPr>
          <w:trHeight w:val="215"/>
        </w:trPr>
        <w:tc>
          <w:tcPr>
            <w:tcW w:w="4840" w:type="dxa"/>
            <w:vAlign w:val="bottom"/>
          </w:tcPr>
          <w:p>
            <w:pPr>
              <w:ind w:left="460"/>
              <w:spacing w:after="0"/>
              <w:rPr>
                <w:sz w:val="20"/>
                <w:szCs w:val="20"/>
                <w:color w:val="auto"/>
              </w:rPr>
            </w:pPr>
            <w:r>
              <w:rPr>
                <w:rFonts w:ascii="Arial" w:cs="Arial" w:eastAsia="Arial" w:hAnsi="Arial"/>
                <w:sz w:val="16"/>
                <w:szCs w:val="16"/>
                <w:color w:val="auto"/>
              </w:rPr>
              <w:t>Vormatrigine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20,899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9,205</w:t>
            </w:r>
          </w:p>
        </w:tc>
      </w:tr>
      <w:tr>
        <w:trPr>
          <w:trHeight w:val="217"/>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Relutrigine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w:t>
            </w:r>
          </w:p>
        </w:tc>
      </w:tr>
      <w:tr>
        <w:trPr>
          <w:trHeight w:val="215"/>
        </w:trPr>
        <w:tc>
          <w:tcPr>
            <w:tcW w:w="4840" w:type="dxa"/>
            <w:vAlign w:val="bottom"/>
          </w:tcPr>
          <w:p>
            <w:pPr>
              <w:ind w:left="460"/>
              <w:spacing w:after="0"/>
              <w:rPr>
                <w:sz w:val="20"/>
                <w:szCs w:val="20"/>
                <w:color w:val="auto"/>
              </w:rPr>
            </w:pPr>
            <w:r>
              <w:rPr>
                <w:rFonts w:ascii="Arial" w:cs="Arial" w:eastAsia="Arial" w:hAnsi="Arial"/>
                <w:sz w:val="16"/>
                <w:szCs w:val="16"/>
                <w:color w:val="auto"/>
              </w:rPr>
              <w:t>Elsunersen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1,586</w:t>
            </w:r>
          </w:p>
        </w:tc>
      </w:tr>
      <w:tr>
        <w:trPr>
          <w:trHeight w:val="217"/>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early stage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Personnel-related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27,582</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32,786</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7"/>
        </w:trPr>
        <w:tc>
          <w:tcPr>
            <w:tcW w:w="48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bscript"/>
              </w:rPr>
              <w:t>(a)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(73,934)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(214,357)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(124,140)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Other segment expenses includes research and development and general and administrative costs not attributable to a specific program.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7" w:lineRule="exact"/>
        <w:rPr>
          <w:sz w:val="20"/>
          <w:szCs w:val="20"/>
          <w:color w:val="auto"/>
        </w:rPr>
      </w:pPr>
    </w:p>
    <w:p>
      <w:pPr>
        <w:ind w:right="380" w:firstLine="445"/>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concluded that no subsequent events have occurred that require disclosure other than those noted below.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2025 Public Offering</w:t>
      </w:r>
    </w:p>
    <w:p>
      <w:pPr>
        <w:spacing w:after="0" w:line="1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October 20, 2025, the Company completed a public offering of: (i) an aggregate of 3,527,072 shares of its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$567.0 million, after deducting underwriting discounts, commissions and other offering expenses payable by the Company.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or the SEC, on February 28, 2025.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sections of our Annual Report on Form 10-K for the year ended December 31, 2024 and our Quarterly Report on Form 10-Q for the quarter ended June 30, 2025,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28" w:lineRule="exact"/>
        <w:rPr>
          <w:sz w:val="20"/>
          <w:szCs w:val="20"/>
          <w:color w:val="auto"/>
        </w:rPr>
      </w:pPr>
    </w:p>
    <w:p>
      <w:pPr>
        <w:ind w:left="660" w:right="1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9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right="460" w:firstLine="445"/>
        <w:spacing w:after="0" w:line="26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76"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For our ulixacaltamide program, we announced positive topline results for the two studies in the Phase 3 Essential3 program in essential tremor in October 2025. Following the FDA's receipt of the Essential3 topline results, the FDA granted a Type B pre-NDA meeting that is scheduled to take place in the fourth quarter of 2025.</w:t>
      </w:r>
    </w:p>
    <w:p>
      <w:pPr>
        <w:spacing w:after="0" w:line="1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our vormatrigine program (formerly known as PRAX-628) within the Cerebrum™ platform, we announced positive results from our Photo-Paroxysmal Response, or PPR, study in the first quarter of 2024, and initiated the ENERGY program to generate patient eligibility, efficacy, safety and pharmacokinetics data. The ENERGY program includes five studies: EMPOWER, RADIANT, POWER1, POWER2 and POWER3. We initiated the EMPOWER study, an observational study of vormatrigine in patients with epilepsy, in the third quarter of 2024. In August 2025, we announced positive topline results from the first cohort of our first efficacy study, RADIANT, an open label study in patients with focal onset seizures or generalized epilepsy. We plan to share additional RADIANT study results at the American Epilepsy Society Annual Meeting in December 2025. We have completed recruitment of the POWER1 study, a double-blind, placebo-controlled, 12-week study in focal onset seizures, and expect to announce topline results in the first half of 2026. POWER2, our third efficacy study, has started, with enrollment expected to be completed in the second half of 2026. We intend to initiate POWER3, a clinical trial evaluating vormatrigine as a single-agent treatment for focal onset seizures, in the first half of 2026.</w:t>
      </w:r>
    </w:p>
    <w:p>
      <w:pPr>
        <w:spacing w:after="0" w:line="185"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For our relutrigine program (formerly known as PRAX-562), we announced positive topline results from the first cohort of our EMBOLD study in the third quarter of 2024, and disclosed updated data from the study's open-label extension through 11 months in May 2025. In July 2025, the FDA granted breakthrough therapy designation for relutrigine for the treatment of seizures associated with SCN2A and SCN8A developmental and epileptic encephalopathies, or DEEs. Following a comprehensive Type B meeting with the FDA, we will be performing an interim analysis of the second cohort of the ongoing EMBOLD study in the fourth quarter of 2025. If positive, these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8"/>
          <w:szCs w:val="18"/>
          <w:color w:val="auto"/>
        </w:rPr>
        <w:t>study results may support an NDA filing in early 2026. We have also started enrollment of the EMERALD study that is investigating relutrigine in a broader DEE patient population, and expect to be completed in the second half of 2026.</w:t>
      </w:r>
    </w:p>
    <w:p>
      <w:pPr>
        <w:spacing w:after="0" w:line="153"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For our most advanced product candidate under the Solidus™ platform, elsunersen (formerly known as PRAX-222), we shared results from Part 1 of the EMBRAVE study in the fourth quarter of 2023. We are currently enrolling the second cohort of the EMBRAVE study in Brazil, with topline results expected in the first half of 2026. We have initiated EMBRAVE3, a Phase 3 registrational study for SCN2A gain-of-function DEE, and expect to complete in 2026.</w:t>
      </w:r>
    </w:p>
    <w:p>
      <w:pPr>
        <w:spacing w:after="0" w:line="176"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We also have three earlier stage novel ASOs with preclinical proof of mechanism. PRAX-080 is focused on PCDH19 mosaic expression, PRAX-090 is targeting SYNGAP1 loss-of-function, or LoF, mutations which is a leading cause of severe intellectual disability and epilepsy in DEEs, and PRAX-100 is targeting SCN2A LoF mutations, the predominant generic link to de novo autism spectrum disorders, or ASD. We anticipate nominating a development candidate for PRAX-080, PRAX-090 and PRAX-100 in the first half of 2026.</w:t>
      </w:r>
    </w:p>
    <w:p>
      <w:pPr>
        <w:spacing w:after="0" w:line="17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82"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$214.4 million for the nine months ended September 30, 2025. As of September 30, 2025, we had an accumulated deficit of $1.1 billion.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7" w:lineRule="exact"/>
        <w:rPr>
          <w:sz w:val="20"/>
          <w:szCs w:val="20"/>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 for potential commercialization of ulixacaltamide, following our positive Phase 3 results in the Essential3 clinical trial program for ET;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vormatrigine in the ENERGY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relutrigine in the EMBOLD and EMERALD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elsunersen in the EMBRAVE and EMBRAVE3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p>
      <w:pPr>
        <w:ind w:firstLine="445"/>
        <w:spacing w:after="0" w:line="25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As of September 30, 2025, we had cash, cash equivalents and marketable securities of $ 389.2 million. We expect that our cash, cash equivalents, and marketable securities as of September 30, 2025, together with proceeds from our follow-on pubic offering in October 2025, will be sufficient to fund our operating expenditures and capital expenditure requirements necessary to advance our program activities into 2028. The analysis included consideration of our current financial needs and ongoing research, development and commercialization plans. We have based this estimate on assumptions that may provide to be wrong, and we could exhaust our available capital resources sooner than we expect. See “—Liquidity and Capital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firstLine="445"/>
        <w:spacing w:after="0" w:line="274" w:lineRule="auto"/>
        <w:rPr>
          <w:sz w:val="20"/>
          <w:szCs w:val="20"/>
          <w:color w:val="auto"/>
        </w:rPr>
      </w:pPr>
      <w:r>
        <w:rPr>
          <w:rFonts w:ascii="Arial" w:cs="Arial" w:eastAsia="Arial" w:hAnsi="Arial"/>
          <w:sz w:val="17"/>
          <w:szCs w:val="17"/>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During the three and nine months ended September 30, 2024, we recognized $0.3 million and $1.1 million of collaboration revenue, respectively. In December 2024, UCB exercised its option to in-license global development and commercialization rights under the terms of the Collaboration Agreement. Accordingly, we did not recognize any collaboration revenue from the Collaboration Agreement during the three and nine months ended September 30, 2025. We have no further research service obligations under the terms of the Collaboration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20" w:hanging="128"/>
        <w:spacing w:after="0" w:line="438"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4" w:name="page25"/>
    <w:bookmarkEnd w:id="24"/>
    <w:p>
      <w:pPr>
        <w:ind w:left="660" w:right="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53"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8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49,182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27,474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55,226</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4,197</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11,069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30,265</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65,797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41,881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189,609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96,125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5" w:name="page26"/>
    <w:bookmarkEnd w:id="25"/>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90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nine months ended September 30, 2025 and 2024.</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78,359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(21,524)</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(22,024)</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The $ 0.3 million decrease in collaboration revenue is associated with a decrease in the revenue recorded under the Collaboration Agreement with UCB that was executed in December 2022. In December 2024, UCB exercised its option to in-license global development and commercialization rights for a development candidate as part of the Collaboration Agreement. As such, we have no further research service obligations under the terms of the Collaboration Agreement and did not record any associated revenue during the three months ended September 30,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21,708</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65,797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$23.9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$21.7 million increase in expense related to our Cerebrum™ platform, driven primarily by: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$14.6 million increase for our vormatrigine program, primarily driven by POWER1 and RADIANT study activities;</w:t>
      </w:r>
    </w:p>
    <w:p>
      <w:pPr>
        <w:spacing w:after="0" w:line="171" w:lineRule="exact"/>
        <w:rPr>
          <w:rFonts w:ascii="Arial" w:cs="Arial" w:eastAsia="Arial" w:hAnsi="Arial"/>
          <w:sz w:val="18"/>
          <w:szCs w:val="18"/>
          <w:color w:val="auto"/>
        </w:rPr>
      </w:pPr>
    </w:p>
    <w:p>
      <w:pPr>
        <w:ind w:left="1300" w:right="30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$13.4 million increase in spend for our relutrigine program, primarily related to EMBOLD and EMERALD study activities and manufacturing spend;</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$1.9 million increase in development activities for our earlier stage assets as we advance our portfolio, partially offset by;</w:t>
      </w:r>
    </w:p>
    <w:p>
      <w:pPr>
        <w:spacing w:after="0" w:line="171" w:lineRule="exact"/>
        <w:rPr>
          <w:rFonts w:ascii="Arial" w:cs="Arial" w:eastAsia="Arial" w:hAnsi="Arial"/>
          <w:sz w:val="18"/>
          <w:szCs w:val="18"/>
          <w:color w:val="auto"/>
        </w:rPr>
      </w:pPr>
    </w:p>
    <w:p>
      <w:pPr>
        <w:ind w:left="1300" w:right="20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$8.2 million decrease in spend for our ulixacaltamide program, primarily due to decreased activity for Essential3 program and phase 1 spending.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7" w:name="page28"/>
    <w:bookmarkEnd w:id="27"/>
    <w:p>
      <w:pPr>
        <w:ind w:left="660" w:right="3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 million increase in expense related to our Solidus™ platform, driven primarily by elsunersen program spend for EMBRAVE3;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 million increase in personnel-related costs and indirect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$2.7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$2.6 million decrease in personnel-related costs due to decreased stock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$0.6 million decrease in indirect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 million increase in professional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820" w:firstLine="445"/>
        <w:spacing w:after="0" w:line="287" w:lineRule="auto"/>
        <w:rPr>
          <w:sz w:val="20"/>
          <w:szCs w:val="20"/>
          <w:color w:val="auto"/>
        </w:rPr>
      </w:pPr>
      <w:r>
        <w:rPr>
          <w:rFonts w:ascii="Arial" w:cs="Arial" w:eastAsia="Arial" w:hAnsi="Arial"/>
          <w:sz w:val="18"/>
          <w:szCs w:val="18"/>
          <w:color w:val="auto"/>
        </w:rPr>
        <w:t>Other income for the three months ended September 30, 2025 and 2024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93,484</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229,154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137,299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91,855</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(229,154)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(136,209)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(92,945)</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(214,357)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(124,140)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$ 1.1 million decrease in collaboration revenue is associated with a decrease in the revenue recorded under the Collaboration Agreement with UCB that was executed in December 2022. In December 2024, UCB exercised its option to in-license global development and commercialization rights for a development candidate as part of the Collaboration Agreement. As such, we have no further research service obligations under the terms of the Collaboration Agreement and did not record any associated revenue during the nine months ended September 30,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83,765</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189,609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93,484</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$93.5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$83.8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140" w:hanging="320"/>
        <w:spacing w:after="0" w:line="287"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$43.5 million increase in spend for our vormatrigine program, primarily driven by POWER1 and RADIANT study spend as well as phase 1 study activities;</w:t>
      </w:r>
    </w:p>
    <w:p>
      <w:pPr>
        <w:spacing w:after="0" w:line="98" w:lineRule="exact"/>
        <w:rPr>
          <w:rFonts w:ascii="Arial" w:cs="Arial" w:eastAsia="Arial" w:hAnsi="Arial"/>
          <w:sz w:val="18"/>
          <w:szCs w:val="18"/>
          <w:color w:val="auto"/>
        </w:rPr>
      </w:pPr>
    </w:p>
    <w:p>
      <w:pPr>
        <w:ind w:left="1300" w:right="80" w:hanging="320"/>
        <w:spacing w:after="0" w:line="287"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$27.0 million increase in spend for our relutrigine program, primarily related to our EMBOLD and EMERALD trial activities, manufacturing spend and Phase 1 trial spending;</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$10.5 million increase in spend for our ulixacaltamide program, primarily due to Essential3 study activity;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$2.8 million increase in activities for our earlier stage assets as we advance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$5.1 million increase in personnel-related costs due to increased headcount;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$2.4 million increase in expense related to our Solidus™ platform, driven by elsunersen program spend;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 million increase in indirect expenses driven primarily by software and consulting spend to support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$1.6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 million decrease in personnel-related costs mainly due to decreased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 million increase in professional expenses primarily related to legal and audit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$0.9 million increase in indirect expenses, including increased sponsorships and advocacy activities.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900" w:firstLine="445"/>
        <w:spacing w:after="0" w:line="287" w:lineRule="auto"/>
        <w:rPr>
          <w:sz w:val="20"/>
          <w:szCs w:val="20"/>
          <w:color w:val="auto"/>
        </w:rPr>
      </w:pPr>
      <w:r>
        <w:rPr>
          <w:rFonts w:ascii="Arial" w:cs="Arial" w:eastAsia="Arial" w:hAnsi="Arial"/>
          <w:sz w:val="18"/>
          <w:szCs w:val="18"/>
          <w:color w:val="auto"/>
        </w:rPr>
        <w:t>Other income for the nine months ended September 30, 2025 and 2024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may not generate revenue from sales of any products for several years, if at all.</w:t>
      </w:r>
    </w:p>
    <w:p>
      <w:pPr>
        <w:spacing w:after="0" w:line="171"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September 30, 2025, we have raised $1.2 billion in aggregate cash</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9" w:name="page30"/>
    <w:bookmarkEnd w:id="29"/>
    <w:p>
      <w:pPr>
        <w:ind w:right="20"/>
        <w:spacing w:after="0" w:line="287" w:lineRule="auto"/>
        <w:rPr>
          <w:sz w:val="20"/>
          <w:szCs w:val="20"/>
          <w:color w:val="auto"/>
        </w:rPr>
      </w:pPr>
      <w:r>
        <w:rPr>
          <w:rFonts w:ascii="Arial" w:cs="Arial" w:eastAsia="Arial" w:hAnsi="Arial"/>
          <w:sz w:val="18"/>
          <w:szCs w:val="18"/>
          <w:color w:val="auto"/>
        </w:rPr>
        <w:t>proceeds from such transactions, net of issuance costs. As of September 30, 2025, we had cash, cash equivalents and marketable securities of $389.2 million.</w:t>
      </w:r>
    </w:p>
    <w:p>
      <w:pPr>
        <w:spacing w:after="0" w:line="15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$75.0 million of common stock from time to time in at-the-market offerings. The 2023 Sales Agreement was terminated in January 2024. During the nine months ended September 30, 2024, we issued and sold an aggregate of 192,190 shares under the 2023 Sales Agreement for aggregate net proceeds of $5.3 million, after deducting commissions and offering expenses payable by us.</w:t>
      </w:r>
    </w:p>
    <w:p>
      <w:pPr>
        <w:spacing w:after="0" w:line="179" w:lineRule="exact"/>
        <w:rPr>
          <w:sz w:val="20"/>
          <w:szCs w:val="20"/>
          <w:color w:val="auto"/>
        </w:rPr>
      </w:pPr>
    </w:p>
    <w:p>
      <w:pPr>
        <w:ind w:firstLine="445"/>
        <w:spacing w:after="0" w:line="274" w:lineRule="auto"/>
        <w:rPr>
          <w:sz w:val="20"/>
          <w:szCs w:val="20"/>
          <w:color w:val="auto"/>
        </w:rPr>
      </w:pPr>
      <w:r>
        <w:rPr>
          <w:rFonts w:ascii="Arial" w:cs="Arial" w:eastAsia="Arial" w:hAnsi="Arial"/>
          <w:sz w:val="17"/>
          <w:szCs w:val="17"/>
          <w:color w:val="auto"/>
        </w:rPr>
        <w:t>In January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As of September 30, 2025, 352,500 warrants associated with this offering were exercised on a cashless basis with no cash proceeds received by us.</w:t>
      </w:r>
    </w:p>
    <w:p>
      <w:pPr>
        <w:spacing w:after="0" w:line="166"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to provide for the offering, issuance, and sale of up to an aggregate amount of $150.0 million of common stock in at-the-market offerings. During the nine months ended September 30, 2024, we issued and sold an aggregate of 42,851 shares under the 2024 Sales Agreement for aggregate net proceeds of $2.3 million, after deducting commissions and offering expenses payable by us.</w:t>
      </w:r>
    </w:p>
    <w:p>
      <w:pPr>
        <w:spacing w:after="0" w:line="17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April 2024, we completed a public offering of: (i) an aggregate of 3,849,558 shares of our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$ 216.0 million, after deducting underwriting discounts, commissions and other offering expenses payable by us. As of September 30, 2025, none of the pre-funded warrants have been exercised and all remained outstanding.</w:t>
      </w:r>
    </w:p>
    <w:p>
      <w:pPr>
        <w:spacing w:after="0" w:line="18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December 2024, we entered into an amendment to the 2024 Sales Agreement with Jefferies to provide for the offering, issuance and sale of up to an aggregate of $250.0 million of common stock from time to time in at-the-market offerings. During the nine months ended September 30, 2025, we issued and sold an aggregate of 1,351,689 shares under the amended 2024 Sales Agreement for aggregate net proceeds of $83.3 million, after deducting commissions and offering expenses payable by us. The amended 2024 Sales Agreement was terminated in September 2025.</w:t>
      </w:r>
    </w:p>
    <w:p>
      <w:pPr>
        <w:spacing w:after="0" w:line="179"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In September 2025, we entered into a Sales Agreement, or the 2025 Sales Agreement, with TD Securities (USA) LLC, or TD Cowen, to provide for the offering, issuance and sale of up to an aggregate of $250.0 million of common stock from time to time in at-the-market offerings. During the nine months ended September 30, 2025, we issued and sold an aggregate of 119,364 shares under the 2025 Sales Agreement for aggregate net proceeds of $5.8 million, after deducting commissions and offering expenses payable by us.</w:t>
      </w:r>
    </w:p>
    <w:p>
      <w:pPr>
        <w:spacing w:after="0" w:line="1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October 2025, we completed a public offering of: (i) an aggregate of 3,527,072 shares of our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$567.0 million, after deducting underwriting discounts, commissions and other offering expenses payable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(172,743)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(75,635)</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(237,576)</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400,556</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79"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During the nine months ended September 30, 2025, net cash used in operating activities of $172.7 million was primarily due to our $214.4 million net loss, partially offset by $19.7 million in changes in operating assets and liabilities primarily related to an increase in accounts payable and $22.0 million of non-cash charges primarily related to stock-based compensation.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During the nine months ended September 30, 2024, net cash used in operating activities of $75.6 million was primarily due to our</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$124.1 million net loss, partially offset by $15.8 million in changes in operating assets and liabilities primarily related to increases in accounts payable and accrued expenses, and $32.7 million of non-cash charges primarily related to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During the nine months ended September 30, 2025, net cash provided by investing activities of $17.2 million was primarily related to maturities of marketable securities offset by purchases of marketable securities.</w:t>
      </w:r>
    </w:p>
    <w:p>
      <w:pPr>
        <w:spacing w:after="0" w:line="153" w:lineRule="exact"/>
        <w:rPr>
          <w:sz w:val="20"/>
          <w:szCs w:val="20"/>
          <w:color w:val="auto"/>
        </w:rPr>
      </w:pPr>
    </w:p>
    <w:p>
      <w:pPr>
        <w:ind w:right="520" w:firstLine="445"/>
        <w:spacing w:after="0" w:line="287" w:lineRule="auto"/>
        <w:rPr>
          <w:sz w:val="20"/>
          <w:szCs w:val="20"/>
          <w:color w:val="auto"/>
        </w:rPr>
      </w:pPr>
      <w:r>
        <w:rPr>
          <w:rFonts w:ascii="Arial" w:cs="Arial" w:eastAsia="Arial" w:hAnsi="Arial"/>
          <w:sz w:val="18"/>
          <w:szCs w:val="18"/>
          <w:color w:val="auto"/>
        </w:rPr>
        <w:t>During the nine months ended September 30, 2024, net cash used in investing activities of $237.6 million was primarily related to purchases of marketable securities partially offset by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During the nine months ended September 30, 2025, net cash provided by financing activities of $89.7 million consisted primarily of net proceeds from our at-the-market offerings.</w:t>
      </w:r>
    </w:p>
    <w:p>
      <w:pPr>
        <w:spacing w:after="0" w:line="153"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During the nine months ended September 30, 2024, net cash provided by financing activities of $400.6 million consisted primarily of net proceeds from our January 2024 and April 2024 follow-on public offerings, our at-the-market offerings and our collaboration and license agreement with Tenacia.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5" w:lineRule="exact"/>
        <w:rPr>
          <w:sz w:val="20"/>
          <w:szCs w:val="20"/>
          <w:color w:val="auto"/>
        </w:rPr>
      </w:pPr>
    </w:p>
    <w:p>
      <w:pPr>
        <w:jc w:val="both"/>
        <w:ind w:right="160" w:firstLine="445"/>
        <w:spacing w:after="0" w:line="268"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6"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5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September 30, 2025, together with proceeds from our follow-on public offering in October 2025, will be sufficient to fund our operating expenses and capital expenditure requirements into 2028. However, we have based this estimate on assumptions that may prove to be wrong and we could exhaust our capital resources sooner than we expect.</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1"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2" w:name="page33"/>
    <w:bookmarkEnd w:id="32"/>
    <w:p>
      <w:pPr>
        <w:ind w:right="740"/>
        <w:spacing w:after="0" w:line="287" w:lineRule="auto"/>
        <w:rPr>
          <w:sz w:val="20"/>
          <w:szCs w:val="20"/>
          <w:color w:val="auto"/>
        </w:rPr>
      </w:pPr>
      <w:r>
        <w:rPr>
          <w:rFonts w:ascii="Arial" w:cs="Arial" w:eastAsia="Arial" w:hAnsi="Arial"/>
          <w:sz w:val="18"/>
          <w:szCs w:val="18"/>
          <w:color w:val="auto"/>
        </w:rPr>
        <w:t>from sales of products that we do not expect to be commercially available for many years, if ever. Accordingly, we will need to obtain substantial additional funds to achieve our business objectives.</w:t>
      </w:r>
    </w:p>
    <w:p>
      <w:pPr>
        <w:spacing w:after="0" w:line="153"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28, 2025,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ind w:right="20"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2025.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0" w:firstLine="445"/>
        <w:spacing w:after="0" w:line="268"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2024 filed with the SEC on February 28, 2025 and in the section entitled "Risk Factors" of our Quarterly Report on Form 10-Q for the quarter ended June 30, 2025 filed with the SEC on August 4,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September 30,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820" w:right="5280" w:hanging="407"/>
        <w:spacing w:after="0" w:line="375" w:lineRule="auto"/>
        <w:tabs>
          <w:tab w:leader="none" w:pos="8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820" w:right="1240" w:hanging="407"/>
        <w:spacing w:after="0" w:line="375" w:lineRule="auto"/>
        <w:tabs>
          <w:tab w:leader="none" w:pos="8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820" w:right="160"/>
        <w:spacing w:after="0" w:line="287" w:lineRule="auto"/>
        <w:rPr>
          <w:rFonts w:ascii="Arial" w:cs="Arial" w:eastAsia="Arial" w:hAnsi="Arial"/>
          <w:sz w:val="18"/>
          <w:szCs w:val="18"/>
          <w:color w:val="auto"/>
        </w:rPr>
      </w:pPr>
      <w:r>
        <w:rPr>
          <w:rFonts w:ascii="Arial" w:cs="Arial" w:eastAsia="Arial" w:hAnsi="Arial"/>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20" w:type="dxa"/>
            <w:vAlign w:val="bottom"/>
            <w:gridSpan w:val="17"/>
            <w:vMerge w:val="restart"/>
          </w:tcPr>
          <w:p>
            <w:pPr>
              <w:ind w:left="23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20" w:type="dxa"/>
            <w:vAlign w:val="bottom"/>
            <w:gridSpan w:val="1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440" w:type="dxa"/>
            <w:vAlign w:val="bottom"/>
            <w:tcBorders>
              <w:top w:val="single" w:sz="8" w:color="auto"/>
            </w:tcBorders>
            <w:gridSpan w:val="18"/>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October 20, 2020)</w:t>
              </w:r>
            </w:hyperlink>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60" w:type="dxa"/>
            <w:vAlign w:val="bottom"/>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FF"/>
              </w:rPr>
            </w:pPr>
            <w:hyperlink r:id="rId57">
              <w:r>
                <w:rPr>
                  <w:rFonts w:ascii="Arial" w:cs="Arial" w:eastAsia="Arial" w:hAnsi="Arial"/>
                  <w:sz w:val="18"/>
                  <w:szCs w:val="18"/>
                  <w:color w:val="0000FF"/>
                </w:rPr>
                <w:t>Certificate of Amendment to the Amended and Restated Certificate of Incorporation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40" w:type="dxa"/>
            <w:vAlign w:val="bottom"/>
            <w:gridSpan w:val="18"/>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reference to Exhibit 3.1 to the Registrant’s Current Report on Form 8-K (File No. 001-39620) filed with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Securities and Exchange Commission on December 1,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8">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FF"/>
              </w:rPr>
            </w:pPr>
            <w:hyperlink r:id="rId58">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 No. 001-39620) filed on January 7, 2022)</w:t>
              </w:r>
            </w:hyperlink>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on Form 8-K (File No. 001-39620) filed on January 12, 2024</w:t>
              </w:r>
            </w:hyperlink>
          </w:p>
        </w:tc>
        <w:tc>
          <w:tcPr>
            <w:tcW w:w="344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60">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on Form 8-K (File No. 001-39620) filed on March 29, 2024</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r>
              <w:rPr>
                <w:rFonts w:ascii="Arial" w:cs="Arial" w:eastAsia="Arial" w:hAnsi="Arial"/>
                <w:sz w:val="18"/>
                <w:szCs w:val="18"/>
                <w:color w:val="0000FF"/>
              </w:rPr>
              <w:t>4.</w:t>
            </w:r>
            <w:hyperlink r:id="rId61">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FF"/>
              </w:rPr>
            </w:pPr>
            <w:hyperlink r:id="rId61">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on Form 8-K (File No. 001-39620) filed on October 20, 2025</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9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50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Section 1350, as Adopted Pursuant to Section 906 of the Sarbanes-Oxley Act of 2002</w:t>
            </w:r>
          </w:p>
        </w:tc>
        <w:tc>
          <w:tcPr>
            <w:tcW w:w="9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68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1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844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89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9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4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2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as filed with the Securities and Exchange Commission on the date hereof (the “Report”), the undersigned hereby certify, pursuant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their knowledge:</w:t>
      </w:r>
    </w:p>
    <w:p>
      <w:pPr>
        <w:spacing w:after="0" w:line="126" w:lineRule="exact"/>
        <w:rPr>
          <w:sz w:val="20"/>
          <w:szCs w:val="20"/>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5, 2025</w:t>
            </w:r>
          </w:p>
        </w:tc>
        <w:tc>
          <w:tcPr>
            <w:tcW w:w="2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5, 2025</w:t>
            </w:r>
          </w:p>
        </w:tc>
        <w:tc>
          <w:tcPr>
            <w:tcW w:w="2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9"/>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lvl w:ilvl="1">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
      <w:numFmt w:val="bullet"/>
      <w:start w:val="1"/>
    </w:lvl>
    <w:lvl w:ilvl="1">
      <w:lvlJc w:val="left"/>
      <w:lvlText w:val="%2"/>
      <w:numFmt w:val="decimal"/>
      <w:start w:val="104"/>
    </w:lvl>
  </w:abstractNum>
  <w:abstractNum w:abstractNumId="25">
    <w:nsid w:val="71F32454"/>
    <w:multiLevelType w:val="hybridMultilevel"/>
    <w:lvl w:ilvl="0">
      <w:lvlJc w:val="left"/>
      <w:lvlText w:val="**"/>
      <w:numFmt w:val="bullet"/>
      <w:start w:val="1"/>
    </w:lvl>
    <w:lvl w:ilvl="1">
      <w:lvlJc w:val="left"/>
      <w:lvlText w:val="%2"/>
      <w:numFmt w:val="decimal"/>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56" Type="http://schemas.openxmlformats.org/officeDocument/2006/relationships/hyperlink" Target="https://www.sec.gov/Archives/edgar/data/1689548/000119312520272877/d94620dex31.htm" TargetMode="External"/><Relationship Id="rId57" Type="http://schemas.openxmlformats.org/officeDocument/2006/relationships/hyperlink" Target="https://www.sec.gov/Archives/edgar/data/1689548/000168954823000162/exhibit31praxis-reversesto.htm" TargetMode="External"/><Relationship Id="rId58" Type="http://schemas.openxmlformats.org/officeDocument/2006/relationships/hyperlink" Target="https://www.sec.gov/Archives/edgar/data/1689548/000110465922002260/tm222120d1_ex3-1.htm" TargetMode="External"/><Relationship Id="rId59" Type="http://schemas.openxmlformats.org/officeDocument/2006/relationships/hyperlink" Target="https://www.sec.gov/Archives/edgar/data/1689548/000110465924003764/tm243213d1_ex4-1.htm" TargetMode="External"/><Relationship Id="rId60" Type="http://schemas.openxmlformats.org/officeDocument/2006/relationships/hyperlink" Target="https://www.sec.gov/Archives/edgar/data/1689548/000110465924041158/tm247764d6_ex4-1.htm" TargetMode="External"/><Relationship Id="rId61" Type="http://schemas.openxmlformats.org/officeDocument/2006/relationships/hyperlink" Target="https://www.sec.gov/Archives/edgar/data/1689548/000110465925100488/tm2528989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2025-11-05T07:16:30Z</dcterms:created>
  <dcterms:modified xsi:type="dcterms:W3CDTF">2025-11-05T07:16:30Z</dcterms:modified>
</cp:coreProperties>
</file>